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16,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TEXAS INSTRUMENTS INCORPORATED</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36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75-0289970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ind w:left="20"/>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504" w:space="720"/>
            <w:col w:w="2760" w:space="720"/>
            <w:col w:w="2320"/>
          </w:cols>
          <w:pgMar w:left="436" w:top="376" w:right="439" w:bottom="1440" w:gutter="0" w:footer="0" w:header="0"/>
          <w:type w:val="continuous"/>
        </w:sectPr>
      </w:pPr>
    </w:p>
    <w:p>
      <w:pPr>
        <w:spacing w:after="0" w:line="1" w:lineRule="exact"/>
        <w:rPr>
          <w:sz w:val="24"/>
          <w:szCs w:val="24"/>
          <w:color w:val="auto"/>
        </w:rPr>
      </w:pPr>
    </w:p>
    <w:p>
      <w:pPr>
        <w:ind w:left="4584"/>
        <w:spacing w:after="0"/>
        <w:rPr>
          <w:sz w:val="20"/>
          <w:szCs w:val="20"/>
          <w:color w:val="auto"/>
        </w:rPr>
      </w:pPr>
      <w:r>
        <w:rPr>
          <w:rFonts w:ascii="Times New Roman" w:cs="Times New Roman" w:eastAsia="Times New Roman" w:hAnsi="Times New Roman"/>
          <w:sz w:val="18"/>
          <w:szCs w:val="18"/>
          <w:b w:val="1"/>
          <w:bCs w:val="1"/>
          <w:color w:val="auto"/>
        </w:rPr>
        <w:t>12500 TI BOULEVARD</w:t>
      </w:r>
    </w:p>
    <w:p>
      <w:pPr>
        <w:spacing w:after="0" w:line="31" w:lineRule="exact"/>
        <w:rPr>
          <w:sz w:val="24"/>
          <w:szCs w:val="24"/>
          <w:color w:val="auto"/>
        </w:rPr>
      </w:pPr>
    </w:p>
    <w:p>
      <w:pPr>
        <w:ind w:left="4544"/>
        <w:spacing w:after="0"/>
        <w:rPr>
          <w:sz w:val="20"/>
          <w:szCs w:val="20"/>
          <w:color w:val="auto"/>
        </w:rPr>
      </w:pPr>
      <w:r>
        <w:rPr>
          <w:rFonts w:ascii="Times New Roman" w:cs="Times New Roman" w:eastAsia="Times New Roman" w:hAnsi="Times New Roman"/>
          <w:sz w:val="18"/>
          <w:szCs w:val="18"/>
          <w:b w:val="1"/>
          <w:bCs w:val="1"/>
          <w:color w:val="auto"/>
        </w:rPr>
        <w:t>DALLAS, TEXAS 75243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250190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$1.00</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TXN</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of $700,000,000 of Notes</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August 16, 2022, Texas Instruments Incorporated (“Texas Instruments”) consummated the issuance and sale of $400,000,000 aggregate principal amount of its 3.650% Notes due 2032 and $300,000,000 aggregate principal amount of its 4.100% Notes due 2052 (collectively, the “Notes”), pursuant to an underwriting agreement filed herewith as Exhibit 1.1 dated August 10, 2022 among Texas Instruments and BofA Securities, Inc., Citigroup Global Markets Inc. and U.S. Bancorp Investments, Inc., as underwriters. The Notes were issued pursuant to an Indenture dated as of May 23, 2011 (the “Indenture”) between Texas Instruments and U.S. Bank Trust Company, National Association, as successor in interest to U.S. Bank National Association, as trustee, and an Officers’ Certificate issued pursuant thereto.</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Notes were offered pursuant to Texas Instruments’ Registration Statement on Form S-3 filed on February 4, 2022 (Reg. No. 333-262523), including the prospectus contained therein, and a related preliminary prospectus supplement dated August 10, 2022 and a prospectus supplement dated August 10, 2022.</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terms and conditions of the Notes are set forth in the Indenture filed as Exhibit 4.2 to the Current Report of Texas Instruments on Form 8-K dated May 23, 2011 and the Officers’ Certificate filed herewith as Exhibit 4.1 and incorporated by reference 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80" w:type="dxa"/>
            <w:vAlign w:val="bottom"/>
            <w:gridSpan w:val="6"/>
          </w:tcPr>
          <w:p>
            <w:pPr>
              <w:ind w:left="36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110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 Exhibits.</w:t>
            </w:r>
          </w:p>
        </w:tc>
        <w:tc>
          <w:tcPr>
            <w:tcW w:w="0" w:type="dxa"/>
            <w:vAlign w:val="bottom"/>
          </w:tcPr>
          <w:p>
            <w:pPr>
              <w:spacing w:after="0"/>
              <w:rPr>
                <w:sz w:val="1"/>
                <w:szCs w:val="1"/>
                <w:color w:val="auto"/>
              </w:rPr>
            </w:pPr>
          </w:p>
        </w:tc>
      </w:tr>
      <w:tr>
        <w:trPr>
          <w:trHeight w:val="369"/>
        </w:trPr>
        <w:tc>
          <w:tcPr>
            <w:tcW w:w="8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Exhibit</w:t>
            </w:r>
          </w:p>
        </w:tc>
        <w:tc>
          <w:tcPr>
            <w:tcW w:w="2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60" w:type="dxa"/>
            <w:vAlign w:val="bottom"/>
            <w:gridSpan w:val="3"/>
            <w:vMerge w:val="restart"/>
          </w:tcPr>
          <w:p>
            <w:pPr>
              <w:ind w:left="740"/>
              <w:spacing w:after="0"/>
              <w:rPr>
                <w:sz w:val="20"/>
                <w:szCs w:val="20"/>
                <w:color w:val="auto"/>
              </w:rPr>
            </w:pPr>
            <w:r>
              <w:rPr>
                <w:rFonts w:ascii="Times New Roman" w:cs="Times New Roman" w:eastAsia="Times New Roman" w:hAnsi="Times New Roman"/>
                <w:sz w:val="14"/>
                <w:szCs w:val="14"/>
                <w:color w:val="auto"/>
              </w:rPr>
              <w:t>Description</w:t>
            </w:r>
          </w:p>
        </w:tc>
        <w:tc>
          <w:tcPr>
            <w:tcW w:w="0" w:type="dxa"/>
            <w:vAlign w:val="bottom"/>
          </w:tcPr>
          <w:p>
            <w:pPr>
              <w:spacing w:after="0"/>
              <w:rPr>
                <w:sz w:val="1"/>
                <w:szCs w:val="1"/>
                <w:color w:val="auto"/>
              </w:rPr>
            </w:pPr>
          </w:p>
        </w:tc>
      </w:tr>
      <w:tr>
        <w:trPr>
          <w:trHeight w:val="171"/>
        </w:trPr>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No.</w:t>
            </w:r>
          </w:p>
        </w:tc>
        <w:tc>
          <w:tcPr>
            <w:tcW w:w="28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1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w:t>
            </w:r>
          </w:p>
        </w:tc>
        <w:tc>
          <w:tcPr>
            <w:tcW w:w="420" w:type="dxa"/>
            <w:vAlign w:val="bottom"/>
          </w:tcPr>
          <w:p>
            <w:pPr>
              <w:spacing w:after="0"/>
              <w:rPr>
                <w:sz w:val="22"/>
                <w:szCs w:val="22"/>
                <w:color w:val="auto"/>
              </w:rPr>
            </w:pPr>
          </w:p>
        </w:tc>
        <w:tc>
          <w:tcPr>
            <w:tcW w:w="1018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0000EE"/>
                <w:w w:val="99"/>
              </w:rPr>
              <w:t>Underwriting Agreement dated August 10, 2022 among Texas Instruments Incorporated and BofA Securities, Inc., Citigroup Global Markets</w:t>
            </w:r>
          </w:p>
        </w:tc>
        <w:tc>
          <w:tcPr>
            <w:tcW w:w="0" w:type="dxa"/>
            <w:vAlign w:val="bottom"/>
          </w:tcPr>
          <w:p>
            <w:pPr>
              <w:spacing w:after="0"/>
              <w:rPr>
                <w:sz w:val="1"/>
                <w:szCs w:val="1"/>
                <w:color w:val="auto"/>
              </w:rPr>
            </w:pPr>
          </w:p>
        </w:tc>
      </w:tr>
      <w:tr>
        <w:trPr>
          <w:trHeight w:val="196"/>
        </w:trPr>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6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Inc. and U.S. Bancorp Investments, Inc.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40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Officers’ Certificate setting forth the terms of the Notes</w:t>
            </w:r>
          </w:p>
        </w:tc>
        <w:tc>
          <w:tcPr>
            <w:tcW w:w="61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420" w:type="dxa"/>
            <w:vAlign w:val="bottom"/>
          </w:tcPr>
          <w:p>
            <w:pPr>
              <w:spacing w:after="0"/>
              <w:rPr>
                <w:sz w:val="24"/>
                <w:szCs w:val="24"/>
                <w:color w:val="auto"/>
              </w:rPr>
            </w:pPr>
          </w:p>
        </w:tc>
        <w:tc>
          <w:tcPr>
            <w:tcW w:w="1018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Opinion of Davis Polk &amp; Wardwell LLP</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2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5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420" w:type="dxa"/>
            <w:vAlign w:val="bottom"/>
          </w:tcPr>
          <w:p>
            <w:pPr>
              <w:spacing w:after="0"/>
              <w:rPr>
                <w:sz w:val="24"/>
                <w:szCs w:val="24"/>
                <w:color w:val="auto"/>
              </w:rPr>
            </w:pPr>
          </w:p>
        </w:tc>
        <w:tc>
          <w:tcPr>
            <w:tcW w:w="48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Davis Polk &amp; Wardwell LLP (contained in Exhibit 5.1)</w:t>
            </w:r>
          </w:p>
        </w:tc>
        <w:tc>
          <w:tcPr>
            <w:tcW w:w="53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5464" w:right="4400" w:hanging="5464"/>
        <w:spacing w:after="0" w:line="877" w:lineRule="auto"/>
        <w:tabs>
          <w:tab w:leader="none" w:pos="85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3</w:t>
      </w:r>
    </w:p>
    <w:p>
      <w:pPr>
        <w:sectPr>
          <w:pgSz w:w="11900" w:h="16838" w:orient="portrait"/>
          <w:cols w:equalWidth="0" w:num="1">
            <w:col w:w="11024"/>
          </w:cols>
          <w:pgMar w:left="436" w:top="293" w:right="439" w:bottom="1440" w:gutter="0" w:footer="0" w:header="0"/>
        </w:sectPr>
      </w:pPr>
    </w:p>
    <w:bookmarkStart w:id="3" w:name="page4"/>
    <w:bookmarkEnd w:id="3"/>
    <w:p>
      <w:pPr>
        <w:ind w:left="4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August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Rafael R. Lizardi</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320"/>
          </w:cols>
          <w:pgMar w:left="440" w:top="297" w:right="11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left="9820"/>
        <w:spacing w:after="0"/>
        <w:rPr>
          <w:sz w:val="20"/>
          <w:szCs w:val="20"/>
          <w:color w:val="auto"/>
        </w:rPr>
      </w:pPr>
      <w:r>
        <w:rPr>
          <w:rFonts w:ascii="Times New Roman" w:cs="Times New Roman" w:eastAsia="Times New Roman" w:hAnsi="Times New Roman"/>
          <w:sz w:val="18"/>
          <w:szCs w:val="18"/>
          <w:color w:val="auto"/>
        </w:rPr>
        <w:t>August 10,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3" w:lineRule="exact"/>
        <w:rPr>
          <w:sz w:val="20"/>
          <w:szCs w:val="20"/>
          <w:color w:val="auto"/>
        </w:rPr>
      </w:pPr>
    </w:p>
    <w:p>
      <w:pPr>
        <w:jc w:val="both"/>
        <w:ind w:right="200" w:firstLine="440"/>
        <w:spacing w:after="0" w:line="259" w:lineRule="auto"/>
        <w:rPr>
          <w:sz w:val="20"/>
          <w:szCs w:val="20"/>
          <w:color w:val="auto"/>
        </w:rPr>
      </w:pPr>
      <w:r>
        <w:rPr>
          <w:rFonts w:ascii="Times New Roman" w:cs="Times New Roman" w:eastAsia="Times New Roman" w:hAnsi="Times New Roman"/>
          <w:sz w:val="18"/>
          <w:szCs w:val="18"/>
          <w:color w:val="auto"/>
        </w:rPr>
        <w:t>We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understand that Texas 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proposes to issue and sell $400,000,000 principal amount of the 3.650% Notes due 2032 (the “</w:t>
      </w:r>
      <w:r>
        <w:rPr>
          <w:rFonts w:ascii="Times New Roman" w:cs="Times New Roman" w:eastAsia="Times New Roman" w:hAnsi="Times New Roman"/>
          <w:sz w:val="18"/>
          <w:szCs w:val="18"/>
          <w:b w:val="1"/>
          <w:bCs w:val="1"/>
          <w:color w:val="auto"/>
        </w:rPr>
        <w:t>2032 Notes</w:t>
      </w:r>
      <w:r>
        <w:rPr>
          <w:rFonts w:ascii="Times New Roman" w:cs="Times New Roman" w:eastAsia="Times New Roman" w:hAnsi="Times New Roman"/>
          <w:sz w:val="18"/>
          <w:szCs w:val="18"/>
          <w:color w:val="auto"/>
        </w:rPr>
        <w:t>”) and $300,000,000 principal amount of the 4.100% Notes due 2052 (the “</w:t>
      </w:r>
      <w:r>
        <w:rPr>
          <w:rFonts w:ascii="Times New Roman" w:cs="Times New Roman" w:eastAsia="Times New Roman" w:hAnsi="Times New Roman"/>
          <w:sz w:val="18"/>
          <w:szCs w:val="18"/>
          <w:b w:val="1"/>
          <w:bCs w:val="1"/>
          <w:color w:val="auto"/>
        </w:rPr>
        <w:t>2052 Notes</w:t>
      </w:r>
      <w:r>
        <w:rPr>
          <w:rFonts w:ascii="Times New Roman" w:cs="Times New Roman" w:eastAsia="Times New Roman" w:hAnsi="Times New Roman"/>
          <w:sz w:val="18"/>
          <w:szCs w:val="18"/>
          <w:color w:val="auto"/>
        </w:rPr>
        <w:t>” and, together with the 2032 Notes, the “</w:t>
      </w:r>
      <w:r>
        <w:rPr>
          <w:rFonts w:ascii="Times New Roman" w:cs="Times New Roman" w:eastAsia="Times New Roman" w:hAnsi="Times New Roman"/>
          <w:sz w:val="18"/>
          <w:szCs w:val="18"/>
          <w:b w:val="1"/>
          <w:bCs w:val="1"/>
          <w:color w:val="auto"/>
        </w:rPr>
        <w:t>Offered Securities</w:t>
      </w:r>
      <w:r>
        <w:rPr>
          <w:rFonts w:ascii="Times New Roman" w:cs="Times New Roman" w:eastAsia="Times New Roman" w:hAnsi="Times New Roman"/>
          <w:sz w:val="18"/>
          <w:szCs w:val="18"/>
          <w:color w:val="auto"/>
        </w:rPr>
        <w:t>”) identified in Schedule I hereto, as more fully described in the Time of Sale Prospectus. The Offered Securities will be issued pursuant to an Indenture dated as of May 23, 2011, between the Company and U.S. Bank Trust Company, National Association, as successor in interest to U.S. Bank National Association, as trustee.</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set forth herein or incorporated by reference herein, the Company agrees to sell and the Underwriters agree to purchase, severally and not jointly, at the respective purchase prices set forth in Schedule I hereto, the principal amount of the applicable series of the Offered Securities set forth opposite their respective names in Schedule II hereto. For purposes of this Agreement,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3:00 P.M. (New York time) on the date hereof.</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Payment of the respective purchase prices for the applicable series of the Offered Securities shall be made to the Company by Federal funds wire transfer against delivery of such series of the Offered Securities in book-entry form to the Manager (as defined below) through the facilities of The Depository Trust Company for the respective accounts of the Underwriters. Such payment and delivery and all documents with respect to the purchase of the Offered Securities shall be delivered by the parties at the offices of counsel for the Underwriters at 9:00 A.M. (New York time) on August 16, 2022, or at such other time, not later than August 26, 2022, as shall be designated by the Manager.</w:t>
      </w:r>
    </w:p>
    <w:p>
      <w:pPr>
        <w:spacing w:after="0" w:line="183"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All the provisions contained in the document entitled Texas Instruments Incorporated Underwriting Agreement Standard Provisions dated February 22, 2019 (the “</w:t>
      </w:r>
      <w:r>
        <w:rPr>
          <w:rFonts w:ascii="Times New Roman" w:cs="Times New Roman" w:eastAsia="Times New Roman" w:hAnsi="Times New Roman"/>
          <w:sz w:val="18"/>
          <w:szCs w:val="18"/>
          <w:b w:val="1"/>
          <w:bCs w:val="1"/>
          <w:color w:val="auto"/>
        </w:rPr>
        <w:t>Standard Provisions</w:t>
      </w:r>
      <w:r>
        <w:rPr>
          <w:rFonts w:ascii="Times New Roman" w:cs="Times New Roman" w:eastAsia="Times New Roman" w:hAnsi="Times New Roman"/>
          <w:sz w:val="18"/>
          <w:szCs w:val="18"/>
          <w:color w:val="auto"/>
        </w:rPr>
        <w:t>”), a copy of which is attached hereto, are herein incorporated by reference in their entirety and shall be deemed to be a part of this Agreement to the same extent as if such provisions had been set forth in full herein, except that (i) if any term defined in the Standard Provisions is otherwise defined herein, the definition set forth herein shall control, (ii) all references in the Standard Provisions to a type of security that is not an Offered Security and the related representations, warranties, opinions given or to be given in respect thereof and the related covenants, conditions and other obligations relating thereto shall not be deemed to be a part of this Agreement, (iii) all references in the Standard Provisions to a type of agreement that has not been entered into in</w:t>
      </w:r>
    </w:p>
    <w:p>
      <w:pPr>
        <w:sectPr>
          <w:pgSz w:w="11900" w:h="16838" w:orient="portrait"/>
          <w:cols w:equalWidth="0" w:num="1">
            <w:col w:w="11020"/>
          </w:cols>
          <w:pgMar w:left="440" w:top="117" w:right="439" w:bottom="1440" w:gutter="0" w:footer="0" w:header="0"/>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the transactions contemplated hereby shall not be deemed to be a part of this Agreement, (iv) the term “</w:t>
      </w:r>
      <w:r>
        <w:rPr>
          <w:rFonts w:ascii="Times New Roman" w:cs="Times New Roman" w:eastAsia="Times New Roman" w:hAnsi="Times New Roman"/>
          <w:sz w:val="18"/>
          <w:szCs w:val="18"/>
          <w:b w:val="1"/>
          <w:bCs w:val="1"/>
          <w:color w:val="auto"/>
        </w:rPr>
        <w:t>Manager</w:t>
      </w:r>
      <w:r>
        <w:rPr>
          <w:rFonts w:ascii="Times New Roman" w:cs="Times New Roman" w:eastAsia="Times New Roman" w:hAnsi="Times New Roman"/>
          <w:sz w:val="18"/>
          <w:szCs w:val="18"/>
          <w:color w:val="auto"/>
        </w:rPr>
        <w:t>,” as used therein, shall, for purposes of this Agreement, mean BofA Securities, Inc., Citigroup Global Markets Inc. and U.S. Bancorp Investments, Inc., whose authority hereunder may be exercised by them jointly, (v) Section III(b)(iv)(B) of the Standard Provisions shall be deleted and replaced in its entirety with the following text: “any of the terms, conditions or provisions of any agreement or other instrument binding upon the Company that is filed as an exhibit to the Registration Statement or to any document incorporated by reference into the Time of Sale Prospectus, except, in the case of this clause (B), to the extent that the conflict, default or violation will not have a material adverse effect on the Company and its subsidiaries, considered as a whole.,” (vi) Section III(c)(xiii) of the Standard Provisions shall be deleted and replaced in its entirety with the following text: “(xiii) The execution, delivery and performance by the Company of this Agreement, the Indenture, and the Offered Securities will not contravene any provision of applicable statutory law.” and (vii) Section IV(l) of the Standard Provisions shall be deleted and replaced in its entirety with the following text: “(l)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6" w:name="page7"/>
    <w:bookmarkEnd w:id="6"/>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Please confirm your agreement by having an authorized officer sign a copy of this Agreement in the space set forth below. This Agreement may be signed in any number of counterparts with the same effect as if the signatures thereto and hereto were upon the same instrument.</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On behalf of themselves and the several Underwriters listed</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 Schedule II hereto</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Laurie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Laurie Campbell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Brian D. Bednarski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Brian D. Bednarski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Bancorp Investments,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Kyle Stegmeyer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Kyle Stegmeyer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920"/>
          </w:cols>
          <w:pgMar w:left="440" w:top="270" w:right="5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written above: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5" w:lineRule="exact"/>
        <w:rPr>
          <w:sz w:val="20"/>
          <w:szCs w:val="20"/>
          <w:color w:val="auto"/>
        </w:rPr>
      </w:pPr>
    </w:p>
    <w:p>
      <w:pPr>
        <w:jc w:val="right"/>
        <w:ind w:right="28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Underwriting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Make-Whole Call:</w:t>
      </w:r>
    </w:p>
    <w:p>
      <w:pPr>
        <w:spacing w:after="0" w:line="20" w:lineRule="exact"/>
        <w:rPr>
          <w:sz w:val="20"/>
          <w:szCs w:val="20"/>
          <w:color w:val="auto"/>
        </w:rPr>
      </w:pPr>
      <w:r>
        <w:rPr>
          <w:sz w:val="20"/>
          <w:szCs w:val="20"/>
          <w:color w:val="auto"/>
        </w:rPr>
        <w:br w:type="column"/>
      </w:r>
    </w:p>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-210820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3"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7"/>
          <w:szCs w:val="17"/>
          <w:b w:val="1"/>
          <w:bCs w:val="1"/>
          <w:color w:val="auto"/>
        </w:rPr>
        <w:t>TEXAS INSTRUMENTS INCORPORATED</w:t>
      </w:r>
    </w:p>
    <w:p>
      <w:pPr>
        <w:spacing w:after="0" w:line="43" w:lineRule="exact"/>
        <w:rPr>
          <w:sz w:val="20"/>
          <w:szCs w:val="20"/>
          <w:color w:val="auto"/>
        </w:rPr>
      </w:pPr>
    </w:p>
    <w:p>
      <w:pPr>
        <w:jc w:val="center"/>
        <w:ind w:right="3760"/>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20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3.650% Notes due 2032</w:t>
      </w:r>
    </w:p>
    <w:p>
      <w:pPr>
        <w:spacing w:after="0" w:line="252"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$400,000,000</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August 16, 2032</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3.650%</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99.709% of principal amount</w:t>
      </w:r>
    </w:p>
    <w:p>
      <w:pPr>
        <w:spacing w:after="0" w:line="117" w:lineRule="exact"/>
        <w:rPr>
          <w:sz w:val="20"/>
          <w:szCs w:val="20"/>
          <w:color w:val="auto"/>
        </w:rPr>
      </w:pPr>
    </w:p>
    <w:p>
      <w:pPr>
        <w:ind w:left="1980" w:right="60"/>
        <w:spacing w:after="0" w:line="282" w:lineRule="auto"/>
        <w:rPr>
          <w:sz w:val="20"/>
          <w:szCs w:val="20"/>
          <w:color w:val="auto"/>
        </w:rPr>
      </w:pPr>
      <w:r>
        <w:rPr>
          <w:rFonts w:ascii="Times New Roman" w:cs="Times New Roman" w:eastAsia="Times New Roman" w:hAnsi="Times New Roman"/>
          <w:sz w:val="18"/>
          <w:szCs w:val="18"/>
          <w:color w:val="auto"/>
        </w:rPr>
        <w:t>February 16 and August 16, beginning on February 16, 2023, and on the maturity date</w:t>
      </w:r>
    </w:p>
    <w:p>
      <w:pPr>
        <w:spacing w:after="0" w:line="54"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$397,436,000</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2.875% due May 15, 2032</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90 basis points</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3.685%</w:t>
      </w:r>
    </w:p>
    <w:p>
      <w:pPr>
        <w:spacing w:after="0" w:line="11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100-24+; 2.785%</w:t>
      </w:r>
    </w:p>
    <w:p>
      <w:pPr>
        <w:spacing w:after="0" w:line="117" w:lineRule="exact"/>
        <w:rPr>
          <w:sz w:val="20"/>
          <w:szCs w:val="20"/>
          <w:color w:val="auto"/>
        </w:rPr>
      </w:pPr>
    </w:p>
    <w:p>
      <w:pPr>
        <w:ind w:left="1980"/>
        <w:spacing w:after="0" w:line="254" w:lineRule="auto"/>
        <w:rPr>
          <w:sz w:val="20"/>
          <w:szCs w:val="20"/>
          <w:color w:val="auto"/>
        </w:rPr>
      </w:pPr>
      <w:r>
        <w:rPr>
          <w:rFonts w:ascii="Times New Roman" w:cs="Times New Roman" w:eastAsia="Times New Roman" w:hAnsi="Times New Roman"/>
          <w:sz w:val="18"/>
          <w:szCs w:val="18"/>
          <w:color w:val="auto"/>
        </w:rPr>
        <w:t>At any time before May 16, 2032 (three months before the maturity date) at the greater of: (1) (a) the sum of the present values of the remaining scheduled payments of principal and interest thereon discounted to the redemption date (assuming the Notes matured on May 16, 2032) on a semi-annual basis (assuming a 360-day year consisting of twelve 30-day months) at the Treasury Rate plus 15 basis points less (b) interest accrued to the date of redemption, and (2) 100% of the principal amount of the Notes to be redeemed, plus, in either case, accrued and unpaid interest thereon to the redemption date.</w:t>
      </w:r>
    </w:p>
    <w:p>
      <w:pPr>
        <w:spacing w:after="0" w:line="121"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2">
            <w:col w:w="3040" w:space="720"/>
            <w:col w:w="7240"/>
          </w:cols>
          <w:pgMar w:left="440" w:top="266"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Par Call: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Trade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Settlement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Denominations: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CUSIP/ISIN: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Coupon: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to Public:</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Day Count Convention: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Proceeds (before expenses) to TI: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Spread to Benchmark Treasury: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Yield to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0"/>
          <w:szCs w:val="20"/>
          <w:color w:val="auto"/>
        </w:rPr>
      </w:pPr>
      <w:r>
        <w:rPr>
          <w:sz w:val="20"/>
          <w:szCs w:val="20"/>
          <w:color w:val="auto"/>
        </w:rPr>
        <w:br w:type="column"/>
      </w:r>
    </w:p>
    <w:p>
      <w:pPr>
        <w:ind w:left="1100" w:right="40"/>
        <w:spacing w:after="0" w:line="266" w:lineRule="auto"/>
        <w:rPr>
          <w:sz w:val="20"/>
          <w:szCs w:val="20"/>
          <w:color w:val="auto"/>
        </w:rPr>
      </w:pPr>
      <w:r>
        <w:rPr>
          <w:rFonts w:ascii="Times New Roman" w:cs="Times New Roman" w:eastAsia="Times New Roman" w:hAnsi="Times New Roman"/>
          <w:sz w:val="18"/>
          <w:szCs w:val="18"/>
          <w:color w:val="auto"/>
        </w:rPr>
        <w:t>At any time on or after May 16, 2032 (three months before the maturity date) at 100% of the principal amount of notes being redeemed plus accrued and unpaid interest thereon to the redemption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-518795</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48"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August 10, 2022</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August 16, 2022 (T+4)</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$2,000 and multiples of $1,000 thereafter</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882508 BP8/US882508PB81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4.100% Notes due 2052</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Texas Instruments Incorporated (“TI”)</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$300,000,000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August 16, 2052</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4.100%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98.707% of principal amount</w:t>
      </w:r>
    </w:p>
    <w:p>
      <w:pPr>
        <w:spacing w:after="0" w:line="117"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February 16 and August 16, beginning on February 16, 2023, and on the maturity date</w:t>
      </w:r>
    </w:p>
    <w:p>
      <w:pPr>
        <w:spacing w:after="0" w:line="5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30/360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$294,321,000</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2.250% due February 15, 2052</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110 basis points</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4.176%</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84-02; 3.076%</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2">
            <w:col w:w="3920" w:space="720"/>
            <w:col w:w="6300"/>
          </w:cols>
          <w:pgMar w:left="440" w:top="270" w:right="519" w:bottom="1440" w:gutter="0" w:footer="0" w:header="0"/>
        </w:sectPr>
      </w:pPr>
    </w:p>
    <w:bookmarkStart w:id="10" w:name="page11"/>
    <w:bookmarkEnd w:id="10"/>
    <w:tbl>
      <w:tblPr>
        <w:tblLayout w:type="fixed"/>
        <w:tblInd w:w="4" w:type="dxa"/>
        <w:tblCellMar>
          <w:top w:w="0" w:type="dxa"/>
          <w:left w:w="0" w:type="dxa"/>
          <w:bottom w:w="0" w:type="dxa"/>
          <w:right w:w="0" w:type="dxa"/>
        </w:tblCellMar>
      </w:tblP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Make-Whole Call:</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At any time before February 16, 2052 (six months before the maturity</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date) at the greater of: (1) (a) the sum of the present values of the</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remaining scheduled payments of principal and interest thereon</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discounted to the redemption date (assuming the Notes matured on</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February 16, 2052) on a semi-annual basis (assuming a 360-day year</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consisting of twelve 30-day months) at the Treasury Rate plus 20 basis</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points less (b) interest accrued to the date of redemption, and (2) 100%</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w w:val="99"/>
              </w:rPr>
              <w:t>of the principal amount of the Notes to be redeemed, plus, in either case,</w:t>
            </w:r>
          </w:p>
        </w:tc>
      </w:tr>
      <w:tr>
        <w:trPr>
          <w:trHeight w:val="234"/>
        </w:trPr>
        <w:tc>
          <w:tcPr>
            <w:tcW w:w="4840" w:type="dxa"/>
            <w:vAlign w:val="bottom"/>
          </w:tcPr>
          <w:p>
            <w:pPr>
              <w:spacing w:after="0"/>
              <w:rPr>
                <w:sz w:val="20"/>
                <w:szCs w:val="20"/>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accrued and unpaid interest thereon to the redemption date.</w:t>
            </w:r>
          </w:p>
        </w:tc>
      </w:tr>
      <w:tr>
        <w:trPr>
          <w:trHeight w:val="30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Par Call:</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At any time on or after February 16, 2052 (six months before the</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maturity date) at 100% of the principal amount of notes being redeemed</w:t>
            </w:r>
          </w:p>
        </w:tc>
      </w:tr>
      <w:tr>
        <w:trPr>
          <w:trHeight w:val="234"/>
        </w:trPr>
        <w:tc>
          <w:tcPr>
            <w:tcW w:w="4840" w:type="dxa"/>
            <w:vAlign w:val="bottom"/>
          </w:tcPr>
          <w:p>
            <w:pPr>
              <w:spacing w:after="0"/>
              <w:rPr>
                <w:sz w:val="20"/>
                <w:szCs w:val="20"/>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plus accrued and unpaid interest thereon to the redemption date.</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Trade Date:</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August 10, 2022</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August 16, 2022 (T+4)</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Denominations:</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$2,000 and multiples of $1,000 thereafter</w:t>
            </w:r>
          </w:p>
        </w:tc>
      </w:tr>
      <w:tr>
        <w:trPr>
          <w:trHeight w:val="324"/>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CUSIP/ISIN:</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882508 BQ6/US882508BQ64</w:t>
            </w:r>
          </w:p>
        </w:tc>
      </w:tr>
      <w:tr>
        <w:trPr>
          <w:trHeight w:val="391"/>
        </w:trPr>
        <w:tc>
          <w:tcPr>
            <w:tcW w:w="4840" w:type="dxa"/>
            <w:vAlign w:val="bottom"/>
          </w:tcPr>
          <w:p>
            <w:pPr>
              <w:spacing w:after="0"/>
              <w:rPr>
                <w:sz w:val="24"/>
                <w:szCs w:val="24"/>
                <w:color w:val="auto"/>
              </w:rPr>
            </w:pPr>
          </w:p>
        </w:tc>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Information</w:t>
            </w:r>
          </w:p>
        </w:tc>
      </w:tr>
      <w:tr>
        <w:trPr>
          <w:trHeight w:val="20"/>
        </w:trPr>
        <w:tc>
          <w:tcPr>
            <w:tcW w:w="4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345"/>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Ratings:*</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Intentionally omittted</w:t>
            </w:r>
            <w:r>
              <w:rPr>
                <w:rFonts w:ascii="Times New Roman" w:cs="Times New Roman" w:eastAsia="Times New Roman" w:hAnsi="Times New Roman"/>
                <w:sz w:val="18"/>
                <w:szCs w:val="18"/>
                <w:color w:val="auto"/>
              </w:rPr>
              <w:t>]</w:t>
            </w:r>
          </w:p>
        </w:tc>
      </w:tr>
      <w:tr>
        <w:trPr>
          <w:trHeight w:val="30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Joint Book-Running Managers:</w:t>
            </w: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BofA Securities, Inc.</w:t>
            </w:r>
          </w:p>
        </w:tc>
      </w:tr>
      <w:tr>
        <w:trPr>
          <w:trHeight w:val="216"/>
        </w:trPr>
        <w:tc>
          <w:tcPr>
            <w:tcW w:w="4840" w:type="dxa"/>
            <w:vAlign w:val="bottom"/>
          </w:tcPr>
          <w:p>
            <w:pPr>
              <w:spacing w:after="0"/>
              <w:rPr>
                <w:sz w:val="18"/>
                <w:szCs w:val="18"/>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Citigroup Global Markets Inc.</w:t>
            </w:r>
          </w:p>
        </w:tc>
      </w:tr>
      <w:tr>
        <w:trPr>
          <w:trHeight w:val="234"/>
        </w:trPr>
        <w:tc>
          <w:tcPr>
            <w:tcW w:w="4840" w:type="dxa"/>
            <w:vAlign w:val="bottom"/>
          </w:tcPr>
          <w:p>
            <w:pPr>
              <w:spacing w:after="0"/>
              <w:rPr>
                <w:sz w:val="20"/>
                <w:szCs w:val="20"/>
                <w:color w:val="auto"/>
              </w:rPr>
            </w:pPr>
          </w:p>
        </w:tc>
        <w:tc>
          <w:tcPr>
            <w:tcW w:w="612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U.S. Bancorp Investments, Inc.</w:t>
            </w: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4" w:hanging="424"/>
        <w:spacing w:after="0"/>
        <w:tabs>
          <w:tab w:leader="none" w:pos="42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 securities rating is not a recommendation to buy, sell or hold securities and may be subject to revision or withdrawal at any time.</w:t>
      </w:r>
    </w:p>
    <w:p>
      <w:pPr>
        <w:spacing w:after="0" w:line="161" w:lineRule="exact"/>
        <w:rPr>
          <w:rFonts w:ascii="Times New Roman" w:cs="Times New Roman" w:eastAsia="Times New Roman" w:hAnsi="Times New Roman"/>
          <w:sz w:val="18"/>
          <w:szCs w:val="18"/>
          <w:b w:val="1"/>
          <w:bCs w:val="1"/>
          <w:color w:val="auto"/>
        </w:rPr>
      </w:pPr>
    </w:p>
    <w:p>
      <w:pPr>
        <w:ind w:left="540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I-3</w:t>
      </w:r>
    </w:p>
    <w:p>
      <w:pPr>
        <w:sectPr>
          <w:pgSz w:w="11900" w:h="16838" w:orient="portrait"/>
          <w:cols w:equalWidth="0" w:num="1">
            <w:col w:w="10964"/>
          </w:cols>
          <w:pgMar w:left="436" w:top="270" w:right="499" w:bottom="1440" w:gutter="0" w:footer="0" w:header="0"/>
        </w:sectPr>
      </w:pPr>
    </w:p>
    <w:bookmarkStart w:id="11" w:name="page12"/>
    <w:bookmarkEnd w:id="11"/>
    <w:p>
      <w:pPr>
        <w:spacing w:after="0" w:line="25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 is expected that delivery of the notes will be made against payment therefore on or about August 16, 2022, which is the fourth business day following the date hereof (such settlement cycle being referred to as “T+4”). Under Rule 15c6-1 under the Securities Exchange Act of 1934, as amended, trades in the secondary market generally are required to settle in two business days unless the parties to any such trade expressly agree otherwise. Accordingly, purchasers who wish to trade the notes prior to the second business day before the delivery of the notes will be required, by virtue of the fact that the notes initially will settle in T+4, to specify an alternative settlement cycle at the time of any such trade to prevent failed settlement. Purchasers of the notes who wish to trade the notes prior to the second business day before the delivery of the notes should consult their own advisors.</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The issuer has filed a registration statement (including a prospectus) and a prospectus supplement with the Securities and Exchange Commission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and prospectus supplement if you request it by calling BofA Securities, Inc. at 1-800-294-1322, Citigroup Global Markets Inc. at 1-800-831-9146 or U.S. Bancorp Investments, Inc. at 1-877-558-2607.</w:t>
      </w:r>
    </w:p>
    <w:p>
      <w:pPr>
        <w:spacing w:after="0" w:line="183"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color w:val="auto"/>
        </w:rPr>
        <w:t>Any disclaimer or other notice that may appear below is not applicable to this communication and should be disregarded. Such disclaimer or notice was automatically generated as a result of this communication being sent by Bloomberg or another email system.</w:t>
      </w:r>
    </w:p>
    <w:p>
      <w:pPr>
        <w:spacing w:after="0" w:line="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I-4</w:t>
      </w:r>
    </w:p>
    <w:p>
      <w:pPr>
        <w:sectPr>
          <w:pgSz w:w="11900" w:h="16838" w:orient="portrait"/>
          <w:cols w:equalWidth="0" w:num="1">
            <w:col w:w="10920"/>
          </w:cols>
          <w:pgMar w:left="440" w:top="266" w:right="53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Underwriter</w:t>
            </w:r>
          </w:p>
        </w:tc>
        <w:tc>
          <w:tcPr>
            <w:tcW w:w="7960" w:type="dxa"/>
            <w:vAlign w:val="bottom"/>
            <w:vMerge w:val="restart"/>
          </w:tcPr>
          <w:p>
            <w:pPr>
              <w:spacing w:after="0"/>
              <w:rPr>
                <w:sz w:val="13"/>
                <w:szCs w:val="13"/>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3.650% Notes</w:t>
            </w:r>
          </w:p>
        </w:tc>
        <w:tc>
          <w:tcPr>
            <w:tcW w:w="260" w:type="dxa"/>
            <w:vAlign w:val="bottom"/>
          </w:tcPr>
          <w:p>
            <w:pPr>
              <w:spacing w:after="0"/>
              <w:rPr>
                <w:sz w:val="13"/>
                <w:szCs w:val="13"/>
                <w:color w:val="auto"/>
              </w:rPr>
            </w:pPr>
          </w:p>
        </w:tc>
        <w:tc>
          <w:tcPr>
            <w:tcW w:w="10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color w:val="auto"/>
              </w:rPr>
              <w:t>4.100% Notes</w:t>
            </w:r>
          </w:p>
        </w:tc>
        <w:tc>
          <w:tcPr>
            <w:tcW w:w="0" w:type="dxa"/>
            <w:vAlign w:val="bottom"/>
          </w:tcPr>
          <w:p>
            <w:pPr>
              <w:spacing w:after="0"/>
              <w:rPr>
                <w:sz w:val="1"/>
                <w:szCs w:val="1"/>
                <w:color w:val="auto"/>
              </w:rPr>
            </w:pPr>
          </w:p>
        </w:tc>
      </w:tr>
      <w:tr>
        <w:trPr>
          <w:trHeight w:val="178"/>
        </w:trPr>
        <w:tc>
          <w:tcPr>
            <w:tcW w:w="720" w:type="dxa"/>
            <w:vAlign w:val="bottom"/>
            <w:tcBorders>
              <w:bottom w:val="single" w:sz="8" w:color="auto"/>
            </w:tcBorders>
            <w:vMerge w:val="continue"/>
          </w:tcPr>
          <w:p>
            <w:pPr>
              <w:spacing w:after="0"/>
              <w:rPr>
                <w:sz w:val="15"/>
                <w:szCs w:val="15"/>
                <w:color w:val="auto"/>
              </w:rPr>
            </w:pPr>
          </w:p>
        </w:tc>
        <w:tc>
          <w:tcPr>
            <w:tcW w:w="7960" w:type="dxa"/>
            <w:vAlign w:val="bottom"/>
            <w:vMerge w:val="continue"/>
          </w:tcPr>
          <w:p>
            <w:pPr>
              <w:spacing w:after="0"/>
              <w:rPr>
                <w:sz w:val="15"/>
                <w:szCs w:val="15"/>
                <w:color w:val="auto"/>
              </w:rPr>
            </w:pPr>
          </w:p>
        </w:tc>
        <w:tc>
          <w:tcPr>
            <w:tcW w:w="1020" w:type="dxa"/>
            <w:vAlign w:val="bottom"/>
            <w:gridSpan w:val="2"/>
          </w:tcPr>
          <w:p>
            <w:pPr>
              <w:jc w:val="right"/>
              <w:ind w:right="240"/>
              <w:spacing w:after="0" w:line="158" w:lineRule="exact"/>
              <w:rPr>
                <w:sz w:val="20"/>
                <w:szCs w:val="20"/>
                <w:color w:val="auto"/>
              </w:rPr>
            </w:pPr>
            <w:r>
              <w:rPr>
                <w:rFonts w:ascii="Times New Roman" w:cs="Times New Roman" w:eastAsia="Times New Roman" w:hAnsi="Times New Roman"/>
                <w:sz w:val="14"/>
                <w:szCs w:val="14"/>
                <w:color w:val="auto"/>
              </w:rPr>
              <w:t>due 2032</w:t>
            </w:r>
          </w:p>
        </w:tc>
        <w:tc>
          <w:tcPr>
            <w:tcW w:w="260" w:type="dxa"/>
            <w:vAlign w:val="bottom"/>
          </w:tcPr>
          <w:p>
            <w:pPr>
              <w:spacing w:after="0"/>
              <w:rPr>
                <w:sz w:val="15"/>
                <w:szCs w:val="15"/>
                <w:color w:val="auto"/>
              </w:rPr>
            </w:pPr>
          </w:p>
        </w:tc>
        <w:tc>
          <w:tcPr>
            <w:tcW w:w="1060" w:type="dxa"/>
            <w:vAlign w:val="bottom"/>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color w:val="auto"/>
              </w:rPr>
              <w:t>due 2052</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BofA Securities, Inc.</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133,334,000</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Citigroup Global Markets Inc.</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133,333,000</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133,333,000</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100,000,000</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79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8"/>
              </w:rPr>
              <w:t>$</w:t>
            </w:r>
            <w:r>
              <w:rPr>
                <w:rFonts w:ascii="Times New Roman" w:cs="Times New Roman" w:eastAsia="Times New Roman" w:hAnsi="Times New Roman"/>
                <w:sz w:val="18"/>
                <w:szCs w:val="18"/>
                <w:color w:val="auto"/>
                <w:w w:val="98"/>
              </w:rPr>
              <w:t>400,000,000</w:t>
            </w:r>
          </w:p>
        </w:tc>
        <w:tc>
          <w:tcPr>
            <w:tcW w:w="13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300,000,000</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13" w:name="page14"/>
    <w:bookmarkEnd w:id="13"/>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31"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TO UNDERWRITING AGREEMENT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Schedule I.</w:t>
      </w:r>
    </w:p>
    <w:p>
      <w:pPr>
        <w:spacing w:after="0" w:line="15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0019"/>
          </w:cols>
          <w:pgMar w:left="440" w:top="266" w:right="1440" w:bottom="1440" w:gutter="0" w:footer="0" w:header="0"/>
        </w:sectPr>
      </w:pPr>
    </w:p>
    <w:bookmarkStart w:id="14" w:name="page15"/>
    <w:bookmarkEnd w:id="14"/>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3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TO UNDERWRITING AGREEMENT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only information that the Underwriters have furnished to the Company in writing expressly for use in the Prospectus Supplement is:</w:t>
      </w:r>
    </w:p>
    <w:p>
      <w:pPr>
        <w:spacing w:after="0" w:line="117" w:lineRule="exact"/>
        <w:rPr>
          <w:sz w:val="20"/>
          <w:szCs w:val="20"/>
          <w:color w:val="auto"/>
        </w:rPr>
      </w:pPr>
    </w:p>
    <w:p>
      <w:pPr>
        <w:ind w:right="60" w:firstLine="419"/>
        <w:spacing w:after="0" w:line="282" w:lineRule="auto"/>
        <w:tabs>
          <w:tab w:leader="none" w:pos="6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paragraph of text under the caption “Underwriting” in the Prospectus Supplement, concerning the terms offered by the Underwriters;</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sixth and seventh paragraphs of text under the caption “Underwriting” in the Prospectus Supplement, concerning short sales, purchases to cover short positions and stabilizing purchases.</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IV-1</w:t>
      </w:r>
    </w:p>
    <w:p>
      <w:pPr>
        <w:sectPr>
          <w:pgSz w:w="11900" w:h="16838" w:orient="portrait"/>
          <w:cols w:equalWidth="0" w:num="1">
            <w:col w:w="9900"/>
          </w:cols>
          <w:pgMar w:left="880" w:top="266" w:right="111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 Underwriting Agreement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Standard Provisions</w:t>
      </w:r>
    </w:p>
    <w:p>
      <w:pPr>
        <w:spacing w:after="0" w:line="207" w:lineRule="exact"/>
        <w:rPr>
          <w:sz w:val="20"/>
          <w:szCs w:val="20"/>
          <w:color w:val="auto"/>
        </w:rPr>
      </w:pPr>
    </w:p>
    <w:p>
      <w:pPr>
        <w:ind w:left="9680"/>
        <w:spacing w:after="0"/>
        <w:rPr>
          <w:sz w:val="20"/>
          <w:szCs w:val="20"/>
          <w:color w:val="auto"/>
        </w:rPr>
      </w:pPr>
      <w:r>
        <w:rPr>
          <w:rFonts w:ascii="Times New Roman" w:cs="Times New Roman" w:eastAsia="Times New Roman" w:hAnsi="Times New Roman"/>
          <w:sz w:val="18"/>
          <w:szCs w:val="18"/>
          <w:color w:val="auto"/>
        </w:rPr>
        <w:t>February 22, 2019</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From time to time, Texas Instruments Incorporated, a Delaware corporation, may enter into one or more underwriting agreements that provide for the sale of designated securities to the several underwriters named therein. The standard provisions set forth herein may be incorporated by reference in any such underwriting agreement (an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The Underwriting Agreement, including the provisions incorporated therein by reference, is herein referred to as this “Agreement”. Unless otherwise defined herein, terms defined in the Underwriting Agreement are used herein as therein defined.</w:t>
      </w:r>
    </w:p>
    <w:p>
      <w:pPr>
        <w:spacing w:after="0" w:line="18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From time to time in one or more offerings on terms determined at the time of sale, the Company proposes to issue and sell (a) its common stock, $1.00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(b) its preferred stock, $25.00 par value per share (the “</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(c) certain of its 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issuable under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entered into by the Company and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(d) warrants to purchase Common Stock, Preferred Stock or Debt Securities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and (e) units consisting of Common Stock, Preferred Stock, Debt Securities or Warrants or any combination thereof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The Common Stock, Preferred Stock, Debt Securities, Warrants and Units are each referred to as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for the purposes of this Agreement.</w:t>
      </w:r>
    </w:p>
    <w:p>
      <w:pPr>
        <w:spacing w:after="0" w:line="18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has filed with the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a registration statement including a prospectus relating to the Securities and has filed with, or transmitted for filing to, or shall promptly after the date of this Agreement file with or transmit for filing to, the Commission a prospectus supplement (the “</w:t>
      </w:r>
      <w:r>
        <w:rPr>
          <w:rFonts w:ascii="Times New Roman" w:cs="Times New Roman" w:eastAsia="Times New Roman" w:hAnsi="Times New Roman"/>
          <w:sz w:val="18"/>
          <w:szCs w:val="18"/>
          <w:b w:val="1"/>
          <w:bCs w:val="1"/>
          <w:color w:val="auto"/>
        </w:rPr>
        <w:t>Prospectus Supplement</w:t>
      </w:r>
      <w:r>
        <w:rPr>
          <w:rFonts w:ascii="Times New Roman" w:cs="Times New Roman" w:eastAsia="Times New Roman" w:hAnsi="Times New Roman"/>
          <w:sz w:val="18"/>
          <w:szCs w:val="18"/>
          <w:color w:val="auto"/>
        </w:rPr>
        <w:t>”) specifically relating to the Securities listed on Schedule I hereto (the “</w:t>
      </w:r>
      <w:r>
        <w:rPr>
          <w:rFonts w:ascii="Times New Roman" w:cs="Times New Roman" w:eastAsia="Times New Roman" w:hAnsi="Times New Roman"/>
          <w:sz w:val="18"/>
          <w:szCs w:val="18"/>
          <w:b w:val="1"/>
          <w:bCs w:val="1"/>
          <w:color w:val="auto"/>
        </w:rPr>
        <w:t>Offered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pursuant to Rule 424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term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means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registration statement, including the exhibits thereto and any additional registration statement filed by the Company pursuant to Rule 462, as amended to the date of the Underwriting Agreement, including the information, if any, deemed to be part of the registration statement at the time of effectiveness pursuant to Rule 430A or Rule 430B under the Securities Act. The term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means the prospectus included in the Registration Statement. The term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means the Base Prospectus together with the Prospectus Supplement or supplements specifically relating to the Offered Securities, as filed with, or transmitted for filing to, the Commission pursuant to Rule 424. The term “</w:t>
      </w:r>
      <w:r>
        <w:rPr>
          <w:rFonts w:ascii="Times New Roman" w:cs="Times New Roman" w:eastAsia="Times New Roman" w:hAnsi="Times New Roman"/>
          <w:sz w:val="18"/>
          <w:szCs w:val="18"/>
          <w:b w:val="1"/>
          <w:bCs w:val="1"/>
          <w:color w:val="auto"/>
        </w:rPr>
        <w:t>preliminary prospectus</w:t>
      </w:r>
      <w:r>
        <w:rPr>
          <w:rFonts w:ascii="Times New Roman" w:cs="Times New Roman" w:eastAsia="Times New Roman" w:hAnsi="Times New Roman"/>
          <w:sz w:val="18"/>
          <w:szCs w:val="18"/>
          <w:color w:val="auto"/>
        </w:rPr>
        <w:t>” means a preliminary prospectus supplement specifically relating to the Offered Securities, together with the Base Prospectus. The term “</w:t>
      </w:r>
      <w:r>
        <w:rPr>
          <w:rFonts w:ascii="Times New Roman" w:cs="Times New Roman" w:eastAsia="Times New Roman" w:hAnsi="Times New Roman"/>
          <w:sz w:val="18"/>
          <w:szCs w:val="18"/>
          <w:b w:val="1"/>
          <w:bCs w:val="1"/>
          <w:color w:val="auto"/>
        </w:rPr>
        <w:t>free 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has the meaning set forth in Rule 405 under the Securities Act. The term “</w:t>
      </w:r>
      <w:r>
        <w:rPr>
          <w:rFonts w:ascii="Times New Roman" w:cs="Times New Roman" w:eastAsia="Times New Roman" w:hAnsi="Times New Roman"/>
          <w:sz w:val="18"/>
          <w:szCs w:val="18"/>
          <w:b w:val="1"/>
          <w:bCs w:val="1"/>
          <w:color w:val="auto"/>
        </w:rPr>
        <w:t>issuer free writing prospectus</w:t>
      </w:r>
      <w:r>
        <w:rPr>
          <w:rFonts w:ascii="Times New Roman" w:cs="Times New Roman" w:eastAsia="Times New Roman" w:hAnsi="Times New Roman"/>
          <w:sz w:val="18"/>
          <w:szCs w:val="18"/>
          <w:color w:val="auto"/>
        </w:rPr>
        <w:t>” has the meaning 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433 under the Securities Act. The term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Base Prospectus and preliminary prospectus, if any, together with any additional documents 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6" w:name="page17"/>
    <w:bookmarkEnd w:id="1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information identified in Schedule III to the Underwriting Agreement. As used herein, the terms “Registration Statement,” “Base Prospectus,” “Prospectus,” “preliminary prospectus” and “Time of Sale Prospectus” shall include in each case the documents, if any, incorporated by reference therein. The terms “supplement,” “amendment” and “amend” as used herein shall include all documents deemed to be incorporated by reference in the Prospectus that are filed subsequent to the date of the Base Prospectus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As used herein, the term “</w:t>
      </w:r>
      <w:r>
        <w:rPr>
          <w:rFonts w:ascii="Times New Roman" w:cs="Times New Roman" w:eastAsia="Times New Roman" w:hAnsi="Times New Roman"/>
          <w:sz w:val="18"/>
          <w:szCs w:val="18"/>
          <w:b w:val="1"/>
          <w:bCs w:val="1"/>
          <w:color w:val="auto"/>
        </w:rPr>
        <w:t>Applicable Time</w:t>
      </w:r>
      <w:r>
        <w:rPr>
          <w:rFonts w:ascii="Times New Roman" w:cs="Times New Roman" w:eastAsia="Times New Roman" w:hAnsi="Times New Roman"/>
          <w:sz w:val="18"/>
          <w:szCs w:val="18"/>
          <w:color w:val="auto"/>
        </w:rPr>
        <w:t>” means the time and date set forth in the Underwriting Agreement or such other time as agreed in writing by the Company and the Manager.</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is advised by the Manager that the Underwriters propose to make a public offering of their respective portions of the Offered Securities as soon after this Agreement is entered into as in the Manager’s judgment is advisable. The terms of the public offering of the Offered Securities are set forth in the Prospectus.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Payment for the Offered Securities shall be made to the Company by Federal funds wire transfer at the time and place set forth in the Underwriting Agreement, upon delivery to the Manager for the respective accounts of the several Underwriters of the Offered Securities registered in such names and in such denominations as the Manager shall request in writing by the time specified in the Underwriting Agreement. The time and date of such payment and delivery with respect to the Offered Securities are herein referred to as the Closing Date.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several obligations of the Underwriters hereunder are subject to the following conditions:</w:t>
      </w:r>
    </w:p>
    <w:p>
      <w:pPr>
        <w:spacing w:after="0" w:line="117" w:lineRule="exact"/>
        <w:rPr>
          <w:sz w:val="20"/>
          <w:szCs w:val="20"/>
          <w:color w:val="auto"/>
        </w:rPr>
      </w:pPr>
    </w:p>
    <w:p>
      <w:pPr>
        <w:ind w:left="440" w:right="80" w:firstLine="419"/>
        <w:spacing w:after="0" w:line="254" w:lineRule="auto"/>
        <w:tabs>
          <w:tab w:leader="none" w:pos="110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stop order suspending the effectiveness of the Registration Statement shall be in effect, and no proceedings for such purpose shall be pending before or threatened by the Commission and there shall have been no material adverse change (not in the ordinary course of business), in the condition of the Company and its consolidated subsidiaries, taken as a whole, from that set forth in or contemplated by the Time of Sale Prospectus; and the Manager shall have received, on the Closing Date, a certificate, dated the Closing Date and signed by an executive officer of the Company, to the foregoing effect. Such certificate will also provide (i) that the representations and warranties of the Company contained herein are true and correct as of the Closing Date and (ii) that the Company has complied with all agreements and satisfied all conditions on its part to be performed or satisfied hereunder at or prior to the Closing Date. The officer making such certificate may rely upon the best of his knowledge as to proceedings pending or threatened.</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7" w:name="page18"/>
    <w:bookmarkEnd w:id="17"/>
    <w:p>
      <w:pPr>
        <w:ind w:right="540" w:firstLine="419"/>
        <w:spacing w:after="0" w:line="282"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Manager shall have received on the Closing Date an opinion of the general counsel of the Company (or another lawyer of the Company reasonably satisfactory to the Underwriters), dated the Closing Date, to the effect (as applicable) that:</w:t>
      </w:r>
    </w:p>
    <w:p>
      <w:pPr>
        <w:spacing w:after="0" w:line="53"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1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and is validly existing as a corporation in good standing under the laws of the State of Delaware.</w:t>
      </w:r>
    </w:p>
    <w:p>
      <w:pPr>
        <w:spacing w:after="0" w:line="53" w:lineRule="exact"/>
        <w:rPr>
          <w:rFonts w:ascii="Times New Roman" w:cs="Times New Roman" w:eastAsia="Times New Roman" w:hAnsi="Times New Roman"/>
          <w:sz w:val="18"/>
          <w:szCs w:val="18"/>
          <w:color w:val="auto"/>
        </w:rPr>
      </w:pPr>
    </w:p>
    <w:p>
      <w:pPr>
        <w:jc w:val="both"/>
        <w:ind w:left="540" w:right="60" w:firstLine="408"/>
        <w:spacing w:after="0" w:line="266" w:lineRule="auto"/>
        <w:tabs>
          <w:tab w:leader="none" w:pos="12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qualified to transact business and in good standing in each other state of the United States wherein it owns or leases property or conducts business, which requires such qualification, except to the extent that the failure to be so qualified or in good standing would not have a material adverse effect on the Company and its subsidiaries, considered as a whole.</w:t>
      </w:r>
    </w:p>
    <w:p>
      <w:pPr>
        <w:spacing w:after="0" w:line="67"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25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no proceedings for a stop order are pending or threatened by the Commission with respect to the Registration Statement.</w:t>
      </w:r>
    </w:p>
    <w:p>
      <w:pPr>
        <w:spacing w:after="0" w:line="53" w:lineRule="exact"/>
        <w:rPr>
          <w:rFonts w:ascii="Times New Roman" w:cs="Times New Roman" w:eastAsia="Times New Roman" w:hAnsi="Times New Roman"/>
          <w:sz w:val="18"/>
          <w:szCs w:val="18"/>
          <w:color w:val="auto"/>
        </w:rPr>
      </w:pPr>
    </w:p>
    <w:p>
      <w:pPr>
        <w:ind w:left="540" w:right="180" w:firstLine="408"/>
        <w:spacing w:after="0" w:line="266" w:lineRule="auto"/>
        <w:tabs>
          <w:tab w:leader="none" w:pos="124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this Agreement and, as applicable, the Indenture, the Offered Securities, the Warrant Agreement and the Unit Agreement (each, a “</w:t>
      </w:r>
      <w:r>
        <w:rPr>
          <w:rFonts w:ascii="Times New Roman" w:cs="Times New Roman" w:eastAsia="Times New Roman" w:hAnsi="Times New Roman"/>
          <w:sz w:val="18"/>
          <w:szCs w:val="18"/>
          <w:b w:val="1"/>
          <w:bCs w:val="1"/>
          <w:color w:val="auto"/>
        </w:rPr>
        <w:t>Transaction Document</w:t>
      </w:r>
      <w:r>
        <w:rPr>
          <w:rFonts w:ascii="Times New Roman" w:cs="Times New Roman" w:eastAsia="Times New Roman" w:hAnsi="Times New Roman"/>
          <w:sz w:val="18"/>
          <w:szCs w:val="18"/>
          <w:color w:val="auto"/>
        </w:rPr>
        <w:t>”) and the performance by the Company of its obligations thereunder will not conflict with, constitute a default under or violate:</w:t>
      </w:r>
    </w:p>
    <w:p>
      <w:pPr>
        <w:spacing w:after="0" w:line="67" w:lineRule="exact"/>
        <w:rPr>
          <w:rFonts w:ascii="Times New Roman" w:cs="Times New Roman" w:eastAsia="Times New Roman" w:hAnsi="Times New Roman"/>
          <w:sz w:val="18"/>
          <w:szCs w:val="18"/>
          <w:color w:val="auto"/>
        </w:rPr>
      </w:pPr>
    </w:p>
    <w:p>
      <w:pPr>
        <w:ind w:left="1660" w:hanging="289"/>
        <w:spacing w:after="0"/>
        <w:tabs>
          <w:tab w:leader="none" w:pos="16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conditions or provisions of the Certificate of Incorporation or by-laws of the Company; or</w:t>
      </w:r>
    </w:p>
    <w:p>
      <w:pPr>
        <w:spacing w:after="0" w:line="117" w:lineRule="exact"/>
        <w:rPr>
          <w:rFonts w:ascii="Times New Roman" w:cs="Times New Roman" w:eastAsia="Times New Roman" w:hAnsi="Times New Roman"/>
          <w:sz w:val="18"/>
          <w:szCs w:val="18"/>
          <w:color w:val="auto"/>
        </w:rPr>
      </w:pPr>
    </w:p>
    <w:p>
      <w:pPr>
        <w:ind w:left="980" w:firstLine="391"/>
        <w:spacing w:after="0" w:line="261" w:lineRule="auto"/>
        <w:tabs>
          <w:tab w:leader="none" w:pos="1648"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terms, conditions or provisions of any agreement or other instrument binding upon the Company that is filed as an exhibit to the Registration Statement or to any document incorporated by reference into the Time of Sale Prospectus, except to the extent that the conflict, default or violation will not have a material adverse effect on the Company and its subsidiaries, considered as a whole.</w:t>
      </w:r>
    </w:p>
    <w:p>
      <w:pPr>
        <w:spacing w:after="0" w:line="71" w:lineRule="exact"/>
        <w:rPr>
          <w:rFonts w:ascii="Times New Roman" w:cs="Times New Roman" w:eastAsia="Times New Roman" w:hAnsi="Times New Roman"/>
          <w:sz w:val="18"/>
          <w:szCs w:val="18"/>
          <w:color w:val="auto"/>
        </w:rPr>
      </w:pPr>
    </w:p>
    <w:p>
      <w:pPr>
        <w:ind w:left="540" w:right="300" w:firstLine="408"/>
        <w:spacing w:after="0" w:line="261" w:lineRule="auto"/>
        <w:tabs>
          <w:tab w:leader="none" w:pos="11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counsel’s knowledge, no consent, approval or authorization of or filing with any governmental body or agency is required for the performance by the Company of its obligations under this Agreement or the applicable Transaction Documents, except such as are specified and have been obtained and such as may be required by the securities or Blue Sky laws of the various states in connection with the offer and sale of the Offered Securities by the Underwriters.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18" w:name="page19"/>
    <w:bookmarkEnd w:id="18"/>
    <w:p>
      <w:pPr>
        <w:ind w:left="-20" w:firstLine="408"/>
        <w:spacing w:after="0" w:line="258" w:lineRule="auto"/>
        <w:tabs>
          <w:tab w:leader="none" w:pos="6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such counsel’s knowledge, there is no action, suit or formal proceeding pending or threatened against the Company or any of its subsidiaries before any court or arbitrator or any governmental body or agency or to which any of the properties of the Company or any of its subsidiaries is subject that are required to be described in the Registration Statement or the Time of Sale Prospectus and are not so described or of any contract or other document that is required to be described in the Registration Statement or the Time of Sale Prospectus or to be filed as an exhibit to the Registration Statement that is not described or filed as required.</w:t>
      </w:r>
    </w:p>
    <w:p>
      <w:pPr>
        <w:spacing w:after="0" w:line="75" w:lineRule="exact"/>
        <w:rPr>
          <w:rFonts w:ascii="Times New Roman" w:cs="Times New Roman" w:eastAsia="Times New Roman" w:hAnsi="Times New Roman"/>
          <w:sz w:val="18"/>
          <w:szCs w:val="18"/>
          <w:color w:val="auto"/>
        </w:rPr>
      </w:pPr>
    </w:p>
    <w:p>
      <w:pPr>
        <w:ind w:left="-20" w:right="120" w:firstLine="408"/>
        <w:spacing w:after="0" w:line="258" w:lineRule="auto"/>
        <w:tabs>
          <w:tab w:leader="none" w:pos="7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such counsel each document filed pursuant to the Exchange Act and incorporated by reference in the Registration Statement and the Prospectus (except for the financial statements and financial schedules and other financial and statistical data included therein, as to which such counsel need not express any opinion) appeared on its face to be appropriately responsive as of its filing date in all material respects to the requirements of the Exchange Act and the applicable rules and regulations of the Commission thereunder.</w:t>
      </w:r>
    </w:p>
    <w:p>
      <w:pPr>
        <w:spacing w:after="0" w:line="75" w:lineRule="exact"/>
        <w:rPr>
          <w:rFonts w:ascii="Times New Roman" w:cs="Times New Roman" w:eastAsia="Times New Roman" w:hAnsi="Times New Roman"/>
          <w:sz w:val="18"/>
          <w:szCs w:val="18"/>
          <w:color w:val="auto"/>
        </w:rPr>
      </w:pPr>
    </w:p>
    <w:p>
      <w:pPr>
        <w:ind w:left="-20" w:right="80" w:firstLine="408"/>
        <w:spacing w:after="0" w:line="282" w:lineRule="auto"/>
        <w:tabs>
          <w:tab w:leader="none" w:pos="7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such counsel that causes such counsel to believe that, insofar as relevant to the offering of the Offered Securities:</w:t>
      </w:r>
    </w:p>
    <w:p>
      <w:pPr>
        <w:spacing w:after="0" w:line="53" w:lineRule="exact"/>
        <w:rPr>
          <w:rFonts w:ascii="Times New Roman" w:cs="Times New Roman" w:eastAsia="Times New Roman" w:hAnsi="Times New Roman"/>
          <w:sz w:val="18"/>
          <w:szCs w:val="18"/>
          <w:color w:val="auto"/>
        </w:rPr>
      </w:pPr>
    </w:p>
    <w:p>
      <w:pPr>
        <w:ind w:left="420" w:right="80" w:firstLine="391"/>
        <w:spacing w:after="0" w:line="256" w:lineRule="auto"/>
        <w:tabs>
          <w:tab w:leader="none" w:pos="109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79" w:lineRule="exact"/>
        <w:rPr>
          <w:rFonts w:ascii="Times New Roman" w:cs="Times New Roman" w:eastAsia="Times New Roman" w:hAnsi="Times New Roman"/>
          <w:sz w:val="18"/>
          <w:szCs w:val="18"/>
          <w:color w:val="auto"/>
        </w:rPr>
      </w:pPr>
    </w:p>
    <w:p>
      <w:pPr>
        <w:ind w:left="420" w:right="20" w:firstLine="391"/>
        <w:spacing w:after="0" w:line="261" w:lineRule="auto"/>
        <w:tabs>
          <w:tab w:leader="none" w:pos="108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or any amendment thereto (except for the financial statements and financial schedules and other financial and statistical data included therein and except for that part of the Registration Statement that constitutes the Form T-1, as to which such counsel need not express any belief) as of the date of this Agreement contained any untrue statement of a material fact or omitted to state a material fact required to be stated therein or necessary to make the statements therein not misleading;</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000"/>
          </w:cols>
          <w:pgMar w:left="1440" w:top="270" w:right="459" w:bottom="1440" w:gutter="0" w:footer="0" w:header="0"/>
        </w:sectPr>
      </w:pPr>
    </w:p>
    <w:bookmarkStart w:id="19" w:name="page20"/>
    <w:bookmarkEnd w:id="19"/>
    <w:p>
      <w:pPr>
        <w:ind w:left="980" w:right="180" w:firstLine="391"/>
        <w:spacing w:after="0" w:line="261" w:lineRule="auto"/>
        <w:tabs>
          <w:tab w:leader="none" w:pos="164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1" w:lineRule="exact"/>
        <w:rPr>
          <w:rFonts w:ascii="Times New Roman" w:cs="Times New Roman" w:eastAsia="Times New Roman" w:hAnsi="Times New Roman"/>
          <w:sz w:val="18"/>
          <w:szCs w:val="18"/>
          <w:color w:val="auto"/>
        </w:rPr>
      </w:pPr>
    </w:p>
    <w:p>
      <w:pPr>
        <w:ind w:left="980" w:right="60" w:firstLine="391"/>
        <w:spacing w:after="0" w:line="261" w:lineRule="auto"/>
        <w:tabs>
          <w:tab w:leader="none" w:pos="165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contains any untrue statement of a material fact or omits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right="720" w:firstLine="419"/>
        <w:spacing w:after="0" w:line="282" w:lineRule="auto"/>
        <w:tabs>
          <w:tab w:leader="none" w:pos="6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Closing Date an opinion of Davis Polk &amp; Wardwell LLP, special outside counsel to the Company, dated the Closing Date, to the effect (as applicable) that:</w:t>
      </w:r>
    </w:p>
    <w:p>
      <w:pPr>
        <w:spacing w:after="0" w:line="53" w:lineRule="exact"/>
        <w:rPr>
          <w:rFonts w:ascii="Times New Roman" w:cs="Times New Roman" w:eastAsia="Times New Roman" w:hAnsi="Times New Roman"/>
          <w:sz w:val="18"/>
          <w:szCs w:val="18"/>
          <w:color w:val="auto"/>
        </w:rPr>
      </w:pPr>
    </w:p>
    <w:p>
      <w:pPr>
        <w:ind w:left="540" w:firstLine="408"/>
        <w:spacing w:after="0" w:line="266" w:lineRule="auto"/>
        <w:tabs>
          <w:tab w:leader="none" w:pos="115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6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Offered Securities:</w:t>
      </w:r>
    </w:p>
    <w:p>
      <w:pPr>
        <w:spacing w:after="0" w:line="117" w:lineRule="exact"/>
        <w:rPr>
          <w:rFonts w:ascii="Times New Roman" w:cs="Times New Roman" w:eastAsia="Times New Roman" w:hAnsi="Times New Roman"/>
          <w:sz w:val="18"/>
          <w:szCs w:val="18"/>
          <w:color w:val="auto"/>
        </w:rPr>
      </w:pPr>
    </w:p>
    <w:p>
      <w:pPr>
        <w:ind w:left="980" w:right="40" w:firstLine="391"/>
        <w:spacing w:after="0" w:line="255" w:lineRule="auto"/>
        <w:tabs>
          <w:tab w:leader="none" w:pos="165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Debt Securities have been duly authorized and, when executed and authenticated in accordance with the provisions of the Indenture and delivered to and paid for by the Underwriters pursuant to this Agreement, will be valid and binding obligations of the Company enforceable in accordance with their terms, subject to applicable bankruptcy, insolvency and similar laws affecting creditors’ rights generally, concepts of reasonableness and equitable principles of general applicability (collectively, the “</w:t>
      </w:r>
      <w:r>
        <w:rPr>
          <w:rFonts w:ascii="Times New Roman" w:cs="Times New Roman" w:eastAsia="Times New Roman" w:hAnsi="Times New Roman"/>
          <w:sz w:val="18"/>
          <w:szCs w:val="18"/>
          <w:b w:val="1"/>
          <w:bCs w:val="1"/>
          <w:color w:val="auto"/>
        </w:rPr>
        <w:t>Enforceability Exceptions</w:t>
      </w:r>
      <w:r>
        <w:rPr>
          <w:rFonts w:ascii="Times New Roman" w:cs="Times New Roman" w:eastAsia="Times New Roman" w:hAnsi="Times New Roman"/>
          <w:sz w:val="18"/>
          <w:szCs w:val="18"/>
          <w:color w:val="auto"/>
        </w:rPr>
        <w:t>”), provided that such counsel need not express any opinion as to the validity, legally binding effect or enforceability of any provision that permits holders to collect any portion of stated principal amount upon acceleration of such securities to the extent determined to constitute unearned interest;</w:t>
      </w:r>
    </w:p>
    <w:p>
      <w:pPr>
        <w:spacing w:after="0" w:line="80" w:lineRule="exact"/>
        <w:rPr>
          <w:rFonts w:ascii="Times New Roman" w:cs="Times New Roman" w:eastAsia="Times New Roman" w:hAnsi="Times New Roman"/>
          <w:sz w:val="18"/>
          <w:szCs w:val="18"/>
          <w:color w:val="auto"/>
        </w:rPr>
      </w:pPr>
    </w:p>
    <w:p>
      <w:pPr>
        <w:ind w:left="980" w:right="240" w:firstLine="391"/>
        <w:spacing w:after="0" w:line="282" w:lineRule="auto"/>
        <w:tabs>
          <w:tab w:leader="none" w:pos="1648"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has been duly authorized, executed and delivered by the Company and is a valid and binding agreement of the Company enforceable in accordance with its terms, subject to the Enforceability Exceptions; and</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20" w:name="page21"/>
    <w:bookmarkEnd w:id="20"/>
    <w:p>
      <w:pPr>
        <w:ind w:left="1100" w:hanging="289"/>
        <w:spacing w:after="0"/>
        <w:tabs>
          <w:tab w:leader="none" w:pos="11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Indenture has been duly qualified under the Trust Indenture Act of 1939.</w:t>
      </w:r>
    </w:p>
    <w:p>
      <w:pPr>
        <w:spacing w:after="0" w:line="117"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Offered Securities:</w:t>
      </w:r>
    </w:p>
    <w:p>
      <w:pPr>
        <w:spacing w:after="0" w:line="117" w:lineRule="exact"/>
        <w:rPr>
          <w:rFonts w:ascii="Times New Roman" w:cs="Times New Roman" w:eastAsia="Times New Roman" w:hAnsi="Times New Roman"/>
          <w:sz w:val="18"/>
          <w:szCs w:val="18"/>
          <w:color w:val="auto"/>
        </w:rPr>
      </w:pPr>
    </w:p>
    <w:p>
      <w:pPr>
        <w:ind w:left="420" w:firstLine="391"/>
        <w:spacing w:after="0" w:line="261" w:lineRule="auto"/>
        <w:tabs>
          <w:tab w:leader="none" w:pos="10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w:t>
      </w:r>
    </w:p>
    <w:p>
      <w:pPr>
        <w:spacing w:after="0" w:line="71" w:lineRule="exact"/>
        <w:rPr>
          <w:rFonts w:ascii="Times New Roman" w:cs="Times New Roman" w:eastAsia="Times New Roman" w:hAnsi="Times New Roman"/>
          <w:sz w:val="18"/>
          <w:szCs w:val="18"/>
          <w:color w:val="auto"/>
        </w:rPr>
      </w:pPr>
    </w:p>
    <w:p>
      <w:pPr>
        <w:ind w:left="420" w:right="180" w:firstLine="391"/>
        <w:spacing w:after="0" w:line="282" w:lineRule="auto"/>
        <w:tabs>
          <w:tab w:leader="none" w:pos="10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Warrant Agreement has been duly authorized, executed and delivered by, and is a valid and binding agreement of, the Company, enforceable in accordance with its terms, subject to the Enforceability Exceptions.</w:t>
      </w:r>
    </w:p>
    <w:p>
      <w:pPr>
        <w:spacing w:after="0" w:line="53" w:lineRule="exact"/>
        <w:rPr>
          <w:rFonts w:ascii="Times New Roman" w:cs="Times New Roman" w:eastAsia="Times New Roman" w:hAnsi="Times New Roman"/>
          <w:sz w:val="18"/>
          <w:szCs w:val="18"/>
          <w:color w:val="auto"/>
        </w:rPr>
      </w:pPr>
    </w:p>
    <w:p>
      <w:pPr>
        <w:ind w:left="700" w:hanging="312"/>
        <w:spacing w:after="0"/>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Units are Offered Securities:</w:t>
      </w:r>
    </w:p>
    <w:p>
      <w:pPr>
        <w:spacing w:after="0" w:line="117" w:lineRule="exact"/>
        <w:rPr>
          <w:rFonts w:ascii="Times New Roman" w:cs="Times New Roman" w:eastAsia="Times New Roman" w:hAnsi="Times New Roman"/>
          <w:sz w:val="18"/>
          <w:szCs w:val="18"/>
          <w:color w:val="auto"/>
        </w:rPr>
      </w:pPr>
    </w:p>
    <w:p>
      <w:pPr>
        <w:ind w:left="420" w:right="100" w:firstLine="391"/>
        <w:spacing w:after="0" w:line="261" w:lineRule="auto"/>
        <w:tabs>
          <w:tab w:leader="none" w:pos="10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71" w:lineRule="exact"/>
        <w:rPr>
          <w:rFonts w:ascii="Times New Roman" w:cs="Times New Roman" w:eastAsia="Times New Roman" w:hAnsi="Times New Roman"/>
          <w:sz w:val="18"/>
          <w:szCs w:val="18"/>
          <w:color w:val="auto"/>
        </w:rPr>
      </w:pPr>
    </w:p>
    <w:p>
      <w:pPr>
        <w:ind w:left="420" w:right="440" w:firstLine="391"/>
        <w:spacing w:after="0" w:line="282" w:lineRule="auto"/>
        <w:tabs>
          <w:tab w:leader="none" w:pos="108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53"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20" w:right="260" w:firstLine="408"/>
        <w:spacing w:after="0" w:line="266" w:lineRule="auto"/>
        <w:tabs>
          <w:tab w:leader="none" w:pos="68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included in the Time of Sale Prospectus and the Prospectus under the captions “Description of Capital Stock,” “Description of Debt Securities,” “Description of Warrants,” and “Description of Units,” as applicable, insofar as they summarize provisions of the Offered Securities, fairly summarize such provisions in all material respects.</w:t>
      </w:r>
    </w:p>
    <w:p>
      <w:pPr>
        <w:spacing w:after="0" w:line="67" w:lineRule="exact"/>
        <w:rPr>
          <w:rFonts w:ascii="Times New Roman" w:cs="Times New Roman" w:eastAsia="Times New Roman" w:hAnsi="Times New Roman"/>
          <w:sz w:val="18"/>
          <w:szCs w:val="18"/>
          <w:color w:val="auto"/>
        </w:rPr>
      </w:pPr>
    </w:p>
    <w:p>
      <w:pPr>
        <w:ind w:left="-20" w:right="240" w:firstLine="408"/>
        <w:spacing w:after="0" w:line="282" w:lineRule="auto"/>
        <w:tabs>
          <w:tab w:leader="none" w:pos="73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included in the Time of Sale Prospectus and the Prospectus under the captions “Material U.S. Federal Income Tax Consequences” and “Underwriting” relating to legal matters fairly summarize such matters in all material respects.</w:t>
      </w:r>
    </w:p>
    <w:p>
      <w:pPr>
        <w:spacing w:after="0" w:line="9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000"/>
          </w:cols>
          <w:pgMar w:left="1440" w:top="270" w:right="459" w:bottom="1440" w:gutter="0" w:footer="0" w:header="0"/>
        </w:sectPr>
      </w:pPr>
    </w:p>
    <w:bookmarkStart w:id="21" w:name="page22"/>
    <w:bookmarkEnd w:id="21"/>
    <w:p>
      <w:pPr>
        <w:ind w:left="-20" w:right="120" w:firstLine="408"/>
        <w:spacing w:after="0" w:line="286" w:lineRule="auto"/>
        <w:tabs>
          <w:tab w:leader="none" w:pos="7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Offered Securities that are convertible into or exercisable or exchangeable for other Securities (the “</w:t>
      </w:r>
      <w:r>
        <w:rPr>
          <w:rFonts w:ascii="Times New Roman" w:cs="Times New Roman" w:eastAsia="Times New Roman" w:hAnsi="Times New Roman"/>
          <w:sz w:val="18"/>
          <w:szCs w:val="18"/>
          <w:b w:val="1"/>
          <w:bCs w:val="1"/>
          <w:color w:val="auto"/>
        </w:rPr>
        <w:t>Underlying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the Underlying Securities have been duly authorized and reserved for issuance.</w:t>
      </w:r>
    </w:p>
    <w:p>
      <w:pPr>
        <w:spacing w:after="0" w:line="50" w:lineRule="exact"/>
        <w:rPr>
          <w:rFonts w:ascii="Times New Roman" w:cs="Times New Roman" w:eastAsia="Times New Roman" w:hAnsi="Times New Roman"/>
          <w:sz w:val="18"/>
          <w:szCs w:val="18"/>
          <w:color w:val="auto"/>
        </w:rPr>
      </w:pPr>
    </w:p>
    <w:p>
      <w:pPr>
        <w:jc w:val="both"/>
        <w:ind w:left="-20" w:right="160" w:firstLine="408"/>
        <w:spacing w:after="0" w:line="266" w:lineRule="auto"/>
        <w:tabs>
          <w:tab w:leader="none" w:pos="6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Underlying Securities are issued upon conversion, exercise or exchange of the Offered Securities in accordance with the terms of the Offered Securities or any applicable Transaction Document, such Underlying Securities will be validly issued, fully paid and non-assessable and will not be subject to any preemptive or other right to subscribe for or purchase such Underlying Securities.</w:t>
      </w:r>
    </w:p>
    <w:p>
      <w:pPr>
        <w:spacing w:after="0" w:line="67" w:lineRule="exact"/>
        <w:rPr>
          <w:rFonts w:ascii="Times New Roman" w:cs="Times New Roman" w:eastAsia="Times New Roman" w:hAnsi="Times New Roman"/>
          <w:sz w:val="18"/>
          <w:szCs w:val="18"/>
          <w:color w:val="auto"/>
        </w:rPr>
      </w:pPr>
    </w:p>
    <w:p>
      <w:pPr>
        <w:ind w:left="-20" w:firstLine="408"/>
        <w:spacing w:after="0" w:line="266" w:lineRule="auto"/>
        <w:tabs>
          <w:tab w:leader="none" w:pos="6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each of the Registration Statement, Time of Sale Information and the Prospectus, the Company will not, be required to register as an “investment company” as such term is defined in the Investment Company Act of 1940, as amended.</w:t>
      </w:r>
    </w:p>
    <w:p>
      <w:pPr>
        <w:spacing w:after="0" w:line="67" w:lineRule="exact"/>
        <w:rPr>
          <w:rFonts w:ascii="Times New Roman" w:cs="Times New Roman" w:eastAsia="Times New Roman" w:hAnsi="Times New Roman"/>
          <w:sz w:val="18"/>
          <w:szCs w:val="18"/>
          <w:color w:val="auto"/>
        </w:rPr>
      </w:pPr>
    </w:p>
    <w:p>
      <w:pPr>
        <w:ind w:left="-20" w:right="80" w:firstLine="408"/>
        <w:spacing w:after="0" w:line="261" w:lineRule="auto"/>
        <w:tabs>
          <w:tab w:leader="none" w:pos="6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opinion of such counsel the Registration Statement and the Prospectus (except for the financial statements and financial schedules and other financial and statistical data included therein and except for that part of the Registration Statement that constitutes the Form T-1, as to which such counsel need not express any opinion) appear on their face to be appropriately responsive in all material respects to the requirements of the Securities Act and the applicable rules and regulations of the Commission thereunder.</w:t>
      </w:r>
    </w:p>
    <w:p>
      <w:pPr>
        <w:spacing w:after="0" w:line="71" w:lineRule="exact"/>
        <w:rPr>
          <w:rFonts w:ascii="Times New Roman" w:cs="Times New Roman" w:eastAsia="Times New Roman" w:hAnsi="Times New Roman"/>
          <w:sz w:val="18"/>
          <w:szCs w:val="18"/>
          <w:color w:val="auto"/>
        </w:rPr>
      </w:pPr>
    </w:p>
    <w:p>
      <w:pPr>
        <w:ind w:left="-20" w:right="120" w:firstLine="408"/>
        <w:spacing w:after="0" w:line="282" w:lineRule="auto"/>
        <w:tabs>
          <w:tab w:leader="none" w:pos="73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has come to the attention of such counsel that causes such counsel to believe that, insofar as relevant to the offering of the Offered Securities:</w:t>
      </w:r>
    </w:p>
    <w:p>
      <w:pPr>
        <w:spacing w:after="0" w:line="53" w:lineRule="exact"/>
        <w:rPr>
          <w:rFonts w:ascii="Times New Roman" w:cs="Times New Roman" w:eastAsia="Times New Roman" w:hAnsi="Times New Roman"/>
          <w:sz w:val="18"/>
          <w:szCs w:val="18"/>
          <w:color w:val="auto"/>
        </w:rPr>
      </w:pPr>
    </w:p>
    <w:p>
      <w:pPr>
        <w:ind w:left="420" w:right="140" w:firstLine="391"/>
        <w:spacing w:after="0" w:line="256" w:lineRule="auto"/>
        <w:tabs>
          <w:tab w:leader="none" w:pos="109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as of the date the Registration Statement or any amendment (or any part thereof) is considered to have become effective as to the Underwriters pursuant to Section 11(d) of the Securities Act and Rule 430B(f) promulgated thereunder or as of the date of this Agreement (in each case except for the financial statements and financial schedules and other financial and statistical data included therein and except for that part of the Registration Statement that constitutes the Form T-1, as to which such counsel need not express any belief), contained any untrue statement of a material fact or omitted to state a material fact required to be stated therein or necessary to make the statements therein not misleading;</w:t>
      </w:r>
    </w:p>
    <w:p>
      <w:pPr>
        <w:spacing w:after="0" w:line="12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00"/>
          </w:cols>
          <w:pgMar w:left="1440" w:top="266" w:right="459" w:bottom="1440" w:gutter="0" w:footer="0" w:header="0"/>
        </w:sectPr>
      </w:pPr>
    </w:p>
    <w:bookmarkStart w:id="22" w:name="page23"/>
    <w:bookmarkEnd w:id="22"/>
    <w:p>
      <w:pPr>
        <w:ind w:left="1420" w:right="180" w:firstLine="391"/>
        <w:spacing w:after="0" w:line="261" w:lineRule="auto"/>
        <w:tabs>
          <w:tab w:leader="none" w:pos="208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Time of Sale Prospectus (except for the financial statements and financial schedules and other financial and statistical data included therein, as to which such counsel need not express any belief) as of the Applicable Time contained any untrue statement of a material fact or omitted to state a material fact necessary in order to make the statements therein, in the light of the circumstances under which they were made, not misleading; or</w:t>
      </w:r>
    </w:p>
    <w:p>
      <w:pPr>
        <w:spacing w:after="0" w:line="71" w:lineRule="exact"/>
        <w:rPr>
          <w:rFonts w:ascii="Times New Roman" w:cs="Times New Roman" w:eastAsia="Times New Roman" w:hAnsi="Times New Roman"/>
          <w:sz w:val="18"/>
          <w:szCs w:val="18"/>
          <w:color w:val="auto"/>
        </w:rPr>
      </w:pPr>
    </w:p>
    <w:p>
      <w:pPr>
        <w:ind w:left="1420" w:firstLine="391"/>
        <w:spacing w:after="0" w:line="261" w:lineRule="auto"/>
        <w:tabs>
          <w:tab w:leader="none" w:pos="208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(except for the financial statements and financial schedules and other financial and statistical data included therein, as to which such counsel need not express any belief) at the date of this Agreement or as amended or supplemented, if applicable, as of the Closing Date contained or contains any untrue statement of a material fact or omitted or omits to state a material fact necessary in order to make the statements therein, in the light of the circumstances under which they were made, not misleading.</w:t>
      </w:r>
    </w:p>
    <w:p>
      <w:pPr>
        <w:spacing w:after="0" w:line="71"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786"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the Company of this Agreement, the Indenture, and the Offered Securities will not contravene any provision of applicable law.</w:t>
      </w:r>
    </w:p>
    <w:p>
      <w:pPr>
        <w:spacing w:after="0" w:line="53"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Closing Date an opinion of its own counsel, in a form acceptable to the Manager, dated the Closing Date.</w:t>
      </w:r>
    </w:p>
    <w:p>
      <w:pPr>
        <w:spacing w:after="0" w:line="16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It is understood that the general counsel of the Company may rely as to all matters relating to the laws of the State of New York upon the opinion of Davis Polk &amp; Wardwell LLP.</w:t>
      </w:r>
    </w:p>
    <w:p>
      <w:pPr>
        <w:spacing w:after="0" w:line="1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With respect to the matters set forth in (b)(vii), (b)(viii), (c)(xi) and (c)(xii) above, the general counsel of the Company and Davis Polk &amp; Wardwell LLP may state that their belief is based upon participation by them in the preparation of the Registration Statement (excluding, in the case of Davis Polk &amp; Wardwell LLP, any documents incorporated by reference therein), the Time of Sale Prospectus, and the Prospectus (as amended or supplemented) and review and discussion of the contents thereof (including any such incorporated documents), but is without independent check or verification, except as specified.</w:t>
      </w:r>
    </w:p>
    <w:p>
      <w:pPr>
        <w:spacing w:after="0" w:line="75" w:lineRule="exact"/>
        <w:rPr>
          <w:sz w:val="20"/>
          <w:szCs w:val="20"/>
          <w:color w:val="auto"/>
        </w:rPr>
      </w:pPr>
    </w:p>
    <w:p>
      <w:pPr>
        <w:ind w:left="440" w:right="100" w:firstLine="419"/>
        <w:spacing w:after="0" w:line="261" w:lineRule="auto"/>
        <w:tabs>
          <w:tab w:leader="none" w:pos="110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Manager shall have received on the date hereof and on the Closing Date a letter dated such date, in form and substance satisfactory to the Manager, from the Company’s independent public accountants, containing statements and information of the type ordinarily included in accountants’ “comfort letters” to underwriters with respect to the financial statements and certain financial information contained or incorporated by reference in the Registration Statement, the Time of Sale Prospectus and the Prospectus.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23" w:name="page24"/>
    <w:bookmarkEnd w:id="23"/>
    <w:p>
      <w:pPr>
        <w:jc w:val="both"/>
        <w:ind w:left="440" w:right="260" w:firstLine="419"/>
        <w:spacing w:after="0" w:line="281" w:lineRule="auto"/>
        <w:tabs>
          <w:tab w:leader="none" w:pos="108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Subsequent to the Applicable Time and prior to the Closing Date, there shall not have occurred any downgrading, nor shall any notice have been given of (i) any intended or potential downgrading or (ii) any review or possible change that, in the Manager’s opinion, indicates an intended or potential downgrading in the rating accorded any of the Company’s securities by any “nationally recognized statistical rating organization,” as such term is defined in Section 3(a)(62) of the Exchange Act, that, in the Manager’s judgment, is material and adverse.</w:t>
      </w:r>
    </w:p>
    <w:p>
      <w:pPr>
        <w:spacing w:after="0" w:line="56" w:lineRule="exact"/>
        <w:rPr>
          <w:rFonts w:ascii="Times New Roman" w:cs="Times New Roman" w:eastAsia="Times New Roman" w:hAnsi="Times New Roman"/>
          <w:sz w:val="17"/>
          <w:szCs w:val="17"/>
          <w:color w:val="auto"/>
        </w:rPr>
      </w:pPr>
    </w:p>
    <w:p>
      <w:pPr>
        <w:ind w:left="440" w:right="100" w:firstLine="419"/>
        <w:spacing w:after="0" w:line="261" w:lineRule="auto"/>
        <w:tabs>
          <w:tab w:leader="none" w:pos="111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event that is reasonably likely to cause a change, in the condition of the Company and its subsidiaries, taken as a whole, from that set forth in or contemplated in the Time of Sale Prospectus as of the date of this Agreement, that, in the Manager’s judgment, is material and adverse and that makes it, in the Manager’s judgment, impracticable to market the Offered Securities on the terms, in the manner and substantially at the price contemplated in the Time of Sale Prospectus.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 consideration of the agreements of the Underwriters contained in this Agreement, the Company covenants as follows:</w:t>
      </w:r>
    </w:p>
    <w:p>
      <w:pPr>
        <w:spacing w:after="0" w:line="117" w:lineRule="exact"/>
        <w:rPr>
          <w:sz w:val="20"/>
          <w:szCs w:val="20"/>
          <w:color w:val="auto"/>
        </w:rPr>
      </w:pPr>
    </w:p>
    <w:p>
      <w:pPr>
        <w:ind w:left="440" w:right="20" w:firstLine="419"/>
        <w:spacing w:after="0" w:line="266"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the Manager, without charge, one copy of the Registration Statement, including exhibits and materials, if any, incorporated by reference therein, and, during the period mentioned in paragraph (f) below, as many copies of the Time of Sale Prospectus, the Prospectus, any documents incorporated by reference therein and any supplements and amendments thereto as the Manager may reasonably request.</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with respect to the Offered Securities, to furnish the Manager a copy of each such proposed amendment or supplement and not to file any such proposed amendment or supplement to which the Manager reasonably objects unless, in the Company’s good faith judgment, the Company is required by law or regulation to make such filing.</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10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filing, using or referring to any free writing prospectus relating to the Offered Securities, to furnish the Manager a copy of each such free writing prospectus.</w:t>
      </w:r>
    </w:p>
    <w:p>
      <w:pPr>
        <w:spacing w:after="0" w:line="53" w:lineRule="exact"/>
        <w:rPr>
          <w:rFonts w:ascii="Times New Roman" w:cs="Times New Roman" w:eastAsia="Times New Roman" w:hAnsi="Times New Roman"/>
          <w:sz w:val="18"/>
          <w:szCs w:val="18"/>
          <w:color w:val="auto"/>
        </w:rPr>
      </w:pPr>
    </w:p>
    <w:p>
      <w:pPr>
        <w:jc w:val="both"/>
        <w:ind w:left="440" w:right="80" w:firstLine="419"/>
        <w:spacing w:after="0" w:line="266" w:lineRule="auto"/>
        <w:tabs>
          <w:tab w:leader="none" w:pos="111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being required to file with the Commission pursuant to Rule 433(d) under the Securities Act a free writing prospectus prepared by or on behalf of the Underwriter that the Underwriter otherwise would not have been required to file thereunder.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24" w:name="page25"/>
    <w:bookmarkEnd w:id="24"/>
    <w:p>
      <w:pPr>
        <w:ind w:firstLine="419"/>
        <w:spacing w:after="0" w:line="253" w:lineRule="auto"/>
        <w:tabs>
          <w:tab w:leader="none" w:pos="66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Time of Sale Prospectus is being used to solicit offers to buy the Offered Securities at a time when the Prospectus is not yet available to prospective purchasers and any event shall occur as a result of which it is necessary to amend or supplement the Time of Sale Prospectus in order to make the statements therein, in the light of the circumstances existing at the time, not misleading, or if any event shall occur as a result of which any free writing prospectus included as part of the Time of Sale Prospectus conflicts with the information contained in the Registration Statement then on file, the Company shall forthwith prepare and furnish, at its expense, to the Underwriters and to the dealers (whose names and addresses the Manager will furnish to the Company), either amendments or supplements to the Time of Sale Prospectus so that the statements in the Time of Sale Prospectus as so amended or supplemented will not, in the light of the circumstances existing at the time, be misleading or so that any free writing prospectus which is included as part of the Time of Sale Prospectus, as amended or supplemented, will no longer conflict with the Registration Statement, or so that the Time of Sale Prospectus, as amended or supplemented, will comply with applicable law.</w:t>
      </w:r>
    </w:p>
    <w:p>
      <w:pPr>
        <w:spacing w:after="0" w:line="86" w:lineRule="exact"/>
        <w:rPr>
          <w:rFonts w:ascii="Times New Roman" w:cs="Times New Roman" w:eastAsia="Times New Roman" w:hAnsi="Times New Roman"/>
          <w:sz w:val="18"/>
          <w:szCs w:val="18"/>
          <w:color w:val="auto"/>
        </w:rPr>
      </w:pPr>
    </w:p>
    <w:p>
      <w:pPr>
        <w:ind w:right="40" w:firstLine="419"/>
        <w:spacing w:after="0" w:line="253" w:lineRule="auto"/>
        <w:tabs>
          <w:tab w:leader="none" w:pos="64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such period after the first date of the public offering of the Offered Securities as in the opinion of counsel for the Underwriters the Prospectus (or in lieu thereof the notice referred to in Rule 173(a) under the Securities Act) is required by law to be delivered in connection with sales by an Underwriter or dealer (the “Prospectus Delivery Period”), any event shall occur or condition exist as a result of which it is necessary to amend or supplement the Prospectus in order to make the statements therein, in the light of the circumstances when the Prospectus (or in lieu thereof the notice referred to in Rule 173(a) under the Securities Act) is delivered to a purchaser, not misleading, or if, in the opinion of counsel for the Underwriters, it is necessary to amend or supplement the Prospectus to comply with applicable law, forthwith to prepare, file with the Commission and furnish, at its own expense, to the Underwriters and to the dealers (whose names and addresses the Manager will furnish to the Company) to which Securities may have been sold by the Manager on behalf of the Underwriters and to any other dealers upon request, either amendments or supplements to the Prospectus so that the statements in the Prospectus as so amended or supplemented will not, in the light of the circumstances when the Prospectus (or in lieu thereof the notice referred to in Rule 173(a) under the Securities Act) is delivered to a purchaser, be misleading or so that the Prospectus, as amended or supplemented, will comply with applicable law.</w:t>
      </w:r>
    </w:p>
    <w:p>
      <w:pPr>
        <w:spacing w:after="0" w:line="83" w:lineRule="exact"/>
        <w:rPr>
          <w:rFonts w:ascii="Times New Roman" w:cs="Times New Roman" w:eastAsia="Times New Roman" w:hAnsi="Times New Roman"/>
          <w:sz w:val="18"/>
          <w:szCs w:val="18"/>
          <w:color w:val="auto"/>
        </w:rPr>
      </w:pPr>
    </w:p>
    <w:p>
      <w:pPr>
        <w:ind w:right="320" w:firstLine="419"/>
        <w:spacing w:after="0" w:line="312" w:lineRule="auto"/>
        <w:tabs>
          <w:tab w:leader="none" w:pos="678"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endeavor to qualify the Offered Securities for offer and sale under the securities or Blue Sky laws of such jurisdictions as the Manager shall reasonably request and to pay all expenses (including fees and disbursements of counsel) in connection with such qualification.</w:t>
      </w:r>
    </w:p>
    <w:p>
      <w:pPr>
        <w:spacing w:after="0" w:line="31" w:lineRule="exact"/>
        <w:rPr>
          <w:rFonts w:ascii="Times New Roman" w:cs="Times New Roman" w:eastAsia="Times New Roman" w:hAnsi="Times New Roman"/>
          <w:sz w:val="17"/>
          <w:szCs w:val="17"/>
          <w:color w:val="auto"/>
        </w:rPr>
      </w:pPr>
    </w:p>
    <w:p>
      <w:pPr>
        <w:ind w:right="40" w:firstLine="419"/>
        <w:spacing w:after="0" w:line="261" w:lineRule="auto"/>
        <w:tabs>
          <w:tab w:leader="none" w:pos="67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as soon as practicable an earning statement covering a twelve month period beginning after the date of this Agreement, which shall satisfy the provisions of Section 11(a) of the Securities Act and the applicable rules and regulations thereunder; it being intended that the Company will satisfy the foregoing obligations by making available in the manner provided for by Rule 158 of the Securities Act copies of its annual report on Form 10-K and its current reports on Form 10-Q.</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40"/>
          </w:cols>
          <w:pgMar w:left="880" w:top="270" w:right="479" w:bottom="1440" w:gutter="0" w:footer="0" w:header="0"/>
        </w:sectPr>
      </w:pPr>
    </w:p>
    <w:bookmarkStart w:id="25" w:name="page26"/>
    <w:bookmarkEnd w:id="25"/>
    <w:p>
      <w:pPr>
        <w:ind w:right="160" w:firstLine="419"/>
        <w:spacing w:after="0" w:line="261" w:lineRule="auto"/>
        <w:tabs>
          <w:tab w:leader="none" w:pos="6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Debt Securities are Offered Securities, during the period beginning on the date of this Agreement and continuing to and including the Closing Date, not to offer, sell, contract to sell or otherwise dispose of any debt securities of the Company substantially similar to the Offered Securities (other than (i) the Offered Securities or (ii) commercial paper issued in the ordinary course of business) without the prior written consent of the Manager.</w:t>
      </w:r>
    </w:p>
    <w:p>
      <w:pPr>
        <w:spacing w:after="0" w:line="71" w:lineRule="exact"/>
        <w:rPr>
          <w:rFonts w:ascii="Times New Roman" w:cs="Times New Roman" w:eastAsia="Times New Roman" w:hAnsi="Times New Roman"/>
          <w:sz w:val="18"/>
          <w:szCs w:val="18"/>
          <w:color w:val="auto"/>
        </w:rPr>
      </w:pPr>
    </w:p>
    <w:p>
      <w:pPr>
        <w:ind w:right="260" w:firstLine="419"/>
        <w:spacing w:after="0" w:line="261" w:lineRule="auto"/>
        <w:tabs>
          <w:tab w:leader="none" w:pos="6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Manager, to prepare a final term sheet relating to the offering of the Offered Securities, containing only information that describes the final terms of the Offered Securities or the offering in a form consented to by the Manager, and to file such final term sheet within the period required by Rule 433(d)(5)(ii) under the Securities Act following the date the final terms have been established for the offering of the Offered Securities.</w:t>
      </w:r>
    </w:p>
    <w:p>
      <w:pPr>
        <w:spacing w:after="0" w:line="71" w:lineRule="exact"/>
        <w:rPr>
          <w:rFonts w:ascii="Times New Roman" w:cs="Times New Roman" w:eastAsia="Times New Roman" w:hAnsi="Times New Roman"/>
          <w:sz w:val="18"/>
          <w:szCs w:val="18"/>
          <w:color w:val="auto"/>
        </w:rPr>
      </w:pPr>
    </w:p>
    <w:p>
      <w:pPr>
        <w:ind w:right="20" w:firstLine="419"/>
        <w:spacing w:after="0" w:line="282"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pay the registration fees for this offering within the time period required by Rule 456(b)(1)(i) under the Securities Act (without giving effect to the proviso therein) and in any event prior to the Closing Date.</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Securities and any taxes payable in that connection; (ii) the costs incident to the preparation, printing and filing under the Securities Act of the Registration Statement, the Preliminary Prospectus, any Issuer Free Writing Prospectus, any Time of Sale Information and the Prospectus (including all exhibits, amendments and supplements thereto) and the distribution thereof; (iii) the costs of reproducing and distributing each of the Transaction Documents; (iv) the fees and expenses of the Company’s counsel and independent accountants; (v) the fees and expenses incurred in connection with the registration or qualification and determination of eligibility for investment of the Securities under the laws of such jurisdictions as the Manager may reasonably request and the preparation, printing and distribution of a Blue Sky Memorandum (including the related fees and expenses of counsel for the Underwriters); (vi) any fees charged by rating agencies for rating the Securities; (vii) the fees and expenses of the Trustee and any paying agent (including related fees and expenses of any counsel to such parties); (viii) all expenses and application fees incurred in connection with any filing with, and clearance of any offering by, the Financial Industry Regulatory Authority, Inc.; and (ix) all expenses incurred by the Company in connection with any “road show” presentation to potential investors.</w:t>
      </w:r>
    </w:p>
    <w:p>
      <w:pPr>
        <w:spacing w:after="0" w:line="79" w:lineRule="exact"/>
        <w:rPr>
          <w:rFonts w:ascii="Times New Roman" w:cs="Times New Roman" w:eastAsia="Times New Roman" w:hAnsi="Times New Roman"/>
          <w:sz w:val="18"/>
          <w:szCs w:val="18"/>
          <w:color w:val="auto"/>
        </w:rPr>
      </w:pPr>
    </w:p>
    <w:p>
      <w:pPr>
        <w:ind w:firstLine="419"/>
        <w:spacing w:after="0" w:line="258" w:lineRule="auto"/>
        <w:tabs>
          <w:tab w:leader="none" w:pos="72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this Agreement or the offering of the Securities contemplated hereby.</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60"/>
          </w:cols>
          <w:pgMar w:left="880" w:top="270" w:right="459" w:bottom="1440" w:gutter="0" w:footer="0" w:header="0"/>
        </w:sectPr>
      </w:pPr>
    </w:p>
    <w:bookmarkStart w:id="26" w:name="page27"/>
    <w:bookmarkEnd w:id="26"/>
    <w:p>
      <w:pPr>
        <w:ind w:left="440" w:right="20" w:firstLine="419"/>
        <w:spacing w:after="0" w:line="253" w:lineRule="auto"/>
        <w:tabs>
          <w:tab w:leader="none" w:pos="111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Prospectus Delivery Period, to notify the Manager promptly in writing (i) when any amendment to the Registration Statement has been filed or becomes effective; (ii) when any supplement to the Prospectus or any amendment to the Prospectus or any Issuer Free Writing Prospectus has been filed; (iii) of any request by the Commission for any amendment to the Registration Statement or any amendment or supplement to the Prospectus or the receipt of any comments from the Commission relating to the Registration Statement; (iv) of the issuance by the Commission of any order suspending the effectiveness of the Registration Statement or preventing or suspending the use of any Preliminary Prospectus or the Prospectus or the initiation or threatening of any proceeding for that purpose or pursuant to Section 8A of the Securities Act;</w:t>
      </w:r>
    </w:p>
    <w:p>
      <w:pPr>
        <w:spacing w:after="0" w:line="5" w:lineRule="exact"/>
        <w:rPr>
          <w:rFonts w:ascii="Times New Roman" w:cs="Times New Roman" w:eastAsia="Times New Roman" w:hAnsi="Times New Roman"/>
          <w:sz w:val="18"/>
          <w:szCs w:val="18"/>
          <w:color w:val="auto"/>
        </w:rPr>
      </w:pPr>
    </w:p>
    <w:p>
      <w:pPr>
        <w:ind w:left="440" w:right="40" w:hanging="4"/>
        <w:spacing w:after="0" w:line="251" w:lineRule="auto"/>
        <w:tabs>
          <w:tab w:leader="none" w:pos="6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event within the Prospectus Delivery Period as a result of which the Prospectus, the Time of Sale Information or any Issuer Free Writing Prospectus as then amended or supplemented would include any untrue statement of a material fact or omit to state a material fact required to be stated therein or necessary in order to make the statements therein, in the light of the circumstances existing when the Prospectus, the Time of Sale Information or any such Issuer Free Writing Prospectus is delivered to a purchaser, not misleading; (vi) of the receipt by the Company of any notice of objection of the Commission to the use of the Registration Statement or any post-effective amendment thereto pursuant to Rule 401(g)(2) under the Securities Act and (vii) of the receipt by the Company of any notice with respect to any suspension of the qualification of the Securities for offer and sale in any jurisdiction or the initiation or threatening of any proceeding for such purpose; and the Company will use its commercially reasonable efforts to prevent the issuance of any such order suspending the effectiveness of the Registration Statement, preventing or suspending the use of any Preliminary Prospectus or the Prospectus or suspending any such qualification of the Securities and, if any such order is issued, will use its commercially reasonable efforts to obtain as soon as possible the withdrawal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represents and warrants to each Underwriter as of the date of the Underwriting Agreement that:</w:t>
      </w:r>
    </w:p>
    <w:p>
      <w:pPr>
        <w:spacing w:after="0" w:line="117" w:lineRule="exact"/>
        <w:rPr>
          <w:sz w:val="20"/>
          <w:szCs w:val="20"/>
          <w:color w:val="auto"/>
        </w:rPr>
      </w:pPr>
    </w:p>
    <w:p>
      <w:pPr>
        <w:ind w:left="440" w:firstLine="419"/>
        <w:spacing w:after="0" w:line="281" w:lineRule="auto"/>
        <w:tabs>
          <w:tab w:leader="none" w:pos="110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has become effective; no stop order suspending the effectiveness of the Registration Statement is in effect, and no proceedings for such purpose are pending before or threatened by the Commission. The Company is a well-known seasoned issuer (as defined in Rule 405 under the Securities Act) eligible to use the Registration Statement as an automatic shelf registration statement and the Company has not received notice that the Commission objects to the use of the Registration Statement as an automatic shelf registration statement.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7" w:name="page28"/>
    <w:bookmarkEnd w:id="27"/>
    <w:p>
      <w:pPr>
        <w:ind w:firstLine="419"/>
        <w:spacing w:after="0" w:line="252" w:lineRule="auto"/>
        <w:tabs>
          <w:tab w:leader="none" w:pos="67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 each part of the Registration Statement, when such part became effective, did not contain, and each such part, as amended or supplemented, if applicable, will not contain any untrue statement of a material fact or omit to state a material fact required to be stated therein or necessary to make the statements therein not misleading, (ii) the Registration Statement as of the date hereof does not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in all material respects with the Securities Act and the applicable rules and regulations of the Commission thereunder, (iv) the Time of Sale Prospectus does not, and at the time of each sale of the Securities in connection with the offering when the Prospectus is not yet available to prospective purchasers,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at the date of the Underwriting Agreement or as amended or supplemented, if applicable, will not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(A) statements or omissions in the Registration Statement, the Time of Sale Prospectus or the Prospectus based upon information relating to any Underwriter furnished to the Company in writing by such Underwriter through the Manager expressly for use therein or (B) that part of the Registration Statement that constitutes the Statement of Eligibility (Form T-1) under the Trust Indenture Act of the Trustee.</w:t>
      </w:r>
    </w:p>
    <w:p>
      <w:pPr>
        <w:spacing w:after="0" w:line="81" w:lineRule="exact"/>
        <w:rPr>
          <w:rFonts w:ascii="Times New Roman" w:cs="Times New Roman" w:eastAsia="Times New Roman" w:hAnsi="Times New Roman"/>
          <w:sz w:val="18"/>
          <w:szCs w:val="18"/>
          <w:color w:val="auto"/>
        </w:rPr>
      </w:pPr>
    </w:p>
    <w:p>
      <w:pPr>
        <w:ind w:right="60" w:firstLine="419"/>
        <w:spacing w:after="0" w:line="258" w:lineRule="auto"/>
        <w:tabs>
          <w:tab w:leader="none" w:pos="6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in connection with the offering pursuant to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70" w:right="459" w:bottom="1440" w:gutter="0" w:footer="0" w:header="0"/>
        </w:sectPr>
      </w:pPr>
    </w:p>
    <w:bookmarkStart w:id="28" w:name="page29"/>
    <w:bookmarkEnd w:id="28"/>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complies or will comply in all material respects with the requirements of the Securities Act and the applicable rules and regulations of the Commission thereunder. Except for the free writing prospectuses, if any, identified in Schedule I hereto forming part of the Time of Sale Prospectus, and electronic road shows, if any, each furnished to the Manager before first use, the Company has not prepared, used or referred to, and will not, without the Manager’s prior consent, prepare, use or refer to, any free writing prospectus.</w:t>
      </w:r>
    </w:p>
    <w:p>
      <w:pPr>
        <w:spacing w:after="0" w:line="72" w:lineRule="exact"/>
        <w:rPr>
          <w:sz w:val="20"/>
          <w:szCs w:val="20"/>
          <w:color w:val="auto"/>
        </w:rPr>
      </w:pPr>
    </w:p>
    <w:p>
      <w:pPr>
        <w:ind w:firstLine="419"/>
        <w:spacing w:after="0" w:line="258" w:lineRule="auto"/>
        <w:tabs>
          <w:tab w:leader="none" w:pos="6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and has full corporate power and authority to own its properties and to conduct its business as presently conducted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have a material adverse effect on the Company and its subsidiaries, taken as a whole.</w:t>
      </w:r>
    </w:p>
    <w:p>
      <w:pPr>
        <w:spacing w:after="0" w:line="75" w:lineRule="exact"/>
        <w:rPr>
          <w:rFonts w:ascii="Times New Roman" w:cs="Times New Roman" w:eastAsia="Times New Roman" w:hAnsi="Times New Roman"/>
          <w:sz w:val="18"/>
          <w:szCs w:val="18"/>
          <w:color w:val="auto"/>
        </w:rPr>
      </w:pPr>
    </w:p>
    <w:p>
      <w:pPr>
        <w:ind w:right="260" w:firstLine="419"/>
        <w:spacing w:after="0" w:line="266" w:lineRule="auto"/>
        <w:tabs>
          <w:tab w:leader="none" w:pos="66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shares of Common Stock or Preferred Stock are Offered Securities, such shares have been duly authorized and, when issued and delivered in accordance with the terms of this Agreement, will be validly issued, fully paid and non-assessable, and the issuance of such shares will not be subject to any preemptive or similar rights.</w:t>
      </w:r>
    </w:p>
    <w:p>
      <w:pPr>
        <w:spacing w:after="0" w:line="67" w:lineRule="exact"/>
        <w:rPr>
          <w:rFonts w:ascii="Times New Roman" w:cs="Times New Roman" w:eastAsia="Times New Roman" w:hAnsi="Times New Roman"/>
          <w:sz w:val="18"/>
          <w:szCs w:val="18"/>
          <w:color w:val="auto"/>
        </w:rPr>
      </w:pPr>
    </w:p>
    <w:p>
      <w:pPr>
        <w:ind w:right="20" w:firstLine="419"/>
        <w:spacing w:after="0" w:line="256" w:lineRule="auto"/>
        <w:tabs>
          <w:tab w:leader="none" w:pos="64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Debt Securities are the Offered Securities, (i) such Debt Securities have been duly authorized and, when executed and authenticated in accordance with the provisions of the Indenture and delivered to and paid for by the Underwriters in accordance with the terms of this Agreement, will be valid and binding obligations of the Company, in each case enforceable in accordance with their respective terms, subject to the Enforceability Exceptions, and will be entitled to the benefits of the Indenture and (ii) the Indenture has been duly qualified under the Trust Indenture Act and has been duly authorized, executed and delivered by, and is a valid and binding agreement of, the Company, enforceable in accordance with its terms, subject to the Enforceability Exceptions.</w:t>
      </w:r>
    </w:p>
    <w:p>
      <w:pPr>
        <w:spacing w:after="0" w:line="79"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Warrants are Offered Securities, (i) such Warrants have been duly authorized and, when executed and delivered in accordance with the provisions of the Warrant Agreement and delivered to and paid for by the Underwriters in accordance with the terms of this Agreement, such Warrants will be valid and binding obligations of the Company, enforceable in accordance with their terms, subject to the Enforceability Exceptions and (ii) the Warrant Agreement has been duly authorized, executed and delivered by, and is a valid and binding agreement of, the Company, enforceable in accordance with its terms, subject to the Enforceability Exceptions.</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0"/>
          </w:cols>
          <w:pgMar w:left="880" w:top="270" w:right="479" w:bottom="1440" w:gutter="0" w:footer="0" w:header="0"/>
        </w:sectPr>
      </w:pPr>
    </w:p>
    <w:bookmarkStart w:id="29" w:name="page30"/>
    <w:bookmarkEnd w:id="29"/>
    <w:p>
      <w:pPr>
        <w:ind w:left="4" w:right="240" w:firstLine="419"/>
        <w:spacing w:after="0" w:line="272" w:lineRule="auto"/>
        <w:tabs>
          <w:tab w:leader="none" w:pos="681" w:val="left"/>
        </w:tabs>
        <w:numPr>
          <w:ilvl w:val="1"/>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Units are Offered Securities, (i) such Units have been duly authorized and, when executed and delivered in accordance with the provisions of the Unit Agreement and delivered to and paid for by the Underwriters in accordance with the terms of this Agreement, such Units will be valid and binding obligations of the Company, enforceable in accordance with their terms, subject to the Enforceability Exceptions and</w:t>
      </w:r>
    </w:p>
    <w:p>
      <w:pPr>
        <w:spacing w:after="0" w:line="1" w:lineRule="exact"/>
        <w:rPr>
          <w:rFonts w:ascii="Times New Roman" w:cs="Times New Roman" w:eastAsia="Times New Roman" w:hAnsi="Times New Roman"/>
          <w:sz w:val="17"/>
          <w:szCs w:val="17"/>
          <w:color w:val="auto"/>
        </w:rPr>
      </w:pPr>
    </w:p>
    <w:p>
      <w:pPr>
        <w:ind w:left="4" w:right="160" w:hanging="4"/>
        <w:spacing w:after="0" w:line="260" w:lineRule="auto"/>
        <w:tabs>
          <w:tab w:leader="none" w:pos="26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 Agreement has been duly authorized, executed and delivered by, and is a valid and binding agreement of, the Company, enforceable in accordance with its terms, subject to the Enforceability Exceptions.</w:t>
      </w:r>
    </w:p>
    <w:p>
      <w:pPr>
        <w:spacing w:after="0" w:line="73"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w:t>
      </w:r>
    </w:p>
    <w:p>
      <w:pPr>
        <w:spacing w:after="0" w:line="117" w:lineRule="exact"/>
        <w:rPr>
          <w:rFonts w:ascii="Times New Roman" w:cs="Times New Roman" w:eastAsia="Times New Roman" w:hAnsi="Times New Roman"/>
          <w:sz w:val="18"/>
          <w:szCs w:val="18"/>
          <w:color w:val="auto"/>
        </w:rPr>
      </w:pPr>
    </w:p>
    <w:p>
      <w:pPr>
        <w:ind w:left="4" w:firstLine="419"/>
        <w:spacing w:after="0" w:line="255" w:lineRule="auto"/>
        <w:tabs>
          <w:tab w:leader="none" w:pos="6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in violation of its charter or by-laws. The Company is not (1)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is a party or by which the Company is bound or to which any of the property or assets of the Company is subject; or (2) in violation of any law or statute or any judgment, order, rule or regulation of any court or arbitrator or governmental or regulatory authority, except, in the case of clauses (1) and (2) above, for any such default or violation that would not, individually or in the aggregate, reasonably be expected to have a material adverse effect on the Company and its subsidiaries, taken as a whole.</w:t>
      </w:r>
    </w:p>
    <w:p>
      <w:pPr>
        <w:spacing w:after="0" w:line="80" w:lineRule="exact"/>
        <w:rPr>
          <w:rFonts w:ascii="Times New Roman" w:cs="Times New Roman" w:eastAsia="Times New Roman" w:hAnsi="Times New Roman"/>
          <w:sz w:val="18"/>
          <w:szCs w:val="18"/>
          <w:color w:val="auto"/>
        </w:rPr>
      </w:pPr>
    </w:p>
    <w:p>
      <w:pPr>
        <w:ind w:left="4" w:firstLine="419"/>
        <w:spacing w:after="0" w:line="256" w:lineRule="auto"/>
        <w:tabs>
          <w:tab w:leader="none" w:pos="6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and, as applicable, each other Transaction Document will not contravene (i) any provision of applicable law, (ii) the certificate of incorporation or by-laws of the Company, (iii) any agreement or other instrument binding upon the Company or any of its subsidiaries, or (iv) any judgment, order or decree of any governmental body, agency or court having jurisdiction over the Company or any subsidiary of the Company except, in the case of clauses (i), (iii) and (iv) above, as would not, individually or in the aggregate, reasonably be expected to have a material adverse effect on the Company and its subsidiaries, taken as a whole.</w:t>
      </w:r>
    </w:p>
    <w:p>
      <w:pPr>
        <w:spacing w:after="0" w:line="79"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64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consent, approval, authorization or order of, or qualification with, any governmental body or agency is required for the performance by the Company of its obligations under this Agreement or the applicable Transaction Documents, except such as may be required by the securities or Blue Sky laws of the various states in connection with the offer and sale of the Offered Securities.</w:t>
      </w:r>
    </w:p>
    <w:p>
      <w:pPr>
        <w:spacing w:after="0" w:line="67" w:lineRule="exact"/>
        <w:rPr>
          <w:rFonts w:ascii="Times New Roman" w:cs="Times New Roman" w:eastAsia="Times New Roman" w:hAnsi="Times New Roman"/>
          <w:sz w:val="18"/>
          <w:szCs w:val="18"/>
          <w:color w:val="auto"/>
        </w:rPr>
      </w:pPr>
    </w:p>
    <w:p>
      <w:pPr>
        <w:ind w:left="4" w:right="280" w:firstLine="419"/>
        <w:spacing w:after="0" w:line="266" w:lineRule="auto"/>
        <w:tabs>
          <w:tab w:leader="none" w:pos="73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30" w:name="page31"/>
    <w:bookmarkEnd w:id="30"/>
    <w:p>
      <w:pPr>
        <w:ind w:left="440" w:right="40" w:firstLine="419"/>
        <w:spacing w:after="0" w:line="258"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legal or governmental proceedings pending or threatened to which the Company or any of its subsidiaries is a party or to which any of the properties of the Company or any of its subsidiaries is subject other than proceedings described in the Time of Sale Prospectus and proceedings that would not, individually or in the aggregate, reasonably be expected to have a material adverse effect on the Company and its subsidiaries, taken as a whole, or on the power or ability of the Company to perform its obligations under this Agreement or the applicable Transaction Documents or to consummate the transactions contemplated by the Time of Sale Prospectus.</w:t>
      </w:r>
    </w:p>
    <w:p>
      <w:pPr>
        <w:spacing w:after="0" w:line="75"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 under the Securities Act, complied when so filed in all material respects with the Securities Act and the applicable rules and regulations of the Commission thereunder.</w:t>
      </w:r>
    </w:p>
    <w:p>
      <w:pPr>
        <w:spacing w:after="0" w:line="67"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offering and sale of the Offered Securities and the application of the proceeds thereof as described in the Time of Sale Prospectus will not be, required to register as an “investment company” as such term is defined in the Investment Company Act of 1940, as amended.</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VI.</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agrees to indemnify and hold harmless each Underwriter and each person, if any, who controls each Underwriter within the meaning of either Section 15 of the Securities Act or Section 20 of the Exchange Act, from and against any and all losses, claims, damages and liabilities (including the reasonable fees and expenses of counsel in connection with any governmental or regulatory investigation or proceeding) caused by any untrue statement or alleged untrue statement of a material fact contained in the Registration Statement or any amendment thereof, any preliminary prospectus, the Time of Sale Prospectus, any issuer free writing prospectus as defined in Rule 433(h) under the Securities Act, any Company information that the Company has filed, or is required to file, pursuant to Rule 433(d) under the Securities Act, or the Prospectus or any amendment or supplement thereto, or caused by any omission or alleged omission to state therein a material fact necessary to make the statements therein not misleading, except insofar as such losses, claims, damages or liabilities are caused by any such untrue statement or omission or alleged untrue statement or omission based upon information furnished to the Company in writing by such Underwriter through the Manager expressly for use therein.</w:t>
      </w:r>
    </w:p>
    <w:p>
      <w:pPr>
        <w:spacing w:after="0" w:line="18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Each Underwriter agrees, severally and not jointly, to indemnify and hold harmless the Company, its directors, its officers who sign the Registration Statement and each person, if any, who controls the Company to the same extent as the foregoing indemnity from the Company to each Underwriter, but only with reference to information relating to such Underwriter furnished to the Company in writing by such Underwriter expressly for use in the Registration Statement or any amendment thereof, any preliminary prospectus, the Time of Sale Prospectus, any issuer free writing prospectus or the Prospectus or any amendment or supplement thereto, it being understood and agreed that the only such information furnished by any Underwriter consists of the information described as such in Schedule IV to the Underwriting Agreement.</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31" w:name="page32"/>
    <w:bookmarkEnd w:id="31"/>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case any proceeding (including any governmental investigation) shall be instituted involving any person in respect of which indemnity may be sought pursuant to either of the two preceding paragraphs, such person (the “</w:t>
      </w:r>
      <w:r>
        <w:rPr>
          <w:rFonts w:ascii="Times New Roman" w:cs="Times New Roman" w:eastAsia="Times New Roman" w:hAnsi="Times New Roman"/>
          <w:sz w:val="18"/>
          <w:szCs w:val="18"/>
          <w:b w:val="1"/>
          <w:bCs w:val="1"/>
          <w:color w:val="auto"/>
        </w:rPr>
        <w:t>indemnified party</w:t>
      </w:r>
      <w:r>
        <w:rPr>
          <w:rFonts w:ascii="Times New Roman" w:cs="Times New Roman" w:eastAsia="Times New Roman" w:hAnsi="Times New Roman"/>
          <w:sz w:val="18"/>
          <w:szCs w:val="18"/>
          <w:color w:val="auto"/>
        </w:rPr>
        <w:t>”) shall promptly notify the person against whom such indemnity may be sought (the “</w:t>
      </w:r>
      <w:r>
        <w:rPr>
          <w:rFonts w:ascii="Times New Roman" w:cs="Times New Roman" w:eastAsia="Times New Roman" w:hAnsi="Times New Roman"/>
          <w:sz w:val="18"/>
          <w:szCs w:val="18"/>
          <w:b w:val="1"/>
          <w:bCs w:val="1"/>
          <w:color w:val="auto"/>
        </w:rPr>
        <w:t>indemnifying party</w:t>
      </w:r>
      <w:r>
        <w:rPr>
          <w:rFonts w:ascii="Times New Roman" w:cs="Times New Roman" w:eastAsia="Times New Roman" w:hAnsi="Times New Roman"/>
          <w:sz w:val="18"/>
          <w:szCs w:val="18"/>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connection with any proceeding or related proceedings in the same jurisdiction, be liable for the reasonable fees and expenses of more than one separate firm (in addition to any local counsel) for all such indemnified parties and that all such fees and expenses shall be reimbursed as they are incurred. Such firm shall be designated in writing by the Manager in the case of parties indemnified pursuant to the second preceding paragraph and by the Company in the case of parties indemnified pursuant to the first preceding paragraph.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such settlement includes an unconditional release of such indemnified party from all liability on claims that are the subject matter of such proceeding.</w:t>
      </w:r>
    </w:p>
    <w:p>
      <w:pPr>
        <w:spacing w:after="0" w:line="192" w:lineRule="exact"/>
        <w:rPr>
          <w:sz w:val="20"/>
          <w:szCs w:val="20"/>
          <w:color w:val="auto"/>
        </w:rPr>
      </w:pPr>
    </w:p>
    <w:p>
      <w:pPr>
        <w:ind w:left="4" w:right="40"/>
        <w:spacing w:after="0" w:line="270" w:lineRule="auto"/>
        <w:rPr>
          <w:sz w:val="20"/>
          <w:szCs w:val="20"/>
          <w:color w:val="auto"/>
        </w:rPr>
      </w:pPr>
      <w:r>
        <w:rPr>
          <w:rFonts w:ascii="Times New Roman" w:cs="Times New Roman" w:eastAsia="Times New Roman" w:hAnsi="Times New Roman"/>
          <w:sz w:val="17"/>
          <w:szCs w:val="17"/>
          <w:color w:val="auto"/>
        </w:rPr>
        <w:t>If the indemnification provided for in this Article VI under the first or second paragraphs hereof is unavailable in respect of any losses, claims, damages or liabilities referred to therein, then each indemnifying party under such paragraph, in lieu of indemnifying such indemnified party, shall contribute to the amount paid or payable by such indemnified party as a result of such losses, claims, damages or liabilities (i) in such proportion as is appropriate to reflect the relative benefits received by the Company on the one hand and the Underwriters on the other from the offering of the Offered Securities or</w:t>
      </w:r>
    </w:p>
    <w:p>
      <w:pPr>
        <w:spacing w:after="0" w:line="3" w:lineRule="exact"/>
        <w:rPr>
          <w:sz w:val="20"/>
          <w:szCs w:val="20"/>
          <w:color w:val="auto"/>
        </w:rPr>
      </w:pPr>
    </w:p>
    <w:p>
      <w:pPr>
        <w:ind w:left="4" w:right="400" w:hanging="4"/>
        <w:spacing w:after="0" w:line="260" w:lineRule="auto"/>
        <w:tabs>
          <w:tab w:leader="none" w:pos="269"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allocation provided by clause (i) above is not permitted by applicable law, such proportion as is appropriate to reflect not only the relative benefits referred to in clause (i) above but also the relative fault of the Company on the one hand and of the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32" w:name="page33"/>
    <w:bookmarkEnd w:id="3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Underwriters on the other in connection with the statements or omissions which resulted in such losses, claims, damages or liabilities, as well as any other relevant equitable considerations. The relative benefits received by the Company on the one hand and the Underwriters on the other in connection with the offering of the Offered Securities shall be deemed to be in the same proportion as the net proceeds from the offering of such Offered Securities (before deducting expenses) received by the Company bear to the total underwriting discounts and commissions received by the Underwriters in respect thereof, in each case as set forth in the table on the cover of the Prospectus. The relative fault of the Company on the one hand and of the Underwriters on the other shall be determined by reference to, among other things, whether the untrue or alleged untrue statement of a material fact or the omission or alleged omission to state a material fact relates to information supplied by the Company or by the Underwriters and the parties’ relative intent, knowledge, access to information and opportunity to correct or prevent such statement or omission.</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and the Underwriters agree that it would not be just and equitable if contribution pursuant to this Article VI were determined by pro rata allocation or by any other method of allocation which does not take account of the equitable considerations referred to in the immediately preceding paragraph. The amount paid or payable by an indemnified party as a result of the losses, claims, damages and liabilities referred to in the immediately preceding paragraph shall be deemed to include, subject to the limitations set forth above, any legal or other expenses reasonably incurred by such indemnified party in connection with investigating or defending any such action or claim. Notwithstanding the provisions of this Article VI, no Underwriter shall be required to contribute any amount in excess of the amount by which the total price at which the Offered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Underwriters’ obligations to contribute pursuant to this Article VI are several, in proportion to the respective amounts of Offered Securities purchased by each of such Underwriters, and not joint.</w:t>
      </w:r>
    </w:p>
    <w:p>
      <w:pPr>
        <w:spacing w:after="0" w:line="19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indemnity and contribution agreements contained in this Article VI and the representations and warranties of the Company in this Agreement shall remain operative and in full force and effect regardless of (i) any termination of this Agreement, (ii) any investigation made by or on behalf of any Underwriter or on behalf of any Underwriter or any person controlling any Underwriter or by or on behalf of the Company, its directors or officers or any person controlling the Company and (iii) acceptance of and payment for any of the Offered Securities.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VII.</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 consideration of the agreements of the Company herein contained, each Underwriter severally covenants as follows:</w:t>
      </w:r>
    </w:p>
    <w:p>
      <w:pPr>
        <w:spacing w:after="0" w:line="117" w:lineRule="exact"/>
        <w:rPr>
          <w:sz w:val="20"/>
          <w:szCs w:val="20"/>
          <w:color w:val="auto"/>
        </w:rPr>
      </w:pPr>
    </w:p>
    <w:p>
      <w:pPr>
        <w:ind w:left="440" w:right="140" w:firstLine="419"/>
        <w:spacing w:after="0" w:line="266" w:lineRule="auto"/>
        <w:tabs>
          <w:tab w:leader="none" w:pos="110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the Company being required to file with the Commission under Rule 433(d) a free writing prospectus prepared by or on behalf of such Underwriter that otherwise would not be required to be filed by the Company thereunder, but for the action of the Underwriter.</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use, refer to or distribute any free writing prospectus except (i) a free writing prospectus that (A) is not an issuer free writing prospectus and (B) contains only information describing the preliminary terms of the Offered Securities or the offering thereof, which information is limited to the categories of terms referenced on Schedule I to the Underwriting Agreement or otherwise permitted under Rule 134 of the Securities Act, (ii) a free writing prospectus as shall be agreed in writing with the Company that is not distributed, used or referred to by such Underwriter in a manner reasonably designed to lead to its broad unrestricted dissemination (unless the Company consents in writing to such dissemination) or (iii) a free writing prospectus identified in Schedule III to the Underwriting Agreement as forming part of the Time of Sale Prospectus.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VIII.</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Agreement shall be subject to termination in the Manager’s absolute discretion, by notice given to the Company, if (a) after the Applicable Time and prior to the Closing Date (i) trading generally shall have been suspended or materially limited on or by, as the case may be, any of the New York Stock Exchange or The Nasdaq Stock Market, (ii) trading of any securities of the Company shall have been suspended on the The Nasdaq Stock Market or in the U.S. over-the-counter market, (iii) a general moratorium on commercial banking activities in New York shall have been declared by either Federal or New York State authorities, or (iv) there shall have occurred any outbreak or escalation of hostilities or a severe deterioration in U.S. financial markets or any other calamity or crisis that is material and adverse and (b) in the case of any of the events specified in clause (a)(iv), such event singly or together with any other such event makes it, in the Manager’s judgment, impracticable to market the Offered Securities on the terms and in the manner contemplated in the Time of Sale Prospectus and this Agreement. Any such termination of this Agreement shall be without liability on the part of any Manager or on the part of the Company except as stated in Article IX.</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IX.</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If on the Closing Date any one or more of the Underwriters shall fail or refuse to purchase Offered Securities that it or they have agreed to purchase on such date, and the aggregate amount of Offered Securities which such defaulting Underwriter or Underwriters agreed but failed or refused to purchase is not more than one-tenth of the aggregate amount of the Offered Securities to be purchased on such date, the other Underwriters shall be obligated severally in the proportions that the amount of Offered Securities set forth opposite their respective names in the Underwriting Agreement bears to the aggregate amount of Offered Securities set forth opposite the names of all such non-defaulting Underwriters, or in such other proportions as the Manager may specify,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34" w:name="page35"/>
    <w:bookmarkEnd w:id="3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purchase the Offered Securities which such defaulting Underwriter or Underwriters agreed but failed or refused to purchase on such date; provided that in no event shall the amount of Offered Securities that any Underwriter has agreed to purchase pursuant to the Underwriting Agreement be increased pursuant to this Article IX by an amount in excess of one-ninth of such amount of Offered Securities without the written consent of such Underwriter. If on the Closing Date any Underwriter or Underwriters shall fail or refuse to purchase Offered Securities and the aggregate amount of Offered Securities with respect to which such default occurs is more than one-tenth of the aggregate amount of Offered Securities to be purchased on such date, and arrangements satisfactory to the Underwriters and the Company for the purchase of such Offered Securities are not made within 36 hours after such default, this Agreement shall terminate without liability on the part of any non-defaulting Underwriter or the Company. In any such case either the Underwriters or the Company shall have the right to postpone the Closing Date but in no event for longer than seven days, in order that the required changes, if any, in the Registration Statement and in the Prospectus or in any other documents or arrangements may be effected. Any action taken under this paragraph shall not relieve any defaulting Underwriter from liability in respect of any default of such Underwriter under this Agreement.</w:t>
      </w:r>
    </w:p>
    <w:p>
      <w:pPr>
        <w:spacing w:after="0" w:line="19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If this Agreement shall be terminated by the Underwriters, or any of them, because of any failure or refusal on the part of the Company to comply with the terms or to fulfill any of the conditions of this Agreement, or if for any reason the Company shall be unable to perform its obligations under this Agreement, the Company will reimburse the Underwriters or such Underwriters as have so terminated this Agreement, with respect to themselves, severally, for all out-of-pocket expenses (including the fees and disbursements of their counsel) reasonably incurred by such Underwriters in connection with the Offered Securities.</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acknowledges and agrees that the Underwriters are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its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5" w:name="page36"/>
    <w:bookmarkEnd w:id="35"/>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 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 As used in this paragraph:</w:t>
      </w:r>
    </w:p>
    <w:p>
      <w:pPr>
        <w:spacing w:after="0" w:line="81" w:lineRule="exact"/>
        <w:rPr>
          <w:sz w:val="20"/>
          <w:szCs w:val="20"/>
          <w:color w:val="auto"/>
        </w:rPr>
      </w:pPr>
    </w:p>
    <w:p>
      <w:pPr>
        <w:ind w:left="1100" w:hanging="241"/>
        <w:spacing w:after="0"/>
        <w:tabs>
          <w:tab w:leader="none" w:pos="110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“BHC Act Affiliate” has the meaning assigned to the term “affiliate” in, and shall be interpreted in accordance with, 12 U.S.C. §</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1841(k);</w:t>
      </w:r>
    </w:p>
    <w:p>
      <w:pPr>
        <w:spacing w:after="0" w:line="98" w:lineRule="exact"/>
        <w:rPr>
          <w:rFonts w:ascii="Times New Roman" w:cs="Times New Roman" w:eastAsia="Times New Roman" w:hAnsi="Times New Roman"/>
          <w:sz w:val="18"/>
          <w:szCs w:val="18"/>
          <w:color w:val="auto"/>
        </w:rPr>
      </w:pPr>
    </w:p>
    <w:p>
      <w:pPr>
        <w:jc w:val="both"/>
        <w:ind w:left="440" w:right="340" w:firstLine="419"/>
        <w:spacing w:after="0" w:line="266" w:lineRule="auto"/>
        <w:tabs>
          <w:tab w:leader="none" w:pos="111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08"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Right” has the meaning assigned to that term in, and shall be interpreted in accordance with, 12 C.F.R. §§ 252.81, 47.2 or 382.1, as applicable;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Special Resolution Regime” means each of (i) the Federal Deposit Insurance Act and the regulations promulgated thereunder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II of the Dodd-Frank Wall Street Reform and Consumer Protection Act and the regulations promulgated thereunder.</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This Agreement shall inure to the benefit of and be binding upon the parties hereto and their respective successors and the officers and directors and any controlling persons referred to herein, and the affiliates of each Underwriter referred to in Section VI hereof. Nothing in this Agreement is intended or shall be construed to give any other person any legal or equitable right, remedy or claim under or in respect of this Agreement or any provision contained herein. No purchaser of Securities from any Underwriter shall be deemed to be a successor merely by reason of such purchase.</w:t>
      </w:r>
    </w:p>
    <w:p>
      <w:pPr>
        <w:spacing w:after="0" w:line="18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respective indemnities, rights of contribution, representations, warranties and agreements of the Company and the Underwriters contained in this Agreement or made by or on behalf of the Company or the Underwriters pursuant to this Agreement or any certificate delivered pursuant hereto shall survive the delivery of and payment for the Securities and shall remain in full force and effect, regardless of any termination of this Agreement or any investigation made by or on behalf of the Company or the Underwriters.</w:t>
      </w:r>
    </w:p>
    <w:p>
      <w:pPr>
        <w:spacing w:after="0" w:line="18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This Agreement may be signed in any number of counterparts, each of which shall be an original, with the same effect as if the signatures thereto and hereto were upon the same instrument.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6" w:name="page37"/>
    <w:bookmarkEnd w:id="36"/>
    <w:p>
      <w:pPr>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SHALL BE GOVERNED BY AND CONSTRUED IN ACCORDANCE WITH THE LAWS OF THE STATE OF NEW YORK.</w:t>
      </w:r>
    </w:p>
    <w:p>
      <w:pPr>
        <w:spacing w:after="0" w:line="9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800"/>
          </w:cols>
          <w:pgMar w:left="440" w:top="266" w:right="65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OFFICERS’ CERTIFICATE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August 16, 2022</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Reference is made to the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and U.S. Bank Trust Company, National Association, as successor in interest to U.S. Bank National Association,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The Trustee is the trustee for any and all securities issued under the Indenture. Pursuant to Section 2.04(c) of the Indenture, the undersigned officers do hereby certify, in connection with the issuance of $400,000,000 aggregate principal amount of 3.650% Notes due 2032 (the “</w:t>
      </w:r>
      <w:r>
        <w:rPr>
          <w:rFonts w:ascii="Times New Roman" w:cs="Times New Roman" w:eastAsia="Times New Roman" w:hAnsi="Times New Roman"/>
          <w:sz w:val="18"/>
          <w:szCs w:val="18"/>
          <w:b w:val="1"/>
          <w:bCs w:val="1"/>
          <w:color w:val="auto"/>
        </w:rPr>
        <w:t>2032 Notes</w:t>
      </w:r>
      <w:r>
        <w:rPr>
          <w:rFonts w:ascii="Times New Roman" w:cs="Times New Roman" w:eastAsia="Times New Roman" w:hAnsi="Times New Roman"/>
          <w:sz w:val="18"/>
          <w:szCs w:val="18"/>
          <w:color w:val="auto"/>
        </w:rPr>
        <w:t>”) and $300,000,000 aggregate principal amount of 4.100% Notes due 2052 (the “</w:t>
      </w:r>
      <w:r>
        <w:rPr>
          <w:rFonts w:ascii="Times New Roman" w:cs="Times New Roman" w:eastAsia="Times New Roman" w:hAnsi="Times New Roman"/>
          <w:sz w:val="18"/>
          <w:szCs w:val="18"/>
          <w:b w:val="1"/>
          <w:bCs w:val="1"/>
          <w:color w:val="auto"/>
        </w:rPr>
        <w:t>2052 Notes</w:t>
      </w:r>
      <w:r>
        <w:rPr>
          <w:rFonts w:ascii="Times New Roman" w:cs="Times New Roman" w:eastAsia="Times New Roman" w:hAnsi="Times New Roman"/>
          <w:sz w:val="18"/>
          <w:szCs w:val="18"/>
          <w:color w:val="auto"/>
        </w:rPr>
        <w:t>” and, together with the 2032 Notes,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that (i) the form and terms of the Notes have been established pursuant to Section 2.01 and Section 2.03 of the Indenture and comply with the Indenture, and (ii) the terms of the Notes are as follows: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Capitalized terms used but not otherwise defined herein shall have the meanings specified in the Indenture.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2032 Notes</w:t>
      </w:r>
    </w:p>
    <w:p>
      <w:pPr>
        <w:sectPr>
          <w:pgSz w:w="11900" w:h="16838" w:orient="portrait"/>
          <w:cols w:equalWidth="0" w:num="1">
            <w:col w:w="11020"/>
          </w:cols>
          <w:pgMar w:left="440" w:top="117" w:right="439" w:bottom="1440" w:gutter="0" w:footer="0" w:header="0"/>
        </w:sect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3.650% Notes due 2032.</w:t>
      </w:r>
    </w:p>
    <w:p>
      <w:pPr>
        <w:spacing w:after="0" w:line="11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Texas Instruments Incorporated.</w:t>
      </w:r>
    </w:p>
    <w:p>
      <w:pPr>
        <w:spacing w:after="0" w:line="126"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Trustee, Registrar, Transfer Agent, Authenticating Agent, and Paying Agent:</w:t>
      </w:r>
    </w:p>
    <w:p>
      <w:pPr>
        <w:spacing w:after="0" w:line="20" w:lineRule="exact"/>
        <w:rPr>
          <w:sz w:val="20"/>
          <w:szCs w:val="20"/>
          <w:color w:val="auto"/>
        </w:rPr>
      </w:pPr>
      <w:r>
        <w:rPr>
          <w:sz w:val="20"/>
          <w:szCs w:val="20"/>
          <w:color w:val="auto"/>
        </w:rPr>
        <w:br w:type="column"/>
      </w:r>
    </w:p>
    <w:p>
      <w:pPr>
        <w:ind w:right="28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 National Association.</w:t>
      </w:r>
    </w:p>
    <w:p>
      <w:pPr>
        <w:spacing w:after="0" w:line="51" w:lineRule="exact"/>
        <w:rPr>
          <w:sz w:val="20"/>
          <w:szCs w:val="20"/>
          <w:color w:val="auto"/>
        </w:rPr>
      </w:pPr>
    </w:p>
    <w:p>
      <w:pPr>
        <w:sectPr>
          <w:pgSz w:w="11900" w:h="16838" w:orient="portrait"/>
          <w:cols w:equalWidth="0" w:num="2">
            <w:col w:w="3580" w:space="28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Aggregate Principal Amount at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$400,000,000.</w:t>
      </w:r>
    </w:p>
    <w:p>
      <w:pPr>
        <w:spacing w:after="0" w:line="115"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Principal Payment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August 16, 2022.</w:t>
      </w:r>
    </w:p>
    <w:p>
      <w:pPr>
        <w:spacing w:after="0" w:line="127"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Interest: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3.650% per annum.</w:t>
      </w:r>
    </w:p>
    <w:p>
      <w:pPr>
        <w:spacing w:after="0" w:line="127"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Date from which Interest will Accrue: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August 16, 2022.</w:t>
      </w:r>
    </w:p>
    <w:p>
      <w:pPr>
        <w:spacing w:after="0" w:line="127" w:lineRule="exact"/>
        <w:rPr>
          <w:sz w:val="20"/>
          <w:szCs w:val="20"/>
          <w:color w:val="auto"/>
        </w:rPr>
      </w:pPr>
    </w:p>
    <w:p>
      <w:pPr>
        <w:sectPr>
          <w:pgSz w:w="11900" w:h="16838" w:orient="portrait"/>
          <w:cols w:equalWidth="0" w:num="2">
            <w:col w:w="3140" w:space="720"/>
            <w:col w:w="7160"/>
          </w:cols>
          <w:pgMar w:left="440" w:top="117"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16 and August 16, commencing on February 16, 2023.</w:t>
      </w:r>
    </w:p>
    <w:p>
      <w:pPr>
        <w:sectPr>
          <w:pgSz w:w="11900" w:h="16838" w:orient="portrait"/>
          <w:cols w:equalWidth="0" w:num="2">
            <w:col w:w="3140" w:space="720"/>
            <w:col w:w="7160"/>
          </w:cols>
          <w:pgMar w:left="440" w:top="117" w:right="4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ind w:right="120"/>
        <w:spacing w:after="0" w:line="266" w:lineRule="auto"/>
        <w:rPr>
          <w:sz w:val="20"/>
          <w:szCs w:val="20"/>
          <w:color w:val="auto"/>
        </w:rPr>
      </w:pPr>
      <w:r>
        <w:rPr>
          <w:rFonts w:ascii="Times New Roman" w:cs="Times New Roman" w:eastAsia="Times New Roman" w:hAnsi="Times New Roman"/>
          <w:sz w:val="18"/>
          <w:szCs w:val="18"/>
          <w:color w:val="auto"/>
        </w:rPr>
        <w:t>Prior to the Par Call Date, the 2032 Notes will be redeemable, in whole or in part at any time, or from time to time, at the Issuer’s option, at a “make-whole premium” redemption price calculated by the Issuer equal to the greater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-518795</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68" w:lineRule="exact"/>
        <w:rPr>
          <w:sz w:val="20"/>
          <w:szCs w:val="20"/>
          <w:color w:val="auto"/>
        </w:rPr>
      </w:pPr>
    </w:p>
    <w:p>
      <w:pPr>
        <w:sectPr>
          <w:pgSz w:w="11900" w:h="16838" w:orient="portrait"/>
          <w:cols w:equalWidth="0" w:num="2">
            <w:col w:w="3140" w:space="720"/>
            <w:col w:w="7140"/>
          </w:cols>
          <w:pgMar w:left="440" w:top="268" w:right="459" w:bottom="1440" w:gutter="0" w:footer="0" w:header="0"/>
        </w:sectPr>
      </w:pPr>
    </w:p>
    <w:p>
      <w:pPr>
        <w:ind w:left="3860" w:right="60"/>
        <w:spacing w:after="0" w:line="258" w:lineRule="auto"/>
        <w:rPr>
          <w:sz w:val="20"/>
          <w:szCs w:val="20"/>
          <w:color w:val="auto"/>
        </w:rPr>
      </w:pPr>
      <w:r>
        <w:rPr>
          <w:rFonts w:ascii="Times New Roman" w:cs="Times New Roman" w:eastAsia="Times New Roman" w:hAnsi="Times New Roman"/>
          <w:sz w:val="18"/>
          <w:szCs w:val="18"/>
          <w:color w:val="auto"/>
        </w:rPr>
        <w:t>(1) (a) the sum of the present values of the remaining scheduled payments of principal and interest thereon in each case discounted to the redemption date (assuming the 2032 Notes matured on the Par Call Date) on a semiannual basis (assuming a 360-day year consisting of twelve 30-day months) at the Treasury Rate plus 15 basis points less (b) interest accrued to the date of redemption, and</w:t>
      </w:r>
    </w:p>
    <w:p>
      <w:pPr>
        <w:spacing w:after="0" w:line="7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(2) 100% of the principal amount of the 2032 Notes to be redeemed,</w:t>
      </w:r>
    </w:p>
    <w:p>
      <w:pPr>
        <w:spacing w:after="0" w:line="1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131" w:lineRule="exact"/>
        <w:rPr>
          <w:sz w:val="20"/>
          <w:szCs w:val="20"/>
          <w:color w:val="auto"/>
        </w:rPr>
      </w:pPr>
    </w:p>
    <w:p>
      <w:pPr>
        <w:jc w:val="both"/>
        <w:ind w:left="3860" w:right="280"/>
        <w:spacing w:after="0" w:line="289" w:lineRule="auto"/>
        <w:rPr>
          <w:sz w:val="20"/>
          <w:szCs w:val="20"/>
          <w:color w:val="auto"/>
        </w:rPr>
      </w:pPr>
      <w:r>
        <w:rPr>
          <w:rFonts w:ascii="Times New Roman" w:cs="Times New Roman" w:eastAsia="Times New Roman" w:hAnsi="Times New Roman"/>
          <w:sz w:val="17"/>
          <w:szCs w:val="17"/>
          <w:color w:val="auto"/>
        </w:rPr>
        <w:t>On or after the Par Call Date, the Issuer may redeem the 2032 Notes, in whole or in part, at any time and from time to time, at a redemption price equal to 100% of the principal amount of the 2032 Notes being redeemed plus accrued and unpaid interest thereon to the redemption date.</w:t>
      </w:r>
    </w:p>
    <w:p>
      <w:pPr>
        <w:spacing w:after="0" w:line="50" w:lineRule="exact"/>
        <w:rPr>
          <w:sz w:val="20"/>
          <w:szCs w:val="20"/>
          <w:color w:val="auto"/>
        </w:rPr>
      </w:pPr>
    </w:p>
    <w:p>
      <w:pPr>
        <w:ind w:left="3860" w:right="40"/>
        <w:spacing w:after="0" w:line="289" w:lineRule="auto"/>
        <w:rPr>
          <w:sz w:val="20"/>
          <w:szCs w:val="20"/>
          <w:color w:val="auto"/>
        </w:rPr>
      </w:pPr>
      <w:r>
        <w:rPr>
          <w:rFonts w:ascii="Times New Roman" w:cs="Times New Roman" w:eastAsia="Times New Roman" w:hAnsi="Times New Roman"/>
          <w:sz w:val="17"/>
          <w:szCs w:val="17"/>
          <w:color w:val="auto"/>
        </w:rPr>
        <w:t>The Issuer will deliver to the Trustee at least 15 days prior to the date on which notice of a redemption is mailed to holders of the 2032 Notes (unless a shorter time period shall be acceptable to the Trustee) an Officers’ Certificate stating the aggregate principal amount of 2032 Notes.</w:t>
      </w:r>
    </w:p>
    <w:p>
      <w:pPr>
        <w:spacing w:after="0" w:line="63" w:lineRule="exact"/>
        <w:rPr>
          <w:sz w:val="20"/>
          <w:szCs w:val="20"/>
          <w:color w:val="auto"/>
        </w:rPr>
      </w:pPr>
    </w:p>
    <w:p>
      <w:pPr>
        <w:ind w:left="3860"/>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2032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8" w:right="459" w:bottom="1440" w:gutter="0" w:footer="0" w:header="0"/>
          <w:type w:val="continuous"/>
        </w:sectPr>
      </w:pPr>
    </w:p>
    <w:bookmarkStart w:id="39" w:name="page40"/>
    <w:bookmarkEnd w:id="39"/>
    <w:p>
      <w:pPr>
        <w:ind w:left="38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partial redemption, selection of the 2032 Notes for redemption will be made pro rata, by lot or by such other method as the Trustee in its sole discretion deems appropriate and fair. No 2032 Note of a principal amount of $2,000 or less will be redeemed in part. If any 2032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2032 Note upon surrender for cancellation of the original Note. For so long as the 2032 Notes are held by DTC (or another Depositary), the redemption of the 2032 Notes shall be done in accordance with the policies and procedures of the Depositary.</w:t>
      </w:r>
    </w:p>
    <w:p>
      <w:pPr>
        <w:spacing w:after="0" w:line="80" w:lineRule="exact"/>
        <w:rPr>
          <w:sz w:val="20"/>
          <w:szCs w:val="20"/>
          <w:color w:val="auto"/>
        </w:rPr>
      </w:pPr>
    </w:p>
    <w:p>
      <w:pPr>
        <w:ind w:left="3860" w:right="2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2032 Notes or portions thereof called for redemption.</w:t>
      </w:r>
    </w:p>
    <w:p>
      <w:pPr>
        <w:sectPr>
          <w:pgSz w:w="11900" w:h="16838" w:orient="portrait"/>
          <w:cols w:equalWidth="0" w:num="1">
            <w:col w:w="10980"/>
          </w:cols>
          <w:pgMar w:left="440" w:top="270" w:right="479" w:bottom="1440" w:gutter="0" w:footer="0" w:header="0"/>
        </w:sectPr>
      </w:pP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Conversion:</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i w:val="1"/>
          <w:iCs w:val="1"/>
          <w:color w:val="auto"/>
        </w:rPr>
        <w:t>Sinking Fund: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15"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multiples of $1,000 in excess thereof.</w:t>
      </w:r>
    </w:p>
    <w:p>
      <w:pPr>
        <w:spacing w:after="0" w:line="126"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2032 Notes shall include such other terms as are set forth in the form of 2032 Notes attached hereto as </w:t>
      </w:r>
      <w:r>
        <w:rPr>
          <w:rFonts w:ascii="Times New Roman" w:cs="Times New Roman" w:eastAsia="Times New Roman" w:hAnsi="Times New Roman"/>
          <w:sz w:val="18"/>
          <w:szCs w:val="18"/>
          <w:b w:val="1"/>
          <w:bCs w:val="1"/>
          <w:color w:val="auto"/>
        </w:rPr>
        <w:t>Exhibit A</w:t>
      </w:r>
      <w:r>
        <w:rPr>
          <w:rFonts w:ascii="Times New Roman" w:cs="Times New Roman" w:eastAsia="Times New Roman" w:hAnsi="Times New Roman"/>
          <w:sz w:val="18"/>
          <w:szCs w:val="18"/>
          <w:color w:val="auto"/>
        </w:rPr>
        <w:t xml:space="preserve"> and in the Indenture.</w:t>
      </w:r>
    </w:p>
    <w:p>
      <w:pPr>
        <w:spacing w:after="0" w:line="200"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The 2052 Notes</w:t>
      </w:r>
    </w:p>
    <w:p>
      <w:pPr>
        <w:sectPr>
          <w:pgSz w:w="11900" w:h="16838" w:orient="portrait"/>
          <w:cols w:equalWidth="0" w:num="1">
            <w:col w:w="10980"/>
          </w:cols>
          <w:pgMar w:left="440" w:top="270" w:right="479" w:bottom="1440" w:gutter="0" w:footer="0" w:header="0"/>
          <w:type w:val="continuous"/>
        </w:sect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Title: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4.100% Notes due 2052.</w:t>
      </w:r>
    </w:p>
    <w:p>
      <w:pPr>
        <w:spacing w:after="0" w:line="115"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i w:val="1"/>
          <w:iCs w:val="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Texas Instruments Incorporated.</w:t>
      </w:r>
    </w:p>
    <w:p>
      <w:pPr>
        <w:spacing w:after="0" w:line="169" w:lineRule="exact"/>
        <w:rPr>
          <w:sz w:val="20"/>
          <w:szCs w:val="20"/>
          <w:color w:val="auto"/>
        </w:rPr>
      </w:pPr>
    </w:p>
    <w:p>
      <w:pPr>
        <w:sectPr>
          <w:pgSz w:w="11900" w:h="16838" w:orient="portrait"/>
          <w:cols w:equalWidth="0" w:num="2">
            <w:col w:w="3140" w:space="720"/>
            <w:col w:w="7120"/>
          </w:cols>
          <w:pgMar w:left="440" w:top="270" w:right="4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980"/>
          </w:cols>
          <w:pgMar w:left="440" w:top="270" w:right="479" w:bottom="1440" w:gutter="0" w:footer="0" w:header="0"/>
          <w:type w:val="continuous"/>
        </w:sectPr>
      </w:pPr>
    </w:p>
    <w:bookmarkStart w:id="40" w:name="page41"/>
    <w:bookmarkEnd w:id="40"/>
    <w:p>
      <w:pPr>
        <w:spacing w:after="0" w:line="284" w:lineRule="auto"/>
        <w:rPr>
          <w:sz w:val="20"/>
          <w:szCs w:val="20"/>
          <w:color w:val="auto"/>
        </w:rPr>
      </w:pPr>
      <w:r>
        <w:rPr>
          <w:rFonts w:ascii="Times New Roman" w:cs="Times New Roman" w:eastAsia="Times New Roman" w:hAnsi="Times New Roman"/>
          <w:sz w:val="18"/>
          <w:szCs w:val="18"/>
          <w:i w:val="1"/>
          <w:iCs w:val="1"/>
          <w:color w:val="auto"/>
        </w:rPr>
        <w:t>Trustee, Registrar, Transfer Agent, Authenticating Agent, and Paying Agent: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Aggregate Principal Amount at Maturity: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Principal Payment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Date from which Interest will Accrue: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Payment Dates: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0" w:lineRule="exact"/>
        <w:rPr>
          <w:sz w:val="20"/>
          <w:szCs w:val="20"/>
          <w:color w:val="auto"/>
        </w:rPr>
      </w:pPr>
      <w:r>
        <w:rPr>
          <w:sz w:val="20"/>
          <w:szCs w:val="20"/>
          <w:color w:val="auto"/>
        </w:rPr>
        <w:br w:type="column"/>
      </w:r>
    </w:p>
    <w:p>
      <w:pPr>
        <w:ind w:left="3" w:right="200"/>
        <w:spacing w:after="0" w:line="282" w:lineRule="auto"/>
        <w:rPr>
          <w:sz w:val="20"/>
          <w:szCs w:val="20"/>
          <w:color w:val="auto"/>
        </w:rPr>
      </w:pPr>
      <w:r>
        <w:rPr>
          <w:rFonts w:ascii="Times New Roman" w:cs="Times New Roman" w:eastAsia="Times New Roman" w:hAnsi="Times New Roman"/>
          <w:sz w:val="18"/>
          <w:szCs w:val="18"/>
          <w:color w:val="auto"/>
        </w:rPr>
        <w:t>U.S. Bank Trust Company, National Association, as successor in interest to U.S.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-2532380</wp:posOffset>
            </wp:positionH>
            <wp:positionV relativeFrom="paragraph">
              <wp:posOffset>-391160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3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$300,000,000.</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August 16, 2052.</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4.100% per annum.</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August 16, 2022.</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February 16 and August 16, commencing on February 16, 2023.</w:t>
      </w:r>
    </w:p>
    <w:p>
      <w:pPr>
        <w:spacing w:after="0" w:line="117" w:lineRule="exact"/>
        <w:rPr>
          <w:sz w:val="20"/>
          <w:szCs w:val="20"/>
          <w:color w:val="auto"/>
        </w:rPr>
      </w:pPr>
    </w:p>
    <w:p>
      <w:pPr>
        <w:ind w:left="3" w:right="60"/>
        <w:spacing w:after="0" w:line="266" w:lineRule="auto"/>
        <w:rPr>
          <w:sz w:val="20"/>
          <w:szCs w:val="20"/>
          <w:color w:val="auto"/>
        </w:rPr>
      </w:pPr>
      <w:r>
        <w:rPr>
          <w:rFonts w:ascii="Times New Roman" w:cs="Times New Roman" w:eastAsia="Times New Roman" w:hAnsi="Times New Roman"/>
          <w:sz w:val="18"/>
          <w:szCs w:val="18"/>
          <w:color w:val="auto"/>
        </w:rPr>
        <w:t>Prior to the Par Call Date, the 2052 Notes will be redeemable, in whole or in part at any time, or from time to time, at the Issuer’s option, at a “make-whole premium” redemption price calculated by the Issuer equal to the greater of:</w:t>
      </w:r>
    </w:p>
    <w:p>
      <w:pPr>
        <w:spacing w:after="0" w:line="81" w:lineRule="exact"/>
        <w:rPr>
          <w:sz w:val="20"/>
          <w:szCs w:val="20"/>
          <w:color w:val="auto"/>
        </w:rPr>
      </w:pPr>
    </w:p>
    <w:p>
      <w:pPr>
        <w:ind w:left="3" w:hanging="3"/>
        <w:spacing w:after="0" w:line="258" w:lineRule="auto"/>
        <w:tabs>
          <w:tab w:leader="none" w:pos="25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in each case discounted to the redemption date (assuming the 2052 Notes matured on the Par Call Date) on a semiannual basis (assuming a 360-day year consisting of twelve 30-day months) at the Treasury Rate (as defined in the 2052 Notes) plus 20 basis points less (b) interest accrued to the date of redemption, and</w:t>
      </w:r>
    </w:p>
    <w:p>
      <w:pPr>
        <w:spacing w:after="0" w:line="88" w:lineRule="exact"/>
        <w:rPr>
          <w:rFonts w:ascii="Times New Roman" w:cs="Times New Roman" w:eastAsia="Times New Roman" w:hAnsi="Times New Roman"/>
          <w:sz w:val="18"/>
          <w:szCs w:val="18"/>
          <w:color w:val="auto"/>
        </w:rPr>
      </w:pPr>
    </w:p>
    <w:p>
      <w:pPr>
        <w:ind w:left="263" w:hanging="263"/>
        <w:spacing w:after="0"/>
        <w:tabs>
          <w:tab w:leader="none" w:pos="26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2052 Notes to be redeemed,</w:t>
      </w:r>
    </w:p>
    <w:p>
      <w:pPr>
        <w:spacing w:after="0" w:line="13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131" w:lineRule="exact"/>
        <w:rPr>
          <w:sz w:val="20"/>
          <w:szCs w:val="20"/>
          <w:color w:val="auto"/>
        </w:rPr>
      </w:pPr>
    </w:p>
    <w:p>
      <w:pPr>
        <w:jc w:val="both"/>
        <w:ind w:left="3" w:right="220"/>
        <w:spacing w:after="0" w:line="289" w:lineRule="auto"/>
        <w:rPr>
          <w:sz w:val="20"/>
          <w:szCs w:val="20"/>
          <w:color w:val="auto"/>
        </w:rPr>
      </w:pPr>
      <w:r>
        <w:rPr>
          <w:rFonts w:ascii="Times New Roman" w:cs="Times New Roman" w:eastAsia="Times New Roman" w:hAnsi="Times New Roman"/>
          <w:sz w:val="17"/>
          <w:szCs w:val="17"/>
          <w:color w:val="auto"/>
        </w:rPr>
        <w:t>On or after the Par Call Date, the Issuer may redeem the 2052 Notes, in whole or in part, at any time and from time to time, at a redemption price equal to 100% of the principal amount of the 2052 Notes being redeemed plus accrued and unpaid interest thereon to the redemption date.</w:t>
      </w:r>
    </w:p>
    <w:p>
      <w:pPr>
        <w:spacing w:after="0" w:line="63" w:lineRule="exact"/>
        <w:rPr>
          <w:sz w:val="20"/>
          <w:szCs w:val="20"/>
          <w:color w:val="auto"/>
        </w:rPr>
      </w:pPr>
    </w:p>
    <w:p>
      <w:pPr>
        <w:ind w:left="3" w:right="580"/>
        <w:spacing w:after="0" w:line="282" w:lineRule="auto"/>
        <w:rPr>
          <w:sz w:val="20"/>
          <w:szCs w:val="20"/>
          <w:color w:val="auto"/>
        </w:rPr>
      </w:pPr>
      <w:r>
        <w:rPr>
          <w:rFonts w:ascii="Times New Roman" w:cs="Times New Roman" w:eastAsia="Times New Roman" w:hAnsi="Times New Roman"/>
          <w:sz w:val="18"/>
          <w:szCs w:val="18"/>
          <w:color w:val="auto"/>
        </w:rPr>
        <w:t>The Issuer will deliver to the Trustee at least 15 days prior to the date on which notice of a redemption is mailed to holders of the 2052 Notes (unless a shorter</w:t>
      </w:r>
    </w:p>
    <w:p>
      <w:pPr>
        <w:spacing w:after="0" w:line="108" w:lineRule="exact"/>
        <w:rPr>
          <w:sz w:val="20"/>
          <w:szCs w:val="20"/>
          <w:color w:val="auto"/>
        </w:rPr>
      </w:pPr>
    </w:p>
    <w:p>
      <w:pPr>
        <w:ind w:left="160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2">
            <w:col w:w="3580" w:space="277"/>
            <w:col w:w="7083"/>
          </w:cols>
          <w:pgMar w:left="440" w:top="268" w:right="519" w:bottom="1440" w:gutter="0" w:footer="0" w:header="0"/>
        </w:sectPr>
      </w:pPr>
    </w:p>
    <w:bookmarkStart w:id="41" w:name="page42"/>
    <w:bookmarkEnd w:id="41"/>
    <w:p>
      <w:pPr>
        <w:ind w:left="37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 period shall be acceptable to the Trustee) an Officers’ Certificate stating the aggregate principal amount of 2052 Notes.</w:t>
      </w:r>
    </w:p>
    <w:p>
      <w:pPr>
        <w:spacing w:after="0" w:line="67" w:lineRule="exact"/>
        <w:rPr>
          <w:sz w:val="20"/>
          <w:szCs w:val="20"/>
          <w:color w:val="auto"/>
        </w:rPr>
      </w:pPr>
    </w:p>
    <w:p>
      <w:pPr>
        <w:ind w:left="3740" w:right="20"/>
        <w:spacing w:after="0" w:line="254"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 Notice of any redemption may, at the Issuer’s discretion, be given subject to one or more conditions precedent, including, but not limited to, completion of a corporate transaction that is pending. If such redemption is so subject to satisfaction of one or more conditions precedent, such notice shall describe each such condition, and such notice may be rescinded in the event that any or all such conditions shall not have been satisfied or otherwise waived on or prior to the Business Day immediately preceding the relevant redemption date.</w:t>
      </w:r>
    </w:p>
    <w:p>
      <w:pPr>
        <w:spacing w:after="0" w:line="94" w:lineRule="exact"/>
        <w:rPr>
          <w:sz w:val="20"/>
          <w:szCs w:val="20"/>
          <w:color w:val="auto"/>
        </w:rPr>
      </w:pPr>
    </w:p>
    <w:p>
      <w:pPr>
        <w:ind w:left="3740"/>
        <w:spacing w:after="0" w:line="254" w:lineRule="auto"/>
        <w:rPr>
          <w:sz w:val="20"/>
          <w:szCs w:val="20"/>
          <w:color w:val="auto"/>
        </w:rPr>
      </w:pPr>
      <w:r>
        <w:rPr>
          <w:rFonts w:ascii="Times New Roman" w:cs="Times New Roman" w:eastAsia="Times New Roman" w:hAnsi="Times New Roman"/>
          <w:sz w:val="18"/>
          <w:szCs w:val="18"/>
          <w:color w:val="auto"/>
        </w:rPr>
        <w:t>In the case of a partial redemption, selection of the 2052 Notes for redemption will be made pro rata, by lot or by such other method as the Trustee in its sole discretion deems appropriate and fair. No 2052 Note of a principal amount of $2,000 or less will be redeemed in part. If any 2052 Note is to be redeemed in part only, the notice of redemption that relates to such Note will state the portion of the principal amount of such Note to be redeemed. A new Note in a principal amount equal to the unredeemed portion of the Note will be issued in the name of the holder of the Note upon surrender for cancellation of the original Note. For so long as the 2052 Notes are held by DTC (or another Depositary), the redemption of the 2052 Notes shall be done in accordance with the policies and procedures of the Depositary.</w:t>
      </w:r>
    </w:p>
    <w:p>
      <w:pPr>
        <w:spacing w:after="0" w:line="94" w:lineRule="exact"/>
        <w:rPr>
          <w:sz w:val="20"/>
          <w:szCs w:val="20"/>
          <w:color w:val="auto"/>
        </w:rPr>
      </w:pPr>
    </w:p>
    <w:p>
      <w:pPr>
        <w:ind w:left="3740" w:right="36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2052 Notes or portions thereof called for redemption.</w:t>
      </w:r>
    </w:p>
    <w:p>
      <w:pPr>
        <w:spacing w:after="0" w:line="65"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8"/>
          <w:szCs w:val="18"/>
          <w:i w:val="1"/>
          <w:iCs w:val="1"/>
          <w:color w:val="auto"/>
        </w:rPr>
        <w:t>Conversion:</w:t>
      </w:r>
      <w:r>
        <w:rPr>
          <w:sz w:val="20"/>
          <w:szCs w:val="20"/>
          <w:color w:val="auto"/>
        </w:rPr>
        <w:tab/>
      </w:r>
      <w:r>
        <w:rPr>
          <w:rFonts w:ascii="Times New Roman" w:cs="Times New Roman" w:eastAsia="Times New Roman" w:hAnsi="Times New Roman"/>
          <w:sz w:val="18"/>
          <w:szCs w:val="18"/>
          <w:color w:val="auto"/>
        </w:rPr>
        <w:t>None.</w:t>
      </w:r>
    </w:p>
    <w:p>
      <w:pPr>
        <w:spacing w:after="0" w:line="117" w:lineRule="exact"/>
        <w:rPr>
          <w:sz w:val="20"/>
          <w:szCs w:val="20"/>
          <w:color w:val="auto"/>
        </w:rPr>
      </w:pPr>
    </w:p>
    <w:p>
      <w:pPr>
        <w:spacing w:after="0"/>
        <w:tabs>
          <w:tab w:leader="none" w:pos="3720" w:val="left"/>
        </w:tabs>
        <w:rPr>
          <w:sz w:val="20"/>
          <w:szCs w:val="20"/>
          <w:color w:val="auto"/>
        </w:rPr>
      </w:pPr>
      <w:r>
        <w:rPr>
          <w:rFonts w:ascii="Times New Roman" w:cs="Times New Roman" w:eastAsia="Times New Roman" w:hAnsi="Times New Roman"/>
          <w:sz w:val="18"/>
          <w:szCs w:val="18"/>
          <w:i w:val="1"/>
          <w:iCs w:val="1"/>
          <w:color w:val="auto"/>
        </w:rPr>
        <w:t>Sinking Fund:</w:t>
      </w:r>
      <w:r>
        <w:rPr>
          <w:sz w:val="20"/>
          <w:szCs w:val="20"/>
          <w:color w:val="auto"/>
        </w:rPr>
        <w:tab/>
      </w:r>
      <w:r>
        <w:rPr>
          <w:rFonts w:ascii="Times New Roman" w:cs="Times New Roman" w:eastAsia="Times New Roman" w:hAnsi="Times New Roman"/>
          <w:sz w:val="18"/>
          <w:szCs w:val="18"/>
          <w:color w:val="auto"/>
        </w:rPr>
        <w:t>None.</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multiples of $1,000 in excess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-206375</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3140" w:space="720"/>
            <w:col w:w="7120"/>
          </w:cols>
          <w:pgMar w:left="440" w:top="268" w:right="479" w:bottom="1440" w:gutter="0" w:footer="0" w:header="0"/>
        </w:sectPr>
      </w:pPr>
    </w:p>
    <w:p>
      <w:pPr>
        <w:spacing w:after="0"/>
        <w:rPr>
          <w:sz w:val="20"/>
          <w:szCs w:val="20"/>
          <w:color w:val="auto"/>
        </w:rPr>
      </w:pPr>
      <w:r>
        <w:rPr>
          <w:rFonts w:ascii="Times New Roman" w:cs="Times New Roman" w:eastAsia="Times New Roman" w:hAnsi="Times New Roman"/>
          <w:sz w:val="18"/>
          <w:szCs w:val="18"/>
          <w:i w:val="1"/>
          <w:iCs w:val="1"/>
          <w:color w:val="auto"/>
        </w:rPr>
        <w:t>Miscellaneous:</w:t>
      </w:r>
    </w:p>
    <w:p>
      <w:pPr>
        <w:spacing w:after="0" w:line="20" w:lineRule="exact"/>
        <w:rPr>
          <w:sz w:val="20"/>
          <w:szCs w:val="20"/>
          <w:color w:val="auto"/>
        </w:rPr>
      </w:pPr>
      <w:r>
        <w:rPr>
          <w:sz w:val="20"/>
          <w:szCs w:val="20"/>
          <w:color w:val="auto"/>
        </w:rPr>
        <w:br w:type="column"/>
      </w: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The terms of the 2052 Notes shall include such other terms as are set forth in the form of 2052 Notes attached hereto as </w:t>
      </w:r>
      <w:r>
        <w:rPr>
          <w:rFonts w:ascii="Times New Roman" w:cs="Times New Roman" w:eastAsia="Times New Roman" w:hAnsi="Times New Roman"/>
          <w:sz w:val="18"/>
          <w:szCs w:val="18"/>
          <w:b w:val="1"/>
          <w:bCs w:val="1"/>
          <w:color w:val="auto"/>
        </w:rPr>
        <w:t>Exhibit B</w:t>
      </w:r>
      <w:r>
        <w:rPr>
          <w:rFonts w:ascii="Times New Roman" w:cs="Times New Roman" w:eastAsia="Times New Roman" w:hAnsi="Times New Roman"/>
          <w:sz w:val="18"/>
          <w:szCs w:val="18"/>
          <w:color w:val="auto"/>
        </w:rPr>
        <w:t xml:space="preserve"> and in the Indenture.</w:t>
      </w:r>
    </w:p>
    <w:p>
      <w:pPr>
        <w:spacing w:after="0" w:line="162" w:lineRule="exact"/>
        <w:rPr>
          <w:sz w:val="20"/>
          <w:szCs w:val="20"/>
          <w:color w:val="auto"/>
        </w:rPr>
      </w:pPr>
    </w:p>
    <w:p>
      <w:pPr>
        <w:sectPr>
          <w:pgSz w:w="11900" w:h="16838" w:orient="portrait"/>
          <w:cols w:equalWidth="0" w:num="2">
            <w:col w:w="3140" w:space="720"/>
            <w:col w:w="7120"/>
          </w:cols>
          <w:pgMar w:left="440" w:top="268" w:right="479" w:bottom="1440" w:gutter="0" w:footer="0" w:header="0"/>
          <w:type w:val="continuous"/>
        </w:sect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Subject to the representations, warranties and covenants described in the Indenture, as amended or supplemented from time to time, the Issuer shall be entitled, subject to authorization by the Board of Directors of the Issuer and an Officers’ Certificate, to issue additional notes from time to time under each series of Notes issued hereby. Any such additional notes of a series shall have identical terms as the 2032 Notes or the 2052 Notes, as the case may be, other than with respect to the date of issuance, the issue price and interest accrued prior to the issue date of the additional notes (together, the “</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xml:space="preserve">”). The Additional Notes of a series will have the same CUSIP number as the applicable series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that are not fungible with the applicable series of Notes for U.S. federal income tax purposes will be issued under a separate CUSIP number. Any Additional Notes will be issued in accordance with Section 2.03 of the Indenture.</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The undersigned officers have read and understand the provisions of the Indenture and the definitions relating thereto. The statements made in this Officers’ Certificate are based upon the examination of the provisions of the Indenture and upon the relevant books and records of the Issuer. In the opinion of each undersigned officer, such officer has made such examination or investigation as is necessary to enable such officer to express an informed opinion as to whether or not the covenants and conditions of such Indenture relating to the issuance and authentication of the Notes have been complied with. In such officer’s opinion, such covenants and conditions have been complied with.</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8" w:right="47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officers of the Issuer have duly executed this certificate as of the date first set forth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Senior Vice President and</w:t>
      </w:r>
    </w:p>
    <w:p>
      <w:pPr>
        <w:spacing w:after="0" w:line="9"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Jack I. Holmes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17145</wp:posOffset>
            </wp:positionV>
            <wp:extent cx="257175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6520"/>
        <w:spacing w:after="0"/>
        <w:tabs>
          <w:tab w:leader="none" w:pos="708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5"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Officers’ Certificate Pursuant to the Indenture</w:t>
      </w:r>
      <w:r>
        <w:rPr>
          <w:rFonts w:ascii="Times New Roman" w:cs="Times New Roman" w:eastAsia="Times New Roman" w:hAnsi="Times New Roman"/>
          <w:sz w:val="18"/>
          <w:szCs w:val="18"/>
          <w:color w:val="auto"/>
        </w:rPr>
        <w:t>]</w:t>
      </w:r>
    </w:p>
    <w:p>
      <w:pPr>
        <w:sectPr>
          <w:pgSz w:w="11900" w:h="16838" w:orient="portrait"/>
          <w:cols w:equalWidth="0" w:num="1">
            <w:col w:w="9660"/>
          </w:cols>
          <w:pgMar w:left="880" w:top="270" w:right="13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2032]</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66" w:right="4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3.650% Notes due 2032</w:t>
      </w:r>
    </w:p>
    <w:p>
      <w:pPr>
        <w:spacing w:after="0" w:line="234" w:lineRule="exact"/>
        <w:rPr>
          <w:sz w:val="20"/>
          <w:szCs w:val="20"/>
          <w:color w:val="auto"/>
        </w:rPr>
      </w:pPr>
    </w:p>
    <w:p>
      <w:pPr>
        <w:spacing w:after="0"/>
        <w:tabs>
          <w:tab w:leader="none" w:pos="9180" w:val="left"/>
        </w:tabs>
        <w:rPr>
          <w:sz w:val="20"/>
          <w:szCs w:val="20"/>
          <w:color w:val="auto"/>
        </w:rPr>
      </w:pPr>
      <w:r>
        <w:rPr>
          <w:rFonts w:ascii="Times New Roman" w:cs="Times New Roman" w:eastAsia="Times New Roman" w:hAnsi="Times New Roman"/>
          <w:sz w:val="18"/>
          <w:szCs w:val="18"/>
          <w:color w:val="auto"/>
        </w:rPr>
        <w:t>No. [1]</w:t>
      </w:r>
      <w:r>
        <w:rPr>
          <w:sz w:val="20"/>
          <w:szCs w:val="20"/>
          <w:color w:val="auto"/>
        </w:rPr>
        <w:tab/>
      </w:r>
      <w:r>
        <w:rPr>
          <w:rFonts w:ascii="Times New Roman" w:cs="Times New Roman" w:eastAsia="Times New Roman" w:hAnsi="Times New Roman"/>
          <w:sz w:val="18"/>
          <w:szCs w:val="18"/>
          <w:color w:val="auto"/>
        </w:rPr>
        <w:t>CUSIP No.: 882508 BP8</w:t>
      </w:r>
    </w:p>
    <w:p>
      <w:pPr>
        <w:spacing w:after="0" w:line="27" w:lineRule="exact"/>
        <w:rPr>
          <w:sz w:val="20"/>
          <w:szCs w:val="20"/>
          <w:color w:val="auto"/>
        </w:rPr>
      </w:pPr>
    </w:p>
    <w:p>
      <w:pPr>
        <w:ind w:left="9080"/>
        <w:spacing w:after="0"/>
        <w:rPr>
          <w:sz w:val="20"/>
          <w:szCs w:val="20"/>
          <w:color w:val="auto"/>
        </w:rPr>
      </w:pPr>
      <w:r>
        <w:rPr>
          <w:rFonts w:ascii="Times New Roman" w:cs="Times New Roman" w:eastAsia="Times New Roman" w:hAnsi="Times New Roman"/>
          <w:sz w:val="18"/>
          <w:szCs w:val="18"/>
          <w:color w:val="auto"/>
        </w:rPr>
        <w:t>ISIN No.: US882508BP81</w:t>
      </w:r>
    </w:p>
    <w:p>
      <w:pPr>
        <w:spacing w:after="0" w:line="247" w:lineRule="exact"/>
        <w:rPr>
          <w:sz w:val="20"/>
          <w:szCs w:val="20"/>
          <w:color w:val="auto"/>
        </w:rPr>
      </w:pPr>
    </w:p>
    <w:p>
      <w:pPr>
        <w:ind w:left="10440"/>
        <w:spacing w:after="0"/>
        <w:tabs>
          <w:tab w:leader="none" w:pos="10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TEXAS INSTRUMENTS INCORPORATED,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for value received promises to pay to CEDE &amp; CO. or</w:t>
      </w:r>
    </w:p>
    <w:p>
      <w:pPr>
        <w:spacing w:after="0" w:line="31"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registered assigns the principal sum of $[</w:t>
      </w:r>
      <w:r>
        <w:rPr>
          <w:sz w:val="20"/>
          <w:szCs w:val="20"/>
          <w:color w:val="auto"/>
        </w:rPr>
        <w:tab/>
      </w:r>
      <w:r>
        <w:rPr>
          <w:rFonts w:ascii="Times New Roman" w:cs="Times New Roman" w:eastAsia="Times New Roman" w:hAnsi="Times New Roman"/>
          <w:sz w:val="17"/>
          <w:szCs w:val="17"/>
          <w:color w:val="auto"/>
        </w:rPr>
        <w:t>] on August 16, 2032.</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February 16 and August 16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February 16, 2023.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February 2 and August 2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sectPr>
      </w:pPr>
    </w:p>
    <w:bookmarkStart w:id="46" w:name="page47"/>
    <w:bookmarkEnd w:id="4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and</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5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Leslie Mba</w:t>
      </w:r>
    </w:p>
    <w:p>
      <w:pPr>
        <w:spacing w:after="0" w:line="27" w:lineRule="exact"/>
        <w:rPr>
          <w:sz w:val="20"/>
          <w:szCs w:val="20"/>
          <w:color w:val="auto"/>
        </w:rPr>
      </w:pPr>
    </w:p>
    <w:p>
      <w:pPr>
        <w:ind w:left="480"/>
        <w:spacing w:after="0"/>
        <w:tabs>
          <w:tab w:leader="none" w:pos="1080" w:val="left"/>
        </w:tabs>
        <w:rPr>
          <w:sz w:val="20"/>
          <w:szCs w:val="20"/>
          <w:color w:val="auto"/>
        </w:rPr>
      </w:pPr>
      <w:r>
        <w:rPr>
          <w:rFonts w:ascii="Times New Roman" w:cs="Times New Roman" w:eastAsia="Times New Roman" w:hAnsi="Times New Roman"/>
          <w:sz w:val="18"/>
          <w:szCs w:val="18"/>
          <w:color w:val="auto"/>
        </w:rPr>
        <w:t>Title:</w:t>
        <w:tab/>
        <w:t>Vice President, Assistant Secretary and</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Assistant General Counsel</w:t>
      </w:r>
    </w:p>
    <w:p>
      <w:pPr>
        <w:sectPr>
          <w:pgSz w:w="11900" w:h="16838" w:orient="portrait"/>
          <w:cols w:equalWidth="0" w:num="1">
            <w:col w:w="11000"/>
          </w:cols>
          <w:pgMar w:left="440" w:top="270" w:right="459" w:bottom="1440" w:gutter="0" w:footer="0" w:header="0"/>
        </w:sectPr>
      </w:pPr>
    </w:p>
    <w:bookmarkStart w:id="47" w:name="page48"/>
    <w:bookmarkEnd w:id="4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 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16,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U.S. BANK TRUST COMPANY, NATIONAL</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10140"/>
          </w:cols>
          <w:pgMar w:left="440" w:top="270" w:right="131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3.650% Notes due 2032</w:t>
      </w:r>
    </w:p>
    <w:p>
      <w:pPr>
        <w:spacing w:after="0" w:line="252" w:lineRule="exact"/>
        <w:rPr>
          <w:sz w:val="20"/>
          <w:szCs w:val="20"/>
          <w:color w:val="auto"/>
        </w:rPr>
      </w:pPr>
    </w:p>
    <w:p>
      <w:pPr>
        <w:ind w:left="1420" w:hanging="439"/>
        <w:spacing w:after="0"/>
        <w:tabs>
          <w:tab w:leader="none" w:pos="14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11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August 16, 2022. Interest on this Note will be paid to but excluding the relevant Interest Payment Date. The Issuer will pay interest semi-annually in arrears on each Interest Payment Date, commencing February 16, 2023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310" w:lineRule="exact"/>
        <w:rPr>
          <w:sz w:val="20"/>
          <w:szCs w:val="20"/>
          <w:color w:val="auto"/>
        </w:rPr>
      </w:pPr>
    </w:p>
    <w:p>
      <w:pPr>
        <w:ind w:left="1420" w:hanging="439"/>
        <w:spacing w:after="0"/>
        <w:tabs>
          <w:tab w:leader="none" w:pos="14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w:t>
      </w:r>
    </w:p>
    <w:p>
      <w:pPr>
        <w:spacing w:after="0" w:line="113"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color w:val="auto"/>
        </w:rPr>
        <w:t>Initially,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1420" w:hanging="439"/>
        <w:spacing w:after="0"/>
        <w:tabs>
          <w:tab w:leader="none" w:pos="14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Defined Terms.</w:t>
      </w:r>
    </w:p>
    <w:p>
      <w:pPr>
        <w:spacing w:after="0" w:line="113"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This Note is one of the 3.650% Notes due 2032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August 16, 2022,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right="140" w:firstLine="991"/>
        <w:spacing w:after="0" w:line="269" w:lineRule="auto"/>
        <w:rPr>
          <w:sz w:val="20"/>
          <w:szCs w:val="20"/>
          <w:color w:val="auto"/>
        </w:rPr>
      </w:pPr>
      <w:r>
        <w:rPr>
          <w:rFonts w:ascii="Times New Roman" w:cs="Times New Roman" w:eastAsia="Times New Roman" w:hAnsi="Times New Roman"/>
          <w:sz w:val="17"/>
          <w:szCs w:val="17"/>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7"/>
          <w:szCs w:val="17"/>
          <w:b w:val="1"/>
          <w:bCs w:val="1"/>
          <w:color w:val="auto"/>
        </w:rPr>
        <w:t>TIA</w:t>
      </w:r>
      <w:r>
        <w:rPr>
          <w:rFonts w:ascii="Times New Roman" w:cs="Times New Roman" w:eastAsia="Times New Roman" w:hAnsi="Times New Roman"/>
          <w:sz w:val="17"/>
          <w:szCs w:val="17"/>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Section 10.01(b)(C) of the Base Indenture is amended and restated as set forth below for purposes of this Note, and Holders of Notes are referred to the Indenture and the TIA for a statement of such terms. To the</w:t>
      </w:r>
    </w:p>
    <w:p>
      <w:pPr>
        <w:sectPr>
          <w:pgSz w:w="11900" w:h="16838" w:orient="portrait"/>
          <w:cols w:equalWidth="0" w:num="1">
            <w:col w:w="11000"/>
          </w:cols>
          <w:pgMar w:left="440" w:top="270" w:right="459" w:bottom="1440" w:gutter="0" w:footer="0" w:header="0"/>
        </w:sectPr>
      </w:pPr>
    </w:p>
    <w:bookmarkStart w:id="49" w:name="page50"/>
    <w:bookmarkEnd w:id="49"/>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the terms of the Indenture and this Note are inconsistent, the terms of the Indenture shall govern, provided that, for purposes of this Note, Section 10.01(b)(C) of the Base Indenture is amended and restated as set forth below.</w:t>
      </w:r>
    </w:p>
    <w:p>
      <w:pPr>
        <w:spacing w:after="0" w:line="54" w:lineRule="exact"/>
        <w:rPr>
          <w:sz w:val="20"/>
          <w:szCs w:val="20"/>
          <w:color w:val="auto"/>
        </w:rPr>
      </w:pPr>
    </w:p>
    <w:p>
      <w:pPr>
        <w:ind w:left="980" w:firstLine="401"/>
        <w:spacing w:after="0" w:line="256" w:lineRule="auto"/>
        <w:rPr>
          <w:sz w:val="20"/>
          <w:szCs w:val="20"/>
          <w:color w:val="auto"/>
        </w:rPr>
      </w:pPr>
      <w:r>
        <w:rPr>
          <w:rFonts w:ascii="Times New Roman" w:cs="Times New Roman" w:eastAsia="Times New Roman" w:hAnsi="Times New Roman"/>
          <w:sz w:val="18"/>
          <w:szCs w:val="18"/>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336" w:lineRule="exact"/>
        <w:rPr>
          <w:sz w:val="20"/>
          <w:szCs w:val="20"/>
          <w:color w:val="auto"/>
        </w:rPr>
      </w:pPr>
    </w:p>
    <w:p>
      <w:pPr>
        <w:ind w:left="1420" w:hanging="439"/>
        <w:spacing w:after="0"/>
        <w:tabs>
          <w:tab w:leader="none" w:pos="14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w:t>
      </w:r>
    </w:p>
    <w:p>
      <w:pPr>
        <w:spacing w:after="0" w:line="11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336" w:lineRule="exact"/>
        <w:rPr>
          <w:sz w:val="20"/>
          <w:szCs w:val="20"/>
          <w:color w:val="auto"/>
        </w:rPr>
      </w:pPr>
    </w:p>
    <w:p>
      <w:pPr>
        <w:ind w:left="1420" w:hanging="439"/>
        <w:spacing w:after="0"/>
        <w:tabs>
          <w:tab w:leader="none" w:pos="14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ectPr>
          <w:pgSz w:w="11900" w:h="16838" w:orient="portrait"/>
          <w:cols w:equalWidth="0" w:num="1">
            <w:col w:w="11000"/>
          </w:cols>
          <w:pgMar w:left="440" w:top="270" w:right="459" w:bottom="1440" w:gutter="0" w:footer="0" w:header="0"/>
        </w:sectPr>
      </w:pPr>
    </w:p>
    <w:bookmarkStart w:id="50" w:name="page51"/>
    <w:bookmarkEnd w:id="50"/>
    <w:p>
      <w:pPr>
        <w:ind w:left="1420" w:hanging="439"/>
        <w:spacing w:after="0"/>
        <w:tabs>
          <w:tab w:leader="none" w:pos="14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p>
    <w:p>
      <w:pPr>
        <w:spacing w:after="0" w:line="11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pacing w:after="0" w:line="67"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15 basis points less (b) interest accrued to the date of redemption,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120" w:firstLine="987"/>
        <w:spacing w:after="0" w:line="282" w:lineRule="auto"/>
        <w:tabs>
          <w:tab w:leader="none" w:pos="124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May 16, 2032 (the date that is three months prior to the maturity date of the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20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70" w:right="459" w:bottom="1440" w:gutter="0" w:footer="0" w:header="0"/>
        </w:sectPr>
      </w:pPr>
    </w:p>
    <w:bookmarkStart w:id="51" w:name="page52"/>
    <w:bookmarkEnd w:id="51"/>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 error.</w:t>
      </w:r>
    </w:p>
    <w:p>
      <w:pPr>
        <w:spacing w:after="0" w:line="162"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Notes or portions thereof called for redemption.</w:t>
      </w:r>
    </w:p>
    <w:p>
      <w:pPr>
        <w:spacing w:after="0" w:line="310" w:lineRule="exact"/>
        <w:rPr>
          <w:sz w:val="20"/>
          <w:szCs w:val="20"/>
          <w:color w:val="auto"/>
        </w:rPr>
      </w:pPr>
    </w:p>
    <w:p>
      <w:pPr>
        <w:ind w:left="1420" w:hanging="439"/>
        <w:spacing w:after="0"/>
        <w:tabs>
          <w:tab w:leader="none" w:pos="1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11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1000"/>
          </w:cols>
          <w:pgMar w:left="440" w:top="270" w:right="459" w:bottom="1440" w:gutter="0" w:footer="0" w:header="0"/>
        </w:sectPr>
      </w:pPr>
    </w:p>
    <w:bookmarkStart w:id="52" w:name="page53"/>
    <w:bookmarkEnd w:id="52"/>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321" w:lineRule="exact"/>
        <w:rPr>
          <w:sz w:val="20"/>
          <w:szCs w:val="20"/>
          <w:color w:val="auto"/>
        </w:rPr>
      </w:pPr>
    </w:p>
    <w:p>
      <w:pPr>
        <w:ind w:left="1420" w:hanging="439"/>
        <w:spacing w:after="0"/>
        <w:tabs>
          <w:tab w:leader="none" w:pos="1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374" w:lineRule="exact"/>
        <w:rPr>
          <w:sz w:val="20"/>
          <w:szCs w:val="20"/>
          <w:color w:val="auto"/>
        </w:rPr>
      </w:pPr>
    </w:p>
    <w:p>
      <w:pPr>
        <w:ind w:left="1420" w:hanging="439"/>
        <w:spacing w:after="0"/>
        <w:tabs>
          <w:tab w:leader="none" w:pos="1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11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324" w:lineRule="exact"/>
        <w:rPr>
          <w:sz w:val="20"/>
          <w:szCs w:val="20"/>
          <w:color w:val="auto"/>
        </w:rPr>
      </w:pPr>
    </w:p>
    <w:p>
      <w:pPr>
        <w:ind w:left="1420" w:hanging="439"/>
        <w:spacing w:after="0"/>
        <w:tabs>
          <w:tab w:leader="none" w:pos="1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Numbers.</w:t>
      </w:r>
    </w:p>
    <w:p>
      <w:pPr>
        <w:spacing w:after="0" w:line="11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324" w:lineRule="exact"/>
        <w:rPr>
          <w:sz w:val="20"/>
          <w:szCs w:val="20"/>
          <w:color w:val="auto"/>
        </w:rPr>
      </w:pPr>
    </w:p>
    <w:p>
      <w:pPr>
        <w:ind w:left="1420" w:hanging="439"/>
        <w:spacing w:after="0"/>
        <w:tabs>
          <w:tab w:leader="none" w:pos="14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ectPr>
          <w:pgSz w:w="11900" w:h="16838" w:orient="portrait"/>
          <w:cols w:equalWidth="0" w:num="1">
            <w:col w:w="10980"/>
          </w:cols>
          <w:pgMar w:left="440" w:top="270" w:right="47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tc>
      </w:tr>
      <w:tr>
        <w:trPr>
          <w:trHeight w:val="459"/>
        </w:trPr>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r>
        <w:trPr>
          <w:trHeight w:val="42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2"/>
              </w:rPr>
              <w:t>Date:</w:t>
            </w:r>
          </w:p>
        </w:tc>
        <w:tc>
          <w:tcPr>
            <w:tcW w:w="960" w:type="dxa"/>
            <w:vAlign w:val="bottom"/>
            <w:tcBorders>
              <w:bottom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Your Signature:</w:t>
            </w:r>
          </w:p>
        </w:tc>
        <w:tc>
          <w:tcPr>
            <w:tcW w:w="1800" w:type="dxa"/>
            <w:vAlign w:val="bottom"/>
            <w:tcBorders>
              <w:bottom w:val="single" w:sz="8" w:color="auto"/>
            </w:tcBorders>
          </w:tcPr>
          <w:p>
            <w:pPr>
              <w:spacing w:after="0"/>
              <w:rPr>
                <w:sz w:val="24"/>
                <w:szCs w:val="24"/>
                <w:color w:val="auto"/>
              </w:rPr>
            </w:pPr>
          </w:p>
        </w:tc>
        <w:tc>
          <w:tcPr>
            <w:tcW w:w="6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240030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205740</wp:posOffset>
            </wp:positionV>
            <wp:extent cx="17424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3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74244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42440" cy="8255"/>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214630</wp:posOffset>
            </wp:positionV>
            <wp:extent cx="174244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354"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54" w:name="page55"/>
    <w:bookmarkEnd w:id="54"/>
    <w:p>
      <w:pPr>
        <w:ind w:left="38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Physical Notes or a part of another Global Note have been made:</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1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1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1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1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5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140" w:type="dxa"/>
            <w:vAlign w:val="bottom"/>
          </w:tcPr>
          <w:p>
            <w:pPr>
              <w:spacing w:after="0"/>
              <w:rPr>
                <w:sz w:val="12"/>
                <w:szCs w:val="12"/>
                <w:color w:val="auto"/>
              </w:rPr>
            </w:pPr>
          </w:p>
        </w:tc>
        <w:tc>
          <w:tcPr>
            <w:tcW w:w="21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1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1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 decrease</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214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210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(or increase)</w:t>
            </w:r>
          </w:p>
        </w:tc>
        <w:tc>
          <w:tcPr>
            <w:tcW w:w="150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440" w:top="270" w:right="8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NOTES DUE 2052]</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UNLESS THIS NOTE IS PRESENTED BY AN AUTHORIZED REPRESENTATIVE OF THE DEPOSITORY TRUST COMPANY, A NEW YORK CORPORATION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TO THE ISSUER OR ITS AGENT FOR REGISTRATION OF TRANSFER, EXCHANGE OR PAYMENT, AND ANY NOTE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 BENEFICIAL INTEREST HEREIN.</w:t>
      </w:r>
    </w:p>
    <w:p>
      <w:pPr>
        <w:spacing w:after="0" w:line="189"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UNLESS AND UNTIL IT IS EXCHANGED IN WHOLE OR IN PART FOR SECURITIES IN DEFINITIVE REGISTERED FORM, THIS SECURITY MAY NOT BE TRANSFERRED EXCEPT AS A WHOLE BY THE DEPOSITARY TO THE NOMINEE OF THE DEPOSITARY OR BY A NOMINEE OF THE DEPOSITARY TO THE DEPOSITARY OR ANOTHER NOMINEE OF THE DEPOSITARY OR BY THE DEPOSITARY OR ANY SUCH NOMINEE TO A SUCCESSOR DEPOSITARY OR A NOMINEE OF SUCH SUCCESSOR DEPOSITARY.</w:t>
      </w:r>
    </w:p>
    <w:p>
      <w:pPr>
        <w:spacing w:after="0" w:line="164"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IN CONNECTION WITH ANY TRANSFER, THE HOLDER WILL DELIVER TO THE REGISTRAR AND TRANSFER AGENT SUCH CERTIFICATES AND OTHER INFORMATION AS SUCH TRANSFER AGENT MAY REASONABLY REQUIRE TO CONFIRM THAT THE TRANSFER COMPLIES WITH THE FOREGOING RESTRICTIONS.</w:t>
      </w:r>
    </w:p>
    <w:p>
      <w:pPr>
        <w:sectPr>
          <w:pgSz w:w="11900" w:h="16838" w:orient="portrait"/>
          <w:cols w:equalWidth="0" w:num="1">
            <w:col w:w="11020"/>
          </w:cols>
          <w:pgMar w:left="440" w:top="266" w:right="4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4.100% Notes due 2052</w:t>
      </w:r>
    </w:p>
    <w:p>
      <w:pPr>
        <w:spacing w:after="0" w:line="234" w:lineRule="exact"/>
        <w:rPr>
          <w:sz w:val="20"/>
          <w:szCs w:val="20"/>
          <w:color w:val="auto"/>
        </w:rPr>
      </w:pPr>
    </w:p>
    <w:p>
      <w:pPr>
        <w:spacing w:after="0"/>
        <w:tabs>
          <w:tab w:leader="none" w:pos="9160" w:val="left"/>
        </w:tabs>
        <w:rPr>
          <w:sz w:val="20"/>
          <w:szCs w:val="20"/>
          <w:color w:val="auto"/>
        </w:rPr>
      </w:pPr>
      <w:r>
        <w:rPr>
          <w:rFonts w:ascii="Times New Roman" w:cs="Times New Roman" w:eastAsia="Times New Roman" w:hAnsi="Times New Roman"/>
          <w:sz w:val="18"/>
          <w:szCs w:val="18"/>
          <w:color w:val="auto"/>
        </w:rPr>
        <w:t>No. [1]</w:t>
      </w:r>
      <w:r>
        <w:rPr>
          <w:sz w:val="20"/>
          <w:szCs w:val="20"/>
          <w:color w:val="auto"/>
        </w:rPr>
        <w:tab/>
      </w:r>
      <w:r>
        <w:rPr>
          <w:rFonts w:ascii="Times New Roman" w:cs="Times New Roman" w:eastAsia="Times New Roman" w:hAnsi="Times New Roman"/>
          <w:sz w:val="17"/>
          <w:szCs w:val="17"/>
          <w:color w:val="auto"/>
        </w:rPr>
        <w:t>CUSIP No.: 882508 BQ6</w:t>
      </w:r>
    </w:p>
    <w:p>
      <w:pPr>
        <w:spacing w:after="0" w:line="27" w:lineRule="exact"/>
        <w:rPr>
          <w:sz w:val="20"/>
          <w:szCs w:val="20"/>
          <w:color w:val="auto"/>
        </w:rPr>
      </w:pPr>
    </w:p>
    <w:p>
      <w:pPr>
        <w:ind w:left="9060"/>
        <w:spacing w:after="0"/>
        <w:rPr>
          <w:sz w:val="20"/>
          <w:szCs w:val="20"/>
          <w:color w:val="auto"/>
        </w:rPr>
      </w:pPr>
      <w:r>
        <w:rPr>
          <w:rFonts w:ascii="Times New Roman" w:cs="Times New Roman" w:eastAsia="Times New Roman" w:hAnsi="Times New Roman"/>
          <w:sz w:val="18"/>
          <w:szCs w:val="18"/>
          <w:color w:val="auto"/>
        </w:rPr>
        <w:t>ISIN No.: US882508BQ64</w:t>
      </w:r>
    </w:p>
    <w:p>
      <w:pPr>
        <w:spacing w:after="0" w:line="207" w:lineRule="exact"/>
        <w:rPr>
          <w:sz w:val="20"/>
          <w:szCs w:val="20"/>
          <w:color w:val="auto"/>
        </w:rPr>
      </w:pPr>
    </w:p>
    <w:p>
      <w:pPr>
        <w:ind w:left="10440"/>
        <w:spacing w:after="0"/>
        <w:tabs>
          <w:tab w:leader="none" w:pos="109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TEXAS INSTRUMENTS INCORPORATED, a Delaware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for value received promises to pay to CEDE &amp; CO. or</w:t>
      </w:r>
    </w:p>
    <w:p>
      <w:pPr>
        <w:spacing w:after="0" w:line="31" w:lineRule="exact"/>
        <w:rPr>
          <w:sz w:val="20"/>
          <w:szCs w:val="20"/>
          <w:color w:val="auto"/>
        </w:rPr>
      </w:pPr>
    </w:p>
    <w:p>
      <w:pPr>
        <w:spacing w:after="0"/>
        <w:tabs>
          <w:tab w:leader="none" w:pos="3300" w:val="left"/>
        </w:tabs>
        <w:rPr>
          <w:sz w:val="20"/>
          <w:szCs w:val="20"/>
          <w:color w:val="auto"/>
        </w:rPr>
      </w:pPr>
      <w:r>
        <w:rPr>
          <w:rFonts w:ascii="Times New Roman" w:cs="Times New Roman" w:eastAsia="Times New Roman" w:hAnsi="Times New Roman"/>
          <w:sz w:val="18"/>
          <w:szCs w:val="18"/>
          <w:color w:val="auto"/>
        </w:rPr>
        <w:t>registered assigns the principal sum of $[</w:t>
      </w:r>
      <w:r>
        <w:rPr>
          <w:sz w:val="20"/>
          <w:szCs w:val="20"/>
          <w:color w:val="auto"/>
        </w:rPr>
        <w:tab/>
      </w:r>
      <w:r>
        <w:rPr>
          <w:rFonts w:ascii="Times New Roman" w:cs="Times New Roman" w:eastAsia="Times New Roman" w:hAnsi="Times New Roman"/>
          <w:sz w:val="17"/>
          <w:szCs w:val="17"/>
          <w:color w:val="auto"/>
        </w:rPr>
        <w:t>] on August 16, 2052.</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Payment Dates: February 16 and August 16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commencing on February 16, 2023.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Interest Record Dates: February 2 and August 2 (each, an “</w:t>
      </w:r>
      <w:r>
        <w:rPr>
          <w:rFonts w:ascii="Times New Roman" w:cs="Times New Roman" w:eastAsia="Times New Roman" w:hAnsi="Times New Roman"/>
          <w:sz w:val="18"/>
          <w:szCs w:val="18"/>
          <w:b w:val="1"/>
          <w:bCs w:val="1"/>
          <w:color w:val="auto"/>
        </w:rPr>
        <w:t>Interest Record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w:t>
      </w:r>
    </w:p>
    <w:p>
      <w:pPr>
        <w:sectPr>
          <w:pgSz w:w="11900" w:h="16838" w:orient="portrait"/>
          <w:cols w:equalWidth="0" w:num="1">
            <w:col w:w="11020"/>
          </w:cols>
          <w:pgMar w:left="440" w:top="266" w:right="439" w:bottom="1440" w:gutter="0" w:footer="0" w:header="0"/>
        </w:sectPr>
      </w:pPr>
    </w:p>
    <w:bookmarkStart w:id="57" w:name="page58"/>
    <w:bookmarkEnd w:id="57"/>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Issuer has caused this Note to be signed manually or by facsimile by its duly authorized officers under its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TEXAS INSTRUMENTS INCORPORATED</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Rafael R. Lizardi</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Senior Vice President and Chief Financial</w:t>
      </w:r>
    </w:p>
    <w:p>
      <w:pPr>
        <w:spacing w:after="0" w:line="9"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Jack I. Holmes</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 and Treasurer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[Seal of Texas Instruments Incorporated]</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3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Name:  Leslie Mba</w:t>
      </w:r>
    </w:p>
    <w:p>
      <w:pPr>
        <w:spacing w:after="0" w:line="27" w:lineRule="exact"/>
        <w:rPr>
          <w:sz w:val="20"/>
          <w:szCs w:val="20"/>
          <w:color w:val="auto"/>
        </w:rPr>
      </w:pPr>
    </w:p>
    <w:p>
      <w:pPr>
        <w:ind w:left="480"/>
        <w:spacing w:after="0"/>
        <w:tabs>
          <w:tab w:leader="none" w:pos="1080" w:val="left"/>
        </w:tabs>
        <w:rPr>
          <w:sz w:val="20"/>
          <w:szCs w:val="20"/>
          <w:color w:val="auto"/>
        </w:rPr>
      </w:pPr>
      <w:r>
        <w:rPr>
          <w:rFonts w:ascii="Times New Roman" w:cs="Times New Roman" w:eastAsia="Times New Roman" w:hAnsi="Times New Roman"/>
          <w:sz w:val="18"/>
          <w:szCs w:val="18"/>
          <w:color w:val="auto"/>
        </w:rPr>
        <w:t>Title:</w:t>
        <w:tab/>
        <w:t>Vice President, Assistant Secretary</w:t>
      </w:r>
    </w:p>
    <w:p>
      <w:pPr>
        <w:spacing w:after="0" w:line="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and Assistant General Counsel</w:t>
      </w:r>
    </w:p>
    <w:p>
      <w:pPr>
        <w:sectPr>
          <w:pgSz w:w="11900" w:h="16838" w:orient="portrait"/>
          <w:cols w:equalWidth="0" w:num="1">
            <w:col w:w="11000"/>
          </w:cols>
          <w:pgMar w:left="440" w:top="270" w:right="459" w:bottom="1440" w:gutter="0" w:footer="0" w:header="0"/>
        </w:sectPr>
      </w:pPr>
    </w:p>
    <w:bookmarkStart w:id="58" w:name="page59"/>
    <w:bookmarkEnd w:id="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Notes of the series designated herein and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16, 2022</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b w:val="1"/>
          <w:bCs w:val="1"/>
          <w:color w:val="auto"/>
        </w:rPr>
        <w:t>U.S. BANK TRUST COMPANY, NATIONAL</w:t>
      </w:r>
    </w:p>
    <w:p>
      <w:pPr>
        <w:spacing w:after="0" w:line="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ASSOCIATION</w:t>
      </w:r>
      <w:r>
        <w:rPr>
          <w:rFonts w:ascii="Times New Roman" w:cs="Times New Roman" w:eastAsia="Times New Roman" w:hAnsi="Times New Roman"/>
          <w:sz w:val="18"/>
          <w:szCs w:val="18"/>
          <w:color w:val="auto"/>
        </w:rPr>
        <w:t>,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Michael K. Herberger</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Vice President</w:t>
      </w:r>
    </w:p>
    <w:p>
      <w:pPr>
        <w:sectPr>
          <w:pgSz w:w="11900" w:h="16838" w:orient="portrait"/>
          <w:cols w:equalWidth="0" w:num="1">
            <w:col w:w="10140"/>
          </w:cols>
          <w:pgMar w:left="440" w:top="270" w:right="131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(REVERSE OF NOTE)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4.100% Notes due 2052</w:t>
      </w:r>
    </w:p>
    <w:p>
      <w:pPr>
        <w:spacing w:after="0" w:line="252" w:lineRule="exact"/>
        <w:rPr>
          <w:sz w:val="20"/>
          <w:szCs w:val="20"/>
          <w:color w:val="auto"/>
        </w:rPr>
      </w:pPr>
    </w:p>
    <w:p>
      <w:pPr>
        <w:ind w:left="1420" w:hanging="439"/>
        <w:spacing w:after="0"/>
        <w:tabs>
          <w:tab w:leader="none" w:pos="1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w:t>
      </w:r>
    </w:p>
    <w:p>
      <w:pPr>
        <w:spacing w:after="0" w:line="11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Texas Instruments Incorporated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promises to pay interest on the principal amount of this Note at the rate per annum described above. Cash interest on the Notes will accrue from the most recent date to which interest has been paid; or, if no interest has been paid, from August 16, 2022. Interest on this Note will be paid to but excluding the relevant Interest Payment Date. The Issuer will pay interest semi-annually in arrears on each Interest Payment Date, commencing February 16, 2023 to the person in whose name the Note is registered at the close of business on the preceding Interest Record Date. Interest will be computed on the basis of a 360-day year consisting of twelve 30-day months in a manner consistent with Rule 11620(b) of the FINRA Uniform Practice Code.</w:t>
      </w:r>
    </w:p>
    <w:p>
      <w:pPr>
        <w:spacing w:after="0" w:line="18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from time to time on demand at the rate borne by the Notes and on overdue installments of interest (without regard to any applicable grace periods) to the extent lawful.</w:t>
      </w:r>
    </w:p>
    <w:p>
      <w:pPr>
        <w:spacing w:after="0" w:line="310" w:lineRule="exact"/>
        <w:rPr>
          <w:sz w:val="20"/>
          <w:szCs w:val="20"/>
          <w:color w:val="auto"/>
        </w:rPr>
      </w:pPr>
    </w:p>
    <w:p>
      <w:pPr>
        <w:ind w:left="1420" w:hanging="439"/>
        <w:spacing w:after="0"/>
        <w:tabs>
          <w:tab w:leader="none" w:pos="1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Paying Agent.</w:t>
      </w:r>
    </w:p>
    <w:p>
      <w:pPr>
        <w:spacing w:after="0" w:line="113" w:lineRule="exact"/>
        <w:rPr>
          <w:sz w:val="20"/>
          <w:szCs w:val="20"/>
          <w:color w:val="auto"/>
        </w:rPr>
      </w:pPr>
    </w:p>
    <w:p>
      <w:pPr>
        <w:ind w:right="360" w:firstLine="991"/>
        <w:spacing w:after="0" w:line="286" w:lineRule="auto"/>
        <w:rPr>
          <w:sz w:val="20"/>
          <w:szCs w:val="20"/>
          <w:color w:val="auto"/>
        </w:rPr>
      </w:pPr>
      <w:r>
        <w:rPr>
          <w:rFonts w:ascii="Times New Roman" w:cs="Times New Roman" w:eastAsia="Times New Roman" w:hAnsi="Times New Roman"/>
          <w:sz w:val="18"/>
          <w:szCs w:val="18"/>
          <w:color w:val="auto"/>
        </w:rPr>
        <w:t>Initially, U.S. Bank Trust Company, National Association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The Issuer may change any paying agent without notice to the holders (the “</w:t>
      </w:r>
      <w:r>
        <w:rPr>
          <w:rFonts w:ascii="Times New Roman" w:cs="Times New Roman" w:eastAsia="Times New Roman" w:hAnsi="Times New Roman"/>
          <w:sz w:val="18"/>
          <w:szCs w:val="18"/>
          <w:b w:val="1"/>
          <w:bCs w:val="1"/>
          <w:color w:val="auto"/>
        </w:rPr>
        <w:t>Holders</w:t>
      </w:r>
      <w:r>
        <w:rPr>
          <w:rFonts w:ascii="Times New Roman" w:cs="Times New Roman" w:eastAsia="Times New Roman" w:hAnsi="Times New Roman"/>
          <w:sz w:val="18"/>
          <w:szCs w:val="18"/>
          <w:color w:val="auto"/>
        </w:rPr>
        <w:t>”).</w:t>
      </w:r>
    </w:p>
    <w:p>
      <w:pPr>
        <w:spacing w:after="0" w:line="307" w:lineRule="exact"/>
        <w:rPr>
          <w:sz w:val="20"/>
          <w:szCs w:val="20"/>
          <w:color w:val="auto"/>
        </w:rPr>
      </w:pPr>
    </w:p>
    <w:p>
      <w:pPr>
        <w:ind w:left="1420" w:hanging="439"/>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 Defined Terms.</w:t>
      </w:r>
    </w:p>
    <w:p>
      <w:pPr>
        <w:spacing w:after="0" w:line="113" w:lineRule="exact"/>
        <w:rPr>
          <w:sz w:val="20"/>
          <w:szCs w:val="20"/>
          <w:color w:val="auto"/>
        </w:rPr>
      </w:pPr>
    </w:p>
    <w:p>
      <w:pPr>
        <w:ind w:right="60" w:firstLine="991"/>
        <w:spacing w:after="0" w:line="268" w:lineRule="auto"/>
        <w:rPr>
          <w:sz w:val="20"/>
          <w:szCs w:val="20"/>
          <w:color w:val="auto"/>
        </w:rPr>
      </w:pPr>
      <w:r>
        <w:rPr>
          <w:rFonts w:ascii="Times New Roman" w:cs="Times New Roman" w:eastAsia="Times New Roman" w:hAnsi="Times New Roman"/>
          <w:sz w:val="18"/>
          <w:szCs w:val="18"/>
          <w:color w:val="auto"/>
        </w:rPr>
        <w:t>This Note is one of the 4.100% Notes due 2052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May 23, 2011 (the “</w:t>
      </w:r>
      <w:r>
        <w:rPr>
          <w:rFonts w:ascii="Times New Roman" w:cs="Times New Roman" w:eastAsia="Times New Roman" w:hAnsi="Times New Roman"/>
          <w:sz w:val="18"/>
          <w:szCs w:val="18"/>
          <w:b w:val="1"/>
          <w:bCs w:val="1"/>
          <w:color w:val="auto"/>
        </w:rPr>
        <w:t>Base Indenture</w:t>
      </w:r>
      <w:r>
        <w:rPr>
          <w:rFonts w:ascii="Times New Roman" w:cs="Times New Roman" w:eastAsia="Times New Roman" w:hAnsi="Times New Roman"/>
          <w:sz w:val="18"/>
          <w:szCs w:val="18"/>
          <w:color w:val="auto"/>
        </w:rPr>
        <w:t>”) by and between the Issuer and the Trustee, and established pursuant to an Officers’ Certificate dated August 16, 2022, issued pursuant to Section 2.01 and Section 2.03 thereof (together,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This Note is a “Security” and the Notes are “Securities” under the Indenture.</w:t>
      </w:r>
    </w:p>
    <w:p>
      <w:pPr>
        <w:spacing w:after="0" w:line="175" w:lineRule="exact"/>
        <w:rPr>
          <w:sz w:val="20"/>
          <w:szCs w:val="20"/>
          <w:color w:val="auto"/>
        </w:rPr>
      </w:pPr>
    </w:p>
    <w:p>
      <w:pPr>
        <w:ind w:right="140" w:firstLine="991"/>
        <w:spacing w:after="0" w:line="269" w:lineRule="auto"/>
        <w:rPr>
          <w:sz w:val="20"/>
          <w:szCs w:val="20"/>
          <w:color w:val="auto"/>
        </w:rPr>
      </w:pPr>
      <w:r>
        <w:rPr>
          <w:rFonts w:ascii="Times New Roman" w:cs="Times New Roman" w:eastAsia="Times New Roman" w:hAnsi="Times New Roman"/>
          <w:sz w:val="17"/>
          <w:szCs w:val="17"/>
          <w:color w:val="auto"/>
        </w:rPr>
        <w:t>For purposes of this Note, unless otherwise defined herein, capitalized terms herein are used as defined in the Indenture. The terms of the Notes include those stated in the Indenture and those made part of the Indenture by reference to the Trust Indenture Act of 1939 (15 U.S.C. Sections 77aaa-77bbbb) (the “</w:t>
      </w:r>
      <w:r>
        <w:rPr>
          <w:rFonts w:ascii="Times New Roman" w:cs="Times New Roman" w:eastAsia="Times New Roman" w:hAnsi="Times New Roman"/>
          <w:sz w:val="17"/>
          <w:szCs w:val="17"/>
          <w:b w:val="1"/>
          <w:bCs w:val="1"/>
          <w:color w:val="auto"/>
        </w:rPr>
        <w:t>TIA</w:t>
      </w:r>
      <w:r>
        <w:rPr>
          <w:rFonts w:ascii="Times New Roman" w:cs="Times New Roman" w:eastAsia="Times New Roman" w:hAnsi="Times New Roman"/>
          <w:sz w:val="17"/>
          <w:szCs w:val="17"/>
          <w:color w:val="auto"/>
        </w:rPr>
        <w:t>”) as in effect on the date on which the Indenture was qualified under the TIA; including, without limitation, the defeasance provision set forth in Section 10.01(b) of the Base Indenture; provided that Section 10.01(b)(C) of the Base Indenture is amended and restated as set forth below for purposes of this Note. Notwithstanding anything to the contrary herein, the Notes are subject to all such terms, provided that</w:t>
      </w:r>
    </w:p>
    <w:p>
      <w:pPr>
        <w:spacing w:after="0" w:line="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Section 10.01(b)(C) of the Base Indenture is amended and restated as set forth below for purposes of this Note, and Holders of Notes are referred to the Indenture and the TIA for a statement of such terms. To the</w:t>
      </w:r>
    </w:p>
    <w:p>
      <w:pPr>
        <w:sectPr>
          <w:pgSz w:w="11900" w:h="16838" w:orient="portrait"/>
          <w:cols w:equalWidth="0" w:num="1">
            <w:col w:w="11000"/>
          </w:cols>
          <w:pgMar w:left="440" w:top="270" w:right="459" w:bottom="1440" w:gutter="0" w:footer="0" w:header="0"/>
        </w:sectPr>
      </w:pPr>
    </w:p>
    <w:bookmarkStart w:id="60" w:name="page61"/>
    <w:bookmarkEnd w:id="60"/>
    <w:p>
      <w:pPr>
        <w:ind w:right="6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extent the terms of the Indenture and this Note are inconsistent, the terms of the Indenture shall govern, provided that, for purposes of this Note, Section 10.01(b)(C) of the Base Indenture is amended and restated as set forth below.</w:t>
      </w:r>
    </w:p>
    <w:p>
      <w:pPr>
        <w:spacing w:after="0" w:line="54" w:lineRule="exact"/>
        <w:rPr>
          <w:sz w:val="20"/>
          <w:szCs w:val="20"/>
          <w:color w:val="auto"/>
        </w:rPr>
      </w:pPr>
    </w:p>
    <w:p>
      <w:pPr>
        <w:ind w:left="980" w:firstLine="401"/>
        <w:spacing w:after="0" w:line="256" w:lineRule="auto"/>
        <w:rPr>
          <w:sz w:val="20"/>
          <w:szCs w:val="20"/>
          <w:color w:val="auto"/>
        </w:rPr>
      </w:pPr>
      <w:r>
        <w:rPr>
          <w:rFonts w:ascii="Times New Roman" w:cs="Times New Roman" w:eastAsia="Times New Roman" w:hAnsi="Times New Roman"/>
          <w:sz w:val="18"/>
          <w:szCs w:val="18"/>
          <w:color w:val="auto"/>
        </w:rPr>
        <w:t>“(C) the Issuer has delivered to the Trustee an Officers’ Certificate and an opinion of independent legal counsel satisfactory to the Trustee to the effect that the Issuer has received from, or there has been published by, the Internal Revenue Service a ruling, or that since the date of issuance of the Securities of such series there has been a change in the applicable Federal income tax law, in either case to the effect that beneficial owners of the Securities of such series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336" w:lineRule="exact"/>
        <w:rPr>
          <w:sz w:val="20"/>
          <w:szCs w:val="20"/>
          <w:color w:val="auto"/>
        </w:rPr>
      </w:pPr>
    </w:p>
    <w:p>
      <w:pPr>
        <w:ind w:left="1420" w:hanging="439"/>
        <w:spacing w:after="0"/>
        <w:tabs>
          <w:tab w:leader="none" w:pos="1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w:t>
      </w:r>
    </w:p>
    <w:p>
      <w:pPr>
        <w:spacing w:after="0" w:line="117"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multiples of $1,000 in excess thereof. A Holder shall register the transfer or exchange of Notes in accordance with the Indenture. The Issuer may require a Holder, among other things, to furnish appropriate endorsements and transfer documents and to pay certain transfer taxes or similar governmental charges payable in connection therewith as permitted by the Indenture. The Issuer need not issue, authenticate, register the transfer of or exchange any Notes or portions thereof for a period of fifteen (15) days before the mailing of a notice of redemption, nor need the Issuer register the transfer or exchange of any Note selected for redemption in whole or in part, except, in the case of any Security to be redeemed in part, the portion thereof not so to be redeemed.</w:t>
      </w:r>
    </w:p>
    <w:p>
      <w:pPr>
        <w:spacing w:after="0" w:line="336" w:lineRule="exact"/>
        <w:rPr>
          <w:sz w:val="20"/>
          <w:szCs w:val="20"/>
          <w:color w:val="auto"/>
        </w:rPr>
      </w:pPr>
    </w:p>
    <w:p>
      <w:pPr>
        <w:ind w:left="1420" w:hanging="439"/>
        <w:spacing w:after="0"/>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Supplement; Waiver.</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Subject to certain exceptions, the Notes and the provisions of the Indenture relating to the Notes may be amended or supplemented and any existing default or Event of Default or compliance with certain provisions may be waived with the written consent of the Holders of at least a majority in aggregate principal amount of all series of Outstanding Securities (including the Notes) under the Indenture that are affected by such amendment, supplement or waiver (voting together as a single class). Without notice to or consent of any Holder, the parties thereto may amend or supplement the Indenture and the Notes to, among other things, cure any ambiguity, omission, defect or inconsistency or comply with any requirements of the Commission in connection with the qualification of the Indenture under the TIA, or make any other change that does not adversely affect the rights of any Holder of a Note in any material respect.</w:t>
      </w:r>
    </w:p>
    <w:p>
      <w:pPr>
        <w:sectPr>
          <w:pgSz w:w="11900" w:h="16838" w:orient="portrait"/>
          <w:cols w:equalWidth="0" w:num="1">
            <w:col w:w="11000"/>
          </w:cols>
          <w:pgMar w:left="440" w:top="270" w:right="459" w:bottom="1440" w:gutter="0" w:footer="0" w:header="0"/>
        </w:sectPr>
      </w:pPr>
    </w:p>
    <w:bookmarkStart w:id="61" w:name="page62"/>
    <w:bookmarkEnd w:id="61"/>
    <w:p>
      <w:pPr>
        <w:ind w:left="1420" w:hanging="439"/>
        <w:spacing w:after="0"/>
        <w:tabs>
          <w:tab w:leader="none" w:pos="142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w:t>
      </w:r>
    </w:p>
    <w:p>
      <w:pPr>
        <w:spacing w:after="0" w:line="11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2"/>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Par Call Date, the Notes will be redeemable, in whole or in part at any time, or from time to time, at the Issuer’s option, at a “make-whole premium” redemption price calculated by the Issuer equal to the greater of:</w:t>
      </w:r>
    </w:p>
    <w:p>
      <w:pPr>
        <w:spacing w:after="0" w:line="67" w:lineRule="exact"/>
        <w:rPr>
          <w:rFonts w:ascii="Times New Roman" w:cs="Times New Roman" w:eastAsia="Times New Roman" w:hAnsi="Times New Roman"/>
          <w:sz w:val="18"/>
          <w:szCs w:val="18"/>
          <w:color w:val="auto"/>
        </w:rPr>
      </w:pPr>
    </w:p>
    <w:p>
      <w:pPr>
        <w:ind w:left="960" w:right="140" w:hanging="532"/>
        <w:spacing w:after="0" w:line="266" w:lineRule="auto"/>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in each case discounted to the redemption date (assuming the Notes matured on the Par Call Date) on a semiannual basis (assuming a 360-day year consisting of twelve 30-day months) at the Treasury Rate (as defined below) plus 20 basis points less (b) interest accrued to the date of redemption,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120" w:firstLine="987"/>
        <w:spacing w:after="0" w:line="282"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the Par Call Date, the Issuer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Notwithstanding the foregoing, installments of interest on Notes that are due and payable on interest payment dates falling on or prior to a redemption date will be payable on the interest payment date to the registered Holders as of the close of business on the relevant record date according to the Notes and the Indenture.</w:t>
      </w:r>
    </w:p>
    <w:p>
      <w:pPr>
        <w:spacing w:after="0" w:line="17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 Call Date</w:t>
      </w:r>
      <w:r>
        <w:rPr>
          <w:rFonts w:ascii="Times New Roman" w:cs="Times New Roman" w:eastAsia="Times New Roman" w:hAnsi="Times New Roman"/>
          <w:sz w:val="18"/>
          <w:szCs w:val="18"/>
          <w:color w:val="auto"/>
        </w:rPr>
        <w:t>” means February 16, 2052 (the date that is six months prior to the maturity date of the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means, with respect to any redemption date, the yield determined by the Issuer in accordance with the following two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paragraphs.</w:t>
      </w:r>
    </w:p>
    <w:p>
      <w:pPr>
        <w:spacing w:after="0" w:line="20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Issuer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w:t>
      </w:r>
      <w:r>
        <w:rPr>
          <w:rFonts w:ascii="Times New Roman" w:cs="Times New Roman" w:eastAsia="Times New Roman" w:hAnsi="Times New Roman"/>
          <w:sz w:val="18"/>
          <w:szCs w:val="18"/>
          <w:b w:val="1"/>
          <w:bCs w:val="1"/>
          <w:color w:val="auto"/>
        </w:rPr>
        <w:t>H.15</w:t>
      </w:r>
      <w:r>
        <w:rPr>
          <w:rFonts w:ascii="Times New Roman" w:cs="Times New Roman" w:eastAsia="Times New Roman" w:hAnsi="Times New Roman"/>
          <w:sz w:val="18"/>
          <w:szCs w:val="18"/>
          <w:color w:val="auto"/>
        </w:rPr>
        <w:t>”) under the caption “U.S. government securities—Treasury constant maturities—Nominal” (or any successor caption or heading) (“</w:t>
      </w:r>
      <w:r>
        <w:rPr>
          <w:rFonts w:ascii="Times New Roman" w:cs="Times New Roman" w:eastAsia="Times New Roman" w:hAnsi="Times New Roman"/>
          <w:sz w:val="18"/>
          <w:szCs w:val="18"/>
          <w:b w:val="1"/>
          <w:bCs w:val="1"/>
          <w:color w:val="auto"/>
        </w:rPr>
        <w:t>H.15 TCM</w:t>
      </w:r>
      <w:r>
        <w:rPr>
          <w:rFonts w:ascii="Times New Roman" w:cs="Times New Roman" w:eastAsia="Times New Roman" w:hAnsi="Times New Roman"/>
          <w:sz w:val="18"/>
          <w:szCs w:val="18"/>
          <w:color w:val="auto"/>
        </w:rPr>
        <w:t>”). In determining the Treasury Rate, the Issuer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b w:val="1"/>
          <w:bCs w:val="1"/>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yields—one yield corresponding to the Treasury constant maturity on H.15 immediately shorter than and one yield corresponding to the Treasury constant maturity on H.15 immediately longer than the Remaining Life—and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ectPr>
          <w:pgSz w:w="11900" w:h="16838" w:orient="portrait"/>
          <w:cols w:equalWidth="0" w:num="1">
            <w:col w:w="11000"/>
          </w:cols>
          <w:pgMar w:left="440" w:top="270" w:right="459" w:bottom="1440" w:gutter="0" w:footer="0" w:header="0"/>
        </w:sectPr>
      </w:pPr>
    </w:p>
    <w:bookmarkStart w:id="62" w:name="page63"/>
    <w:bookmarkEnd w:id="62"/>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on the third business day preceding the redemption date H.15 TCM is no longer published, the Issuer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Issuer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Issuer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The Issuer’s actions and determinations in determining the redemption price shall be conclusive and binding for all purposes, absent manifest error.</w:t>
      </w:r>
    </w:p>
    <w:p>
      <w:pPr>
        <w:spacing w:after="0" w:line="162"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Notice of any redemption will be mailed or electronically delivered (or otherwise transmitted in accordance with the Depositary’s procedures) at least 10 days but not more than 60 days before the redemption date to each Holder of the Notes to be redeemed.</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In the case of a partial redemption, selection of the Notes for redemption will be made pro rata, by lot or by such other method as the Trustee in its sole discretion deems appropriate and fair. No Note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 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on and after the redemption date, interest will cease to accrue on the Notes or portions thereof called for redemption.</w:t>
      </w:r>
    </w:p>
    <w:p>
      <w:pPr>
        <w:spacing w:after="0" w:line="310" w:lineRule="exact"/>
        <w:rPr>
          <w:sz w:val="20"/>
          <w:szCs w:val="20"/>
          <w:color w:val="auto"/>
        </w:rPr>
      </w:pPr>
    </w:p>
    <w:p>
      <w:pPr>
        <w:ind w:left="1420" w:hanging="439"/>
        <w:spacing w:after="0"/>
        <w:tabs>
          <w:tab w:leader="none" w:pos="14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Defaults and Remedies.</w:t>
      </w:r>
    </w:p>
    <w:p>
      <w:pPr>
        <w:spacing w:after="0" w:line="117"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(other than certain bankruptcy Events of Default with respect to the Issuer) under the Indenture occurs with respect to the Notes and is continuing, then the Trustee may and, at the direction of the Holders of at least 25% in principal amount of the outstanding Notes, shall by written notice, require the Issuer to repay immediately the entire principal amount of the Outstanding Notes, together with all accrued and unpaid interest and</w:t>
      </w:r>
    </w:p>
    <w:p>
      <w:pPr>
        <w:sectPr>
          <w:pgSz w:w="11900" w:h="16838" w:orient="portrait"/>
          <w:cols w:equalWidth="0" w:num="1">
            <w:col w:w="11000"/>
          </w:cols>
          <w:pgMar w:left="440" w:top="270" w:right="459" w:bottom="1440" w:gutter="0" w:footer="0" w:header="0"/>
        </w:sectPr>
      </w:pPr>
    </w:p>
    <w:bookmarkStart w:id="63" w:name="page64"/>
    <w:bookmarkEnd w:id="63"/>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premium, if any. If a bankruptcy Event of Default with respect to the Issuer occurs and is continuing, then the entire principal amount of the Outstanding Notes will automatically become due immediately and payable without any declaration or other act on the part of the Trustee or any Holder. Holders of Notes may not enforce the Indenture or the Notes except as provided in the Indenture. The Trustee is not obligated to enforce the Indenture or the Notes unless it has received indemnity as it reasonably requires. The Indenture permits, subject to certain limitations therein provided, Holders of a majority in aggregate principal amount of the Notes then outstanding to direct the Trustee in its exercise of any trust or power. The Trustee may withhold from Holders of Notes notice of certain continuing defaults or Events of Default if it determines that withholding notice is in their interest.</w:t>
      </w:r>
    </w:p>
    <w:p>
      <w:pPr>
        <w:spacing w:after="0" w:line="321" w:lineRule="exact"/>
        <w:rPr>
          <w:sz w:val="20"/>
          <w:szCs w:val="20"/>
          <w:color w:val="auto"/>
        </w:rPr>
      </w:pPr>
    </w:p>
    <w:p>
      <w:pPr>
        <w:ind w:left="1420" w:hanging="439"/>
        <w:spacing w:after="0"/>
        <w:tabs>
          <w:tab w:leader="none" w:pos="14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Authentication.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Note shall not be valid until the Trustee manually signs the certificate of authentication on this Note.</w:t>
      </w:r>
    </w:p>
    <w:p>
      <w:pPr>
        <w:spacing w:after="0" w:line="374" w:lineRule="exact"/>
        <w:rPr>
          <w:sz w:val="20"/>
          <w:szCs w:val="20"/>
          <w:color w:val="auto"/>
        </w:rPr>
      </w:pPr>
    </w:p>
    <w:p>
      <w:pPr>
        <w:ind w:left="1420" w:hanging="439"/>
        <w:spacing w:after="0"/>
        <w:tabs>
          <w:tab w:leader="none" w:pos="1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and Defined Terms.</w:t>
      </w:r>
    </w:p>
    <w:p>
      <w:pPr>
        <w:spacing w:after="0" w:line="117"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of a Note or an assignee, such as: TEN COM (= tenants in common), TEN ENT (= tenants by the entireties), JT TEN (= joint tenants with right of survivorship and not as tenants in common), CUST (= Custodian), and U/G/M/A (= Uniform Gifts to Minors Act).</w:t>
      </w:r>
    </w:p>
    <w:p>
      <w:pPr>
        <w:spacing w:after="0" w:line="324" w:lineRule="exact"/>
        <w:rPr>
          <w:sz w:val="20"/>
          <w:szCs w:val="20"/>
          <w:color w:val="auto"/>
        </w:rPr>
      </w:pPr>
    </w:p>
    <w:p>
      <w:pPr>
        <w:ind w:left="1420" w:hanging="439"/>
        <w:spacing w:after="0"/>
        <w:tabs>
          <w:tab w:leader="none" w:pos="14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Numbers.</w:t>
      </w:r>
    </w:p>
    <w:p>
      <w:pPr>
        <w:spacing w:after="0" w:line="11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Pursuant to a recommendation promulgated by the Committee on Uniform Security Identification Procedures, the Issuer has caused CUSIP numbers to be printed on the Notes as a convenience to the Holders of the Notes. No representation is made as to the accuracy of such numbers as printed on the Notes and reliance may be placed only on the other identification numbers printed hereon.</w:t>
      </w:r>
    </w:p>
    <w:p>
      <w:pPr>
        <w:spacing w:after="0" w:line="324" w:lineRule="exact"/>
        <w:rPr>
          <w:sz w:val="20"/>
          <w:szCs w:val="20"/>
          <w:color w:val="auto"/>
        </w:rPr>
      </w:pPr>
    </w:p>
    <w:p>
      <w:pPr>
        <w:ind w:left="1420" w:hanging="439"/>
        <w:spacing w:after="0"/>
        <w:tabs>
          <w:tab w:leader="none" w:pos="14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Governing Law.</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laws of the State of New York shall govern the Indenture and this Note thereof.</w:t>
      </w:r>
    </w:p>
    <w:p>
      <w:pPr>
        <w:sectPr>
          <w:pgSz w:w="11900" w:h="16838" w:orient="portrait"/>
          <w:cols w:equalWidth="0" w:num="1">
            <w:col w:w="10980"/>
          </w:cols>
          <w:pgMar w:left="440" w:top="270" w:right="47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and irrevocably appoint</w:t>
            </w:r>
          </w:p>
        </w:tc>
        <w:tc>
          <w:tcPr>
            <w:tcW w:w="8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tc>
      </w:tr>
      <w:tr>
        <w:trPr>
          <w:trHeight w:val="459"/>
        </w:trPr>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6660" w:type="dxa"/>
            <w:vAlign w:val="bottom"/>
            <w:tcBorders>
              <w:bottom w:val="single" w:sz="8" w:color="auto"/>
            </w:tcBorders>
          </w:tcPr>
          <w:p>
            <w:pPr>
              <w:spacing w:after="0"/>
              <w:rPr>
                <w:sz w:val="24"/>
                <w:szCs w:val="24"/>
                <w:color w:val="auto"/>
              </w:rPr>
            </w:pPr>
          </w:p>
        </w:tc>
      </w:tr>
      <w:tr>
        <w:trPr>
          <w:trHeight w:val="425"/>
        </w:trPr>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w w:val="92"/>
              </w:rPr>
              <w:t>Date:</w:t>
            </w:r>
          </w:p>
        </w:tc>
        <w:tc>
          <w:tcPr>
            <w:tcW w:w="960" w:type="dxa"/>
            <w:vAlign w:val="bottom"/>
            <w:tcBorders>
              <w:bottom w:val="single" w:sz="8" w:color="auto"/>
            </w:tcBorders>
          </w:tcPr>
          <w:p>
            <w:pPr>
              <w:spacing w:after="0"/>
              <w:rPr>
                <w:sz w:val="24"/>
                <w:szCs w:val="24"/>
                <w:color w:val="auto"/>
              </w:rPr>
            </w:pPr>
          </w:p>
        </w:tc>
        <w:tc>
          <w:tcPr>
            <w:tcW w:w="12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Your Signature:</w:t>
            </w:r>
          </w:p>
        </w:tc>
        <w:tc>
          <w:tcPr>
            <w:tcW w:w="1800" w:type="dxa"/>
            <w:vAlign w:val="bottom"/>
            <w:tcBorders>
              <w:bottom w:val="single" w:sz="8" w:color="auto"/>
            </w:tcBorders>
          </w:tcPr>
          <w:p>
            <w:pPr>
              <w:spacing w:after="0"/>
              <w:rPr>
                <w:sz w:val="24"/>
                <w:szCs w:val="24"/>
                <w:color w:val="auto"/>
              </w:rPr>
            </w:pPr>
          </w:p>
        </w:tc>
        <w:tc>
          <w:tcPr>
            <w:tcW w:w="66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240030</wp:posOffset>
            </wp:positionV>
            <wp:extent cx="69951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205740</wp:posOffset>
            </wp:positionV>
            <wp:extent cx="17424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34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Signature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74244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742440" cy="8890"/>
                    </a:xfrm>
                    <a:prstGeom prst="rect">
                      <a:avLst/>
                    </a:prstGeom>
                    <a:noFill/>
                  </pic:spPr>
                </pic:pic>
              </a:graphicData>
            </a:graphic>
          </wp:anchor>
        </w:drawing>
        <w:drawing>
          <wp:anchor simplePos="0" relativeHeight="251657728" behindDoc="1" locked="0" layoutInCell="0" allowOverlap="1">
            <wp:simplePos x="0" y="0"/>
            <wp:positionH relativeFrom="column">
              <wp:posOffset>3357880</wp:posOffset>
            </wp:positionH>
            <wp:positionV relativeFrom="paragraph">
              <wp:posOffset>214630</wp:posOffset>
            </wp:positionV>
            <wp:extent cx="174244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354" w:lineRule="exact"/>
        <w:rPr>
          <w:sz w:val="20"/>
          <w:szCs w:val="20"/>
          <w:color w:val="auto"/>
        </w:rPr>
      </w:pPr>
    </w:p>
    <w:p>
      <w:pPr>
        <w:spacing w:after="0"/>
        <w:tabs>
          <w:tab w:leader="none" w:pos="526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Signatures must be guaranteed by an “eligible guarantor institution” meeting the requirements of the Registrar, which requirements include membership or participation in the Security Transfer Agent Medallion Program (“</w:t>
      </w:r>
      <w:r>
        <w:rPr>
          <w:rFonts w:ascii="Times New Roman" w:cs="Times New Roman" w:eastAsia="Times New Roman" w:hAnsi="Times New Roman"/>
          <w:sz w:val="18"/>
          <w:szCs w:val="18"/>
          <w:b w:val="1"/>
          <w:bCs w:val="1"/>
          <w:color w:val="auto"/>
        </w:rPr>
        <w:t>STAMP</w:t>
      </w:r>
      <w:r>
        <w:rPr>
          <w:rFonts w:ascii="Times New Roman" w:cs="Times New Roman" w:eastAsia="Times New Roman" w:hAnsi="Times New Roman"/>
          <w:sz w:val="18"/>
          <w:szCs w:val="18"/>
          <w:color w:val="auto"/>
        </w:rPr>
        <w:t>”) or such other “signature guarantee program” as may be determined by the Registrar in addition to, or in substitution for, STAMP, all in accordance with the United States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177165</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70" w:right="439" w:bottom="1440" w:gutter="0" w:footer="0" w:header="0"/>
        </w:sectPr>
      </w:pPr>
    </w:p>
    <w:bookmarkStart w:id="65" w:name="page66"/>
    <w:bookmarkEnd w:id="65"/>
    <w:p>
      <w:pPr>
        <w:ind w:left="38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exchanges of a part of this Global Note for Physical Notes or a part of another Global Note have been made:</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16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Amount of decrease in</w:t>
            </w:r>
          </w:p>
        </w:tc>
        <w:tc>
          <w:tcPr>
            <w:tcW w:w="214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Amount of increase in</w:t>
            </w:r>
          </w:p>
        </w:tc>
        <w:tc>
          <w:tcPr>
            <w:tcW w:w="2100" w:type="dxa"/>
            <w:vAlign w:val="bottom"/>
            <w:gridSpan w:val="2"/>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Principal amount of</w:t>
            </w:r>
          </w:p>
        </w:tc>
        <w:tc>
          <w:tcPr>
            <w:tcW w:w="1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160" w:type="dxa"/>
            <w:vAlign w:val="bottom"/>
            <w:gridSpan w:val="2"/>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21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this Global Note</w:t>
            </w:r>
          </w:p>
        </w:tc>
        <w:tc>
          <w:tcPr>
            <w:tcW w:w="15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 of authorized</w:t>
            </w:r>
          </w:p>
        </w:tc>
        <w:tc>
          <w:tcPr>
            <w:tcW w:w="0" w:type="dxa"/>
            <w:vAlign w:val="bottom"/>
          </w:tcPr>
          <w:p>
            <w:pPr>
              <w:spacing w:after="0"/>
              <w:rPr>
                <w:sz w:val="1"/>
                <w:szCs w:val="1"/>
                <w:color w:val="auto"/>
              </w:rPr>
            </w:pPr>
          </w:p>
        </w:tc>
      </w:tr>
      <w:tr>
        <w:trPr>
          <w:trHeight w:val="148"/>
        </w:trPr>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Exchange</w:t>
            </w:r>
          </w:p>
        </w:tc>
        <w:tc>
          <w:tcPr>
            <w:tcW w:w="1140" w:type="dxa"/>
            <w:vAlign w:val="bottom"/>
          </w:tcPr>
          <w:p>
            <w:pPr>
              <w:spacing w:after="0"/>
              <w:rPr>
                <w:sz w:val="12"/>
                <w:szCs w:val="12"/>
                <w:color w:val="auto"/>
              </w:rPr>
            </w:pPr>
          </w:p>
        </w:tc>
        <w:tc>
          <w:tcPr>
            <w:tcW w:w="2160" w:type="dxa"/>
            <w:vAlign w:val="bottom"/>
            <w:gridSpan w:val="2"/>
          </w:tcPr>
          <w:p>
            <w:pPr>
              <w:jc w:val="center"/>
              <w:ind w:right="64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14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principal amount of this</w:t>
            </w:r>
          </w:p>
        </w:tc>
        <w:tc>
          <w:tcPr>
            <w:tcW w:w="2100" w:type="dxa"/>
            <w:vAlign w:val="bottom"/>
            <w:gridSpan w:val="2"/>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following such decrease</w:t>
            </w:r>
          </w:p>
        </w:tc>
        <w:tc>
          <w:tcPr>
            <w:tcW w:w="15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08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216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2140" w:type="dxa"/>
            <w:vAlign w:val="bottom"/>
            <w:gridSpan w:val="2"/>
          </w:tcPr>
          <w:p>
            <w:pPr>
              <w:jc w:val="center"/>
              <w:ind w:right="680"/>
              <w:spacing w:after="0" w:line="160" w:lineRule="exact"/>
              <w:rPr>
                <w:sz w:val="20"/>
                <w:szCs w:val="20"/>
                <w:color w:val="auto"/>
              </w:rPr>
            </w:pPr>
            <w:r>
              <w:rPr>
                <w:rFonts w:ascii="Times New Roman" w:cs="Times New Roman" w:eastAsia="Times New Roman" w:hAnsi="Times New Roman"/>
                <w:sz w:val="14"/>
                <w:szCs w:val="14"/>
                <w:b w:val="1"/>
                <w:bCs w:val="1"/>
                <w:color w:val="auto"/>
              </w:rPr>
              <w:t>Global Note</w:t>
            </w:r>
          </w:p>
        </w:tc>
        <w:tc>
          <w:tcPr>
            <w:tcW w:w="2100" w:type="dxa"/>
            <w:vAlign w:val="bottom"/>
            <w:gridSpan w:val="2"/>
          </w:tcPr>
          <w:p>
            <w:pPr>
              <w:jc w:val="center"/>
              <w:ind w:right="660"/>
              <w:spacing w:after="0" w:line="160" w:lineRule="exact"/>
              <w:rPr>
                <w:sz w:val="20"/>
                <w:szCs w:val="20"/>
                <w:color w:val="auto"/>
              </w:rPr>
            </w:pPr>
            <w:r>
              <w:rPr>
                <w:rFonts w:ascii="Times New Roman" w:cs="Times New Roman" w:eastAsia="Times New Roman" w:hAnsi="Times New Roman"/>
                <w:sz w:val="14"/>
                <w:szCs w:val="14"/>
                <w:b w:val="1"/>
                <w:bCs w:val="1"/>
                <w:color w:val="auto"/>
              </w:rPr>
              <w:t>(or increase)</w:t>
            </w:r>
          </w:p>
        </w:tc>
        <w:tc>
          <w:tcPr>
            <w:tcW w:w="1500" w:type="dxa"/>
            <w:vAlign w:val="bottom"/>
            <w:gridSpan w:val="2"/>
          </w:tcPr>
          <w:p>
            <w:pPr>
              <w:jc w:val="center"/>
              <w:ind w:right="20"/>
              <w:spacing w:after="0" w:line="160" w:lineRule="exact"/>
              <w:rPr>
                <w:sz w:val="20"/>
                <w:szCs w:val="20"/>
                <w:color w:val="auto"/>
              </w:rPr>
            </w:pPr>
            <w:r>
              <w:rPr>
                <w:rFonts w:ascii="Times New Roman" w:cs="Times New Roman" w:eastAsia="Times New Roman" w:hAnsi="Times New Roman"/>
                <w:sz w:val="14"/>
                <w:szCs w:val="14"/>
                <w:b w:val="1"/>
                <w:bCs w:val="1"/>
                <w:color w:val="auto"/>
              </w:rPr>
              <w:t>officer of Trustee</w:t>
            </w:r>
          </w:p>
        </w:tc>
        <w:tc>
          <w:tcPr>
            <w:tcW w:w="0" w:type="dxa"/>
            <w:vAlign w:val="bottom"/>
          </w:tcPr>
          <w:p>
            <w:pPr>
              <w:spacing w:after="0"/>
              <w:rPr>
                <w:sz w:val="1"/>
                <w:szCs w:val="1"/>
                <w:color w:val="auto"/>
              </w:rPr>
            </w:pPr>
          </w:p>
        </w:tc>
      </w:tr>
      <w:tr>
        <w:trPr>
          <w:trHeight w:val="203"/>
        </w:trPr>
        <w:tc>
          <w:tcPr>
            <w:tcW w:w="10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560"/>
          </w:cols>
          <w:pgMar w:left="440" w:top="270" w:right="89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08685" cy="1974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0868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Davis Polk &amp; Wardwell </w:t>
      </w:r>
      <w:r>
        <w:rPr>
          <w:rFonts w:ascii="Times New Roman" w:cs="Times New Roman" w:eastAsia="Times New Roman" w:hAnsi="Times New Roman"/>
          <w:sz w:val="14"/>
          <w:szCs w:val="14"/>
          <w:color w:val="auto"/>
        </w:rPr>
        <w:t>LLP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1600 El Camino Real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Menlo Park, CA 94025</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davispolk.com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16,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Texas Instruments Incorporated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Dallas, Texas 75243</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have acted as special counsel for Texas Instruments Incorporated,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Company’s offering of $400,000,000 aggregate principal amount of 3.650% Notes due 2032 and $300,000,000 aggregate principal amount of 4.100% Notes due 2052 (collectively,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in an underwritten public offering pursuant to an underwriting agreement dated August 10, 2022 (the “</w:t>
      </w:r>
      <w:r>
        <w:rPr>
          <w:rFonts w:ascii="Times New Roman" w:cs="Times New Roman" w:eastAsia="Times New Roman" w:hAnsi="Times New Roman"/>
          <w:sz w:val="18"/>
          <w:szCs w:val="18"/>
          <w:b w:val="1"/>
          <w:bCs w:val="1"/>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the Company and BofA Securities, Inc., Citigroup Global Markets Inc. and U.S. Bancorp Investments, Inc., as underwriters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The Notes are to be issued pursuant to an Indenture dated as of May 23, 2011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by and between the Company and U.S. Bank Trust Company, National Association, as successor in interest to U.S. Bank National Association, as Trustee, and an Officers’ Certificate to be issued pursuant thereto on or about August 16, 2022. The Company has filed with the Securities and Exchange Commission a Registration Statement on Form S-3 (File No. 333-262523,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for the purpose of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offer and sale of certain securities, including the Notes.</w:t>
      </w:r>
    </w:p>
    <w:p>
      <w:pPr>
        <w:spacing w:after="0" w:line="192"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62"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rendering the opinion expressed herein, we have, without independent inquiry or investigation, assumed that (i) all documents submitted to us as originals are authentic and complete, (ii) all documents submitted to us as copies conform to authentic, complete originals, (iii) all documents filed as exhibits to the Registration Statement that have not been executed will conform to the forms thereof, (iv) all signatures on all documents that we reviewed are genuine, (v) all natural persons executing documents had and have the legal capacity to do so, (vi) all statements in certificates of public officials and officers of the Company that we reviewed were and are accurate and (vii) all representations made by the Company as to matters of fact in the documents that we reviewed were and are accurate.</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Based on the foregoing, and subject to the additional assumptions and qualifications set forth below, we advise you that, in our opinion, the Notes have been duly authorized in accordance with the Indenture, and, when executed, authenticated and issued in accordance with the provisions of the Indenture and delivered to and paid for by the Underwriters in accordance with the terms of the Underwriting Agreement, such Notes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 provided that we express no opinion as to the validity, legally binding effect or enforceability of any provision that permits holders to collect any portion of stated principal amount upon acceleration of the Notes to the extent determined to constitute unearned interest.</w:t>
      </w:r>
    </w:p>
    <w:p>
      <w:pPr>
        <w:spacing w:after="0" w:line="189" w:lineRule="exact"/>
        <w:rPr>
          <w:sz w:val="20"/>
          <w:szCs w:val="20"/>
          <w:color w:val="auto"/>
        </w:rPr>
      </w:pPr>
    </w:p>
    <w:p>
      <w:pPr>
        <w:ind w:right="40"/>
        <w:spacing w:after="0" w:line="273" w:lineRule="auto"/>
        <w:rPr>
          <w:sz w:val="20"/>
          <w:szCs w:val="20"/>
          <w:color w:val="auto"/>
        </w:rPr>
      </w:pPr>
      <w:r>
        <w:rPr>
          <w:rFonts w:ascii="Times New Roman" w:cs="Times New Roman" w:eastAsia="Times New Roman" w:hAnsi="Times New Roman"/>
          <w:sz w:val="17"/>
          <w:szCs w:val="17"/>
          <w:color w:val="auto"/>
        </w:rPr>
        <w:t>In connection with the opinion expressed above, we have assumed that at or prior to the time of the delivery of the Notes, the Indenture and the Notes (the “</w:t>
      </w:r>
      <w:r>
        <w:rPr>
          <w:rFonts w:ascii="Times New Roman" w:cs="Times New Roman" w:eastAsia="Times New Roman" w:hAnsi="Times New Roman"/>
          <w:sz w:val="17"/>
          <w:szCs w:val="17"/>
          <w:b w:val="1"/>
          <w:bCs w:val="1"/>
          <w:color w:val="auto"/>
        </w:rPr>
        <w:t>Documents</w:t>
      </w:r>
      <w:r>
        <w:rPr>
          <w:rFonts w:ascii="Times New Roman" w:cs="Times New Roman" w:eastAsia="Times New Roman" w:hAnsi="Times New Roman"/>
          <w:sz w:val="17"/>
          <w:szCs w:val="17"/>
          <w:color w:val="auto"/>
        </w:rPr>
        <w:t>”) are valid, binding and enforceable agreements of each party thereto (other than as expressly covered above in respect of the Company). We have also assumed that the execution, delivery and performance by each party to each Document to which it is a party (a) are within its corporate powers, (b) do not contravene, or constitute a default under, the certificate of incorporation or bylaws or other constitutive documents of such party, (c) require no action by or in respect of, or filing with, any governmental body, agency or official and (d) do not contravene, or constitute a default under, any provision of applicable law or regulation or any judgment, injunction, order or decree or any agreement or other instrument binding upon such party, provided that we make no such assumption to the extent that we have specifically opined as to such matters with respect to the Company.</w:t>
      </w:r>
    </w:p>
    <w:p>
      <w:pPr>
        <w:sectPr>
          <w:pgSz w:w="11900" w:h="16838" w:orient="portrait"/>
          <w:cols w:equalWidth="0" w:num="1">
            <w:col w:w="11020"/>
          </w:cols>
          <w:pgMar w:left="440" w:top="117" w:right="439" w:bottom="1440" w:gutter="0" w:footer="0" w:header="0"/>
        </w:sectPr>
      </w:pPr>
    </w:p>
    <w:bookmarkStart w:id="67" w:name="page68"/>
    <w:bookmarkEnd w:id="67"/>
    <w:p>
      <w:pPr>
        <w:spacing w:after="0"/>
        <w:tabs>
          <w:tab w:leader="none" w:pos="5680" w:val="left"/>
          <w:tab w:leader="none" w:pos="980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Texas Instruments Incorporated</w:t>
      </w:r>
      <w:r>
        <w:rPr>
          <w:sz w:val="20"/>
          <w:szCs w:val="20"/>
          <w:color w:val="auto"/>
        </w:rPr>
        <w:tab/>
      </w:r>
      <w:r>
        <w:rPr>
          <w:rFonts w:ascii="Times New Roman" w:cs="Times New Roman" w:eastAsia="Times New Roman" w:hAnsi="Times New Roman"/>
          <w:sz w:val="18"/>
          <w:szCs w:val="18"/>
          <w:color w:val="auto"/>
        </w:rPr>
        <w:t>2</w:t>
      </w:r>
      <w:r>
        <w:rPr>
          <w:sz w:val="20"/>
          <w:szCs w:val="20"/>
          <w:color w:val="auto"/>
        </w:rPr>
        <w:tab/>
      </w:r>
      <w:r>
        <w:rPr>
          <w:rFonts w:ascii="Times New Roman" w:cs="Times New Roman" w:eastAsia="Times New Roman" w:hAnsi="Times New Roman"/>
          <w:sz w:val="18"/>
          <w:szCs w:val="18"/>
          <w:color w:val="auto"/>
        </w:rPr>
        <w:t>August 16, 2022</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are members of the Bars of the States of New York and California and the foregoing opinion is limited to the laws of the State of New York and the General Corporation Law of the State of Delaware, except that we express no opinion as to any law, rule or regulation that is applicable to the Company, the Documents or such transactions solely because such law, rule or regulation is part of a regulatory regime applicable to any party to any of the Documents or any affiliates due to the specific assets or business of such party or such affiliate.</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a report on Form 8-K to be filed by the Company on the date hereof and its incorporation by reference in the Registration Statement and further consent to the reference to our name under the caption “Validity of Securities” in the base prospectus and supplement thereto, which are a part of the Registration Statement. In giving this consent, we do not admit that we are in the category of persons whose consent is required under Section 7 of the Securities 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Davis Polk &amp; Wardwell LLP</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decimal"/>
      <w:start w:val="104"/>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lowerLetter"/>
      <w:start w:val="1"/>
    </w:lvl>
  </w:abstractNum>
  <w:abstractNum w:abstractNumId="5">
    <w:nsid w:val="22221A7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6">
    <w:nsid w:val="4516DDE9"/>
    <w:multiLevelType w:val="hybridMultilevel"/>
    <w:lvl w:ilvl="0">
      <w:lvlJc w:val="left"/>
      <w:lvlText w:val="(%1)"/>
      <w:numFmt w:val="lowerRoman"/>
      <w:start w:val="6"/>
    </w:lvl>
    <w:lvl w:ilvl="1">
      <w:lvlJc w:val="left"/>
      <w:lvlText w:val="(%2)"/>
      <w:numFmt w:val="upperLetter"/>
      <w:start w:val="1"/>
    </w:lvl>
  </w:abstractNum>
  <w:abstractNum w:abstractNumId="7">
    <w:nsid w:val="3006C8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8">
    <w:nsid w:val="614FD4A1"/>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9">
    <w:nsid w:val="419AC241"/>
    <w:multiLevelType w:val="hybridMultilevel"/>
    <w:lvl w:ilvl="0">
      <w:lvlJc w:val="left"/>
      <w:lvlText w:val="%1"/>
      <w:numFmt w:val="lowerRoman"/>
      <w:start w:val="1"/>
    </w:lvl>
    <w:lvl w:ilvl="1">
      <w:lvlJc w:val="left"/>
      <w:lvlText w:val="(%2)"/>
      <w:numFmt w:val="upperLetter"/>
      <w:start w:val="3"/>
    </w:lvl>
  </w:abstractNum>
  <w:abstractNum w:abstractNumId="10">
    <w:nsid w:val="5577F8E1"/>
    <w:multiLevelType w:val="hybridMultilevel"/>
    <w:lvl w:ilvl="0">
      <w:lvlJc w:val="left"/>
      <w:lvlText w:val="(%1)"/>
      <w:numFmt w:val="lowerRoman"/>
      <w:start w:val="3"/>
    </w:lvl>
    <w:lvl w:ilvl="1">
      <w:lvlJc w:val="left"/>
      <w:lvlText w:val="(%2)"/>
      <w:numFmt w:val="upperLetter"/>
      <w:start w:val="1"/>
    </w:lvl>
  </w:abstractNum>
  <w:abstractNum w:abstractNumId="11">
    <w:nsid w:val="440BADFC"/>
    <w:multiLevelType w:val="hybridMultilevel"/>
    <w:lvl w:ilvl="0">
      <w:lvlJc w:val="left"/>
      <w:lvlText w:val="(%1)"/>
      <w:numFmt w:val="lowerRoman"/>
      <w:start w:val="8"/>
    </w:lvl>
    <w:lvl w:ilvl="1">
      <w:lvlJc w:val="left"/>
      <w:lvlText w:val="(%2)"/>
      <w:numFmt w:val="upperLetter"/>
      <w:start w:val="1"/>
    </w:lvl>
  </w:abstractNum>
  <w:abstractNum w:abstractNumId="12">
    <w:nsid w:val="507236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3">
    <w:nsid w:val="3804823E"/>
    <w:multiLevelType w:val="hybridMultilevel"/>
    <w:lvl w:ilvl="0">
      <w:lvlJc w:val="left"/>
      <w:lvlText w:val="%1"/>
      <w:numFmt w:val="lowerLetter"/>
      <w:start w:val="1"/>
    </w:lvl>
    <w:lvl w:ilvl="1">
      <w:lvlJc w:val="left"/>
      <w:lvlText w:val="(%2)"/>
      <w:numFmt w:val="lowerRoman"/>
      <w:start w:val="13"/>
    </w:lvl>
    <w:lvl w:ilvl="2">
      <w:lvlJc w:val="left"/>
      <w:lvlText w:val="%3"/>
      <w:numFmt w:val="upperLetter"/>
      <w:start w:val="1"/>
    </w:lvl>
  </w:abstractNum>
  <w:abstractNum w:abstractNumId="14">
    <w:nsid w:val="77465F01"/>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5">
    <w:nsid w:val="7724C67E"/>
    <w:multiLevelType w:val="hybridMultilevel"/>
    <w:lvl w:ilvl="0">
      <w:lvlJc w:val="left"/>
      <w:lvlText w:val="(%1)"/>
      <w:numFmt w:val="lowerLetter"/>
      <w:start w:val="5"/>
    </w:lvl>
  </w:abstractNum>
  <w:abstractNum w:abstractNumId="16">
    <w:nsid w:val="5C482A97"/>
    <w:multiLevelType w:val="hybridMultilevel"/>
    <w:lvl w:ilvl="0">
      <w:lvlJc w:val="left"/>
      <w:lvlText w:val="(%1)"/>
      <w:numFmt w:val="lowerLetter"/>
      <w:start w:val="6"/>
    </w:lvl>
  </w:abstractNum>
  <w:abstractNum w:abstractNumId="17">
    <w:nsid w:val="2463B9EA"/>
    <w:multiLevelType w:val="hybridMultilevel"/>
    <w:lvl w:ilvl="0">
      <w:lvlJc w:val="left"/>
      <w:lvlText w:val="(%1)"/>
      <w:numFmt w:val="lowerLetter"/>
      <w:start w:val="1"/>
    </w:lvl>
  </w:abstractNum>
  <w:abstractNum w:abstractNumId="18">
    <w:nsid w:val="5E884ADC"/>
    <w:multiLevelType w:val="hybridMultilevel"/>
    <w:lvl w:ilvl="0">
      <w:lvlJc w:val="left"/>
      <w:lvlText w:val="(%1)"/>
      <w:numFmt w:val="lowerLetter"/>
      <w:start w:val="5"/>
    </w:lvl>
  </w:abstractNum>
  <w:abstractNum w:abstractNumId="19">
    <w:nsid w:val="51EAD36B"/>
    <w:multiLevelType w:val="hybridMultilevel"/>
    <w:lvl w:ilvl="0">
      <w:lvlJc w:val="left"/>
      <w:lvlText w:val="(%1)"/>
      <w:numFmt w:val="lowerLetter"/>
      <w:start w:val="9"/>
    </w:lvl>
  </w:abstractNum>
  <w:abstractNum w:abstractNumId="20">
    <w:nsid w:val="2D517796"/>
    <w:multiLevelType w:val="hybridMultilevel"/>
    <w:lvl w:ilvl="0">
      <w:lvlJc w:val="left"/>
      <w:lvlText w:val="%1"/>
      <w:numFmt w:val="lowerLetter"/>
      <w:start w:val="1"/>
    </w:lvl>
    <w:lvl w:ilvl="1">
      <w:lvlJc w:val="left"/>
      <w:lvlText w:val="(%2)"/>
      <w:numFmt w:val="lowerLetter"/>
      <w:start w:val="14"/>
    </w:lvl>
  </w:abstractNum>
  <w:abstractNum w:abstractNumId="21">
    <w:nsid w:val="580BD78F"/>
    <w:multiLevelType w:val="hybridMultilevel"/>
    <w:lvl w:ilvl="0">
      <w:lvlJc w:val="left"/>
      <w:lvlText w:val="(%1)"/>
      <w:numFmt w:val="lowerLetter"/>
      <w:start w:val="22"/>
    </w:lvl>
    <w:lvl w:ilvl="1">
      <w:lvlJc w:val="left"/>
      <w:lvlText w:val="%2"/>
      <w:numFmt w:val="lowerLetter"/>
      <w:start w:val="1"/>
    </w:lvl>
  </w:abstractNum>
  <w:abstractNum w:abstractNumId="22">
    <w:nsid w:val="153EA438"/>
    <w:multiLevelType w:val="hybridMultilevel"/>
    <w:lvl w:ilvl="0">
      <w:lvlJc w:val="left"/>
      <w:lvlText w:val="(%1)"/>
      <w:numFmt w:val="lowerLetter"/>
      <w:start w:val="1"/>
    </w:lvl>
  </w:abstractNum>
  <w:abstractNum w:abstractNumId="23">
    <w:nsid w:val="3855585C"/>
    <w:multiLevelType w:val="hybridMultilevel"/>
    <w:lvl w:ilvl="0">
      <w:lvlJc w:val="left"/>
      <w:lvlText w:val="(%1)"/>
      <w:numFmt w:val="lowerLetter"/>
      <w:start w:val="2"/>
    </w:lvl>
  </w:abstractNum>
  <w:abstractNum w:abstractNumId="24">
    <w:nsid w:val="70A64E2A"/>
    <w:multiLevelType w:val="hybridMultilevel"/>
    <w:lvl w:ilvl="0">
      <w:lvlJc w:val="left"/>
      <w:lvlText w:val="(%1)"/>
      <w:numFmt w:val="lowerLetter"/>
      <w:start w:val="4"/>
    </w:lvl>
  </w:abstractNum>
  <w:abstractNum w:abstractNumId="25">
    <w:nsid w:val="6A2342EC"/>
    <w:multiLevelType w:val="hybridMultilevel"/>
    <w:lvl w:ilvl="0">
      <w:lvlJc w:val="left"/>
      <w:lvlText w:val="%1"/>
      <w:numFmt w:val="lowerLetter"/>
      <w:start w:val="1"/>
    </w:lvl>
    <w:lvl w:ilvl="1">
      <w:lvlJc w:val="left"/>
      <w:lvlText w:val="(%2)"/>
      <w:numFmt w:val="lowerLetter"/>
      <w:start w:val="8"/>
    </w:lvl>
  </w:abstractNum>
  <w:abstractNum w:abstractNumId="26">
    <w:nsid w:val="2A487CB0"/>
    <w:multiLevelType w:val="hybridMultilevel"/>
    <w:lvl w:ilvl="0">
      <w:lvlJc w:val="left"/>
      <w:lvlText w:val="(%1)"/>
      <w:numFmt w:val="lowerLetter"/>
      <w:start w:val="35"/>
    </w:lvl>
    <w:lvl w:ilvl="1">
      <w:lvlJc w:val="left"/>
      <w:lvlText w:val="(%2)"/>
      <w:numFmt w:val="lowerLetter"/>
      <w:start w:val="9"/>
    </w:lvl>
  </w:abstractNum>
  <w:abstractNum w:abstractNumId="27">
    <w:nsid w:val="1D4ED43B"/>
    <w:multiLevelType w:val="hybridMultilevel"/>
    <w:lvl w:ilvl="0">
      <w:lvlJc w:val="left"/>
      <w:lvlText w:val="(%1)"/>
      <w:numFmt w:val="lowerLetter"/>
      <w:start w:val="14"/>
    </w:lvl>
  </w:abstractNum>
  <w:abstractNum w:abstractNumId="28">
    <w:nsid w:val="725A06FB"/>
    <w:multiLevelType w:val="hybridMultilevel"/>
    <w:lvl w:ilvl="0">
      <w:lvlJc w:val="left"/>
      <w:lvlText w:val="(%1)"/>
      <w:numFmt w:val="lowerRoman"/>
      <w:start w:val="2"/>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1"/>
      <w:numFmt w:val="lowerLetter"/>
      <w:start w:val="1"/>
    </w:lvl>
    <w:lvl w:ilvl="1">
      <w:lvlJc w:val="left"/>
      <w:lvlText w:val="(%2)"/>
      <w:numFmt w:val="lowerLetter"/>
      <w:start w:val="1"/>
    </w:lvl>
  </w:abstractNum>
  <w:abstractNum w:abstractNumId="31">
    <w:nsid w:val="7A6D8D3C"/>
    <w:multiLevelType w:val="hybridMultilevel"/>
    <w:lvl w:ilvl="0">
      <w:lvlJc w:val="left"/>
      <w:lvlText w:val="(%1)"/>
      <w:numFmt w:val="lowerLetter"/>
      <w:start w:val="35"/>
    </w:lvl>
    <w:lvl w:ilvl="1">
      <w:lvlJc w:val="left"/>
      <w:lvlText w:val="%2"/>
      <w:numFmt w:val="lowerLetter"/>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2"/>
    </w:lvl>
  </w:abstractNum>
  <w:abstractNum w:abstractNumId="35">
    <w:nsid w:val="38437FDB"/>
    <w:multiLevelType w:val="hybridMultilevel"/>
    <w:lvl w:ilvl="0">
      <w:lvlJc w:val="left"/>
      <w:lvlText w:val="%1."/>
      <w:numFmt w:val="decimal"/>
      <w:start w:val="3"/>
    </w:lvl>
  </w:abstractNum>
  <w:abstractNum w:abstractNumId="36">
    <w:nsid w:val="7644A45C"/>
    <w:multiLevelType w:val="hybridMultilevel"/>
    <w:lvl w:ilvl="0">
      <w:lvlJc w:val="left"/>
      <w:lvlText w:val="%1."/>
      <w:numFmt w:val="decimal"/>
      <w:start w:val="4"/>
    </w:lvl>
  </w:abstractNum>
  <w:abstractNum w:abstractNumId="37">
    <w:nsid w:val="32FFF902"/>
    <w:multiLevelType w:val="hybridMultilevel"/>
    <w:lvl w:ilvl="0">
      <w:lvlJc w:val="left"/>
      <w:lvlText w:val="%1."/>
      <w:numFmt w:val="decimal"/>
      <w:start w:val="5"/>
    </w:lvl>
  </w:abstractNum>
  <w:abstractNum w:abstractNumId="38">
    <w:nsid w:val="684A481A"/>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39">
    <w:nsid w:val="579478F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0">
    <w:nsid w:val="749ABB43"/>
    <w:multiLevelType w:val="hybridMultilevel"/>
    <w:lvl w:ilvl="0">
      <w:lvlJc w:val="left"/>
      <w:lvlText w:val="(%1)"/>
      <w:numFmt w:val="lowerLetter"/>
      <w:start w:val="2"/>
    </w:lvl>
  </w:abstractNum>
  <w:abstractNum w:abstractNumId="41">
    <w:nsid w:val="3DC240FB"/>
    <w:multiLevelType w:val="hybridMultilevel"/>
    <w:lvl w:ilvl="0">
      <w:lvlJc w:val="left"/>
      <w:lvlText w:val="%1."/>
      <w:numFmt w:val="decimal"/>
      <w:start w:val="7"/>
    </w:lvl>
  </w:abstractNum>
  <w:abstractNum w:abstractNumId="42">
    <w:nsid w:val="1BA026FA"/>
    <w:multiLevelType w:val="hybridMultilevel"/>
    <w:lvl w:ilvl="0">
      <w:lvlJc w:val="left"/>
      <w:lvlText w:val="%1."/>
      <w:numFmt w:val="decimal"/>
      <w:start w:val="8"/>
    </w:lvl>
  </w:abstractNum>
  <w:abstractNum w:abstractNumId="43">
    <w:nsid w:val="79A1DEAA"/>
    <w:multiLevelType w:val="hybridMultilevel"/>
    <w:lvl w:ilvl="0">
      <w:lvlJc w:val="left"/>
      <w:lvlText w:val="%1."/>
      <w:numFmt w:val="decimal"/>
      <w:start w:val="9"/>
    </w:lvl>
  </w:abstractNum>
  <w:abstractNum w:abstractNumId="44">
    <w:nsid w:val="75C6C33A"/>
    <w:multiLevelType w:val="hybridMultilevel"/>
    <w:lvl w:ilvl="0">
      <w:lvlJc w:val="left"/>
      <w:lvlText w:val="%1."/>
      <w:numFmt w:val="decimal"/>
      <w:start w:val="10"/>
    </w:lvl>
  </w:abstractNum>
  <w:abstractNum w:abstractNumId="45">
    <w:nsid w:val="12E685FB"/>
    <w:multiLevelType w:val="hybridMultilevel"/>
    <w:lvl w:ilvl="0">
      <w:lvlJc w:val="left"/>
      <w:lvlText w:val="%1."/>
      <w:numFmt w:val="decimal"/>
      <w:start w:val="11"/>
    </w:lvl>
  </w:abstractNum>
  <w:abstractNum w:abstractNumId="46">
    <w:nsid w:val="70C6A529"/>
    <w:multiLevelType w:val="hybridMultilevel"/>
    <w:lvl w:ilvl="0">
      <w:lvlJc w:val="left"/>
      <w:lvlText w:val="%1."/>
      <w:numFmt w:val="decimal"/>
      <w:start w:val="1"/>
    </w:lvl>
  </w:abstractNum>
  <w:abstractNum w:abstractNumId="47">
    <w:nsid w:val="520EEDD1"/>
    <w:multiLevelType w:val="hybridMultilevel"/>
    <w:lvl w:ilvl="0">
      <w:lvlJc w:val="left"/>
      <w:lvlText w:val="%1."/>
      <w:numFmt w:val="decimal"/>
      <w:start w:val="2"/>
    </w:lvl>
  </w:abstractNum>
  <w:abstractNum w:abstractNumId="48">
    <w:nsid w:val="374A3FE6"/>
    <w:multiLevelType w:val="hybridMultilevel"/>
    <w:lvl w:ilvl="0">
      <w:lvlJc w:val="left"/>
      <w:lvlText w:val="%1."/>
      <w:numFmt w:val="decimal"/>
      <w:start w:val="3"/>
    </w:lvl>
  </w:abstractNum>
  <w:abstractNum w:abstractNumId="49">
    <w:nsid w:val="4F4EF005"/>
    <w:multiLevelType w:val="hybridMultilevel"/>
    <w:lvl w:ilvl="0">
      <w:lvlJc w:val="left"/>
      <w:lvlText w:val="%1."/>
      <w:numFmt w:val="decimal"/>
      <w:start w:val="4"/>
    </w:lvl>
  </w:abstractNum>
  <w:abstractNum w:abstractNumId="50">
    <w:nsid w:val="23F9C13C"/>
    <w:multiLevelType w:val="hybridMultilevel"/>
    <w:lvl w:ilvl="0">
      <w:lvlJc w:val="left"/>
      <w:lvlText w:val="%1."/>
      <w:numFmt w:val="decimal"/>
      <w:start w:val="5"/>
    </w:lvl>
  </w:abstractNum>
  <w:abstractNum w:abstractNumId="51">
    <w:nsid w:val="649BB77C"/>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52">
    <w:nsid w:val="275AC794"/>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53">
    <w:nsid w:val="39386575"/>
    <w:multiLevelType w:val="hybridMultilevel"/>
    <w:lvl w:ilvl="0">
      <w:lvlJc w:val="left"/>
      <w:lvlText w:val="(%1)"/>
      <w:numFmt w:val="lowerLetter"/>
      <w:start w:val="2"/>
    </w:lvl>
  </w:abstractNum>
  <w:abstractNum w:abstractNumId="54">
    <w:nsid w:val="1CF10FD8"/>
    <w:multiLevelType w:val="hybridMultilevel"/>
    <w:lvl w:ilvl="0">
      <w:lvlJc w:val="left"/>
      <w:lvlText w:val="%1."/>
      <w:numFmt w:val="decimal"/>
      <w:start w:val="7"/>
    </w:lvl>
  </w:abstractNum>
  <w:abstractNum w:abstractNumId="55">
    <w:nsid w:val="180115BE"/>
    <w:multiLevelType w:val="hybridMultilevel"/>
    <w:lvl w:ilvl="0">
      <w:lvlJc w:val="left"/>
      <w:lvlText w:val="%1."/>
      <w:numFmt w:val="decimal"/>
      <w:start w:val="8"/>
    </w:lvl>
  </w:abstractNum>
  <w:abstractNum w:abstractNumId="56">
    <w:nsid w:val="235BA861"/>
    <w:multiLevelType w:val="hybridMultilevel"/>
    <w:lvl w:ilvl="0">
      <w:lvlJc w:val="left"/>
      <w:lvlText w:val="%1."/>
      <w:numFmt w:val="decimal"/>
      <w:start w:val="9"/>
    </w:lvl>
  </w:abstractNum>
  <w:abstractNum w:abstractNumId="57">
    <w:nsid w:val="47398C89"/>
    <w:multiLevelType w:val="hybridMultilevel"/>
    <w:lvl w:ilvl="0">
      <w:lvlJc w:val="left"/>
      <w:lvlText w:val="%1."/>
      <w:numFmt w:val="decimal"/>
      <w:start w:val="10"/>
    </w:lvl>
  </w:abstractNum>
  <w:abstractNum w:abstractNumId="58">
    <w:nsid w:val="354FE9F9"/>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2022-08-16T15:12:51Z</dcterms:created>
  <dcterms:modified xsi:type="dcterms:W3CDTF">2022-08-16T15:12:51Z</dcterms:modified>
</cp:coreProperties>
</file>