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TEMPLETON RICHARD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0000FF"/>
        </w:rPr>
        <w:t>Chairman</w:t>
      </w:r>
    </w:p>
    <w:p>
      <w:pPr>
        <w:spacing w:after="0" w:line="277" w:lineRule="exact"/>
        <w:rPr>
          <w:sz w:val="24"/>
          <w:szCs w:val="24"/>
          <w:color w:val="auto"/>
        </w:rPr>
      </w:pPr>
    </w:p>
    <w:p>
      <w:pPr>
        <w:sectPr>
          <w:pgSz w:w="11900" w:h="16838" w:orient="portrait"/>
          <w:cols w:equalWidth="0" w:num="3">
            <w:col w:w="3200" w:space="720"/>
            <w:col w:w="3200" w:space="620"/>
            <w:col w:w="3340"/>
          </w:cols>
          <w:pgMar w:left="460" w:top="217" w:right="359" w:bottom="71"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420" w:type="dxa"/>
            <w:vAlign w:val="bottom"/>
            <w:gridSpan w:val="8"/>
            <w:vMerge w:val="restart"/>
          </w:tcPr>
          <w:p>
            <w:pPr>
              <w:jc w:val="center"/>
              <w:ind w:left="96"/>
              <w:spacing w:after="0"/>
              <w:rPr>
                <w:sz w:val="20"/>
                <w:szCs w:val="20"/>
                <w:color w:val="auto"/>
              </w:rPr>
            </w:pPr>
            <w:r>
              <w:rPr>
                <w:rFonts w:ascii="Arial" w:cs="Arial" w:eastAsia="Arial" w:hAnsi="Arial"/>
                <w:sz w:val="13"/>
                <w:szCs w:val="13"/>
                <w:color w:val="auto"/>
                <w:w w:val="98"/>
              </w:rPr>
              <w:t>4. If Amendment, Date of Original Filed (Month/Day/Year)</w:t>
            </w:r>
          </w:p>
        </w:tc>
        <w:tc>
          <w:tcPr>
            <w:tcW w:w="180" w:type="dxa"/>
            <w:vAlign w:val="bottom"/>
          </w:tcPr>
          <w:p>
            <w:pPr>
              <w:spacing w:after="0"/>
              <w:rPr>
                <w:sz w:val="2"/>
                <w:szCs w:val="2"/>
                <w:color w:val="auto"/>
              </w:rPr>
            </w:pPr>
          </w:p>
        </w:tc>
        <w:tc>
          <w:tcPr>
            <w:tcW w:w="372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180" w:type="dxa"/>
            <w:vAlign w:val="bottom"/>
          </w:tcPr>
          <w:p>
            <w:pPr>
              <w:spacing w:after="0"/>
              <w:rPr>
                <w:sz w:val="10"/>
                <w:szCs w:val="10"/>
                <w:color w:val="auto"/>
              </w:rPr>
            </w:pPr>
          </w:p>
        </w:tc>
        <w:tc>
          <w:tcPr>
            <w:tcW w:w="37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4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3"/>
          </w:tcPr>
          <w:p>
            <w:pPr>
              <w:jc w:val="center"/>
              <w:ind w:left="30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4"/>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97,000</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506,089</w:t>
            </w:r>
          </w:p>
        </w:tc>
        <w:tc>
          <w:tcPr>
            <w:tcW w:w="280" w:type="dxa"/>
            <w:vAlign w:val="bottom"/>
          </w:tcPr>
          <w:p>
            <w:pPr>
              <w:spacing w:after="0"/>
              <w:rPr>
                <w:sz w:val="22"/>
                <w:szCs w:val="22"/>
                <w:color w:val="auto"/>
              </w:rPr>
            </w:pPr>
          </w:p>
        </w:tc>
        <w:tc>
          <w:tcPr>
            <w:tcW w:w="660" w:type="dxa"/>
            <w:vAlign w:val="bottom"/>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191.608</w:t>
            </w:r>
            <w:r>
              <w:rPr>
                <w:rFonts w:ascii="Times New Roman" w:cs="Times New Roman" w:eastAsia="Times New Roman" w:hAnsi="Times New Roman"/>
                <w:sz w:val="21"/>
                <w:szCs w:val="21"/>
                <w:color w:val="008000"/>
                <w:w w:val="93"/>
                <w:vertAlign w:val="superscript"/>
              </w:rPr>
              <w:t>(1)</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501,089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2,354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192.5515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498,735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6,602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194.1151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492,133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31,402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194.8481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460,731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20,761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195.9388</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439,970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24,764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196.7424</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415,206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02/27/2025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6,117</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197.6162</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409,089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02/28/2025</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4,557</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413,646</w:t>
            </w:r>
          </w:p>
        </w:tc>
        <w:tc>
          <w:tcPr>
            <w:tcW w:w="280" w:type="dxa"/>
            <w:vAlign w:val="bottom"/>
          </w:tcPr>
          <w:p>
            <w:pPr>
              <w:spacing w:after="0"/>
              <w:rPr>
                <w:sz w:val="22"/>
                <w:szCs w:val="22"/>
                <w:color w:val="auto"/>
              </w:rPr>
            </w:pPr>
          </w:p>
        </w:tc>
        <w:tc>
          <w:tcPr>
            <w:tcW w:w="660" w:type="dxa"/>
            <w:vAlign w:val="bottom"/>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02/28/2025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192.1518</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413,017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02/28/2025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1,205</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193.3506</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411,812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02/28/2025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1,764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194.658</w:t>
            </w:r>
            <w:r>
              <w:rPr>
                <w:rFonts w:ascii="Times New Roman" w:cs="Times New Roman" w:eastAsia="Times New Roman" w:hAnsi="Times New Roman"/>
                <w:sz w:val="21"/>
                <w:szCs w:val="21"/>
                <w:color w:val="008000"/>
                <w:w w:val="93"/>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410,048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02/28/2025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959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195.8217</w:t>
            </w:r>
            <w:r>
              <w:rPr>
                <w:rFonts w:ascii="Times New Roman" w:cs="Times New Roman" w:eastAsia="Times New Roman" w:hAnsi="Times New Roman"/>
                <w:sz w:val="21"/>
                <w:szCs w:val="21"/>
                <w:color w:val="008000"/>
                <w:w w:val="93"/>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409,089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307.94</w:t>
            </w:r>
            <w:r>
              <w:rPr>
                <w:rFonts w:ascii="Times New Roman" w:cs="Times New Roman" w:eastAsia="Times New Roman" w:hAnsi="Times New Roman"/>
                <w:sz w:val="21"/>
                <w:szCs w:val="21"/>
                <w:color w:val="008000"/>
                <w:w w:val="91"/>
                <w:vertAlign w:val="superscript"/>
              </w:rPr>
              <w:t>(12)</w:t>
            </w:r>
          </w:p>
        </w:tc>
        <w:tc>
          <w:tcPr>
            <w:tcW w:w="280" w:type="dxa"/>
            <w:vAlign w:val="bottom"/>
          </w:tcPr>
          <w:p>
            <w:pPr>
              <w:spacing w:after="0"/>
              <w:rPr>
                <w:sz w:val="21"/>
                <w:szCs w:val="21"/>
                <w:color w:val="auto"/>
              </w:rPr>
            </w:pPr>
          </w:p>
        </w:tc>
        <w:tc>
          <w:tcPr>
            <w:tcW w:w="660" w:type="dxa"/>
            <w:vAlign w:val="bottom"/>
            <w:vMerge w:val="restart"/>
          </w:tcPr>
          <w:p>
            <w:pPr>
              <w:jc w:val="center"/>
              <w:ind w:right="28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12,681.05</w:t>
            </w:r>
            <w:r>
              <w:rPr>
                <w:rFonts w:ascii="Times New Roman" w:cs="Times New Roman" w:eastAsia="Times New Roman" w:hAnsi="Times New Roman"/>
                <w:sz w:val="21"/>
                <w:szCs w:val="21"/>
                <w:color w:val="008000"/>
                <w:w w:val="91"/>
                <w:vertAlign w:val="superscript"/>
              </w:rPr>
              <w:t>(13)</w:t>
            </w:r>
          </w:p>
        </w:tc>
        <w:tc>
          <w:tcPr>
            <w:tcW w:w="280" w:type="dxa"/>
            <w:vAlign w:val="bottom"/>
          </w:tcPr>
          <w:p>
            <w:pPr>
              <w:spacing w:after="0"/>
              <w:rPr>
                <w:sz w:val="21"/>
                <w:szCs w:val="21"/>
                <w:color w:val="auto"/>
              </w:rPr>
            </w:pPr>
          </w:p>
        </w:tc>
        <w:tc>
          <w:tcPr>
            <w:tcW w:w="660" w:type="dxa"/>
            <w:vAlign w:val="bottom"/>
            <w:vMerge w:val="restart"/>
          </w:tcPr>
          <w:p>
            <w:pPr>
              <w:jc w:val="center"/>
              <w:ind w:right="28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jc w:val="center"/>
              <w:ind w:right="28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8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4"/>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02/27/2025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0000FF"/>
              </w:rPr>
              <w:t>97,000</w:t>
            </w:r>
          </w:p>
        </w:tc>
        <w:tc>
          <w:tcPr>
            <w:tcW w:w="3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008000"/>
              </w:rPr>
              <w:t>(15)</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7"/>
              </w:rPr>
              <w:t>01/29/2026</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97,000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4,557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gridSpan w:val="2"/>
          </w:tcPr>
          <w:p>
            <w:pPr>
              <w:ind w:left="2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7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00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10058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02/28/2025</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4,557</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01/29/2026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4,557</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3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$191.25 to $192.24.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$192.25 to $192.975.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$193.405 to $194.39.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44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$194.41 to $195.4.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$195.415 to $196.41.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$196.42 to $197.38.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$197.42 to $197.945.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$191.62 to $192.595.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$192.805 to $193.62.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180" w:firstLine="2"/>
        <w:spacing w:after="0" w:line="255" w:lineRule="auto"/>
        <w:tabs>
          <w:tab w:leader="none" w:pos="21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$194.215 to $195.105.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240" w:firstLine="2"/>
        <w:spacing w:after="0" w:line="255"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$195.275 to $196.04.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left="20" w:right="300" w:firstLine="2"/>
        <w:spacing w:after="0" w:line="255" w:lineRule="auto"/>
        <w:tabs>
          <w:tab w:leader="none" w:pos="21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12/31/2024. (Interests in this account are denominated in units. Consequently, share amount shown is an estimate.) This statement does not include changes in beneficial ownership of shares held in this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20" w:right="260" w:firstLine="2"/>
        <w:spacing w:after="0" w:line="255" w:lineRule="auto"/>
        <w:tabs>
          <w:tab w:leader="none" w:pos="21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12/31/2024. (Interests in this account are denominated in units. Consequently, share amount shown is an estimate.) This statement does not include changes in beneficial ownership of shares held in such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29, 2017.</w:t>
      </w:r>
    </w:p>
    <w:p>
      <w:pPr>
        <w:spacing w:after="0" w:line="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 Fact 03/03/2025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2025-03-03T16:14:42Z</dcterms:created>
  <dcterms:modified xsi:type="dcterms:W3CDTF">2025-03-03T16:14:42Z</dcterms:modified>
</cp:coreProperties>
</file>