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8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890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01/26/2017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01/26/2017</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5"/>
              </w:rPr>
              <w:t>17,033</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center"/>
              <w:ind w:left="48"/>
              <w:spacing w:after="0"/>
              <w:rPr>
                <w:sz w:val="20"/>
                <w:szCs w:val="20"/>
                <w:color w:val="auto"/>
              </w:rPr>
            </w:pPr>
            <w:r>
              <w:rPr>
                <w:rFonts w:ascii="Arial" w:cs="Arial" w:eastAsia="Arial" w:hAnsi="Arial"/>
                <w:sz w:val="17"/>
                <w:szCs w:val="17"/>
                <w:color w:val="0000FF"/>
                <w:w w:val="91"/>
              </w:rPr>
              <w:t>348,586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gridSpan w:val="3"/>
            <w:vMerge w:val="restart"/>
          </w:tcPr>
          <w:p>
            <w:pPr>
              <w:jc w:val="center"/>
              <w:ind w:left="28"/>
              <w:spacing w:after="0"/>
              <w:rPr>
                <w:sz w:val="20"/>
                <w:szCs w:val="20"/>
                <w:color w:val="auto"/>
              </w:rPr>
            </w:pPr>
            <w:r>
              <w:rPr>
                <w:rFonts w:ascii="Arial" w:cs="Arial" w:eastAsia="Arial" w:hAnsi="Arial"/>
                <w:sz w:val="17"/>
                <w:szCs w:val="17"/>
                <w:color w:val="0000FF"/>
                <w:w w:val="88"/>
              </w:rPr>
              <w:t>20,000</w:t>
            </w:r>
            <w:r>
              <w:rPr>
                <w:rFonts w:ascii="Arial" w:cs="Arial" w:eastAsia="Arial" w:hAnsi="Arial"/>
                <w:sz w:val="22"/>
                <w:szCs w:val="22"/>
                <w:color w:val="008000"/>
                <w:w w:val="88"/>
                <w:vertAlign w:val="superscript"/>
              </w:rPr>
              <w:t>(2)</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gridSpan w:val="3"/>
            <w:vMerge w:val="restart"/>
          </w:tcPr>
          <w:p>
            <w:pPr>
              <w:jc w:val="center"/>
              <w:ind w:left="28"/>
              <w:spacing w:after="0"/>
              <w:rPr>
                <w:sz w:val="20"/>
                <w:szCs w:val="20"/>
                <w:color w:val="auto"/>
              </w:rPr>
            </w:pPr>
            <w:r>
              <w:rPr>
                <w:rFonts w:ascii="Arial" w:cs="Arial" w:eastAsia="Arial" w:hAnsi="Arial"/>
                <w:sz w:val="17"/>
                <w:szCs w:val="17"/>
                <w:color w:val="0000FF"/>
                <w:w w:val="87"/>
              </w:rPr>
              <w:t>2,092.99</w:t>
            </w:r>
            <w:r>
              <w:rPr>
                <w:rFonts w:ascii="Arial" w:cs="Arial" w:eastAsia="Arial" w:hAnsi="Arial"/>
                <w:sz w:val="22"/>
                <w:szCs w:val="22"/>
                <w:color w:val="008000"/>
                <w:w w:val="87"/>
                <w:vertAlign w:val="superscript"/>
              </w:rPr>
              <w:t>(3)</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gridSpan w:val="3"/>
            <w:vMerge w:val="restart"/>
          </w:tcPr>
          <w:p>
            <w:pPr>
              <w:jc w:val="center"/>
              <w:ind w:left="48"/>
              <w:spacing w:after="0"/>
              <w:rPr>
                <w:sz w:val="20"/>
                <w:szCs w:val="20"/>
                <w:color w:val="auto"/>
              </w:rPr>
            </w:pPr>
            <w:r>
              <w:rPr>
                <w:rFonts w:ascii="Arial" w:cs="Arial" w:eastAsia="Arial" w:hAnsi="Arial"/>
                <w:sz w:val="17"/>
                <w:szCs w:val="17"/>
                <w:color w:val="0000FF"/>
                <w:w w:val="85"/>
              </w:rPr>
              <w:t>27.14</w:t>
            </w:r>
            <w:r>
              <w:rPr>
                <w:rFonts w:ascii="Arial" w:cs="Arial" w:eastAsia="Arial" w:hAnsi="Arial"/>
                <w:sz w:val="22"/>
                <w:szCs w:val="22"/>
                <w:color w:val="008000"/>
                <w:w w:val="85"/>
                <w:vertAlign w:val="superscript"/>
              </w:rPr>
              <w:t>(4)</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82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79.26</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01/26/2017</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81,888</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01/26/2027</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81,888</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81,888</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12-31-2016. (Interests in this account are denominated in units. Consequently, share amount shown is an estimate.) This statement does not include changes in beneficial ownership of shares held in such account occurring after 12-31-2016 that are eligible for deferred reporting on Form 5.</w:t>
      </w:r>
    </w:p>
    <w:p>
      <w:pPr>
        <w:spacing w:after="0" w:line="9"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12-31-2016. (Interests in this account are denominated in units. Consequently, share amount shown is an estimate.) This statement does not include changes in beneficial ownership of shares held in this account occurring after 12-31-2016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2018.</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Muriel C. McFarling,</w:t>
            </w:r>
          </w:p>
        </w:tc>
        <w:tc>
          <w:tcPr>
            <w:tcW w:w="5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01/30/2017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2019-12-23T21:04:59Z</dcterms:created>
  <dcterms:modified xsi:type="dcterms:W3CDTF">2019-12-23T21:04:59Z</dcterms:modified>
</cp:coreProperties>
</file>