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2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Registrant’s news release dated January 21, 2014, regarding its fourth-quarter and 2013 results of operations and financial condition is attached hereto as Exhibit 99.</w:t>
      </w:r>
    </w:p>
    <w:p>
      <w:pPr>
        <w:spacing w:after="0" w:line="19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and various ratios based on free cash flow.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ITEM 2.05. Costs Associated with Exit or Disposal Activities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Registrant announced today that it will reduce costs in Embedded Processing and in Japan. Cost reductions include the elimination of about 1,100 jobs worldwide. The Registrant estimates that this action will be substantially complete by the middle of 2015.</w:t>
      </w:r>
    </w:p>
    <w:p>
      <w:pPr>
        <w:spacing w:after="0" w:line="1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Total charges for this action are estimated to be about $80 million, of which $49 million was included in the fourth quarter of 2013 and about $30 million will be included in the first quarter of 2014. All of the estimated charges are for severance and related benefits and will result in future cash expenditures.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this action, the Registrant expects annualized savings of about $130 million by the end of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517" w:right="239" w:bottom="0"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947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58661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60" w:space="720"/>
            <w:col w:w="9240"/>
          </w:cols>
          <w:pgMar w:left="240" w:top="517" w:right="239" w:bottom="0" w:gutter="0" w:footer="0" w:header="0"/>
          <w:type w:val="continuous"/>
        </w:sectPr>
      </w:pPr>
    </w:p>
    <w:p>
      <w:pPr>
        <w:ind w:left="2180" w:hanging="1242"/>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Dated January 21, 2014 (furnished pursuant to Item 2.02)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143"/>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industrial, automotive, personal electronics, communications equipment and enterprise systems;</w:t>
      </w:r>
    </w:p>
    <w:p>
      <w:pPr>
        <w:spacing w:after="0" w:line="1"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ind w:left="340" w:hanging="143"/>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ectPr>
          <w:pgSz w:w="11900" w:h="16838" w:orient="portrait"/>
          <w:cols w:equalWidth="0" w:num="1">
            <w:col w:w="11420"/>
          </w:cols>
          <w:pgMar w:left="240" w:top="517" w:right="239" w:bottom="0" w:gutter="0" w:footer="0" w:header="0"/>
          <w:type w:val="continuous"/>
        </w:sectPr>
      </w:pPr>
    </w:p>
    <w:bookmarkStart w:id="2" w:name="page3"/>
    <w:bookmarkEnd w:id="2"/>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report are made only as of the date of this report, and TI undertakes no obligation to update the forward-looking statements to reflect subsequent events or circumstances.</w:t>
      </w:r>
    </w:p>
    <w:p>
      <w:pPr>
        <w:sectPr>
          <w:pgSz w:w="11900" w:h="16838" w:orient="portrait"/>
          <w:cols w:equalWidth="0" w:num="1">
            <w:col w:w="11240"/>
          </w:cols>
          <w:pgMar w:left="240" w:top="125" w:right="4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January 21,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76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4Q13 and 2013 financial results and shareholder returns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DALLAS (Jan. 21, 2014) – Texas Instruments Incorporated (TI) (NASDAQ: TXN) today reported fourth-quarter revenue of $3.03 billion, net income of $511 million and earnings per share of 46 cents. Results include charges of $49 million, which reduced earnings by 3 cents per share, for a restructuring action that was not included in the company’s prior guidance.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64" w:lineRule="exact"/>
        <w:rPr>
          <w:sz w:val="20"/>
          <w:szCs w:val="20"/>
          <w:color w:val="auto"/>
        </w:rPr>
      </w:pPr>
    </w:p>
    <w:p>
      <w:pPr>
        <w:ind w:left="340" w:right="2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fourth quarter capped a year in which each quarter’s performance increasingly reflected the impact of structural changes we’ve made to focus TI on Analog and Embedded Processing, where the diversity and longevity of our positions are assets.</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combined revenue from Analog and Embedded Processing grew 12 percent over last year’s fourth quarter and comprised 82 percent of total revenue. Individually, Analog was up 12 percent and Embedded Processing was up 11 percent from a year ago.</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in the quarter benefited from revenue that was in the upper half of our guidance range and excellent fall through to gross profit. Gross margin of 54.2 percent remained near its record high, reflecting the quality of our Analog and Embedded Processing portfolio and the efficiency of our manufacturing strategy.</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model continues to generate strong cash flow from operations. Free cash flow for the full year of 2013 was $3 billion, or 24 percent of revenue, consistent with our target of 20-25 percent.</w:t>
      </w:r>
    </w:p>
    <w:p>
      <w:pPr>
        <w:spacing w:after="0" w:line="197" w:lineRule="exact"/>
        <w:rPr>
          <w:rFonts w:ascii="Arial" w:cs="Arial" w:eastAsia="Arial" w:hAnsi="Arial"/>
          <w:sz w:val="18"/>
          <w:szCs w:val="18"/>
          <w:color w:val="auto"/>
        </w:rPr>
      </w:pPr>
    </w:p>
    <w:p>
      <w:pPr>
        <w:ind w:left="340" w:hanging="143"/>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returned $4 billion, or 136 percent of free cash flow, to shareholders in 2013 through dividends and stock repurchases. Our strategy to return to shareholders all free cash flow not needed for debt repayment reflects our confidence in the long-term sustainability of our business model.</w:t>
      </w:r>
    </w:p>
    <w:p>
      <w:pPr>
        <w:spacing w:after="0" w:line="173" w:lineRule="exact"/>
        <w:rPr>
          <w:rFonts w:ascii="Arial" w:cs="Arial" w:eastAsia="Arial" w:hAnsi="Arial"/>
          <w:sz w:val="17"/>
          <w:szCs w:val="17"/>
          <w:color w:val="auto"/>
        </w:rPr>
      </w:pPr>
    </w:p>
    <w:p>
      <w:pPr>
        <w:ind w:left="340" w:hanging="143"/>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balance sheet remains strong, with $3.8 billion of cash and short-term investments at the end of the year, 82 percent of which was owned by the company’s U.S. entities. Inventory days were 112, consistent with our model of 105-115 days.</w:t>
      </w:r>
    </w:p>
    <w:p>
      <w:pPr>
        <w:spacing w:after="0" w:line="197" w:lineRule="exact"/>
        <w:rPr>
          <w:rFonts w:ascii="Arial" w:cs="Arial" w:eastAsia="Arial" w:hAnsi="Arial"/>
          <w:sz w:val="18"/>
          <w:szCs w:val="18"/>
          <w:color w:val="auto"/>
        </w:rPr>
      </w:pPr>
    </w:p>
    <w:p>
      <w:pPr>
        <w:ind w:left="340" w:hanging="143"/>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“TI’s outlook for the first quarter of 2014 is for revenue in the range of $2.83 billion to $3.07 billion and earnings per share between $0.36 and $0.44, including charges. The annual effective tax rate for 2014 is expected to be about 27 percent, which reflects the expiration of the R&amp;D tax credit.”</w:t>
      </w:r>
    </w:p>
    <w:p>
      <w:pPr>
        <w:spacing w:after="0" w:line="15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TI’s fourth-quarter results and first-quarter outlook include restructuring charges for cost-saving actions in Embedded Processing and in Japan. The company is not exiting any markets or discontinuing any existing products but will reduce investments in markets that do not offer sustainable growth and returns. The savings will reflect the elimination of about 1,100 jobs worldwide. The charges are expected to be about $80 million, of which $49 million was included in the fourth quarter of 2013 and about $30 million will be included in the first quarter of 2014. The company expects to achieve annualized savings of about $130 million by the end of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(Cash flow from operations less Capital expenditures) is a non-GAAP financial measure.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4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20" w:type="dxa"/>
            <w:vAlign w:val="bottom"/>
            <w:gridSpan w:val="19"/>
          </w:tcPr>
          <w:p>
            <w:pPr>
              <w:spacing w:after="0"/>
              <w:rPr>
                <w:sz w:val="20"/>
                <w:szCs w:val="20"/>
                <w:color w:val="auto"/>
              </w:rPr>
            </w:pPr>
            <w:r>
              <w:rPr>
                <w:rFonts w:ascii="Arial" w:cs="Arial" w:eastAsia="Arial" w:hAnsi="Arial"/>
                <w:sz w:val="18"/>
                <w:szCs w:val="18"/>
                <w:i w:val="1"/>
                <w:iCs w:val="1"/>
                <w:color w:val="auto"/>
                <w:w w:val="96"/>
              </w:rPr>
              <w:t>Amounts are in millions of dollars, except per-share amounts.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2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4Q13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auto"/>
                <w:w w:val="93"/>
              </w:rPr>
              <w:t>4Q12  Change</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3,028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2,979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$ 12,205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12,825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394%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2,832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1,973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511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94%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2,162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1,759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100%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62"/>
        </w:trPr>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840" w:type="dxa"/>
            <w:vAlign w:val="bottom"/>
            <w:gridSpan w:val="7"/>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4Q13</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Change</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Cash flow from operations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1,199</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3,384</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Free cash flow</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1,092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2,972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Free cash flow % of revenue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in 2013 were 3 percent of revenue.</w:t>
      </w:r>
    </w:p>
    <w:p>
      <w:pPr>
        <w:sectPr>
          <w:pgSz w:w="11900" w:h="16838" w:orient="portrait"/>
          <w:cols w:equalWidth="0" w:num="1">
            <w:col w:w="11420"/>
          </w:cols>
          <w:pgMar w:left="240" w:top="118" w:right="239" w:bottom="32"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Cash return</w:t>
      </w:r>
    </w:p>
    <w:p>
      <w:pPr>
        <w:sectPr>
          <w:pgSz w:w="11900" w:h="16838" w:orient="portrait"/>
          <w:cols w:equalWidth="0" w:num="1">
            <w:col w:w="11420"/>
          </w:cols>
          <w:pgMar w:left="240" w:top="118" w:right="239" w:bottom="32"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Percentage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4Q13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Free Cash Flow</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1,175</w:t>
            </w:r>
          </w:p>
        </w:tc>
        <w:tc>
          <w:tcPr>
            <w:tcW w:w="1280" w:type="dxa"/>
            <w:vAlign w:val="bottom"/>
            <w:gridSpan w:val="2"/>
          </w:tcPr>
          <w:p>
            <w:pPr>
              <w:jc w:val="right"/>
              <w:ind w:right="31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2,868</w:t>
            </w:r>
          </w:p>
        </w:tc>
        <w:tc>
          <w:tcPr>
            <w:tcW w:w="12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cash returned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1,060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4,043</w:t>
            </w: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Total does not sum due to rounding.</w:t>
      </w:r>
    </w:p>
    <w:p>
      <w:pPr>
        <w:sectPr>
          <w:pgSz w:w="11900" w:h="16838" w:orient="portrait"/>
          <w:cols w:equalWidth="0" w:num="1">
            <w:col w:w="10219"/>
          </w:cols>
          <w:pgMar w:left="240" w:top="125"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gridSpan w:val="6"/>
            <w:shd w:val="clear" w:color="auto" w:fill="CCEEFF"/>
          </w:tcPr>
          <w:p>
            <w:pPr>
              <w:jc w:val="center"/>
              <w:ind w:left="670"/>
              <w:spacing w:after="0"/>
              <w:rPr>
                <w:sz w:val="20"/>
                <w:szCs w:val="20"/>
                <w:color w:val="auto"/>
              </w:rPr>
            </w:pPr>
            <w:r>
              <w:rPr>
                <w:rFonts w:ascii="Arial" w:cs="Arial" w:eastAsia="Arial" w:hAnsi="Arial"/>
                <w:sz w:val="18"/>
                <w:szCs w:val="18"/>
                <w:b w:val="1"/>
                <w:bCs w:val="1"/>
                <w:color w:val="auto"/>
                <w:w w:val="93"/>
              </w:rPr>
              <w:t>For Three Months Ended</w:t>
            </w:r>
          </w:p>
        </w:tc>
        <w:tc>
          <w:tcPr>
            <w:tcW w:w="9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For Years Ended</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96"/>
              </w:rPr>
              <w:t>Dec. 31,</w:t>
            </w:r>
          </w:p>
        </w:tc>
        <w:tc>
          <w:tcPr>
            <w:tcW w:w="180" w:type="dxa"/>
            <w:vAlign w:val="bottom"/>
          </w:tcPr>
          <w:p>
            <w:pPr>
              <w:spacing w:after="0"/>
              <w:rPr>
                <w:sz w:val="17"/>
                <w:szCs w:val="17"/>
                <w:color w:val="auto"/>
              </w:rPr>
            </w:pPr>
          </w:p>
        </w:tc>
        <w:tc>
          <w:tcPr>
            <w:tcW w:w="120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Dec. 31,</w:t>
            </w:r>
          </w:p>
        </w:tc>
        <w:tc>
          <w:tcPr>
            <w:tcW w:w="200" w:type="dxa"/>
            <w:vAlign w:val="bottom"/>
          </w:tcPr>
          <w:p>
            <w:pPr>
              <w:spacing w:after="0"/>
              <w:rPr>
                <w:sz w:val="17"/>
                <w:szCs w:val="17"/>
                <w:color w:val="auto"/>
              </w:rPr>
            </w:pPr>
          </w:p>
        </w:tc>
        <w:tc>
          <w:tcPr>
            <w:tcW w:w="120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1"/>
              </w:rPr>
              <w:t>Sept. 30,</w:t>
            </w:r>
          </w:p>
        </w:tc>
        <w:tc>
          <w:tcPr>
            <w:tcW w:w="18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96"/>
              </w:rPr>
              <w:t>Dec. 31,</w:t>
            </w:r>
          </w:p>
        </w:tc>
        <w:tc>
          <w:tcPr>
            <w:tcW w:w="180" w:type="dxa"/>
            <w:vAlign w:val="bottom"/>
          </w:tcPr>
          <w:p>
            <w:pPr>
              <w:spacing w:after="0"/>
              <w:rPr>
                <w:sz w:val="17"/>
                <w:szCs w:val="17"/>
                <w:color w:val="auto"/>
              </w:rPr>
            </w:pPr>
          </w:p>
        </w:tc>
        <w:tc>
          <w:tcPr>
            <w:tcW w:w="110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3,028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3,244</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12,205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1,388</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5,841</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1,640</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1,445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6,364</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346</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461</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1,858</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84</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Restructuring charges/other</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(189)</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682</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2,754</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629</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w:t>
            </w:r>
          </w:p>
        </w:tc>
        <w:tc>
          <w:tcPr>
            <w:tcW w:w="3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1,102</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7"/>
              </w:rPr>
              <w:t>Cash dividends declared per share of common stock</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54.2%</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R&amp;D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23.2%</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As required by accounting rule ASC 260, net income allocated to unvested restricted stock units (RSUs), on which we pay dividend equivalents, is excluded from the calculation of EPS. The amount excluded is $8 million, $4 million and $11 million for the quarters ending December 31, 2013, December 31, 2012, and September 30, 2013, respectively; and $36 million and $31 million for years ending December 31, 2013, and December 31, 2012, respectively.</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9"/>
              </w:rPr>
              <w:t>Dec. 31,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8"/>
              </w:rPr>
              <w:t>Dec. 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Sept.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($22), ($31) and ($29)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18,938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20,021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3"/>
              </w:rPr>
              <w:t>Common stock, $1 par value. Authorized – 2,400,000,000 shares. Shares issued – 1,740,815,939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Dec. 31, 2013 – 658,012,970; Dec. 31, 2012 –</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(19,790)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632,636,970; Sept. 30, 2013 – 646,252,825</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18,938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20,021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48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gridSpan w:val="8"/>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For Three Months Ended</w:t>
            </w: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gridSpan w:val="6"/>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9"/>
              </w:rPr>
              <w:t>Dec.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rPr>
              <w:t>Dec.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rPr>
              <w:t>Sept. 30,</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Dec. 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Dec. 31,</w:t>
            </w:r>
          </w:p>
        </w:tc>
        <w:tc>
          <w:tcPr>
            <w:tcW w:w="0" w:type="dxa"/>
            <w:vAlign w:val="bottom"/>
          </w:tcPr>
          <w:p>
            <w:pPr>
              <w:spacing w:after="0"/>
              <w:rPr>
                <w:sz w:val="1"/>
                <w:szCs w:val="1"/>
                <w:color w:val="auto"/>
              </w:rPr>
            </w:pPr>
          </w:p>
        </w:tc>
      </w:tr>
      <w:tr>
        <w:trPr>
          <w:trHeight w:val="241"/>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Gain on sales of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Gain on transfer of Japan substitutional pension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Changes in funded status of retirement plans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Proceeds from asset sales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Proceeds from short-term investments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Repayment of debt and commercial paper borrowings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2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48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4Q13 segment results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4Q13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4Q12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Change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3Q13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1,869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profit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revenue increased in all product lines. Power Management grew the most, followed by Silicon Valley Analog, High Performance Analog and High Volume Analog &amp; Logic.</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declined in all product lines. High Performance Analog declined the most, followed by High Volume Analog &amp; Logic, Power Management and Silicon Valley Analog.</w:t>
      </w:r>
    </w:p>
    <w:p>
      <w:pPr>
        <w:ind w:left="34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from a year ago primarily due to higher revenue and associated gross profit. Compared with the prior quarter, operating profit decreased due to lower revenue and associated gross profit, which was partially offset by lower operating expenses.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r>
        <w:rPr>
          <w:rFonts w:ascii="Arial" w:cs="Arial" w:eastAsia="Arial" w:hAnsi="Arial"/>
          <w:sz w:val="18"/>
          <w:szCs w:val="18"/>
          <w:color w:val="auto"/>
        </w:rPr>
        <w:t>)</w:t>
      </w:r>
    </w:p>
    <w:p>
      <w:pPr>
        <w:spacing w:after="0" w:line="27" w:lineRule="exact"/>
        <w:rPr>
          <w:sz w:val="20"/>
          <w:szCs w:val="20"/>
          <w:color w:val="auto"/>
        </w:rPr>
      </w:pPr>
    </w:p>
    <w:p>
      <w:pPr>
        <w:ind w:left="340" w:hanging="228"/>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Compared with the year-ago quarter, revenue increased due to Microcontrollers. Connectivity also grew, while revenue from Processors was about even.</w:t>
      </w:r>
    </w:p>
    <w:p>
      <w:pPr>
        <w:spacing w:after="0" w:line="32" w:lineRule="exact"/>
        <w:rPr>
          <w:rFonts w:ascii="Arial" w:cs="Arial" w:eastAsia="Arial" w:hAnsi="Arial"/>
          <w:sz w:val="16"/>
          <w:szCs w:val="16"/>
          <w:color w:val="auto"/>
        </w:rPr>
      </w:pP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declined primarily due to Processors. Microcontrollers and Connectivity also declined.</w:t>
      </w:r>
    </w:p>
    <w:p>
      <w:pPr>
        <w:spacing w:after="0" w:line="9" w:lineRule="exact"/>
        <w:rPr>
          <w:rFonts w:ascii="Arial" w:cs="Arial" w:eastAsia="Arial" w:hAnsi="Arial"/>
          <w:sz w:val="18"/>
          <w:szCs w:val="18"/>
          <w:color w:val="auto"/>
        </w:rPr>
      </w:pP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a year ago primarily due to higher revenue and associated gross profit. Compared with the prior quarter, operating profit decreased primarily due to lower revenue and associated gross profit.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due to legacy wireless products.</w:t>
      </w:r>
    </w:p>
    <w:p>
      <w:pPr>
        <w:spacing w:after="0" w:line="7" w:lineRule="exact"/>
        <w:rPr>
          <w:rFonts w:ascii="Arial" w:cs="Arial" w:eastAsia="Arial" w:hAnsi="Arial"/>
          <w:sz w:val="18"/>
          <w:szCs w:val="18"/>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revenue declined due to seasonally lower calculator revenue.</w:t>
      </w:r>
    </w:p>
    <w:p>
      <w:pPr>
        <w:spacing w:after="0" w:line="9" w:lineRule="exact"/>
        <w:rPr>
          <w:rFonts w:ascii="Arial" w:cs="Arial" w:eastAsia="Arial" w:hAnsi="Arial"/>
          <w:sz w:val="18"/>
          <w:szCs w:val="18"/>
          <w:color w:val="auto"/>
        </w:rPr>
      </w:pPr>
    </w:p>
    <w:p>
      <w:pPr>
        <w:ind w:left="340" w:hanging="228"/>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from a year ago due to lower restructuring charges as well as lower operating expenses. Operating profit decreased from the prior quarter primarily due to lower revenue and associated gross profit, as well as higher restructuring charges.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Year 2013 segment results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1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1,859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Includes Acquisition charges and Restructuring charges/other.</w:t>
      </w:r>
    </w:p>
    <w:p>
      <w:pPr>
        <w:spacing w:after="0" w:line="237" w:lineRule="exact"/>
        <w:rPr>
          <w:rFonts w:ascii="Arial" w:cs="Arial" w:eastAsia="Arial" w:hAnsi="Arial"/>
          <w:sz w:val="18"/>
          <w:szCs w:val="18"/>
          <w:color w:val="auto"/>
        </w:rPr>
      </w:pPr>
    </w:p>
    <w:p>
      <w:pPr>
        <w:ind w:left="340" w:hanging="143"/>
        <w:spacing w:after="0"/>
        <w:tabs>
          <w:tab w:leader="none" w:pos="3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Analog revenue increased primarily due to Power Management. Silicon Valley Analog and High Performance Analog also increased while High Volume</w:t>
      </w:r>
    </w:p>
    <w:p>
      <w:pPr>
        <w:spacing w:after="0" w:line="46" w:lineRule="exact"/>
        <w:rPr>
          <w:rFonts w:ascii="Arial" w:cs="Arial" w:eastAsia="Arial" w:hAnsi="Arial"/>
          <w:sz w:val="16"/>
          <w:szCs w:val="16"/>
          <w:color w:val="auto"/>
        </w:rPr>
      </w:pPr>
    </w:p>
    <w:p>
      <w:pPr>
        <w:ind w:left="340"/>
        <w:spacing w:after="0" w:line="261" w:lineRule="auto"/>
        <w:rPr>
          <w:rFonts w:ascii="Arial" w:cs="Arial" w:eastAsia="Arial" w:hAnsi="Arial"/>
          <w:sz w:val="16"/>
          <w:szCs w:val="16"/>
          <w:color w:val="auto"/>
        </w:rPr>
      </w:pPr>
      <w:r>
        <w:rPr>
          <w:rFonts w:ascii="Arial" w:cs="Arial" w:eastAsia="Arial" w:hAnsi="Arial"/>
          <w:sz w:val="18"/>
          <w:szCs w:val="18"/>
          <w:color w:val="auto"/>
        </w:rPr>
        <w:t>Analog &amp; Logic declined. Operating profit increased primarily due to higher gross profit, which benefited from higher revenue and lower manufacturing costs. This higher gross profit was partially offset by higher operating expenses.</w:t>
      </w:r>
    </w:p>
    <w:p>
      <w:pPr>
        <w:spacing w:after="0" w:line="210" w:lineRule="exact"/>
        <w:rPr>
          <w:rFonts w:ascii="Arial" w:cs="Arial" w:eastAsia="Arial" w:hAnsi="Arial"/>
          <w:sz w:val="16"/>
          <w:szCs w:val="16"/>
          <w:color w:val="auto"/>
        </w:rPr>
      </w:pPr>
    </w:p>
    <w:p>
      <w:pPr>
        <w:ind w:left="340" w:right="20" w:hanging="143"/>
        <w:spacing w:after="0" w:line="277" w:lineRule="auto"/>
        <w:tabs>
          <w:tab w:leader="none" w:pos="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Embedded Processing revenue increased primarily due to Microcontrollers. Processors and Connectivity also increased. Operating profit increased due to higher revenue and associated gross profit, which was partially offset by higher operating expenses.</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revenue declined primarily due to legacy wireless products. Operating profit increased due to lower operating expenses and Restructuring charges/other, partially offset by lower revenue and associated gross profit.</w:t>
      </w:r>
    </w:p>
    <w:p>
      <w:pPr>
        <w:sectPr>
          <w:pgSz w:w="11900" w:h="16838" w:orient="portrait"/>
          <w:cols w:equalWidth="0" w:num="1">
            <w:col w:w="11420"/>
          </w:cols>
          <w:pgMar w:left="240" w:top="270" w:right="239" w:bottom="1071"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200" w:lineRule="exact"/>
        <w:rPr>
          <w:sz w:val="20"/>
          <w:szCs w:val="20"/>
          <w:color w:val="auto"/>
        </w:rPr>
      </w:pPr>
    </w:p>
    <w:p>
      <w:pPr>
        <w:spacing w:after="0" w:line="2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release includes references to free cash flow and various ratios based on that measure. These are financial measures that were not prepared in accordance with GAAP. Free cash flow was calculated by subtracting Capital expenditures from the most directly comparable GAAP measure of Cash flow from operating activities (also referred to as Cash flow from operations).</w:t>
      </w:r>
    </w:p>
    <w:p>
      <w:pPr>
        <w:spacing w:after="0" w:line="208"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release: Revenue, Dividends paid and Stock repurchases. Reconciliation to the most directly comparable GAAP-based ratios is provided in the table below.</w:t>
      </w:r>
    </w:p>
    <w:p>
      <w:pPr>
        <w:spacing w:after="0" w:line="15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believes these non-GAAP measures provide insight into its liquidity, its cash-generating capability and the amount of cash available to return to investors, as well as insight into its financial performance. These non-GAAP measures are supplemental to the comparable GAAP measures.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58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TEXAS INSTRUMENTS INCORPORATED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340" w:type="dxa"/>
            <w:vAlign w:val="bottom"/>
            <w:gridSpan w:val="6"/>
          </w:tcPr>
          <w:p>
            <w:pPr>
              <w:jc w:val="center"/>
              <w:ind w:left="1290"/>
              <w:spacing w:after="0"/>
              <w:rPr>
                <w:sz w:val="20"/>
                <w:szCs w:val="20"/>
                <w:color w:val="auto"/>
              </w:rPr>
            </w:pPr>
            <w:r>
              <w:rPr>
                <w:rFonts w:ascii="Arial" w:cs="Arial" w:eastAsia="Arial" w:hAnsi="Arial"/>
                <w:sz w:val="18"/>
                <w:szCs w:val="18"/>
                <w:b w:val="1"/>
                <w:bCs w:val="1"/>
                <w:color w:val="auto"/>
                <w:w w:val="92"/>
              </w:rPr>
              <w:t>(Millions of dollars)</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For Year</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0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For Year</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7"/>
              </w:rPr>
              <w:t>Ended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Ended</w:t>
            </w:r>
          </w:p>
        </w:tc>
        <w:tc>
          <w:tcPr>
            <w:tcW w:w="12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Percentage</w:t>
            </w:r>
          </w:p>
        </w:tc>
        <w:tc>
          <w:tcPr>
            <w:tcW w:w="10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8"/>
              </w:rPr>
              <w:t>Dec. 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Dec. 31, 2013</w:t>
            </w:r>
          </w:p>
        </w:tc>
        <w:tc>
          <w:tcPr>
            <w:tcW w:w="12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of Revenue</w:t>
            </w:r>
          </w:p>
        </w:tc>
        <w:tc>
          <w:tcPr>
            <w:tcW w:w="16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of Revenue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8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12,205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12,825</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188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3,384</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495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88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2,972</w:t>
            </w:r>
          </w:p>
        </w:tc>
        <w:tc>
          <w:tcPr>
            <w:tcW w:w="3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w:t>
            </w: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2,919</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60" w:type="dxa"/>
            <w:vAlign w:val="bottom"/>
            <w:gridSpan w:val="2"/>
          </w:tcPr>
          <w:p>
            <w:pPr>
              <w:spacing w:after="0"/>
              <w:rPr>
                <w:sz w:val="20"/>
                <w:szCs w:val="20"/>
                <w:color w:val="auto"/>
              </w:rPr>
            </w:pPr>
            <w:r>
              <w:rPr>
                <w:rFonts w:ascii="Arial" w:cs="Arial" w:eastAsia="Arial" w:hAnsi="Arial"/>
                <w:sz w:val="18"/>
                <w:szCs w:val="18"/>
                <w:color w:val="auto"/>
              </w:rPr>
              <w:t>* Total does not sum due to rounding.</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right="460"/>
              <w:spacing w:after="0" w:line="198" w:lineRule="exact"/>
              <w:rPr>
                <w:sz w:val="20"/>
                <w:szCs w:val="20"/>
                <w:color w:val="auto"/>
              </w:rPr>
            </w:pPr>
            <w:r>
              <w:rPr>
                <w:rFonts w:ascii="Arial" w:cs="Arial" w:eastAsia="Arial" w:hAnsi="Arial"/>
                <w:sz w:val="18"/>
                <w:szCs w:val="18"/>
                <w:b w:val="1"/>
                <w:bCs w:val="1"/>
                <w:color w:val="auto"/>
                <w:w w:val="93"/>
              </w:rPr>
              <w:t>For Three</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3"/>
              </w:rPr>
              <w:t>Months</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gridSpan w:val="4"/>
            <w:shd w:val="clear" w:color="auto" w:fill="CCEEFF"/>
          </w:tcPr>
          <w:p>
            <w:pPr>
              <w:ind w:left="60"/>
              <w:spacing w:after="0"/>
              <w:rPr>
                <w:sz w:val="20"/>
                <w:szCs w:val="20"/>
                <w:color w:val="auto"/>
              </w:rPr>
            </w:pPr>
            <w:r>
              <w:rPr>
                <w:rFonts w:ascii="Arial" w:cs="Arial" w:eastAsia="Arial" w:hAnsi="Arial"/>
                <w:sz w:val="18"/>
                <w:szCs w:val="18"/>
                <w:b w:val="1"/>
                <w:bCs w:val="1"/>
                <w:color w:val="auto"/>
              </w:rPr>
              <w:t>Dec. 31, 2013</w:t>
            </w:r>
          </w:p>
        </w:tc>
        <w:tc>
          <w:tcPr>
            <w:tcW w:w="2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Borders>
              <w:right w:val="single" w:sz="8" w:color="CCEEFF"/>
            </w:tcBorders>
            <w:shd w:val="clear" w:color="auto" w:fill="CCEEFF"/>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20" w:type="dxa"/>
            <w:vAlign w:val="bottom"/>
            <w:gridSpan w:val="3"/>
            <w:shd w:val="clear" w:color="auto" w:fill="CCEEFF"/>
          </w:tcPr>
          <w:p>
            <w:pPr>
              <w:ind w:left="18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3,028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2020" w:type="dxa"/>
            <w:vAlign w:val="bottom"/>
            <w:gridSpan w:val="3"/>
            <w:shd w:val="clear" w:color="auto" w:fill="CCEEFF"/>
          </w:tcPr>
          <w:p>
            <w:pPr>
              <w:ind w:left="188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1,199</w:t>
            </w:r>
          </w:p>
        </w:tc>
        <w:tc>
          <w:tcPr>
            <w:tcW w:w="14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w:t>
            </w:r>
          </w:p>
        </w:tc>
        <w:tc>
          <w:tcPr>
            <w:tcW w:w="340" w:type="dxa"/>
            <w:vAlign w:val="bottom"/>
          </w:tcPr>
          <w:p>
            <w:pPr>
              <w:spacing w:after="0"/>
              <w:rPr>
                <w:sz w:val="19"/>
                <w:szCs w:val="19"/>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b w:val="1"/>
                <w:bCs w:val="1"/>
                <w:color w:val="auto"/>
              </w:rPr>
              <w:t>4%</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88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1,092</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6"/>
              </w:rPr>
              <w:t>Percentage</w:t>
            </w: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0"/>
              </w:rPr>
              <w:t>of Cash</w:t>
            </w: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of Free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620"/>
              <w:spacing w:after="0"/>
              <w:rPr>
                <w:sz w:val="20"/>
                <w:szCs w:val="20"/>
                <w:color w:val="auto"/>
              </w:rPr>
            </w:pPr>
            <w:r>
              <w:rPr>
                <w:rFonts w:ascii="Arial" w:cs="Arial" w:eastAsia="Arial" w:hAnsi="Arial"/>
                <w:sz w:val="18"/>
                <w:szCs w:val="18"/>
                <w:b w:val="1"/>
                <w:bCs w:val="1"/>
                <w:color w:val="auto"/>
                <w:w w:val="93"/>
              </w:rPr>
              <w:t>For Year</w:t>
            </w: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2"/>
              </w:rPr>
              <w:t>Flow from</w:t>
            </w: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90"/>
              </w:rPr>
              <w:t>Ended</w:t>
            </w: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90"/>
              </w:rPr>
              <w:t>Dec. 31, 2013</w:t>
            </w: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9"/>
              </w:rPr>
              <w:t>(GAAP)</w:t>
            </w: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520" w:type="dxa"/>
            <w:vAlign w:val="bottom"/>
            <w:shd w:val="clear" w:color="auto" w:fill="CCEEFF"/>
          </w:tcPr>
          <w:p>
            <w:pPr>
              <w:jc w:val="right"/>
              <w:ind w:right="35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1,175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Stock repurchases</w:t>
            </w:r>
          </w:p>
        </w:tc>
        <w:tc>
          <w:tcPr>
            <w:tcW w:w="5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2,868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cash returned to shareholders</w:t>
            </w:r>
          </w:p>
        </w:tc>
        <w:tc>
          <w:tcPr>
            <w:tcW w:w="520" w:type="dxa"/>
            <w:vAlign w:val="bottom"/>
            <w:shd w:val="clear" w:color="auto" w:fill="CCEEFF"/>
          </w:tcPr>
          <w:p>
            <w:pPr>
              <w:jc w:val="right"/>
              <w:ind w:right="35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4,043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w:t>
            </w: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80" w:type="dxa"/>
            <w:vAlign w:val="bottom"/>
            <w:gridSpan w:val="2"/>
          </w:tcPr>
          <w:p>
            <w:pPr>
              <w:spacing w:after="0"/>
              <w:rPr>
                <w:sz w:val="20"/>
                <w:szCs w:val="20"/>
                <w:color w:val="auto"/>
              </w:rPr>
            </w:pPr>
            <w:r>
              <w:rPr>
                <w:rFonts w:ascii="Arial" w:cs="Arial" w:eastAsia="Arial" w:hAnsi="Arial"/>
                <w:sz w:val="18"/>
                <w:szCs w:val="18"/>
                <w:color w:val="auto"/>
              </w:rPr>
              <w:t>* Total does not sum due to rounding.</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  #</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Market demand for semiconductors, particularly in markets such as industrial, automotive, personal electronics, communications equipment and</w:t>
      </w:r>
    </w:p>
    <w:p>
      <w:pPr>
        <w:sectPr>
          <w:pgSz w:w="11900" w:h="16838" w:orient="portrait"/>
          <w:cols w:equalWidth="0" w:num="1">
            <w:col w:w="11420"/>
          </w:cols>
          <w:pgMar w:left="240" w:top="270" w:right="239" w:bottom="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enterprise systems;</w:t>
      </w:r>
    </w:p>
    <w:p>
      <w:pPr>
        <w:spacing w:after="0" w:line="23" w:lineRule="exact"/>
        <w:rPr>
          <w:sz w:val="20"/>
          <w:szCs w:val="20"/>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8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ind w:left="340" w:hanging="143"/>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Ÿ"/>
      <w:numFmt w:val="bullet"/>
      <w:start w:val="1"/>
    </w:lvl>
  </w:abstractNum>
  <w:abstractNum w:abstractNumId="5">
    <w:nsid w:val="79E2A9E3"/>
    <w:multiLevelType w:val="hybridMultilevel"/>
    <w:lvl w:ilvl="0">
      <w:lvlJc w:val="left"/>
      <w:lvlText w:val="Ÿ"/>
      <w:numFmt w:val="bullet"/>
      <w:start w:val="1"/>
    </w:lvl>
  </w:abstractNum>
  <w:abstractNum w:abstractNumId="6">
    <w:nsid w:val="7545E146"/>
    <w:multiLevelType w:val="hybridMultilevel"/>
    <w:lvl w:ilvl="0">
      <w:lvlJc w:val="left"/>
      <w:lvlText w:val="Ÿ"/>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2019-12-05T15:49:15Z</dcterms:created>
  <dcterms:modified xsi:type="dcterms:W3CDTF">2019-12-05T15:49:15Z</dcterms:modified>
</cp:coreProperties>
</file>