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333-229797</w:t>
      </w:r>
    </w:p>
    <w:p>
      <w:pPr>
        <w:spacing w:after="0" w:line="135" w:lineRule="exact"/>
        <w:rPr>
          <w:sz w:val="24"/>
          <w:szCs w:val="24"/>
          <w:color w:val="auto"/>
        </w:rPr>
      </w:pPr>
    </w:p>
    <w:p>
      <w:pPr>
        <w:ind w:left="200" w:right="160"/>
        <w:spacing w:after="0" w:line="247" w:lineRule="auto"/>
        <w:rPr>
          <w:sz w:val="20"/>
          <w:szCs w:val="20"/>
          <w:color w:val="auto"/>
        </w:rPr>
      </w:pPr>
      <w:r>
        <w:rPr>
          <w:rFonts w:ascii="Arial" w:cs="Arial" w:eastAsia="Arial" w:hAnsi="Arial"/>
          <w:sz w:val="18"/>
          <w:szCs w:val="18"/>
          <w:b w:val="1"/>
          <w:bCs w:val="1"/>
          <w:color w:val="FF0000"/>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FF0000"/>
        </w:rPr>
        <w:t>SUBJECT TO COMPLETION, DATED MARCH 1, 2019</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314325</wp:posOffset>
            </wp:positionV>
            <wp:extent cx="287274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5120" w:hanging="1018"/>
        <w:spacing w:after="0"/>
        <w:tabs>
          <w:tab w:leader="none" w:pos="5120"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 Notes due 2039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168910</wp:posOffset>
            </wp:positionV>
            <wp:extent cx="1054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Texas Instruments Incorporated is offering $ aggregate principal amount of its % Notes due 2039 (the “Notes”), which will bear interest at the rate per year as set forth above. Interest on the Notes will be payable semi-annually in arrears on March 15 and September 15 of each year, beginning on September 15, 2019.</w:t>
      </w:r>
    </w:p>
    <w:p>
      <w:pPr>
        <w:spacing w:after="0" w:line="181"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The Notes will mature on March 15, 2039.</w:t>
      </w:r>
    </w:p>
    <w:p>
      <w:pPr>
        <w:spacing w:after="0" w:line="225" w:lineRule="exact"/>
        <w:rPr>
          <w:sz w:val="24"/>
          <w:szCs w:val="24"/>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125730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80" w:lineRule="exact"/>
        <w:rPr>
          <w:sz w:val="24"/>
          <w:szCs w:val="24"/>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156845</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132715</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Interest on the Notes will accrue from</w:t>
            </w:r>
          </w:p>
        </w:tc>
        <w:tc>
          <w:tcPr>
            <w:tcW w:w="6480" w:type="dxa"/>
            <w:vAlign w:val="bottom"/>
            <w:gridSpan w:val="3"/>
          </w:tcPr>
          <w:p>
            <w:pPr>
              <w:jc w:val="right"/>
              <w:ind w:right="3830"/>
              <w:spacing w:after="0"/>
              <w:rPr>
                <w:sz w:val="20"/>
                <w:szCs w:val="20"/>
                <w:color w:val="auto"/>
              </w:rPr>
            </w:pPr>
            <w:r>
              <w:rPr>
                <w:rFonts w:ascii="Arial" w:cs="Arial" w:eastAsia="Arial" w:hAnsi="Arial"/>
                <w:sz w:val="18"/>
                <w:szCs w:val="18"/>
                <w:color w:val="auto"/>
              </w:rPr>
              <w:t>, 2019 to the date of delivery.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w:t>
      </w:r>
    </w:p>
    <w:p>
      <w:pPr>
        <w:spacing w:after="0" w:line="46" w:lineRule="exact"/>
        <w:rPr>
          <w:sz w:val="24"/>
          <w:szCs w:val="24"/>
          <w:color w:val="auto"/>
        </w:rPr>
      </w:pPr>
    </w:p>
    <w:p>
      <w:pPr>
        <w:jc w:val="both"/>
        <w:ind w:left="200" w:right="660"/>
        <w:spacing w:after="0" w:line="261" w:lineRule="auto"/>
        <w:rPr>
          <w:sz w:val="20"/>
          <w:szCs w:val="20"/>
          <w:color w:val="auto"/>
        </w:rPr>
      </w:pPr>
      <w:r>
        <w:rPr>
          <w:rFonts w:ascii="Arial" w:cs="Arial" w:eastAsia="Arial" w:hAnsi="Arial"/>
          <w:sz w:val="18"/>
          <w:szCs w:val="18"/>
          <w:color w:val="auto"/>
        </w:rPr>
        <w:t>participants, including Euroclear Bank S.A./N.V. and Clearstream Banking, S.A., on or about , 2019, which is the sixth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134620</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400" w:lineRule="exact"/>
        <w:rPr>
          <w:sz w:val="24"/>
          <w:szCs w:val="24"/>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pacing w:after="0" w:line="223" w:lineRule="exact"/>
        <w:rPr>
          <w:sz w:val="24"/>
          <w:szCs w:val="24"/>
          <w:color w:val="auto"/>
        </w:rPr>
      </w:pPr>
    </w:p>
    <w:p>
      <w:pPr>
        <w:ind w:left="200"/>
        <w:spacing w:after="0"/>
        <w:tabs>
          <w:tab w:leader="none" w:pos="5240" w:val="left"/>
          <w:tab w:leader="none" w:pos="10320" w:val="left"/>
        </w:tabs>
        <w:rPr>
          <w:sz w:val="20"/>
          <w:szCs w:val="20"/>
          <w:color w:val="auto"/>
        </w:rPr>
      </w:pP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MUFG</w:t>
      </w:r>
    </w:p>
    <w:p>
      <w:pPr>
        <w:spacing w:after="0" w:line="256" w:lineRule="exact"/>
        <w:rPr>
          <w:sz w:val="24"/>
          <w:szCs w:val="24"/>
          <w:color w:val="auto"/>
        </w:rPr>
      </w:pPr>
    </w:p>
    <w:p>
      <w:pPr>
        <w:ind w:left="200"/>
        <w:spacing w:after="0"/>
        <w:tabs>
          <w:tab w:leader="none" w:pos="4040" w:val="left"/>
          <w:tab w:leader="none" w:pos="6340" w:val="left"/>
          <w:tab w:leader="none" w:pos="9480" w:val="left"/>
        </w:tabs>
        <w:rPr>
          <w:sz w:val="20"/>
          <w:szCs w:val="20"/>
          <w:color w:val="auto"/>
        </w:rPr>
      </w:pP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3"/>
          <w:szCs w:val="23"/>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166370</wp:posOffset>
            </wp:positionV>
            <wp:extent cx="1054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11240"/>
          </w:cols>
          <w:pgMar w:left="240" w:top="230" w:right="419" w:bottom="1147" w:gutter="0" w:footer="0" w:header="0"/>
        </w:sectPr>
      </w:pPr>
    </w:p>
    <w:p>
      <w:pPr>
        <w:spacing w:after="0" w:line="200" w:lineRule="exact"/>
        <w:rPr>
          <w:sz w:val="24"/>
          <w:szCs w:val="24"/>
          <w:color w:val="auto"/>
        </w:rPr>
      </w:pPr>
    </w:p>
    <w:p>
      <w:pPr>
        <w:spacing w:after="0" w:line="277" w:lineRule="exact"/>
        <w:rPr>
          <w:sz w:val="24"/>
          <w:szCs w:val="24"/>
          <w:color w:val="auto"/>
        </w:rPr>
      </w:pPr>
    </w:p>
    <w:p>
      <w:pPr>
        <w:ind w:left="5940"/>
        <w:spacing w:after="0"/>
        <w:rPr>
          <w:sz w:val="20"/>
          <w:szCs w:val="20"/>
          <w:color w:val="auto"/>
        </w:rPr>
      </w:pPr>
      <w:r>
        <w:rPr>
          <w:rFonts w:ascii="Arial" w:cs="Arial" w:eastAsia="Arial" w:hAnsi="Arial"/>
          <w:sz w:val="15"/>
          <w:szCs w:val="15"/>
          <w:color w:val="auto"/>
        </w:rPr>
        <w:t>, 2019</w:t>
      </w:r>
    </w:p>
    <w:p>
      <w:pPr>
        <w:sectPr>
          <w:pgSz w:w="11900" w:h="16838" w:orient="portrait"/>
          <w:cols w:equalWidth="0" w:num="1">
            <w:col w:w="11240"/>
          </w:cols>
          <w:pgMar w:left="240" w:top="230" w:right="419" w:bottom="114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216535</wp:posOffset>
            </wp:positionV>
            <wp:extent cx="1054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80" w:type="dxa"/>
            <w:vAlign w:val="bottom"/>
            <w:gridSpan w:val="4"/>
          </w:tcPr>
          <w:p>
            <w:pPr>
              <w:jc w:val="right"/>
              <w:ind w:right="4413"/>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3"/>
            <w:vMerge w:val="restart"/>
          </w:tcPr>
          <w:p>
            <w:pPr>
              <w:jc w:val="right"/>
              <w:ind w:right="450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40" w:type="dxa"/>
            <w:vAlign w:val="bottom"/>
            <w:gridSpan w:val="17"/>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Notice Regarding Forward-Looking Statements</w:t>
              </w:r>
            </w:hyperlink>
          </w:p>
        </w:tc>
        <w:tc>
          <w:tcPr>
            <w:tcW w:w="460" w:type="dxa"/>
            <w:vAlign w:val="bottom"/>
            <w:gridSpan w:val="2"/>
            <w:vMerge w:val="restart"/>
          </w:tcPr>
          <w:p>
            <w:pPr>
              <w:spacing w:after="0"/>
              <w:rPr>
                <w:sz w:val="17"/>
                <w:szCs w:val="17"/>
                <w:color w:val="auto"/>
              </w:rPr>
            </w:pPr>
          </w:p>
        </w:tc>
        <w:tc>
          <w:tcPr>
            <w:tcW w:w="6680" w:type="dxa"/>
            <w:vAlign w:val="bottom"/>
            <w:gridSpan w:val="3"/>
            <w:vMerge w:val="continue"/>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 Supplement</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4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272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Capitalization</w:t>
              </w:r>
            </w:hyperlink>
          </w:p>
        </w:tc>
        <w:tc>
          <w:tcPr>
            <w:tcW w:w="28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Notes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Material U.S. Federal Income Tax Consequences</w:t>
              </w:r>
            </w:hyperlink>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Underwriting</w:t>
              </w:r>
            </w:hyperlink>
          </w:p>
        </w:tc>
        <w:tc>
          <w:tcPr>
            <w:tcW w:w="292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Validity of Securities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3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gridSpan w:val="2"/>
            <w:vMerge w:val="restart"/>
          </w:tcPr>
          <w:p>
            <w:pPr>
              <w:jc w:val="right"/>
              <w:ind w:right="4980"/>
              <w:spacing w:after="0"/>
              <w:rPr>
                <w:sz w:val="20"/>
                <w:szCs w:val="20"/>
                <w:color w:val="auto"/>
              </w:rPr>
            </w:pPr>
            <w:r>
              <w:rPr>
                <w:rFonts w:ascii="Arial" w:cs="Arial" w:eastAsia="Arial" w:hAnsi="Arial"/>
                <w:sz w:val="18"/>
                <w:szCs w:val="18"/>
                <w:b w:val="1"/>
                <w:bCs w:val="1"/>
                <w:color w:val="auto"/>
                <w:w w:val="91"/>
              </w:rPr>
              <w:t>Prospectus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9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70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020" w:type="dxa"/>
            <w:vAlign w:val="bottom"/>
            <w:gridSpan w:val="3"/>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460" w:type="dxa"/>
            <w:vAlign w:val="bottom"/>
            <w:gridSpan w:val="2"/>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720" w:type="dxa"/>
            <w:vAlign w:val="bottom"/>
            <w:gridSpan w:val="13"/>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840" w:type="dxa"/>
            <w:vAlign w:val="bottom"/>
            <w:gridSpan w:val="6"/>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720" w:type="dxa"/>
            <w:vAlign w:val="bottom"/>
            <w:gridSpan w:val="5"/>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40" w:type="dxa"/>
            <w:vAlign w:val="bottom"/>
            <w:gridSpan w:val="7"/>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480" w:type="dxa"/>
            <w:vAlign w:val="bottom"/>
            <w:gridSpan w:val="12"/>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460" w:type="dxa"/>
            <w:vAlign w:val="bottom"/>
            <w:gridSpan w:val="11"/>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380" w:type="dxa"/>
            <w:vAlign w:val="bottom"/>
            <w:gridSpan w:val="9"/>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860" w:right="12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860" w:right="4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860" w:right="26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860" w:hanging="224"/>
        <w:spacing w:after="0" w:line="308"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1" w:lineRule="exact"/>
        <w:rPr>
          <w:rFonts w:ascii="Arial" w:cs="Arial" w:eastAsia="Arial" w:hAnsi="Arial"/>
          <w:sz w:val="17"/>
          <w:szCs w:val="17"/>
          <w:color w:val="auto"/>
        </w:rPr>
      </w:pPr>
    </w:p>
    <w:p>
      <w:pPr>
        <w:ind w:left="860" w:right="3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53" w:lineRule="exact"/>
        <w:rPr>
          <w:rFonts w:ascii="Arial" w:cs="Arial" w:eastAsia="Arial" w:hAnsi="Arial"/>
          <w:sz w:val="16"/>
          <w:szCs w:val="16"/>
          <w:color w:val="auto"/>
        </w:rPr>
      </w:pPr>
    </w:p>
    <w:p>
      <w:pPr>
        <w:ind w:left="860" w:right="4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4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2740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incorporated in Delaware, headquartered in Dallas, Texas, and have design, manufacturing or sales operations in more than 30 countries.</w:t>
      </w:r>
    </w:p>
    <w:p>
      <w:pPr>
        <w:spacing w:after="0" w:line="234" w:lineRule="exact"/>
        <w:rPr>
          <w:sz w:val="20"/>
          <w:szCs w:val="20"/>
          <w:color w:val="auto"/>
        </w:rPr>
      </w:pPr>
    </w:p>
    <w:p>
      <w:pPr>
        <w:jc w:val="both"/>
        <w:ind w:left="380" w:right="22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8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Issuer</w:t>
            </w:r>
          </w:p>
        </w:tc>
        <w:tc>
          <w:tcPr>
            <w:tcW w:w="4280" w:type="dxa"/>
            <w:vAlign w:val="bottom"/>
            <w:gridSpan w:val="3"/>
          </w:tcPr>
          <w:p>
            <w:pPr>
              <w:ind w:left="1180"/>
              <w:spacing w:after="0"/>
              <w:rPr>
                <w:sz w:val="20"/>
                <w:szCs w:val="20"/>
                <w:color w:val="auto"/>
              </w:rPr>
            </w:pPr>
            <w:r>
              <w:rPr>
                <w:rFonts w:ascii="Arial" w:cs="Arial" w:eastAsia="Arial" w:hAnsi="Arial"/>
                <w:sz w:val="18"/>
                <w:szCs w:val="18"/>
                <w:color w:val="auto"/>
              </w:rPr>
              <w:t>Texas Instruments Incorporated.</w:t>
            </w:r>
          </w:p>
        </w:tc>
        <w:tc>
          <w:tcPr>
            <w:tcW w:w="3380" w:type="dxa"/>
            <w:vAlign w:val="bottom"/>
          </w:tcPr>
          <w:p>
            <w:pPr>
              <w:spacing w:after="0"/>
              <w:rPr>
                <w:sz w:val="20"/>
                <w:szCs w:val="20"/>
                <w:color w:val="auto"/>
              </w:rPr>
            </w:pPr>
          </w:p>
        </w:tc>
      </w:tr>
      <w:tr>
        <w:trPr>
          <w:trHeight w:val="473"/>
        </w:trPr>
        <w:tc>
          <w:tcPr>
            <w:tcW w:w="2860" w:type="dxa"/>
            <w:vAlign w:val="bottom"/>
          </w:tcPr>
          <w:p>
            <w:pPr>
              <w:spacing w:after="0"/>
              <w:rPr>
                <w:sz w:val="20"/>
                <w:szCs w:val="20"/>
                <w:color w:val="auto"/>
              </w:rPr>
            </w:pPr>
            <w:r>
              <w:rPr>
                <w:rFonts w:ascii="Arial" w:cs="Arial" w:eastAsia="Arial" w:hAnsi="Arial"/>
                <w:sz w:val="18"/>
                <w:szCs w:val="18"/>
                <w:color w:val="auto"/>
              </w:rPr>
              <w:t>Securities Offered</w:t>
            </w:r>
          </w:p>
        </w:tc>
        <w:tc>
          <w:tcPr>
            <w:tcW w:w="1720" w:type="dxa"/>
            <w:vAlign w:val="bottom"/>
          </w:tcPr>
          <w:p>
            <w:pPr>
              <w:ind w:left="118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aggregate principal amount of</w:t>
            </w:r>
          </w:p>
        </w:tc>
        <w:tc>
          <w:tcPr>
            <w:tcW w:w="3380" w:type="dxa"/>
            <w:vAlign w:val="bottom"/>
          </w:tcPr>
          <w:p>
            <w:pPr>
              <w:ind w:left="200"/>
              <w:spacing w:after="0"/>
              <w:rPr>
                <w:sz w:val="20"/>
                <w:szCs w:val="20"/>
                <w:color w:val="auto"/>
              </w:rPr>
            </w:pPr>
            <w:r>
              <w:rPr>
                <w:rFonts w:ascii="Arial" w:cs="Arial" w:eastAsia="Arial" w:hAnsi="Arial"/>
                <w:sz w:val="18"/>
                <w:szCs w:val="18"/>
                <w:color w:val="auto"/>
              </w:rPr>
              <w:t>% Notes due 2039.</w:t>
            </w:r>
          </w:p>
        </w:tc>
      </w:tr>
      <w:tr>
        <w:trPr>
          <w:trHeight w:val="473"/>
        </w:trPr>
        <w:tc>
          <w:tcPr>
            <w:tcW w:w="2860" w:type="dxa"/>
            <w:vAlign w:val="bottom"/>
          </w:tcPr>
          <w:p>
            <w:pPr>
              <w:spacing w:after="0"/>
              <w:rPr>
                <w:sz w:val="20"/>
                <w:szCs w:val="20"/>
                <w:color w:val="auto"/>
              </w:rPr>
            </w:pPr>
            <w:r>
              <w:rPr>
                <w:rFonts w:ascii="Arial" w:cs="Arial" w:eastAsia="Arial" w:hAnsi="Arial"/>
                <w:sz w:val="18"/>
                <w:szCs w:val="18"/>
                <w:color w:val="auto"/>
              </w:rPr>
              <w:t>Maturity Date</w:t>
            </w:r>
          </w:p>
        </w:tc>
        <w:tc>
          <w:tcPr>
            <w:tcW w:w="2440" w:type="dxa"/>
            <w:vAlign w:val="bottom"/>
            <w:gridSpan w:val="2"/>
          </w:tcPr>
          <w:p>
            <w:pPr>
              <w:ind w:left="1180"/>
              <w:spacing w:after="0"/>
              <w:rPr>
                <w:sz w:val="20"/>
                <w:szCs w:val="20"/>
                <w:color w:val="auto"/>
              </w:rPr>
            </w:pPr>
            <w:r>
              <w:rPr>
                <w:rFonts w:ascii="Arial" w:cs="Arial" w:eastAsia="Arial" w:hAnsi="Arial"/>
                <w:sz w:val="18"/>
                <w:szCs w:val="18"/>
                <w:color w:val="auto"/>
                <w:w w:val="95"/>
              </w:rPr>
              <w:t>March 15, 2039.</w:t>
            </w:r>
          </w:p>
        </w:tc>
        <w:tc>
          <w:tcPr>
            <w:tcW w:w="1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73"/>
        </w:trPr>
        <w:tc>
          <w:tcPr>
            <w:tcW w:w="2860" w:type="dxa"/>
            <w:vAlign w:val="bottom"/>
          </w:tcPr>
          <w:p>
            <w:pPr>
              <w:spacing w:after="0"/>
              <w:rPr>
                <w:sz w:val="20"/>
                <w:szCs w:val="20"/>
                <w:color w:val="auto"/>
              </w:rPr>
            </w:pPr>
            <w:r>
              <w:rPr>
                <w:rFonts w:ascii="Arial" w:cs="Arial" w:eastAsia="Arial" w:hAnsi="Arial"/>
                <w:sz w:val="18"/>
                <w:szCs w:val="18"/>
                <w:color w:val="auto"/>
              </w:rPr>
              <w:t>Original Issue Date</w:t>
            </w:r>
          </w:p>
        </w:tc>
        <w:tc>
          <w:tcPr>
            <w:tcW w:w="1720" w:type="dxa"/>
            <w:vAlign w:val="bottom"/>
          </w:tcPr>
          <w:p>
            <w:pPr>
              <w:spacing w:after="0"/>
              <w:rPr>
                <w:sz w:val="24"/>
                <w:szCs w:val="24"/>
                <w:color w:val="auto"/>
              </w:rPr>
            </w:pPr>
          </w:p>
        </w:tc>
        <w:tc>
          <w:tcPr>
            <w:tcW w:w="2560" w:type="dxa"/>
            <w:vAlign w:val="bottom"/>
            <w:gridSpan w:val="2"/>
          </w:tcPr>
          <w:p>
            <w:pPr>
              <w:jc w:val="right"/>
              <w:ind w:right="1610"/>
              <w:spacing w:after="0"/>
              <w:rPr>
                <w:sz w:val="20"/>
                <w:szCs w:val="20"/>
                <w:color w:val="auto"/>
              </w:rPr>
            </w:pPr>
            <w:r>
              <w:rPr>
                <w:rFonts w:ascii="Arial" w:cs="Arial" w:eastAsia="Arial" w:hAnsi="Arial"/>
                <w:sz w:val="18"/>
                <w:szCs w:val="18"/>
                <w:color w:val="auto"/>
              </w:rPr>
              <w:t>, 2019.</w:t>
            </w:r>
          </w:p>
        </w:tc>
        <w:tc>
          <w:tcPr>
            <w:tcW w:w="3380" w:type="dxa"/>
            <w:vAlign w:val="bottom"/>
          </w:tcPr>
          <w:p>
            <w:pPr>
              <w:spacing w:after="0"/>
              <w:rPr>
                <w:sz w:val="24"/>
                <w:szCs w:val="24"/>
                <w:color w:val="auto"/>
              </w:rPr>
            </w:pPr>
          </w:p>
        </w:tc>
      </w:tr>
      <w:tr>
        <w:trPr>
          <w:trHeight w:val="473"/>
        </w:trPr>
        <w:tc>
          <w:tcPr>
            <w:tcW w:w="2860" w:type="dxa"/>
            <w:vAlign w:val="bottom"/>
          </w:tcPr>
          <w:p>
            <w:pPr>
              <w:spacing w:after="0"/>
              <w:rPr>
                <w:sz w:val="20"/>
                <w:szCs w:val="20"/>
                <w:color w:val="auto"/>
              </w:rPr>
            </w:pPr>
            <w:r>
              <w:rPr>
                <w:rFonts w:ascii="Arial" w:cs="Arial" w:eastAsia="Arial" w:hAnsi="Arial"/>
                <w:sz w:val="18"/>
                <w:szCs w:val="18"/>
                <w:color w:val="auto"/>
              </w:rPr>
              <w:t>Interest Rate</w:t>
            </w:r>
          </w:p>
        </w:tc>
        <w:tc>
          <w:tcPr>
            <w:tcW w:w="2440" w:type="dxa"/>
            <w:vAlign w:val="bottom"/>
            <w:gridSpan w:val="2"/>
          </w:tcPr>
          <w:p>
            <w:pPr>
              <w:ind w:left="1180"/>
              <w:spacing w:after="0"/>
              <w:rPr>
                <w:sz w:val="20"/>
                <w:szCs w:val="20"/>
                <w:color w:val="auto"/>
              </w:rPr>
            </w:pPr>
            <w:r>
              <w:rPr>
                <w:rFonts w:ascii="Arial" w:cs="Arial" w:eastAsia="Arial" w:hAnsi="Arial"/>
                <w:sz w:val="18"/>
                <w:szCs w:val="18"/>
                <w:color w:val="auto"/>
              </w:rPr>
              <w:t>Fixed rate of</w:t>
            </w:r>
          </w:p>
        </w:tc>
        <w:tc>
          <w:tcPr>
            <w:tcW w:w="184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24"/>
                <w:szCs w:val="24"/>
                <w:color w:val="auto"/>
              </w:rPr>
            </w:pPr>
          </w:p>
        </w:tc>
      </w:tr>
      <w:tr>
        <w:trPr>
          <w:trHeight w:val="458"/>
        </w:trPr>
        <w:tc>
          <w:tcPr>
            <w:tcW w:w="28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60" w:type="dxa"/>
            <w:vAlign w:val="bottom"/>
            <w:gridSpan w:val="4"/>
          </w:tcPr>
          <w:p>
            <w:pPr>
              <w:ind w:left="1180"/>
              <w:spacing w:after="0"/>
              <w:rPr>
                <w:sz w:val="20"/>
                <w:szCs w:val="20"/>
                <w:color w:val="auto"/>
              </w:rPr>
            </w:pPr>
            <w:r>
              <w:rPr>
                <w:rFonts w:ascii="Arial" w:cs="Arial" w:eastAsia="Arial" w:hAnsi="Arial"/>
                <w:sz w:val="18"/>
                <w:szCs w:val="18"/>
                <w:color w:val="auto"/>
                <w:w w:val="89"/>
              </w:rPr>
              <w:t>Each March 15 and September 15, beginning on September 15, 2019, and on the maturity</w:t>
            </w:r>
          </w:p>
        </w:tc>
      </w:tr>
      <w:tr>
        <w:trPr>
          <w:trHeight w:val="230"/>
        </w:trPr>
        <w:tc>
          <w:tcPr>
            <w:tcW w:w="2860" w:type="dxa"/>
            <w:vAlign w:val="bottom"/>
          </w:tcPr>
          <w:p>
            <w:pPr>
              <w:spacing w:after="0"/>
              <w:rPr>
                <w:sz w:val="20"/>
                <w:szCs w:val="20"/>
                <w:color w:val="auto"/>
              </w:rPr>
            </w:pPr>
          </w:p>
        </w:tc>
        <w:tc>
          <w:tcPr>
            <w:tcW w:w="1720" w:type="dxa"/>
            <w:vAlign w:val="bottom"/>
          </w:tcPr>
          <w:p>
            <w:pPr>
              <w:ind w:left="118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5"/>
        </w:trPr>
        <w:tc>
          <w:tcPr>
            <w:tcW w:w="2860" w:type="dxa"/>
            <w:vAlign w:val="bottom"/>
          </w:tcPr>
          <w:p>
            <w:pPr>
              <w:spacing w:after="0"/>
              <w:rPr>
                <w:sz w:val="20"/>
                <w:szCs w:val="20"/>
                <w:color w:val="auto"/>
              </w:rPr>
            </w:pPr>
            <w:r>
              <w:rPr>
                <w:rFonts w:ascii="Arial" w:cs="Arial" w:eastAsia="Arial" w:hAnsi="Arial"/>
                <w:sz w:val="18"/>
                <w:szCs w:val="18"/>
                <w:color w:val="auto"/>
              </w:rPr>
              <w:t>Ranking</w:t>
            </w:r>
          </w:p>
        </w:tc>
        <w:tc>
          <w:tcPr>
            <w:tcW w:w="7660" w:type="dxa"/>
            <w:vAlign w:val="bottom"/>
            <w:gridSpan w:val="4"/>
          </w:tcPr>
          <w:p>
            <w:pPr>
              <w:ind w:left="1180"/>
              <w:spacing w:after="0"/>
              <w:rPr>
                <w:sz w:val="20"/>
                <w:szCs w:val="20"/>
                <w:color w:val="auto"/>
              </w:rPr>
            </w:pPr>
            <w:r>
              <w:rPr>
                <w:rFonts w:ascii="Arial" w:cs="Arial" w:eastAsia="Arial" w:hAnsi="Arial"/>
                <w:sz w:val="18"/>
                <w:szCs w:val="18"/>
                <w:color w:val="auto"/>
                <w:w w:val="90"/>
              </w:rPr>
              <w:t>The Notes will be the senior unsecured obligations of Texas Instruments Incorporated and</w:t>
            </w:r>
          </w:p>
        </w:tc>
      </w:tr>
      <w:tr>
        <w:trPr>
          <w:trHeight w:val="230"/>
        </w:trPr>
        <w:tc>
          <w:tcPr>
            <w:tcW w:w="2860" w:type="dxa"/>
            <w:vAlign w:val="bottom"/>
          </w:tcPr>
          <w:p>
            <w:pPr>
              <w:spacing w:after="0"/>
              <w:rPr>
                <w:sz w:val="20"/>
                <w:szCs w:val="20"/>
                <w:color w:val="auto"/>
              </w:rPr>
            </w:pPr>
          </w:p>
        </w:tc>
        <w:tc>
          <w:tcPr>
            <w:tcW w:w="7660" w:type="dxa"/>
            <w:vAlign w:val="bottom"/>
            <w:gridSpan w:val="4"/>
          </w:tcPr>
          <w:p>
            <w:pPr>
              <w:ind w:left="1180"/>
              <w:spacing w:after="0"/>
              <w:rPr>
                <w:sz w:val="20"/>
                <w:szCs w:val="20"/>
                <w:color w:val="auto"/>
              </w:rPr>
            </w:pPr>
            <w:r>
              <w:rPr>
                <w:rFonts w:ascii="Arial" w:cs="Arial" w:eastAsia="Arial" w:hAnsi="Arial"/>
                <w:sz w:val="18"/>
                <w:szCs w:val="18"/>
                <w:color w:val="auto"/>
                <w:w w:val="93"/>
              </w:rPr>
              <w:t>will rank equally with all of its existing and future senior indebtedness from time to time</w:t>
            </w:r>
          </w:p>
        </w:tc>
      </w:tr>
    </w:tbl>
    <w:p>
      <w:pPr>
        <w:ind w:left="4420" w:right="900"/>
        <w:spacing w:after="0" w:line="261" w:lineRule="auto"/>
        <w:rPr>
          <w:sz w:val="20"/>
          <w:szCs w:val="20"/>
          <w:color w:val="auto"/>
        </w:rPr>
      </w:pPr>
      <w:r>
        <w:rPr>
          <w:rFonts w:ascii="Arial" w:cs="Arial" w:eastAsia="Arial" w:hAnsi="Arial"/>
          <w:sz w:val="18"/>
          <w:szCs w:val="18"/>
          <w:color w:val="auto"/>
        </w:rPr>
        <w:t>outstanding. All existing and future liabilities of subsidiaries of Texas Instruments Incorporated will be effectively senior to the Notes.</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5"/>
              </w:rPr>
              <w:t>As of December 31, 2018, Texas Instruments Incorporated had approximately $5.1 billion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of outstanding indebtedness. As of December 31, 2018, Texas Instruments had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approximately $8.1 billion of total liabilities on a consolidated basis. Of this amount,</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5"/>
              </w:rPr>
              <w:t>subsidiaries of Texas Instruments Incorporated had approximately $1.0 billion of liabilities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(including trade payables and excluding intercompany debt) to which the Notes will be</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effectively subordinated.</w:t>
            </w: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2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3"/>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Pr>
          <w:p>
            <w:pPr>
              <w:ind w:left="11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112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27"/>
        </w:trPr>
        <w:tc>
          <w:tcPr>
            <w:tcW w:w="310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underwriters or their affiliates.</w:t>
            </w:r>
          </w:p>
        </w:tc>
      </w:tr>
      <w:tr>
        <w:trPr>
          <w:trHeight w:val="361"/>
        </w:trPr>
        <w:tc>
          <w:tcPr>
            <w:tcW w:w="3100" w:type="dxa"/>
            <w:vAlign w:val="bottom"/>
          </w:tcPr>
          <w:p>
            <w:pPr>
              <w:spacing w:after="0"/>
              <w:rPr>
                <w:sz w:val="24"/>
                <w:szCs w:val="24"/>
                <w:color w:val="auto"/>
              </w:rPr>
            </w:pPr>
          </w:p>
        </w:tc>
        <w:tc>
          <w:tcPr>
            <w:tcW w:w="7940" w:type="dxa"/>
            <w:vAlign w:val="bottom"/>
          </w:tcPr>
          <w:p>
            <w:pPr>
              <w:ind w:left="22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2018.</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1"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2018, we had approximately $8.1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65"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23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an as adjusted basis after giving effect to this offering, as of December 31, 2018, Texas Instruments Incorporated would have had</w:t>
      </w:r>
    </w:p>
    <w:p>
      <w:pPr>
        <w:spacing w:after="0" w:line="35" w:lineRule="exact"/>
        <w:rPr>
          <w:sz w:val="20"/>
          <w:szCs w:val="20"/>
          <w:color w:val="auto"/>
        </w:rPr>
      </w:pPr>
    </w:p>
    <w:p>
      <w:pPr>
        <w:ind w:left="200"/>
        <w:spacing w:after="0"/>
        <w:tabs>
          <w:tab w:leader="none" w:pos="19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billion of total long-term indebtedness (including the Notes), all of which would have been unsecured and unsubordinated.</w:t>
      </w:r>
    </w:p>
    <w:p>
      <w:pPr>
        <w:spacing w:after="0" w:line="21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860" w:right="84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its ability to obtain additional financing for working capital, capital expenditures, general corporate and other purposes may be limited.</w:t>
      </w:r>
    </w:p>
    <w:p>
      <w:pPr>
        <w:spacing w:after="0" w:line="23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2018.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8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Actual</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4,319</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1,741</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37,906</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common stock at cost (795,665,646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(32,130)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640" w:right="300" w:hanging="436"/>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$5.1 billion of our existing outstanding notes less net unamortized discounts, premiums and debt issuance costs of $32 million, less $749 million representing the current portion of long-term debt.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Notes will mature on March 15, 2039. The Notes will be issued in book-entry form only, in denominations of $2,000 and multiples of $1,000</w:t>
      </w:r>
    </w:p>
    <w:p>
      <w:pPr>
        <w:spacing w:after="0" w:line="46" w:lineRule="exact"/>
        <w:rPr>
          <w:sz w:val="20"/>
          <w:szCs w:val="20"/>
          <w:color w:val="auto"/>
        </w:rPr>
      </w:pPr>
    </w:p>
    <w:p>
      <w:pPr>
        <w:ind w:left="200" w:right="20"/>
        <w:spacing w:after="0" w:line="295" w:lineRule="auto"/>
        <w:rPr>
          <w:sz w:val="20"/>
          <w:szCs w:val="20"/>
          <w:color w:val="auto"/>
        </w:rPr>
      </w:pPr>
      <w:r>
        <w:rPr>
          <w:rFonts w:ascii="Arial" w:cs="Arial" w:eastAsia="Arial" w:hAnsi="Arial"/>
          <w:sz w:val="16"/>
          <w:szCs w:val="16"/>
          <w:color w:val="auto"/>
        </w:rPr>
        <w:t>in excess thereof. Interest on the Notes will accrue from , 2019 at the rate per annum shown on the cover of this prospectus supplement. Interest on the Notes will be payable semi-annually on March 15 and September 15, commencing on September 15, 2019 to the persons in whose names the Notes are registered at the close of business on the preceding March 1 or September 1, as the case may be. Interest on the Notes will be paid to but excluding the relevant interest payment date. Interest on the Notes will be calculated on the basis of a 360-day year comprised of twelve 30-day months.</w:t>
      </w:r>
    </w:p>
    <w:p>
      <w:pPr>
        <w:spacing w:after="0" w:line="1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2018, Texas Instruments Incorporated had approximately $5.1 billion of outstanding indebtedness. As of December 31, 2018, we had approximately $8.1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an as adjusted basis after giving effect to this offering, as of December 31, 2018:</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jc w:val="both"/>
        <w:ind w:left="860" w:hanging="219"/>
        <w:spacing w:after="0" w:line="342" w:lineRule="auto"/>
        <w:tabs>
          <w:tab w:leader="none" w:pos="840" w:val="left"/>
        </w:tabs>
        <w:rPr>
          <w:sz w:val="20"/>
          <w:szCs w:val="20"/>
          <w:color w:val="auto"/>
        </w:rPr>
      </w:pPr>
      <w:r>
        <w:rPr>
          <w:rFonts w:ascii="Arial" w:cs="Arial" w:eastAsia="Arial" w:hAnsi="Arial"/>
          <w:sz w:val="16"/>
          <w:szCs w:val="16"/>
          <w:color w:val="auto"/>
        </w:rPr>
        <w:t>•</w:t>
        <w:tab/>
        <w:t>Texas Instruments Incorporated would have had approximately $ which would constitute senior and unsubordinated indebtedness;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w:t>
      </w:r>
    </w:p>
    <w:p>
      <w:pPr>
        <w:spacing w:after="0" w:line="369" w:lineRule="exact"/>
        <w:rPr>
          <w:sz w:val="20"/>
          <w:szCs w:val="20"/>
          <w:color w:val="auto"/>
        </w:rPr>
      </w:pPr>
    </w:p>
    <w:p>
      <w:pPr>
        <w:sectPr>
          <w:pgSz w:w="11900" w:h="16838" w:orient="portrait"/>
          <w:cols w:equalWidth="0" w:num="2">
            <w:col w:w="5540" w:space="540"/>
            <w:col w:w="5140"/>
          </w:cols>
          <w:pgMar w:left="240" w:top="459" w:right="439" w:bottom="1440" w:gutter="0" w:footer="0" w:header="0"/>
          <w:type w:val="continuous"/>
        </w:sectPr>
      </w:pPr>
    </w:p>
    <w:p>
      <w:pPr>
        <w:ind w:left="860" w:hanging="2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130" w:lineRule="exact"/>
        <w:rPr>
          <w:rFonts w:ascii="Arial" w:cs="Arial" w:eastAsia="Arial" w:hAnsi="Arial"/>
          <w:sz w:val="18"/>
          <w:szCs w:val="18"/>
          <w:color w:val="auto"/>
        </w:rPr>
      </w:pPr>
    </w:p>
    <w:p>
      <w:pPr>
        <w:ind w:left="860" w:right="26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6" w:lineRule="exact"/>
        <w:rPr>
          <w:sz w:val="20"/>
          <w:szCs w:val="20"/>
          <w:color w:val="auto"/>
        </w:rPr>
      </w:pPr>
    </w:p>
    <w:p>
      <w:pPr>
        <w:ind w:left="860" w:right="620" w:hanging="219"/>
        <w:spacing w:after="0" w:line="277" w:lineRule="auto"/>
        <w:tabs>
          <w:tab w:leader="none" w:pos="8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 xml:space="preserve">the same CUSIP number as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Prior to September 15, 2038 (the date that is six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280" w:hanging="21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640" w:firstLine="428"/>
        <w:spacing w:after="0" w:line="288" w:lineRule="auto"/>
        <w:tabs>
          <w:tab w:leader="none" w:pos="1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 of such payments of interest accrued as of the date of redemption) from the date of redemption to September 15, 2038 (the date that is six months prior to the maturity date of the Notes), in each case discounted to the date of redemption on a semi-annual basis (assuming a 360-day year</w:t>
      </w:r>
    </w:p>
    <w:p>
      <w:pPr>
        <w:ind w:left="640"/>
        <w:spacing w:after="0"/>
        <w:tabs>
          <w:tab w:leader="none" w:pos="6980" w:val="left"/>
        </w:tabs>
        <w:rPr>
          <w:sz w:val="20"/>
          <w:szCs w:val="20"/>
          <w:color w:val="auto"/>
        </w:rPr>
      </w:pPr>
      <w:r>
        <w:rPr>
          <w:rFonts w:ascii="Arial" w:cs="Arial" w:eastAsia="Arial" w:hAnsi="Arial"/>
          <w:sz w:val="18"/>
          <w:szCs w:val="18"/>
          <w:color w:val="auto"/>
        </w:rPr>
        <w:t>consisting of twelve 30-day months) at the Treasury Rate (as defined below), plus</w:t>
      </w:r>
      <w:r>
        <w:rPr>
          <w:sz w:val="20"/>
          <w:szCs w:val="20"/>
          <w:color w:val="auto"/>
        </w:rPr>
        <w:tab/>
      </w:r>
      <w:r>
        <w:rPr>
          <w:rFonts w:ascii="Arial" w:cs="Arial" w:eastAsia="Arial" w:hAnsi="Arial"/>
          <w:sz w:val="15"/>
          <w:szCs w:val="15"/>
          <w:color w:val="auto"/>
        </w:rPr>
        <w:t>basis points;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At any time on or after September 15, 2038 (the date that is six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“Reference Treasury Dealer” means (i) Barclays Capital Inc., J.P. Morgan Securities LLC (or their respective affiliates that are Primary Treasury Dealers) and a Primary Treasury Dealer selected by MUFG Securities Americas Inc. and their respective successors; provided, however, that if any of the foregoing shall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342" w:lineRule="auto"/>
        <w:rPr>
          <w:sz w:val="20"/>
          <w:szCs w:val="20"/>
          <w:color w:val="auto"/>
        </w:rPr>
      </w:pPr>
      <w:r>
        <w:rPr>
          <w:rFonts w:ascii="Arial" w:cs="Arial" w:eastAsia="Arial" w:hAnsi="Arial"/>
          <w:sz w:val="16"/>
          <w:szCs w:val="16"/>
          <w:color w:val="auto"/>
        </w:rPr>
        <w:t>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4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860" w:right="6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860" w:hanging="224"/>
        <w:spacing w:after="0" w:line="30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440" w:hanging="538"/>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20" w:hanging="538"/>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40" w:hanging="538"/>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4" w:lineRule="exact"/>
        <w:rPr>
          <w:sz w:val="20"/>
          <w:szCs w:val="20"/>
          <w:color w:val="auto"/>
        </w:rPr>
      </w:pPr>
    </w:p>
    <w:p>
      <w:pPr>
        <w:ind w:left="5540" w:right="5020" w:hanging="4904"/>
        <w:spacing w:after="0" w:line="536" w:lineRule="auto"/>
        <w:tabs>
          <w:tab w:leader="none" w:pos="8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holder gives the trustee written notice of a continuing event of default; S-12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9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Euroclear or Clearstream participant, either directly or indirectly.</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860" w:right="32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860" w:right="160" w:hanging="224"/>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will generally be subject to withholding tax at a rate of 30%, subject to an applicable treaty providing otherwise.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Barclays Capital Inc., J.P. Morgan Securities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Amount of</w:t>
            </w:r>
          </w:p>
        </w:tc>
        <w:tc>
          <w:tcPr>
            <w:tcW w:w="0" w:type="dxa"/>
            <w:vAlign w:val="bottom"/>
          </w:tcPr>
          <w:p>
            <w:pPr>
              <w:spacing w:after="0"/>
              <w:rPr>
                <w:sz w:val="1"/>
                <w:szCs w:val="1"/>
                <w:color w:val="auto"/>
              </w:rPr>
            </w:pPr>
          </w:p>
        </w:tc>
      </w:tr>
      <w:tr>
        <w:trPr>
          <w:trHeight w:val="158"/>
        </w:trPr>
        <w:tc>
          <w:tcPr>
            <w:tcW w:w="93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2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42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ectPr>
          <w:pgSz w:w="11900" w:h="16838" w:orient="portrait"/>
          <w:cols w:equalWidth="0" w:num="1">
            <w:col w:w="11240"/>
          </w:cols>
          <w:pgMar w:left="240" w:top="459" w:right="419" w:bottom="1440" w:gutter="0" w:footer="0" w:header="0"/>
        </w:sectPr>
      </w:pP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07" w:lineRule="exact"/>
        <w:rPr>
          <w:sz w:val="20"/>
          <w:szCs w:val="20"/>
          <w:color w:val="auto"/>
        </w:rPr>
      </w:pPr>
    </w:p>
    <w:p>
      <w:pPr>
        <w:sectPr>
          <w:pgSz w:w="11900" w:h="16838" w:orient="portrait"/>
          <w:cols w:equalWidth="0" w:num="2">
            <w:col w:w="10920" w:space="120"/>
            <w:col w:w="200"/>
          </w:cols>
          <w:pgMar w:left="240" w:top="459" w:right="419" w:bottom="1440" w:gutter="0" w:footer="0" w:header="0"/>
          <w:type w:val="continuous"/>
        </w:sect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840" w:type="dxa"/>
            <w:vAlign w:val="bottom"/>
            <w:gridSpan w:val="3"/>
          </w:tcPr>
          <w:p>
            <w:pPr>
              <w:jc w:val="center"/>
              <w:ind w:left="3479"/>
              <w:spacing w:after="0"/>
              <w:rPr>
                <w:sz w:val="20"/>
                <w:szCs w:val="20"/>
                <w:color w:val="auto"/>
              </w:rPr>
            </w:pPr>
            <w:r>
              <w:rPr>
                <w:rFonts w:ascii="Arial" w:cs="Arial" w:eastAsia="Arial" w:hAnsi="Arial"/>
                <w:sz w:val="14"/>
                <w:szCs w:val="14"/>
                <w:b w:val="1"/>
                <w:bCs w:val="1"/>
                <w:color w:val="auto"/>
                <w:w w:val="89"/>
              </w:rPr>
              <w:t>Paid by Texas</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20" w:type="dxa"/>
            <w:vAlign w:val="bottom"/>
          </w:tcPr>
          <w:p>
            <w:pPr>
              <w:spacing w:after="0"/>
              <w:rPr>
                <w:sz w:val="24"/>
                <w:szCs w:val="24"/>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5"/>
              </w:rPr>
              <w:t>We estimate that our total expenses for this offering will be approximately $</w:t>
            </w:r>
          </w:p>
        </w:tc>
        <w:tc>
          <w:tcPr>
            <w:tcW w:w="4840" w:type="dxa"/>
            <w:vAlign w:val="bottom"/>
            <w:gridSpan w:val="3"/>
          </w:tcPr>
          <w:p>
            <w:pPr>
              <w:jc w:val="right"/>
              <w:ind w:right="170"/>
              <w:spacing w:after="0"/>
              <w:rPr>
                <w:sz w:val="20"/>
                <w:szCs w:val="20"/>
                <w:color w:val="auto"/>
              </w:rPr>
            </w:pPr>
            <w:r>
              <w:rPr>
                <w:rFonts w:ascii="Arial" w:cs="Arial" w:eastAsia="Arial" w:hAnsi="Arial"/>
                <w:sz w:val="18"/>
                <w:szCs w:val="18"/>
                <w:color w:val="auto"/>
                <w:w w:val="98"/>
              </w:rPr>
              <w:t>million, including underwriting discounts. The underwriters</w:t>
            </w:r>
          </w:p>
        </w:tc>
      </w:tr>
    </w:tbl>
    <w:p>
      <w:pPr>
        <w:ind w:left="200"/>
        <w:spacing w:after="0"/>
        <w:rPr>
          <w:sz w:val="20"/>
          <w:szCs w:val="20"/>
          <w:color w:val="auto"/>
        </w:rPr>
      </w:pPr>
      <w:r>
        <w:rPr>
          <w:rFonts w:ascii="Arial" w:cs="Arial" w:eastAsia="Arial" w:hAnsi="Arial"/>
          <w:sz w:val="18"/>
          <w:szCs w:val="18"/>
          <w:color w:val="auto"/>
        </w:rPr>
        <w:t>have agreed to reimburse a portion of the expenses we incur in connection with the offering.</w:t>
      </w:r>
    </w:p>
    <w:p>
      <w:pPr>
        <w:spacing w:after="0" w:line="211"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860" w:right="50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860" w:right="54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w:t>
      </w:r>
    </w:p>
    <w:p>
      <w:pPr>
        <w:spacing w:after="0" w:line="2" w:lineRule="exact"/>
        <w:rPr>
          <w:sz w:val="20"/>
          <w:szCs w:val="20"/>
          <w:color w:val="auto"/>
        </w:rPr>
      </w:pPr>
    </w:p>
    <w:p>
      <w:pPr>
        <w:ind w:left="200" w:right="200" w:firstLine="4"/>
        <w:spacing w:after="0" w:line="254" w:lineRule="auto"/>
        <w:tabs>
          <w:tab w:leader="none" w:pos="5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Canadian investors are advised that this document has been prepared in reliance on section 3A.3 of National Instrument</w:t>
      </w:r>
    </w:p>
    <w:p>
      <w:pPr>
        <w:spacing w:after="0" w:line="27" w:lineRule="exact"/>
        <w:rPr>
          <w:sz w:val="20"/>
          <w:szCs w:val="20"/>
          <w:color w:val="auto"/>
        </w:rPr>
      </w:pPr>
    </w:p>
    <w:p>
      <w:pPr>
        <w:jc w:val="both"/>
        <w:ind w:left="200" w:right="160"/>
        <w:spacing w:after="0" w:line="255" w:lineRule="auto"/>
        <w:rPr>
          <w:sz w:val="20"/>
          <w:szCs w:val="20"/>
          <w:color w:val="auto"/>
        </w:rPr>
      </w:pPr>
      <w:r>
        <w:rPr>
          <w:rFonts w:ascii="Arial" w:cs="Arial" w:eastAsia="Arial" w:hAnsi="Arial"/>
          <w:sz w:val="18"/>
          <w:szCs w:val="18"/>
          <w:b w:val="1"/>
          <w:bCs w:val="1"/>
          <w:color w:val="auto"/>
        </w:rPr>
        <w:t xml:space="preserve">33-105 </w:t>
      </w:r>
      <w:r>
        <w:rPr>
          <w:rFonts w:ascii="Arial" w:cs="Arial" w:eastAsia="Arial" w:hAnsi="Arial"/>
          <w:sz w:val="18"/>
          <w:szCs w:val="18"/>
          <w:b w:val="1"/>
          <w:bCs w:val="1"/>
          <w:i w:val="1"/>
          <w:iCs w:val="1"/>
          <w:color w:val="auto"/>
        </w:rPr>
        <w:t>Underwriting Conflicts</w:t>
      </w:r>
      <w:r>
        <w:rPr>
          <w:rFonts w:ascii="Arial" w:cs="Arial" w:eastAsia="Arial" w:hAnsi="Arial"/>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 xml:space="preserve">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(iii) is a “permitted client” as such term is defined in section 1.1 of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60"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22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31"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60" w:hanging="224"/>
        <w:spacing w:after="0" w:line="342"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àl’épargne</w:t>
      </w:r>
      <w:r>
        <w:rPr>
          <w:rFonts w:ascii="Arial" w:cs="Arial" w:eastAsia="Arial" w:hAnsi="Arial"/>
          <w:sz w:val="16"/>
          <w:szCs w:val="16"/>
          <w:color w:val="auto"/>
        </w:rPr>
        <w:t>).</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308"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860" w:right="64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7" w:lineRule="exact"/>
        <w:rPr>
          <w:sz w:val="20"/>
          <w:szCs w:val="20"/>
          <w:color w:val="auto"/>
        </w:rPr>
      </w:pPr>
    </w:p>
    <w:p>
      <w:pPr>
        <w:ind w:left="860" w:hanging="224"/>
        <w:spacing w:after="0" w:line="25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87"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independent of the issuer, each underwriter and their respective affiliates (the “Transaction Parties”);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jc w:val="both"/>
        <w:ind w:left="1060" w:hanging="424"/>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1060" w:right="460" w:hanging="424"/>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86" w:lineRule="exact"/>
        <w:rPr>
          <w:rFonts w:ascii="Arial" w:cs="Arial" w:eastAsia="Arial" w:hAnsi="Arial"/>
          <w:sz w:val="18"/>
          <w:szCs w:val="18"/>
          <w:color w:val="auto"/>
        </w:rPr>
      </w:pPr>
    </w:p>
    <w:p>
      <w:pPr>
        <w:ind w:left="1060" w:right="40" w:hanging="424"/>
        <w:spacing w:after="0" w:line="273"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2018, filed on February 22, 2019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2018, filed on February 22, 2019, the description of our common stock contained in our registration statement on Form 8-A 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the loss of significant distributors;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60" w:right="40" w:hanging="424"/>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1" w:lineRule="exact"/>
        <w:rPr>
          <w:rFonts w:ascii="Arial" w:cs="Arial" w:eastAsia="Arial" w:hAnsi="Arial"/>
          <w:sz w:val="17"/>
          <w:szCs w:val="17"/>
          <w:color w:val="auto"/>
        </w:rPr>
      </w:pPr>
    </w:p>
    <w:p>
      <w:pPr>
        <w:ind w:left="1060" w:right="2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53" w:lineRule="exact"/>
        <w:rPr>
          <w:rFonts w:ascii="Arial" w:cs="Arial" w:eastAsia="Arial" w:hAnsi="Arial"/>
          <w:sz w:val="16"/>
          <w:szCs w:val="16"/>
          <w:color w:val="auto"/>
        </w:rPr>
      </w:pPr>
    </w:p>
    <w:p>
      <w:pPr>
        <w:ind w:left="1060" w:right="6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60" w:right="420" w:hanging="424"/>
        <w:spacing w:after="0" w:line="308"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60" w:right="280" w:hanging="424"/>
        <w:spacing w:after="0" w:line="34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60" w:right="38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60" w:right="100" w:hanging="424"/>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60" w:right="140" w:hanging="424"/>
        <w:spacing w:after="0" w:line="27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060" w:hanging="424"/>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538"/>
        <w:spacing w:after="0" w:line="342" w:lineRule="auto"/>
        <w:tabs>
          <w:tab w:leader="none" w:pos="16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60" w:right="80" w:hanging="424"/>
        <w:spacing w:after="0" w:line="28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60" w:hanging="424"/>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60" w:right="180" w:hanging="424"/>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60" w:right="720" w:hanging="424"/>
        <w:spacing w:after="0" w:line="308"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60" w:right="60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60" w:right="60" w:hanging="424"/>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1060" w:right="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4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80" w:hanging="538"/>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14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60" w:right="14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60" w:hanging="424"/>
        <w:spacing w:after="0" w:line="293"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60" w:right="40" w:hanging="424"/>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4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60" w:hanging="424"/>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1111885</wp:posOffset>
            </wp:positionV>
            <wp:extent cx="2872740" cy="668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72740" cy="66865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40" w:hanging="1464"/>
        <w:spacing w:after="0"/>
        <w:tabs>
          <w:tab w:leader="none" w:pos="5040" w:val="left"/>
        </w:tabs>
        <w:numPr>
          <w:ilvl w:val="0"/>
          <w:numId w:val="47"/>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873125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317500</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700" w:type="dxa"/>
            <w:vAlign w:val="bottom"/>
            <w:gridSpan w:val="2"/>
          </w:tcPr>
          <w:p>
            <w:pPr>
              <w:ind w:left="1180"/>
              <w:spacing w:after="0"/>
              <w:rPr>
                <w:sz w:val="20"/>
                <w:szCs w:val="20"/>
                <w:color w:val="auto"/>
              </w:rPr>
            </w:pPr>
            <w:r>
              <w:rPr>
                <w:rFonts w:ascii="Arial" w:cs="Arial" w:eastAsia="Arial" w:hAnsi="Arial"/>
                <w:sz w:val="22"/>
                <w:szCs w:val="22"/>
                <w:i w:val="1"/>
                <w:iCs w:val="1"/>
                <w:color w:val="auto"/>
              </w:rPr>
              <w:t>Joint Book-Running Managers</w:t>
            </w:r>
          </w:p>
        </w:tc>
        <w:tc>
          <w:tcPr>
            <w:tcW w:w="2340" w:type="dxa"/>
            <w:vAlign w:val="bottom"/>
          </w:tcPr>
          <w:p>
            <w:pPr>
              <w:spacing w:after="0"/>
              <w:rPr>
                <w:sz w:val="23"/>
                <w:szCs w:val="23"/>
                <w:color w:val="auto"/>
              </w:rPr>
            </w:pPr>
          </w:p>
        </w:tc>
      </w:tr>
      <w:tr>
        <w:trPr>
          <w:trHeight w:val="665"/>
        </w:trPr>
        <w:tc>
          <w:tcPr>
            <w:tcW w:w="3000" w:type="dxa"/>
            <w:vAlign w:val="bottom"/>
            <w:gridSpan w:val="2"/>
          </w:tcPr>
          <w:p>
            <w:pPr>
              <w:spacing w:after="0"/>
              <w:rPr>
                <w:sz w:val="20"/>
                <w:szCs w:val="20"/>
                <w:color w:val="auto"/>
              </w:rPr>
            </w:pPr>
            <w:r>
              <w:rPr>
                <w:rFonts w:ascii="Arial" w:cs="Arial" w:eastAsia="Arial" w:hAnsi="Arial"/>
                <w:sz w:val="36"/>
                <w:szCs w:val="36"/>
                <w:b w:val="1"/>
                <w:bCs w:val="1"/>
                <w:color w:val="auto"/>
              </w:rPr>
              <w:t>Barclays</w:t>
            </w:r>
          </w:p>
        </w:tc>
        <w:tc>
          <w:tcPr>
            <w:tcW w:w="5700" w:type="dxa"/>
            <w:vAlign w:val="bottom"/>
            <w:gridSpan w:val="2"/>
          </w:tcPr>
          <w:p>
            <w:pPr>
              <w:ind w:left="1860"/>
              <w:spacing w:after="0"/>
              <w:rPr>
                <w:sz w:val="20"/>
                <w:szCs w:val="20"/>
                <w:color w:val="auto"/>
              </w:rPr>
            </w:pPr>
            <w:r>
              <w:rPr>
                <w:rFonts w:ascii="Arial" w:cs="Arial" w:eastAsia="Arial" w:hAnsi="Arial"/>
                <w:sz w:val="36"/>
                <w:szCs w:val="36"/>
                <w:b w:val="1"/>
                <w:bCs w:val="1"/>
                <w:color w:val="auto"/>
              </w:rPr>
              <w:t>J.P. Morgan</w:t>
            </w:r>
          </w:p>
        </w:tc>
        <w:tc>
          <w:tcPr>
            <w:tcW w:w="2340" w:type="dxa"/>
            <w:vAlign w:val="bottom"/>
          </w:tcPr>
          <w:p>
            <w:pPr>
              <w:jc w:val="right"/>
              <w:spacing w:after="0"/>
              <w:rPr>
                <w:sz w:val="20"/>
                <w:szCs w:val="20"/>
                <w:color w:val="auto"/>
              </w:rPr>
            </w:pPr>
            <w:r>
              <w:rPr>
                <w:rFonts w:ascii="Arial" w:cs="Arial" w:eastAsia="Arial" w:hAnsi="Arial"/>
                <w:sz w:val="36"/>
                <w:szCs w:val="36"/>
                <w:b w:val="1"/>
                <w:bCs w:val="1"/>
                <w:color w:val="auto"/>
              </w:rPr>
              <w:t>MUFG</w:t>
            </w:r>
          </w:p>
        </w:tc>
      </w:tr>
      <w:tr>
        <w:trPr>
          <w:trHeight w:val="535"/>
        </w:trPr>
        <w:tc>
          <w:tcPr>
            <w:tcW w:w="3000" w:type="dxa"/>
            <w:vAlign w:val="bottom"/>
            <w:gridSpan w:val="2"/>
          </w:tcPr>
          <w:p>
            <w:pPr>
              <w:spacing w:after="0"/>
              <w:rPr>
                <w:sz w:val="20"/>
                <w:szCs w:val="20"/>
                <w:color w:val="auto"/>
              </w:rPr>
            </w:pPr>
            <w:r>
              <w:rPr>
                <w:rFonts w:ascii="Arial" w:cs="Arial" w:eastAsia="Arial" w:hAnsi="Arial"/>
                <w:sz w:val="25"/>
                <w:szCs w:val="25"/>
                <w:b w:val="1"/>
                <w:bCs w:val="1"/>
                <w:color w:val="auto"/>
              </w:rPr>
              <w:t>BofA Merrill Lynch</w:t>
            </w:r>
          </w:p>
        </w:tc>
        <w:tc>
          <w:tcPr>
            <w:tcW w:w="2540" w:type="dxa"/>
            <w:vAlign w:val="bottom"/>
          </w:tcPr>
          <w:p>
            <w:pPr>
              <w:ind w:left="860"/>
              <w:spacing w:after="0"/>
              <w:rPr>
                <w:sz w:val="20"/>
                <w:szCs w:val="20"/>
                <w:color w:val="auto"/>
              </w:rPr>
            </w:pPr>
            <w:r>
              <w:rPr>
                <w:rFonts w:ascii="Arial" w:cs="Arial" w:eastAsia="Arial" w:hAnsi="Arial"/>
                <w:sz w:val="25"/>
                <w:szCs w:val="25"/>
                <w:b w:val="1"/>
                <w:bCs w:val="1"/>
                <w:color w:val="auto"/>
              </w:rPr>
              <w:t>Citigroup</w:t>
            </w:r>
          </w:p>
        </w:tc>
        <w:tc>
          <w:tcPr>
            <w:tcW w:w="3160" w:type="dxa"/>
            <w:vAlign w:val="bottom"/>
          </w:tcPr>
          <w:p>
            <w:pPr>
              <w:ind w:left="620"/>
              <w:spacing w:after="0"/>
              <w:rPr>
                <w:sz w:val="20"/>
                <w:szCs w:val="20"/>
                <w:color w:val="auto"/>
              </w:rPr>
            </w:pPr>
            <w:r>
              <w:rPr>
                <w:rFonts w:ascii="Arial" w:cs="Arial" w:eastAsia="Arial" w:hAnsi="Arial"/>
                <w:sz w:val="25"/>
                <w:szCs w:val="25"/>
                <w:b w:val="1"/>
                <w:bCs w:val="1"/>
                <w:color w:val="auto"/>
              </w:rPr>
              <w:t>Mizuho Securities</w:t>
            </w:r>
          </w:p>
        </w:tc>
        <w:tc>
          <w:tcPr>
            <w:tcW w:w="2340" w:type="dxa"/>
            <w:vAlign w:val="bottom"/>
          </w:tcPr>
          <w:p>
            <w:pPr>
              <w:jc w:val="right"/>
              <w:spacing w:after="0"/>
              <w:rPr>
                <w:sz w:val="20"/>
                <w:szCs w:val="20"/>
                <w:color w:val="auto"/>
              </w:rPr>
            </w:pPr>
            <w:r>
              <w:rPr>
                <w:rFonts w:ascii="Arial" w:cs="Arial" w:eastAsia="Arial" w:hAnsi="Arial"/>
                <w:sz w:val="25"/>
                <w:szCs w:val="25"/>
                <w:b w:val="1"/>
                <w:bCs w:val="1"/>
                <w:color w:val="auto"/>
              </w:rPr>
              <w:t>Morgan Stanley</w:t>
            </w:r>
          </w:p>
        </w:tc>
      </w:tr>
      <w:tr>
        <w:trPr>
          <w:trHeight w:val="1045"/>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
      <w:numFmt w:val="bullet"/>
      <w:start w:val="1"/>
    </w:lvl>
    <w:lvl w:ilvl="1">
      <w:lvlJc w:val="left"/>
      <w:lvlText w:val="(%2)"/>
      <w:numFmt w:val="decimal"/>
      <w:start w:val="1"/>
    </w:lvl>
  </w:abstractNum>
  <w:abstractNum w:abstractNumId="9">
    <w:nsid w:val="836C40E"/>
    <w:multiLevelType w:val="hybridMultilevel"/>
    <w:lvl w:ilvl="0">
      <w:lvlJc w:val="left"/>
      <w:lvlText w:val="•"/>
      <w:numFmt w:val="bullet"/>
      <w:start w:val="1"/>
    </w:lvl>
    <w:lvl w:ilvl="1">
      <w:lvlJc w:val="left"/>
      <w:lvlText w:val="(%2)"/>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0"/>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lvl w:ilvl="1">
      <w:lvlJc w:val="left"/>
      <w:lvlText w:val="•"/>
      <w:numFmt w:val="bullet"/>
      <w:start w:val="1"/>
    </w:lvl>
  </w:abstractNum>
  <w:abstractNum w:abstractNumId="33">
    <w:nsid w:val="580BD78F"/>
    <w:multiLevelType w:val="hybridMultilevel"/>
    <w:lvl w:ilvl="0">
      <w:lvlJc w:val="left"/>
      <w:lvlText w:val="•"/>
      <w:numFmt w:val="bullet"/>
      <w:start w:val="1"/>
    </w:lvl>
    <w:lvl w:ilvl="1">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
      <w:numFmt w:val="bullet"/>
      <w:start w:val="1"/>
    </w:lvl>
    <w:lvl w:ilvl="1">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2019-12-04T23:36:42Z</dcterms:created>
  <dcterms:modified xsi:type="dcterms:W3CDTF">2019-12-04T23:36:42Z</dcterms:modified>
</cp:coreProperties>
</file>