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04/20/2007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145,000</w:t>
            </w:r>
            <w:r>
              <w:rPr>
                <w:rFonts w:ascii="Arial" w:cs="Arial" w:eastAsia="Arial" w:hAnsi="Arial"/>
                <w:sz w:val="22"/>
                <w:szCs w:val="22"/>
                <w:color w:val="008000"/>
                <w:w w:val="88"/>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8,000</w:t>
            </w:r>
            <w:r>
              <w:rPr>
                <w:rFonts w:ascii="Arial" w:cs="Arial" w:eastAsia="Arial" w:hAnsi="Arial"/>
                <w:sz w:val="22"/>
                <w:szCs w:val="22"/>
                <w:color w:val="008000"/>
                <w:w w:val="89"/>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2,995.81</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459.81</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04/20/2007</w:t>
            </w:r>
          </w:p>
        </w:tc>
        <w:tc>
          <w:tcPr>
            <w:tcW w:w="118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1"/>
                <w:szCs w:val="21"/>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205.23</w:t>
            </w:r>
          </w:p>
        </w:tc>
        <w:tc>
          <w:tcPr>
            <w:tcW w:w="300" w:type="dxa"/>
            <w:vAlign w:val="bottom"/>
          </w:tcPr>
          <w:p>
            <w:pPr>
              <w:spacing w:after="0"/>
              <w:rPr>
                <w:sz w:val="21"/>
                <w:szCs w:val="21"/>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205.23</w:t>
            </w:r>
          </w:p>
        </w:tc>
        <w:tc>
          <w:tcPr>
            <w:tcW w:w="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32.49</w:t>
            </w:r>
          </w:p>
        </w:tc>
        <w:tc>
          <w:tcPr>
            <w:tcW w:w="840" w:type="dxa"/>
            <w:vAlign w:val="bottom"/>
            <w:gridSpan w:val="2"/>
          </w:tcPr>
          <w:p>
            <w:pPr>
              <w:ind w:left="180"/>
              <w:spacing w:after="0"/>
              <w:rPr>
                <w:sz w:val="20"/>
                <w:szCs w:val="20"/>
                <w:color w:val="auto"/>
              </w:rPr>
            </w:pPr>
            <w:r>
              <w:rPr>
                <w:rFonts w:ascii="Arial" w:cs="Arial" w:eastAsia="Arial" w:hAnsi="Arial"/>
                <w:sz w:val="13"/>
                <w:szCs w:val="13"/>
                <w:color w:val="0000FF"/>
              </w:rPr>
              <w:t>22,496.9</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3-31-07. (Interests in this account are denominated in units. Consequently, share amount shown is an estimate.) This statement does not include changes in beneficial ownership of shares held in this account occurring after 3-31-07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3-31-07. (Interests in this account are denominated in units. Consequently, share amount shown is an estimate.) This statement does not include changes in beneficial ownership of shares held in such account occurring after 3-31-07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04/24/2007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2019-12-16T02:52:53Z</dcterms:created>
  <dcterms:modified xsi:type="dcterms:W3CDTF">2019-12-16T02:52:53Z</dcterms:modified>
</cp:coreProperties>
</file>