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spacing w:after="0"/>
        <w:rPr>
          <w:sz w:val="20"/>
          <w:szCs w:val="20"/>
          <w:color w:val="auto"/>
        </w:rPr>
      </w:pPr>
      <w:r>
        <w:rPr>
          <w:rFonts w:ascii="Arial" w:cs="Arial" w:eastAsia="Arial" w:hAnsi="Arial"/>
          <w:sz w:val="18"/>
          <w:szCs w:val="18"/>
          <w:color w:val="auto"/>
        </w:rPr>
        <w:t>Issuer:</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Principal Amount:</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Maturity:</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Coupon:</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Price to Public:</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Interest Payment Dates:</w:t>
      </w:r>
    </w:p>
    <w:p>
      <w:pPr>
        <w:spacing w:after="0" w:line="333" w:lineRule="exact"/>
        <w:rPr>
          <w:sz w:val="24"/>
          <w:szCs w:val="24"/>
          <w:color w:val="auto"/>
        </w:rPr>
      </w:pPr>
    </w:p>
    <w:p>
      <w:pPr>
        <w:spacing w:after="0"/>
        <w:rPr>
          <w:sz w:val="20"/>
          <w:szCs w:val="20"/>
          <w:color w:val="auto"/>
        </w:rPr>
      </w:pPr>
      <w:r>
        <w:rPr>
          <w:rFonts w:ascii="Arial" w:cs="Arial" w:eastAsia="Arial" w:hAnsi="Arial"/>
          <w:sz w:val="18"/>
          <w:szCs w:val="18"/>
          <w:color w:val="auto"/>
        </w:rPr>
        <w:t>Day Count Convention:</w:t>
      </w:r>
    </w:p>
    <w:p>
      <w:pPr>
        <w:spacing w:after="0" w:line="117" w:lineRule="exact"/>
        <w:rPr>
          <w:sz w:val="24"/>
          <w:szCs w:val="24"/>
          <w:color w:val="auto"/>
        </w:rPr>
      </w:pPr>
    </w:p>
    <w:p>
      <w:pPr>
        <w:spacing w:after="0"/>
        <w:rPr>
          <w:sz w:val="20"/>
          <w:szCs w:val="20"/>
          <w:color w:val="auto"/>
        </w:rPr>
      </w:pPr>
      <w:r>
        <w:rPr>
          <w:rFonts w:ascii="Arial" w:cs="Arial" w:eastAsia="Arial" w:hAnsi="Arial"/>
          <w:sz w:val="17"/>
          <w:szCs w:val="17"/>
          <w:color w:val="auto"/>
        </w:rPr>
        <w:t>Proceeds (before expenses) to TI:</w:t>
      </w:r>
    </w:p>
    <w:p>
      <w:pPr>
        <w:spacing w:after="0" w:line="129" w:lineRule="exact"/>
        <w:rPr>
          <w:sz w:val="24"/>
          <w:szCs w:val="24"/>
          <w:color w:val="auto"/>
        </w:rPr>
      </w:pPr>
    </w:p>
    <w:p>
      <w:pPr>
        <w:spacing w:after="0"/>
        <w:rPr>
          <w:sz w:val="20"/>
          <w:szCs w:val="20"/>
          <w:color w:val="auto"/>
        </w:rPr>
      </w:pPr>
      <w:r>
        <w:rPr>
          <w:rFonts w:ascii="Arial" w:cs="Arial" w:eastAsia="Arial" w:hAnsi="Arial"/>
          <w:sz w:val="18"/>
          <w:szCs w:val="18"/>
          <w:color w:val="auto"/>
        </w:rPr>
        <w:t>Benchmark Treasury:</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Spread to Benchmark Treasury:</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Yield to Maturity:</w:t>
      </w:r>
    </w:p>
    <w:p>
      <w:pPr>
        <w:spacing w:after="0" w:line="117" w:lineRule="exact"/>
        <w:rPr>
          <w:sz w:val="24"/>
          <w:szCs w:val="24"/>
          <w:color w:val="auto"/>
        </w:rPr>
      </w:pPr>
    </w:p>
    <w:p>
      <w:pPr>
        <w:spacing w:after="0"/>
        <w:rPr>
          <w:sz w:val="20"/>
          <w:szCs w:val="20"/>
          <w:color w:val="auto"/>
        </w:rPr>
      </w:pPr>
      <w:r>
        <w:rPr>
          <w:rFonts w:ascii="Arial" w:cs="Arial" w:eastAsia="Arial" w:hAnsi="Arial"/>
          <w:sz w:val="16"/>
          <w:szCs w:val="16"/>
          <w:color w:val="auto"/>
        </w:rPr>
        <w:t>Benchmark Treasury Price and Yield:</w:t>
      </w:r>
    </w:p>
    <w:p>
      <w:pPr>
        <w:spacing w:after="0" w:line="140" w:lineRule="exact"/>
        <w:rPr>
          <w:sz w:val="24"/>
          <w:szCs w:val="24"/>
          <w:color w:val="auto"/>
        </w:rPr>
      </w:pPr>
    </w:p>
    <w:p>
      <w:pPr>
        <w:spacing w:after="0"/>
        <w:rPr>
          <w:sz w:val="20"/>
          <w:szCs w:val="20"/>
          <w:color w:val="auto"/>
        </w:rPr>
      </w:pPr>
      <w:r>
        <w:rPr>
          <w:rFonts w:ascii="Arial" w:cs="Arial" w:eastAsia="Arial" w:hAnsi="Arial"/>
          <w:sz w:val="18"/>
          <w:szCs w:val="18"/>
          <w:color w:val="auto"/>
        </w:rPr>
        <w:t>Make-Whole Call:</w:t>
      </w:r>
    </w:p>
    <w:p>
      <w:pPr>
        <w:spacing w:after="0" w:line="20" w:lineRule="exact"/>
        <w:rPr>
          <w:sz w:val="24"/>
          <w:szCs w:val="24"/>
          <w:color w:val="auto"/>
        </w:rPr>
      </w:pPr>
      <w:r>
        <w:rPr>
          <w:sz w:val="24"/>
          <w:szCs w:val="24"/>
          <w:color w:val="auto"/>
        </w:rPr>
        <w:br w:type="column"/>
      </w:r>
    </w:p>
    <w:p>
      <w:pPr>
        <w:jc w:val="right"/>
        <w:spacing w:after="0"/>
        <w:rPr>
          <w:sz w:val="20"/>
          <w:szCs w:val="20"/>
          <w:color w:val="auto"/>
        </w:rPr>
      </w:pPr>
      <w:r>
        <w:rPr>
          <w:rFonts w:ascii="Arial" w:cs="Arial" w:eastAsia="Arial" w:hAnsi="Arial"/>
          <w:sz w:val="18"/>
          <w:szCs w:val="18"/>
          <w:b w:val="1"/>
          <w:bCs w:val="1"/>
          <w:color w:val="auto"/>
        </w:rPr>
        <w:t>Filed Pursuant to Rule 433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333-229797</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Issuer Free Writing Prospectus dated September 7, 2021</w:t>
      </w:r>
    </w:p>
    <w:p>
      <w:pPr>
        <w:spacing w:after="0" w:line="9" w:lineRule="exact"/>
        <w:rPr>
          <w:sz w:val="24"/>
          <w:szCs w:val="24"/>
          <w:color w:val="auto"/>
        </w:rPr>
      </w:pPr>
    </w:p>
    <w:p>
      <w:pPr>
        <w:ind w:left="1660"/>
        <w:spacing w:after="0"/>
        <w:rPr>
          <w:sz w:val="20"/>
          <w:szCs w:val="20"/>
          <w:color w:val="auto"/>
        </w:rPr>
      </w:pPr>
      <w:r>
        <w:rPr>
          <w:rFonts w:ascii="Arial" w:cs="Arial" w:eastAsia="Arial" w:hAnsi="Arial"/>
          <w:sz w:val="16"/>
          <w:szCs w:val="16"/>
          <w:b w:val="1"/>
          <w:bCs w:val="1"/>
          <w:color w:val="auto"/>
        </w:rPr>
        <w:t>Relating to Preliminary Prospectus Supplement dated September 7, 2021</w:t>
      </w:r>
    </w:p>
    <w:p>
      <w:pPr>
        <w:spacing w:after="0" w:line="200" w:lineRule="exact"/>
        <w:rPr>
          <w:sz w:val="24"/>
          <w:szCs w:val="24"/>
          <w:color w:val="auto"/>
        </w:rPr>
      </w:pPr>
    </w:p>
    <w:p>
      <w:pPr>
        <w:spacing w:after="0" w:line="246" w:lineRule="exact"/>
        <w:rPr>
          <w:sz w:val="24"/>
          <w:szCs w:val="24"/>
          <w:color w:val="auto"/>
        </w:rPr>
      </w:pPr>
    </w:p>
    <w:p>
      <w:pPr>
        <w:jc w:val="center"/>
        <w:ind w:right="3780"/>
        <w:spacing w:after="0"/>
        <w:rPr>
          <w:sz w:val="20"/>
          <w:szCs w:val="20"/>
          <w:color w:val="auto"/>
        </w:rPr>
      </w:pPr>
      <w:r>
        <w:rPr>
          <w:rFonts w:ascii="Arial" w:cs="Arial" w:eastAsia="Arial" w:hAnsi="Arial"/>
          <w:sz w:val="18"/>
          <w:szCs w:val="18"/>
          <w:b w:val="1"/>
          <w:bCs w:val="1"/>
          <w:color w:val="auto"/>
        </w:rPr>
        <w:t>TEXAS INSTRUMENTS INCORPORATED</w:t>
      </w:r>
    </w:p>
    <w:p>
      <w:pPr>
        <w:spacing w:after="0" w:line="225" w:lineRule="exact"/>
        <w:rPr>
          <w:sz w:val="24"/>
          <w:szCs w:val="24"/>
          <w:color w:val="auto"/>
        </w:rPr>
      </w:pPr>
    </w:p>
    <w:p>
      <w:pPr>
        <w:ind w:left="1000"/>
        <w:spacing w:after="0"/>
        <w:rPr>
          <w:sz w:val="20"/>
          <w:szCs w:val="20"/>
          <w:color w:val="auto"/>
        </w:rPr>
      </w:pPr>
      <w:r>
        <w:rPr>
          <w:rFonts w:ascii="Arial" w:cs="Arial" w:eastAsia="Arial" w:hAnsi="Arial"/>
          <w:sz w:val="18"/>
          <w:szCs w:val="18"/>
          <w:b w:val="1"/>
          <w:bCs w:val="1"/>
          <w:color w:val="auto"/>
        </w:rPr>
        <w:t>Pricing Term Sheet</w:t>
      </w:r>
    </w:p>
    <w:p>
      <w:pPr>
        <w:spacing w:after="0" w:line="229" w:lineRule="exact"/>
        <w:rPr>
          <w:sz w:val="24"/>
          <w:szCs w:val="24"/>
          <w:color w:val="auto"/>
        </w:rPr>
      </w:pPr>
    </w:p>
    <w:p>
      <w:pPr>
        <w:ind w:left="880"/>
        <w:spacing w:after="0"/>
        <w:rPr>
          <w:sz w:val="20"/>
          <w:szCs w:val="20"/>
          <w:color w:val="auto"/>
        </w:rPr>
      </w:pPr>
      <w:r>
        <w:rPr>
          <w:rFonts w:ascii="Arial" w:cs="Arial" w:eastAsia="Arial" w:hAnsi="Arial"/>
          <w:sz w:val="18"/>
          <w:szCs w:val="18"/>
          <w:u w:val="single" w:color="auto"/>
          <w:color w:val="auto"/>
        </w:rPr>
        <w:t>1.125% Notes due 2026</w:t>
      </w:r>
    </w:p>
    <w:p>
      <w:pPr>
        <w:spacing w:after="0" w:line="252" w:lineRule="exact"/>
        <w:rPr>
          <w:sz w:val="24"/>
          <w:szCs w:val="24"/>
          <w:color w:val="auto"/>
        </w:rPr>
      </w:pPr>
    </w:p>
    <w:p>
      <w:pPr>
        <w:ind w:left="1980"/>
        <w:spacing w:after="0"/>
        <w:rPr>
          <w:sz w:val="20"/>
          <w:szCs w:val="20"/>
          <w:color w:val="auto"/>
        </w:rPr>
      </w:pPr>
      <w:r>
        <w:rPr>
          <w:rFonts w:ascii="Arial" w:cs="Arial" w:eastAsia="Arial" w:hAnsi="Arial"/>
          <w:sz w:val="18"/>
          <w:szCs w:val="18"/>
          <w:color w:val="auto"/>
        </w:rPr>
        <w:t>Texas Instruments Incorporated (“TI”)</w:t>
      </w:r>
    </w:p>
    <w:p>
      <w:pPr>
        <w:spacing w:after="0" w:line="117" w:lineRule="exact"/>
        <w:rPr>
          <w:sz w:val="24"/>
          <w:szCs w:val="24"/>
          <w:color w:val="auto"/>
        </w:rPr>
      </w:pPr>
    </w:p>
    <w:p>
      <w:pPr>
        <w:ind w:left="1980"/>
        <w:spacing w:after="0"/>
        <w:rPr>
          <w:sz w:val="20"/>
          <w:szCs w:val="20"/>
          <w:color w:val="auto"/>
        </w:rPr>
      </w:pPr>
      <w:r>
        <w:rPr>
          <w:rFonts w:ascii="Arial" w:cs="Arial" w:eastAsia="Arial" w:hAnsi="Arial"/>
          <w:sz w:val="18"/>
          <w:szCs w:val="18"/>
          <w:color w:val="auto"/>
        </w:rPr>
        <w:t>$500,000,000</w:t>
      </w:r>
    </w:p>
    <w:p>
      <w:pPr>
        <w:spacing w:after="0" w:line="117" w:lineRule="exact"/>
        <w:rPr>
          <w:sz w:val="24"/>
          <w:szCs w:val="24"/>
          <w:color w:val="auto"/>
        </w:rPr>
      </w:pPr>
    </w:p>
    <w:p>
      <w:pPr>
        <w:ind w:left="1980"/>
        <w:spacing w:after="0"/>
        <w:rPr>
          <w:sz w:val="20"/>
          <w:szCs w:val="20"/>
          <w:color w:val="auto"/>
        </w:rPr>
      </w:pPr>
      <w:r>
        <w:rPr>
          <w:rFonts w:ascii="Arial" w:cs="Arial" w:eastAsia="Arial" w:hAnsi="Arial"/>
          <w:sz w:val="18"/>
          <w:szCs w:val="18"/>
          <w:color w:val="auto"/>
        </w:rPr>
        <w:t>September 15, 2026</w:t>
      </w:r>
    </w:p>
    <w:p>
      <w:pPr>
        <w:spacing w:after="0" w:line="117" w:lineRule="exact"/>
        <w:rPr>
          <w:sz w:val="24"/>
          <w:szCs w:val="24"/>
          <w:color w:val="auto"/>
        </w:rPr>
      </w:pPr>
    </w:p>
    <w:p>
      <w:pPr>
        <w:ind w:left="1980"/>
        <w:spacing w:after="0"/>
        <w:rPr>
          <w:sz w:val="20"/>
          <w:szCs w:val="20"/>
          <w:color w:val="auto"/>
        </w:rPr>
      </w:pPr>
      <w:r>
        <w:rPr>
          <w:rFonts w:ascii="Arial" w:cs="Arial" w:eastAsia="Arial" w:hAnsi="Arial"/>
          <w:sz w:val="18"/>
          <w:szCs w:val="18"/>
          <w:color w:val="auto"/>
        </w:rPr>
        <w:t>1.125%</w:t>
      </w:r>
    </w:p>
    <w:p>
      <w:pPr>
        <w:spacing w:after="0" w:line="117" w:lineRule="exact"/>
        <w:rPr>
          <w:sz w:val="24"/>
          <w:szCs w:val="24"/>
          <w:color w:val="auto"/>
        </w:rPr>
      </w:pPr>
    </w:p>
    <w:p>
      <w:pPr>
        <w:ind w:left="1980"/>
        <w:spacing w:after="0"/>
        <w:rPr>
          <w:sz w:val="20"/>
          <w:szCs w:val="20"/>
          <w:color w:val="auto"/>
        </w:rPr>
      </w:pPr>
      <w:r>
        <w:rPr>
          <w:rFonts w:ascii="Arial" w:cs="Arial" w:eastAsia="Arial" w:hAnsi="Arial"/>
          <w:sz w:val="18"/>
          <w:szCs w:val="18"/>
          <w:color w:val="auto"/>
        </w:rPr>
        <w:t>100.000% of principal amount</w:t>
      </w:r>
    </w:p>
    <w:p>
      <w:pPr>
        <w:spacing w:after="0" w:line="117" w:lineRule="exact"/>
        <w:rPr>
          <w:sz w:val="24"/>
          <w:szCs w:val="24"/>
          <w:color w:val="auto"/>
        </w:rPr>
      </w:pPr>
    </w:p>
    <w:p>
      <w:pPr>
        <w:ind w:left="1980" w:right="180"/>
        <w:spacing w:after="0" w:line="277" w:lineRule="auto"/>
        <w:rPr>
          <w:sz w:val="20"/>
          <w:szCs w:val="20"/>
          <w:color w:val="auto"/>
        </w:rPr>
      </w:pPr>
      <w:r>
        <w:rPr>
          <w:rFonts w:ascii="Arial" w:cs="Arial" w:eastAsia="Arial" w:hAnsi="Arial"/>
          <w:sz w:val="18"/>
          <w:szCs w:val="18"/>
          <w:color w:val="auto"/>
        </w:rPr>
        <w:t>March 15 and September 15, beginning on March 15, 2022, and on the maturity date</w:t>
      </w:r>
    </w:p>
    <w:p>
      <w:pPr>
        <w:spacing w:after="0" w:line="62" w:lineRule="exact"/>
        <w:rPr>
          <w:sz w:val="24"/>
          <w:szCs w:val="24"/>
          <w:color w:val="auto"/>
        </w:rPr>
      </w:pPr>
    </w:p>
    <w:p>
      <w:pPr>
        <w:ind w:left="1980"/>
        <w:spacing w:after="0"/>
        <w:rPr>
          <w:sz w:val="20"/>
          <w:szCs w:val="20"/>
          <w:color w:val="auto"/>
        </w:rPr>
      </w:pPr>
      <w:r>
        <w:rPr>
          <w:rFonts w:ascii="Arial" w:cs="Arial" w:eastAsia="Arial" w:hAnsi="Arial"/>
          <w:sz w:val="18"/>
          <w:szCs w:val="18"/>
          <w:color w:val="auto"/>
        </w:rPr>
        <w:t>30/360</w:t>
      </w:r>
    </w:p>
    <w:p>
      <w:pPr>
        <w:spacing w:after="0" w:line="117" w:lineRule="exact"/>
        <w:rPr>
          <w:sz w:val="24"/>
          <w:szCs w:val="24"/>
          <w:color w:val="auto"/>
        </w:rPr>
      </w:pPr>
    </w:p>
    <w:p>
      <w:pPr>
        <w:ind w:left="1980"/>
        <w:spacing w:after="0"/>
        <w:rPr>
          <w:sz w:val="20"/>
          <w:szCs w:val="20"/>
          <w:color w:val="auto"/>
        </w:rPr>
      </w:pPr>
      <w:r>
        <w:rPr>
          <w:rFonts w:ascii="Arial" w:cs="Arial" w:eastAsia="Arial" w:hAnsi="Arial"/>
          <w:sz w:val="18"/>
          <w:szCs w:val="18"/>
          <w:color w:val="auto"/>
        </w:rPr>
        <w:t>$498,250,000</w:t>
      </w:r>
    </w:p>
    <w:p>
      <w:pPr>
        <w:spacing w:after="0" w:line="117" w:lineRule="exact"/>
        <w:rPr>
          <w:sz w:val="24"/>
          <w:szCs w:val="24"/>
          <w:color w:val="auto"/>
        </w:rPr>
      </w:pPr>
    </w:p>
    <w:p>
      <w:pPr>
        <w:ind w:left="1980"/>
        <w:spacing w:after="0"/>
        <w:rPr>
          <w:sz w:val="20"/>
          <w:szCs w:val="20"/>
          <w:color w:val="auto"/>
        </w:rPr>
      </w:pPr>
      <w:r>
        <w:rPr>
          <w:rFonts w:ascii="Arial" w:cs="Arial" w:eastAsia="Arial" w:hAnsi="Arial"/>
          <w:sz w:val="18"/>
          <w:szCs w:val="18"/>
          <w:color w:val="auto"/>
        </w:rPr>
        <w:t>0.750% due August 31, 2026</w:t>
      </w:r>
    </w:p>
    <w:p>
      <w:pPr>
        <w:spacing w:after="0" w:line="117" w:lineRule="exact"/>
        <w:rPr>
          <w:sz w:val="24"/>
          <w:szCs w:val="24"/>
          <w:color w:val="auto"/>
        </w:rPr>
      </w:pPr>
    </w:p>
    <w:p>
      <w:pPr>
        <w:ind w:left="1980"/>
        <w:spacing w:after="0"/>
        <w:rPr>
          <w:sz w:val="20"/>
          <w:szCs w:val="20"/>
          <w:color w:val="auto"/>
        </w:rPr>
      </w:pPr>
      <w:r>
        <w:rPr>
          <w:rFonts w:ascii="Arial" w:cs="Arial" w:eastAsia="Arial" w:hAnsi="Arial"/>
          <w:sz w:val="18"/>
          <w:szCs w:val="18"/>
          <w:color w:val="auto"/>
        </w:rPr>
        <w:t>30 basis points</w:t>
      </w:r>
    </w:p>
    <w:p>
      <w:pPr>
        <w:spacing w:after="0" w:line="117" w:lineRule="exact"/>
        <w:rPr>
          <w:sz w:val="24"/>
          <w:szCs w:val="24"/>
          <w:color w:val="auto"/>
        </w:rPr>
      </w:pPr>
    </w:p>
    <w:p>
      <w:pPr>
        <w:ind w:left="1980"/>
        <w:spacing w:after="0"/>
        <w:rPr>
          <w:sz w:val="20"/>
          <w:szCs w:val="20"/>
          <w:color w:val="auto"/>
        </w:rPr>
      </w:pPr>
      <w:r>
        <w:rPr>
          <w:rFonts w:ascii="Arial" w:cs="Arial" w:eastAsia="Arial" w:hAnsi="Arial"/>
          <w:sz w:val="18"/>
          <w:szCs w:val="18"/>
          <w:color w:val="auto"/>
        </w:rPr>
        <w:t>1.125%</w:t>
      </w:r>
    </w:p>
    <w:p>
      <w:pPr>
        <w:spacing w:after="0" w:line="23" w:lineRule="exact"/>
        <w:rPr>
          <w:sz w:val="24"/>
          <w:szCs w:val="24"/>
          <w:color w:val="auto"/>
        </w:rPr>
      </w:pPr>
    </w:p>
    <w:p>
      <w:pPr>
        <w:ind w:left="1980"/>
        <w:spacing w:after="0"/>
        <w:rPr>
          <w:sz w:val="20"/>
          <w:szCs w:val="20"/>
          <w:color w:val="auto"/>
        </w:rPr>
      </w:pPr>
      <w:r>
        <w:rPr>
          <w:rFonts w:ascii="Arial" w:cs="Arial" w:eastAsia="Arial" w:hAnsi="Arial"/>
          <w:sz w:val="18"/>
          <w:szCs w:val="18"/>
          <w:color w:val="auto"/>
        </w:rPr>
        <w:t>99-20</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29"/>
          <w:szCs w:val="29"/>
          <w:color w:val="auto"/>
          <w:vertAlign w:val="subscript"/>
        </w:rPr>
        <w:t>4</w:t>
      </w:r>
      <w:r>
        <w:rPr>
          <w:rFonts w:ascii="Arial" w:cs="Arial" w:eastAsia="Arial" w:hAnsi="Arial"/>
          <w:sz w:val="18"/>
          <w:szCs w:val="18"/>
          <w:color w:val="auto"/>
        </w:rPr>
        <w:t>; 0.825%</w:t>
      </w:r>
    </w:p>
    <w:p>
      <w:pPr>
        <w:spacing w:after="0" w:line="100" w:lineRule="exact"/>
        <w:rPr>
          <w:sz w:val="24"/>
          <w:szCs w:val="24"/>
          <w:color w:val="auto"/>
        </w:rPr>
      </w:pPr>
    </w:p>
    <w:p>
      <w:pPr>
        <w:ind w:left="1980" w:right="20"/>
        <w:spacing w:after="0" w:line="251" w:lineRule="auto"/>
        <w:rPr>
          <w:sz w:val="20"/>
          <w:szCs w:val="20"/>
          <w:color w:val="auto"/>
        </w:rPr>
      </w:pPr>
      <w:r>
        <w:rPr>
          <w:rFonts w:ascii="Arial" w:cs="Arial" w:eastAsia="Arial" w:hAnsi="Arial"/>
          <w:sz w:val="18"/>
          <w:szCs w:val="18"/>
          <w:color w:val="auto"/>
        </w:rPr>
        <w:t>At any time before August 15, 2026 (one month before the maturity date) at the greater of: (i) 100% of the principal amount of the notes being redeemed; and (ii) the sum of the present values of the principal amount of such notes and the scheduled payments of interest thereon (not including any portion of such payments of interest accrued as of the date of redemption) from the date of redemption to August 15, 2026 (one month before the maturity date), in each case discounted to the date of redemption on a semi-annual basis at the rate of Treasury plus 5 basis points</w:t>
      </w:r>
    </w:p>
    <w:p>
      <w:pPr>
        <w:sectPr>
          <w:pgSz w:w="11900" w:h="16838" w:orient="portrait"/>
          <w:cols w:equalWidth="0" w:num="2">
            <w:col w:w="3040" w:space="720"/>
            <w:col w:w="7260"/>
          </w:cols>
          <w:pgMar w:left="440" w:top="229"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Par Call:</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Trade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Settlement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Denominations: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CUSIP/ISIN:</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Issuer: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Principal Amount: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Maturity: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Coupon: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Price to Public: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 Dates: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Day Count Convention: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Proceeds (before expenses) to TI:</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Benchmark Treasury: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Spread to Benchmark Treasury: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Yield to Maturity: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Benchmark Treasury Price and Yield:</w:t>
      </w:r>
    </w:p>
    <w:p>
      <w:pPr>
        <w:spacing w:after="0" w:line="20" w:lineRule="exact"/>
        <w:rPr>
          <w:sz w:val="20"/>
          <w:szCs w:val="20"/>
          <w:color w:val="auto"/>
        </w:rPr>
      </w:pPr>
      <w:r>
        <w:rPr>
          <w:sz w:val="20"/>
          <w:szCs w:val="20"/>
          <w:color w:val="auto"/>
        </w:rPr>
        <w:br w:type="column"/>
      </w:r>
    </w:p>
    <w:p>
      <w:pPr>
        <w:ind w:left="1100"/>
        <w:spacing w:after="0" w:line="342" w:lineRule="auto"/>
        <w:rPr>
          <w:sz w:val="20"/>
          <w:szCs w:val="20"/>
          <w:color w:val="auto"/>
        </w:rPr>
      </w:pPr>
      <w:r>
        <w:rPr>
          <w:rFonts w:ascii="Arial" w:cs="Arial" w:eastAsia="Arial" w:hAnsi="Arial"/>
          <w:sz w:val="16"/>
          <w:szCs w:val="16"/>
          <w:color w:val="auto"/>
        </w:rPr>
        <w:t>At any time on or after August 15, 2026 (one month before the maturity date) at 100% of the principal amount of notes being redeemed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-3029585</wp:posOffset>
            </wp:positionH>
            <wp:positionV relativeFrom="paragraph">
              <wp:posOffset>-486410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8"/>
          <w:szCs w:val="18"/>
          <w:color w:val="auto"/>
        </w:rPr>
        <w:t>September 7, 2021</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September 15, 2021 (T+6)</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$2,000 and multiples of $1,000 thereafter</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882508BK9/US882508BK94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1.900% Notes due 2031</w:t>
      </w:r>
    </w:p>
    <w:p>
      <w:pPr>
        <w:spacing w:after="0" w:line="36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Texas Instruments Incorporated (“TI”)</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$500,000,000</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September 15, 2031</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1.900%</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99.755% of principal amount</w:t>
      </w:r>
    </w:p>
    <w:p>
      <w:pPr>
        <w:spacing w:after="0" w:line="117" w:lineRule="exact"/>
        <w:rPr>
          <w:sz w:val="20"/>
          <w:szCs w:val="20"/>
          <w:color w:val="auto"/>
        </w:rPr>
      </w:pPr>
    </w:p>
    <w:p>
      <w:pPr>
        <w:ind w:left="1100" w:right="80"/>
        <w:spacing w:after="0" w:line="277" w:lineRule="auto"/>
        <w:rPr>
          <w:sz w:val="20"/>
          <w:szCs w:val="20"/>
          <w:color w:val="auto"/>
        </w:rPr>
      </w:pPr>
      <w:r>
        <w:rPr>
          <w:rFonts w:ascii="Arial" w:cs="Arial" w:eastAsia="Arial" w:hAnsi="Arial"/>
          <w:sz w:val="18"/>
          <w:szCs w:val="18"/>
          <w:color w:val="auto"/>
        </w:rPr>
        <w:t>March 15 and September 15, beginning on March 15, 2022, and on the maturity date</w:t>
      </w:r>
    </w:p>
    <w:p>
      <w:pPr>
        <w:spacing w:after="0" w:line="6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30/360</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$496,525,000</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1.250% due August 15, 2031</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55 basis points</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1.927%</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98-26+; 1.377%</w:t>
      </w:r>
    </w:p>
    <w:p>
      <w:pPr>
        <w:spacing w:after="0" w:line="15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2</w:t>
      </w:r>
    </w:p>
    <w:p>
      <w:pPr>
        <w:sectPr>
          <w:pgSz w:w="11900" w:h="16838" w:orient="portrait"/>
          <w:cols w:equalWidth="0" w:num="2">
            <w:col w:w="3920" w:space="720"/>
            <w:col w:w="6280"/>
          </w:cols>
          <w:pgMar w:left="440" w:top="382" w:right="5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Make-Whole Call: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Par Call:</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Trade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Settlement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Denominations: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CUSIP/ISIN: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Issuer: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Principal Amount: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Maturity: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Coupon: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Price to Public: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 Dates: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Day Count Convention: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Proceeds (before expenses) to TI:</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Benchmark Treasury: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Spread to Benchmark Treasury: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Yield to Maturity: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Benchmark Treasury Price and Yield:</w:t>
      </w:r>
    </w:p>
    <w:p>
      <w:pPr>
        <w:spacing w:after="0" w:line="20" w:lineRule="exact"/>
        <w:rPr>
          <w:sz w:val="20"/>
          <w:szCs w:val="20"/>
          <w:color w:val="auto"/>
        </w:rPr>
      </w:pPr>
      <w:r>
        <w:rPr>
          <w:sz w:val="20"/>
          <w:szCs w:val="20"/>
          <w:color w:val="auto"/>
        </w:rPr>
        <w:br w:type="column"/>
      </w:r>
    </w:p>
    <w:p>
      <w:pPr>
        <w:ind w:left="1100"/>
        <w:spacing w:after="0" w:line="270" w:lineRule="auto"/>
        <w:rPr>
          <w:sz w:val="20"/>
          <w:szCs w:val="20"/>
          <w:color w:val="auto"/>
        </w:rPr>
      </w:pPr>
      <w:r>
        <w:rPr>
          <w:rFonts w:ascii="Arial" w:cs="Arial" w:eastAsia="Arial" w:hAnsi="Arial"/>
          <w:sz w:val="17"/>
          <w:szCs w:val="17"/>
          <w:color w:val="auto"/>
        </w:rPr>
        <w:t>At any time before June 15, 2031 (three months before the maturity date) at the greater of: (i) 100% of the principal amount of the notes being redeemed; and (ii) the sum of the present values of the principal amount of such notes and the scheduled payments of interest thereon (not including any portion of such payments of interest accrued as of the date of redemption) from the date of redemption to June 15, 2031 (three months before the maturity date), in each case discounted to the date of redemption on a semi-annual basis at the rate of Treasury plus 10 basis 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-3029585</wp:posOffset>
            </wp:positionH>
            <wp:positionV relativeFrom="paragraph">
              <wp:posOffset>-1341120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53" w:lineRule="exact"/>
        <w:rPr>
          <w:sz w:val="20"/>
          <w:szCs w:val="20"/>
          <w:color w:val="auto"/>
        </w:rPr>
      </w:pPr>
    </w:p>
    <w:p>
      <w:pPr>
        <w:ind w:left="1100" w:right="100"/>
        <w:spacing w:after="0" w:line="342" w:lineRule="auto"/>
        <w:rPr>
          <w:sz w:val="20"/>
          <w:szCs w:val="20"/>
          <w:color w:val="auto"/>
        </w:rPr>
      </w:pPr>
      <w:r>
        <w:rPr>
          <w:rFonts w:ascii="Arial" w:cs="Arial" w:eastAsia="Arial" w:hAnsi="Arial"/>
          <w:sz w:val="16"/>
          <w:szCs w:val="16"/>
          <w:color w:val="auto"/>
        </w:rPr>
        <w:t>At any time on or after June 15, 2031 (three months before the maturity date) at 100% of the principal amount of notes being redeemed</w:t>
      </w:r>
    </w:p>
    <w:p>
      <w:pPr>
        <w:spacing w:after="0" w:line="1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September 7, 2021</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September 15, 2021 (T+6)</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$2,000 and multiples of $1,000 thereafter</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882508BL7/US882508BL77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2.700% Notes due 2051</w:t>
      </w:r>
    </w:p>
    <w:p>
      <w:pPr>
        <w:spacing w:after="0" w:line="25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Texas Instruments Incorporated (“TI”)</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$500,000,000</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September 15, 2051</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2.700%</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99.307% of principal amount</w:t>
      </w:r>
    </w:p>
    <w:p>
      <w:pPr>
        <w:spacing w:after="0" w:line="117" w:lineRule="exact"/>
        <w:rPr>
          <w:sz w:val="20"/>
          <w:szCs w:val="20"/>
          <w:color w:val="auto"/>
        </w:rPr>
      </w:pPr>
    </w:p>
    <w:p>
      <w:pPr>
        <w:ind w:left="1100" w:right="160"/>
        <w:spacing w:after="0" w:line="277" w:lineRule="auto"/>
        <w:rPr>
          <w:sz w:val="20"/>
          <w:szCs w:val="20"/>
          <w:color w:val="auto"/>
        </w:rPr>
      </w:pPr>
      <w:r>
        <w:rPr>
          <w:rFonts w:ascii="Arial" w:cs="Arial" w:eastAsia="Arial" w:hAnsi="Arial"/>
          <w:sz w:val="18"/>
          <w:szCs w:val="18"/>
          <w:color w:val="auto"/>
        </w:rPr>
        <w:t>March 15 and September 15, beginning on March 15, 2022, and on the maturity date</w:t>
      </w:r>
    </w:p>
    <w:p>
      <w:pPr>
        <w:spacing w:after="0" w:line="6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30/360</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$492,785,000</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2.375% due May 15, 2051</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75 basis points</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2.734%</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108-24; 1.984%</w:t>
      </w:r>
    </w:p>
    <w:p>
      <w:pPr>
        <w:spacing w:after="0" w:line="15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3</w:t>
      </w:r>
    </w:p>
    <w:p>
      <w:pPr>
        <w:sectPr>
          <w:pgSz w:w="11900" w:h="16838" w:orient="portrait"/>
          <w:cols w:equalWidth="0" w:num="2">
            <w:col w:w="3920" w:space="720"/>
            <w:col w:w="6360"/>
          </w:cols>
          <w:pgMar w:left="440" w:top="274" w:right="459" w:bottom="1440" w:gutter="0" w:footer="0" w:header="0"/>
        </w:sectPr>
      </w:pPr>
    </w:p>
    <w:bookmarkStart w:id="3" w:name="page4"/>
    <w:bookmarkEnd w:id="3"/>
    <w:tbl>
      <w:tblPr>
        <w:tblLayout w:type="fixed"/>
        <w:tblInd w:w="4" w:type="dxa"/>
        <w:tblCellMar>
          <w:top w:w="0" w:type="dxa"/>
          <w:left w:w="0" w:type="dxa"/>
          <w:bottom w:w="0" w:type="dxa"/>
          <w:right w:w="0" w:type="dxa"/>
        </w:tblCellMar>
      </w:tblP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Make-Whole Call:</w:t>
            </w:r>
          </w:p>
        </w:tc>
        <w:tc>
          <w:tcPr>
            <w:tcW w:w="6160" w:type="dxa"/>
            <w:vAlign w:val="bottom"/>
            <w:gridSpan w:val="2"/>
          </w:tcPr>
          <w:p>
            <w:pPr>
              <w:ind w:left="900"/>
              <w:spacing w:after="0"/>
              <w:rPr>
                <w:sz w:val="20"/>
                <w:szCs w:val="20"/>
                <w:color w:val="auto"/>
              </w:rPr>
            </w:pPr>
            <w:r>
              <w:rPr>
                <w:rFonts w:ascii="Arial" w:cs="Arial" w:eastAsia="Arial" w:hAnsi="Arial"/>
                <w:sz w:val="18"/>
                <w:szCs w:val="18"/>
                <w:color w:val="auto"/>
                <w:w w:val="91"/>
              </w:rPr>
              <w:t>At any time before March 15, 2051 (six months before the maturity date)</w:t>
            </w:r>
          </w:p>
        </w:tc>
      </w:tr>
      <w:tr>
        <w:trPr>
          <w:trHeight w:val="216"/>
        </w:trPr>
        <w:tc>
          <w:tcPr>
            <w:tcW w:w="4840" w:type="dxa"/>
            <w:vAlign w:val="bottom"/>
          </w:tcPr>
          <w:p>
            <w:pPr>
              <w:spacing w:after="0"/>
              <w:rPr>
                <w:sz w:val="18"/>
                <w:szCs w:val="18"/>
                <w:color w:val="auto"/>
              </w:rPr>
            </w:pPr>
          </w:p>
        </w:tc>
        <w:tc>
          <w:tcPr>
            <w:tcW w:w="6160" w:type="dxa"/>
            <w:vAlign w:val="bottom"/>
            <w:gridSpan w:val="2"/>
          </w:tcPr>
          <w:p>
            <w:pPr>
              <w:ind w:left="900"/>
              <w:spacing w:after="0"/>
              <w:rPr>
                <w:sz w:val="20"/>
                <w:szCs w:val="20"/>
                <w:color w:val="auto"/>
              </w:rPr>
            </w:pPr>
            <w:r>
              <w:rPr>
                <w:rFonts w:ascii="Arial" w:cs="Arial" w:eastAsia="Arial" w:hAnsi="Arial"/>
                <w:sz w:val="18"/>
                <w:szCs w:val="18"/>
                <w:color w:val="auto"/>
                <w:w w:val="97"/>
              </w:rPr>
              <w:t>at the greater of: (i) 100% of the principal amount of the notes being</w:t>
            </w:r>
          </w:p>
        </w:tc>
      </w:tr>
      <w:tr>
        <w:trPr>
          <w:trHeight w:val="216"/>
        </w:trPr>
        <w:tc>
          <w:tcPr>
            <w:tcW w:w="4840" w:type="dxa"/>
            <w:vAlign w:val="bottom"/>
          </w:tcPr>
          <w:p>
            <w:pPr>
              <w:spacing w:after="0"/>
              <w:rPr>
                <w:sz w:val="18"/>
                <w:szCs w:val="18"/>
                <w:color w:val="auto"/>
              </w:rPr>
            </w:pPr>
          </w:p>
        </w:tc>
        <w:tc>
          <w:tcPr>
            <w:tcW w:w="6160" w:type="dxa"/>
            <w:vAlign w:val="bottom"/>
            <w:gridSpan w:val="2"/>
          </w:tcPr>
          <w:p>
            <w:pPr>
              <w:ind w:left="900"/>
              <w:spacing w:after="0"/>
              <w:rPr>
                <w:sz w:val="20"/>
                <w:szCs w:val="20"/>
                <w:color w:val="auto"/>
              </w:rPr>
            </w:pPr>
            <w:r>
              <w:rPr>
                <w:rFonts w:ascii="Arial" w:cs="Arial" w:eastAsia="Arial" w:hAnsi="Arial"/>
                <w:sz w:val="18"/>
                <w:szCs w:val="18"/>
                <w:color w:val="auto"/>
                <w:w w:val="91"/>
              </w:rPr>
              <w:t>redeemed; and (ii) the sum of the present values of the principal amount</w:t>
            </w:r>
          </w:p>
        </w:tc>
      </w:tr>
      <w:tr>
        <w:trPr>
          <w:trHeight w:val="216"/>
        </w:trPr>
        <w:tc>
          <w:tcPr>
            <w:tcW w:w="4840" w:type="dxa"/>
            <w:vAlign w:val="bottom"/>
          </w:tcPr>
          <w:p>
            <w:pPr>
              <w:spacing w:after="0"/>
              <w:rPr>
                <w:sz w:val="18"/>
                <w:szCs w:val="18"/>
                <w:color w:val="auto"/>
              </w:rPr>
            </w:pPr>
          </w:p>
        </w:tc>
        <w:tc>
          <w:tcPr>
            <w:tcW w:w="6160" w:type="dxa"/>
            <w:vAlign w:val="bottom"/>
            <w:gridSpan w:val="2"/>
          </w:tcPr>
          <w:p>
            <w:pPr>
              <w:ind w:left="900"/>
              <w:spacing w:after="0"/>
              <w:rPr>
                <w:sz w:val="20"/>
                <w:szCs w:val="20"/>
                <w:color w:val="auto"/>
              </w:rPr>
            </w:pPr>
            <w:r>
              <w:rPr>
                <w:rFonts w:ascii="Arial" w:cs="Arial" w:eastAsia="Arial" w:hAnsi="Arial"/>
                <w:sz w:val="18"/>
                <w:szCs w:val="18"/>
                <w:color w:val="auto"/>
                <w:w w:val="99"/>
              </w:rPr>
              <w:t>of such notes and the scheduled payments of interest thereon (not</w:t>
            </w:r>
          </w:p>
        </w:tc>
      </w:tr>
      <w:tr>
        <w:trPr>
          <w:trHeight w:val="216"/>
        </w:trPr>
        <w:tc>
          <w:tcPr>
            <w:tcW w:w="4840" w:type="dxa"/>
            <w:vAlign w:val="bottom"/>
          </w:tcPr>
          <w:p>
            <w:pPr>
              <w:spacing w:after="0"/>
              <w:rPr>
                <w:sz w:val="18"/>
                <w:szCs w:val="18"/>
                <w:color w:val="auto"/>
              </w:rPr>
            </w:pPr>
          </w:p>
        </w:tc>
        <w:tc>
          <w:tcPr>
            <w:tcW w:w="6160" w:type="dxa"/>
            <w:vAlign w:val="bottom"/>
            <w:gridSpan w:val="2"/>
          </w:tcPr>
          <w:p>
            <w:pPr>
              <w:ind w:left="900"/>
              <w:spacing w:after="0"/>
              <w:rPr>
                <w:sz w:val="20"/>
                <w:szCs w:val="20"/>
                <w:color w:val="auto"/>
              </w:rPr>
            </w:pPr>
            <w:r>
              <w:rPr>
                <w:rFonts w:ascii="Arial" w:cs="Arial" w:eastAsia="Arial" w:hAnsi="Arial"/>
                <w:sz w:val="18"/>
                <w:szCs w:val="18"/>
                <w:color w:val="auto"/>
                <w:w w:val="90"/>
              </w:rPr>
              <w:t>including any portion of such payments of interest accrued as of the date</w:t>
            </w:r>
          </w:p>
        </w:tc>
      </w:tr>
      <w:tr>
        <w:trPr>
          <w:trHeight w:val="216"/>
        </w:trPr>
        <w:tc>
          <w:tcPr>
            <w:tcW w:w="4840" w:type="dxa"/>
            <w:vAlign w:val="bottom"/>
          </w:tcPr>
          <w:p>
            <w:pPr>
              <w:spacing w:after="0"/>
              <w:rPr>
                <w:sz w:val="18"/>
                <w:szCs w:val="18"/>
                <w:color w:val="auto"/>
              </w:rPr>
            </w:pPr>
          </w:p>
        </w:tc>
        <w:tc>
          <w:tcPr>
            <w:tcW w:w="6160" w:type="dxa"/>
            <w:vAlign w:val="bottom"/>
            <w:gridSpan w:val="2"/>
          </w:tcPr>
          <w:p>
            <w:pPr>
              <w:ind w:left="900"/>
              <w:spacing w:after="0"/>
              <w:rPr>
                <w:sz w:val="20"/>
                <w:szCs w:val="20"/>
                <w:color w:val="auto"/>
              </w:rPr>
            </w:pPr>
            <w:r>
              <w:rPr>
                <w:rFonts w:ascii="Arial" w:cs="Arial" w:eastAsia="Arial" w:hAnsi="Arial"/>
                <w:sz w:val="18"/>
                <w:szCs w:val="18"/>
                <w:color w:val="auto"/>
                <w:w w:val="99"/>
              </w:rPr>
              <w:t>of redemption) from the date of redemption to March 15, 2051 (six</w:t>
            </w:r>
          </w:p>
        </w:tc>
      </w:tr>
      <w:tr>
        <w:trPr>
          <w:trHeight w:val="216"/>
        </w:trPr>
        <w:tc>
          <w:tcPr>
            <w:tcW w:w="4840" w:type="dxa"/>
            <w:vAlign w:val="bottom"/>
          </w:tcPr>
          <w:p>
            <w:pPr>
              <w:spacing w:after="0"/>
              <w:rPr>
                <w:sz w:val="18"/>
                <w:szCs w:val="18"/>
                <w:color w:val="auto"/>
              </w:rPr>
            </w:pPr>
          </w:p>
        </w:tc>
        <w:tc>
          <w:tcPr>
            <w:tcW w:w="6160" w:type="dxa"/>
            <w:vAlign w:val="bottom"/>
            <w:gridSpan w:val="2"/>
          </w:tcPr>
          <w:p>
            <w:pPr>
              <w:ind w:left="900"/>
              <w:spacing w:after="0"/>
              <w:rPr>
                <w:sz w:val="20"/>
                <w:szCs w:val="20"/>
                <w:color w:val="auto"/>
              </w:rPr>
            </w:pPr>
            <w:r>
              <w:rPr>
                <w:rFonts w:ascii="Arial" w:cs="Arial" w:eastAsia="Arial" w:hAnsi="Arial"/>
                <w:sz w:val="18"/>
                <w:szCs w:val="18"/>
                <w:color w:val="auto"/>
                <w:w w:val="91"/>
              </w:rPr>
              <w:t>months before the maturity date), in each case discounted to the date of</w:t>
            </w:r>
          </w:p>
        </w:tc>
      </w:tr>
      <w:tr>
        <w:trPr>
          <w:trHeight w:val="216"/>
        </w:trPr>
        <w:tc>
          <w:tcPr>
            <w:tcW w:w="4840" w:type="dxa"/>
            <w:vAlign w:val="bottom"/>
          </w:tcPr>
          <w:p>
            <w:pPr>
              <w:spacing w:after="0"/>
              <w:rPr>
                <w:sz w:val="18"/>
                <w:szCs w:val="18"/>
                <w:color w:val="auto"/>
              </w:rPr>
            </w:pPr>
          </w:p>
        </w:tc>
        <w:tc>
          <w:tcPr>
            <w:tcW w:w="6160" w:type="dxa"/>
            <w:vAlign w:val="bottom"/>
            <w:gridSpan w:val="2"/>
          </w:tcPr>
          <w:p>
            <w:pPr>
              <w:ind w:left="900"/>
              <w:spacing w:after="0"/>
              <w:rPr>
                <w:sz w:val="20"/>
                <w:szCs w:val="20"/>
                <w:color w:val="auto"/>
              </w:rPr>
            </w:pPr>
            <w:r>
              <w:rPr>
                <w:rFonts w:ascii="Arial" w:cs="Arial" w:eastAsia="Arial" w:hAnsi="Arial"/>
                <w:sz w:val="18"/>
                <w:szCs w:val="18"/>
                <w:color w:val="auto"/>
                <w:w w:val="89"/>
              </w:rPr>
              <w:t>redemption on a semi-annual basis at the rate of Treasury plus 12.5 basis</w:t>
            </w:r>
          </w:p>
        </w:tc>
      </w:tr>
      <w:tr>
        <w:trPr>
          <w:trHeight w:val="230"/>
        </w:trPr>
        <w:tc>
          <w:tcPr>
            <w:tcW w:w="4840" w:type="dxa"/>
            <w:vAlign w:val="bottom"/>
          </w:tcPr>
          <w:p>
            <w:pPr>
              <w:spacing w:after="0"/>
              <w:rPr>
                <w:sz w:val="20"/>
                <w:szCs w:val="20"/>
                <w:color w:val="auto"/>
              </w:rPr>
            </w:pPr>
          </w:p>
        </w:tc>
        <w:tc>
          <w:tcPr>
            <w:tcW w:w="6160" w:type="dxa"/>
            <w:vAlign w:val="bottom"/>
            <w:gridSpan w:val="2"/>
          </w:tcPr>
          <w:p>
            <w:pPr>
              <w:ind w:left="900"/>
              <w:spacing w:after="0"/>
              <w:rPr>
                <w:sz w:val="20"/>
                <w:szCs w:val="20"/>
                <w:color w:val="auto"/>
              </w:rPr>
            </w:pPr>
            <w:r>
              <w:rPr>
                <w:rFonts w:ascii="Arial" w:cs="Arial" w:eastAsia="Arial" w:hAnsi="Arial"/>
                <w:sz w:val="18"/>
                <w:szCs w:val="18"/>
                <w:color w:val="auto"/>
              </w:rPr>
              <w:t>points</w:t>
            </w:r>
          </w:p>
        </w:tc>
      </w:tr>
      <w:tr>
        <w:trPr>
          <w:trHeight w:val="310"/>
        </w:trPr>
        <w:tc>
          <w:tcPr>
            <w:tcW w:w="4840" w:type="dxa"/>
            <w:vAlign w:val="bottom"/>
          </w:tcPr>
          <w:p>
            <w:pPr>
              <w:spacing w:after="0"/>
              <w:rPr>
                <w:sz w:val="20"/>
                <w:szCs w:val="20"/>
                <w:color w:val="auto"/>
              </w:rPr>
            </w:pPr>
            <w:r>
              <w:rPr>
                <w:rFonts w:ascii="Arial" w:cs="Arial" w:eastAsia="Arial" w:hAnsi="Arial"/>
                <w:sz w:val="18"/>
                <w:szCs w:val="18"/>
                <w:color w:val="auto"/>
              </w:rPr>
              <w:t>Par Call:</w:t>
            </w:r>
          </w:p>
        </w:tc>
        <w:tc>
          <w:tcPr>
            <w:tcW w:w="6160" w:type="dxa"/>
            <w:vAlign w:val="bottom"/>
            <w:gridSpan w:val="2"/>
          </w:tcPr>
          <w:p>
            <w:pPr>
              <w:ind w:left="900"/>
              <w:spacing w:after="0"/>
              <w:rPr>
                <w:sz w:val="20"/>
                <w:szCs w:val="20"/>
                <w:color w:val="auto"/>
              </w:rPr>
            </w:pPr>
            <w:r>
              <w:rPr>
                <w:rFonts w:ascii="Arial" w:cs="Arial" w:eastAsia="Arial" w:hAnsi="Arial"/>
                <w:sz w:val="18"/>
                <w:szCs w:val="18"/>
                <w:color w:val="auto"/>
                <w:w w:val="93"/>
              </w:rPr>
              <w:t>At any time on or after March 15, 2051 (six months before the maturity</w:t>
            </w:r>
          </w:p>
        </w:tc>
      </w:tr>
      <w:tr>
        <w:trPr>
          <w:trHeight w:val="230"/>
        </w:trPr>
        <w:tc>
          <w:tcPr>
            <w:tcW w:w="4840" w:type="dxa"/>
            <w:vAlign w:val="bottom"/>
          </w:tcPr>
          <w:p>
            <w:pPr>
              <w:spacing w:after="0"/>
              <w:rPr>
                <w:sz w:val="20"/>
                <w:szCs w:val="20"/>
                <w:color w:val="auto"/>
              </w:rPr>
            </w:pPr>
          </w:p>
        </w:tc>
        <w:tc>
          <w:tcPr>
            <w:tcW w:w="6160" w:type="dxa"/>
            <w:vAlign w:val="bottom"/>
            <w:gridSpan w:val="2"/>
          </w:tcPr>
          <w:p>
            <w:pPr>
              <w:ind w:left="900"/>
              <w:spacing w:after="0"/>
              <w:rPr>
                <w:sz w:val="20"/>
                <w:szCs w:val="20"/>
                <w:color w:val="auto"/>
              </w:rPr>
            </w:pPr>
            <w:r>
              <w:rPr>
                <w:rFonts w:ascii="Arial" w:cs="Arial" w:eastAsia="Arial" w:hAnsi="Arial"/>
                <w:sz w:val="18"/>
                <w:szCs w:val="18"/>
                <w:color w:val="auto"/>
              </w:rPr>
              <w:t>date) at 100% of the principal amount of notes being redeemed</w:t>
            </w:r>
          </w:p>
        </w:tc>
      </w:tr>
      <w:tr>
        <w:trPr>
          <w:trHeight w:val="324"/>
        </w:trPr>
        <w:tc>
          <w:tcPr>
            <w:tcW w:w="4840" w:type="dxa"/>
            <w:vAlign w:val="bottom"/>
          </w:tcPr>
          <w:p>
            <w:pPr>
              <w:spacing w:after="0"/>
              <w:rPr>
                <w:sz w:val="20"/>
                <w:szCs w:val="20"/>
                <w:color w:val="auto"/>
              </w:rPr>
            </w:pPr>
            <w:r>
              <w:rPr>
                <w:rFonts w:ascii="Arial" w:cs="Arial" w:eastAsia="Arial" w:hAnsi="Arial"/>
                <w:sz w:val="18"/>
                <w:szCs w:val="18"/>
                <w:color w:val="auto"/>
              </w:rPr>
              <w:t>Trade Date:</w:t>
            </w:r>
          </w:p>
        </w:tc>
        <w:tc>
          <w:tcPr>
            <w:tcW w:w="6160" w:type="dxa"/>
            <w:vAlign w:val="bottom"/>
            <w:gridSpan w:val="2"/>
          </w:tcPr>
          <w:p>
            <w:pPr>
              <w:ind w:left="900"/>
              <w:spacing w:after="0"/>
              <w:rPr>
                <w:sz w:val="20"/>
                <w:szCs w:val="20"/>
                <w:color w:val="auto"/>
              </w:rPr>
            </w:pPr>
            <w:r>
              <w:rPr>
                <w:rFonts w:ascii="Arial" w:cs="Arial" w:eastAsia="Arial" w:hAnsi="Arial"/>
                <w:sz w:val="18"/>
                <w:szCs w:val="18"/>
                <w:color w:val="auto"/>
              </w:rPr>
              <w:t>September 7, 2021</w:t>
            </w:r>
          </w:p>
        </w:tc>
      </w:tr>
      <w:tr>
        <w:trPr>
          <w:trHeight w:val="324"/>
        </w:trPr>
        <w:tc>
          <w:tcPr>
            <w:tcW w:w="4840" w:type="dxa"/>
            <w:vAlign w:val="bottom"/>
          </w:tcPr>
          <w:p>
            <w:pPr>
              <w:spacing w:after="0"/>
              <w:rPr>
                <w:sz w:val="20"/>
                <w:szCs w:val="20"/>
                <w:color w:val="auto"/>
              </w:rPr>
            </w:pPr>
            <w:r>
              <w:rPr>
                <w:rFonts w:ascii="Arial" w:cs="Arial" w:eastAsia="Arial" w:hAnsi="Arial"/>
                <w:sz w:val="18"/>
                <w:szCs w:val="18"/>
                <w:color w:val="auto"/>
              </w:rPr>
              <w:t>Settlement Date:</w:t>
            </w:r>
          </w:p>
        </w:tc>
        <w:tc>
          <w:tcPr>
            <w:tcW w:w="6160" w:type="dxa"/>
            <w:vAlign w:val="bottom"/>
            <w:gridSpan w:val="2"/>
          </w:tcPr>
          <w:p>
            <w:pPr>
              <w:ind w:left="900"/>
              <w:spacing w:after="0"/>
              <w:rPr>
                <w:sz w:val="20"/>
                <w:szCs w:val="20"/>
                <w:color w:val="auto"/>
              </w:rPr>
            </w:pPr>
            <w:r>
              <w:rPr>
                <w:rFonts w:ascii="Arial" w:cs="Arial" w:eastAsia="Arial" w:hAnsi="Arial"/>
                <w:sz w:val="18"/>
                <w:szCs w:val="18"/>
                <w:color w:val="auto"/>
              </w:rPr>
              <w:t>September 15, 2021 (T+6)</w:t>
            </w:r>
          </w:p>
        </w:tc>
      </w:tr>
      <w:tr>
        <w:trPr>
          <w:trHeight w:val="324"/>
        </w:trPr>
        <w:tc>
          <w:tcPr>
            <w:tcW w:w="4840" w:type="dxa"/>
            <w:vAlign w:val="bottom"/>
          </w:tcPr>
          <w:p>
            <w:pPr>
              <w:spacing w:after="0"/>
              <w:rPr>
                <w:sz w:val="20"/>
                <w:szCs w:val="20"/>
                <w:color w:val="auto"/>
              </w:rPr>
            </w:pPr>
            <w:r>
              <w:rPr>
                <w:rFonts w:ascii="Arial" w:cs="Arial" w:eastAsia="Arial" w:hAnsi="Arial"/>
                <w:sz w:val="18"/>
                <w:szCs w:val="18"/>
                <w:color w:val="auto"/>
              </w:rPr>
              <w:t>Denominations:</w:t>
            </w:r>
          </w:p>
        </w:tc>
        <w:tc>
          <w:tcPr>
            <w:tcW w:w="6160" w:type="dxa"/>
            <w:vAlign w:val="bottom"/>
            <w:gridSpan w:val="2"/>
          </w:tcPr>
          <w:p>
            <w:pPr>
              <w:ind w:left="900"/>
              <w:spacing w:after="0"/>
              <w:rPr>
                <w:sz w:val="20"/>
                <w:szCs w:val="20"/>
                <w:color w:val="auto"/>
              </w:rPr>
            </w:pPr>
            <w:r>
              <w:rPr>
                <w:rFonts w:ascii="Arial" w:cs="Arial" w:eastAsia="Arial" w:hAnsi="Arial"/>
                <w:sz w:val="18"/>
                <w:szCs w:val="18"/>
                <w:color w:val="auto"/>
              </w:rPr>
              <w:t>$2,000 and multiples of $1,000 thereafter</w:t>
            </w:r>
          </w:p>
        </w:tc>
      </w:tr>
      <w:tr>
        <w:trPr>
          <w:trHeight w:val="324"/>
        </w:trPr>
        <w:tc>
          <w:tcPr>
            <w:tcW w:w="4840" w:type="dxa"/>
            <w:vAlign w:val="bottom"/>
          </w:tcPr>
          <w:p>
            <w:pPr>
              <w:spacing w:after="0"/>
              <w:rPr>
                <w:sz w:val="20"/>
                <w:szCs w:val="20"/>
                <w:color w:val="auto"/>
              </w:rPr>
            </w:pPr>
            <w:r>
              <w:rPr>
                <w:rFonts w:ascii="Arial" w:cs="Arial" w:eastAsia="Arial" w:hAnsi="Arial"/>
                <w:sz w:val="18"/>
                <w:szCs w:val="18"/>
                <w:color w:val="auto"/>
              </w:rPr>
              <w:t>CUSIP/ISIN:</w:t>
            </w:r>
          </w:p>
        </w:tc>
        <w:tc>
          <w:tcPr>
            <w:tcW w:w="6160" w:type="dxa"/>
            <w:vAlign w:val="bottom"/>
            <w:gridSpan w:val="2"/>
          </w:tcPr>
          <w:p>
            <w:pPr>
              <w:ind w:left="900"/>
              <w:spacing w:after="0"/>
              <w:rPr>
                <w:sz w:val="20"/>
                <w:szCs w:val="20"/>
                <w:color w:val="auto"/>
              </w:rPr>
            </w:pPr>
            <w:r>
              <w:rPr>
                <w:rFonts w:ascii="Arial" w:cs="Arial" w:eastAsia="Arial" w:hAnsi="Arial"/>
                <w:sz w:val="18"/>
                <w:szCs w:val="18"/>
                <w:color w:val="auto"/>
              </w:rPr>
              <w:t>882508BM5/US882508BM50</w:t>
            </w:r>
          </w:p>
        </w:tc>
      </w:tr>
      <w:tr>
        <w:trPr>
          <w:trHeight w:val="392"/>
        </w:trPr>
        <w:tc>
          <w:tcPr>
            <w:tcW w:w="4840" w:type="dxa"/>
            <w:vAlign w:val="bottom"/>
          </w:tcPr>
          <w:p>
            <w:pPr>
              <w:spacing w:after="0"/>
              <w:rPr>
                <w:sz w:val="24"/>
                <w:szCs w:val="24"/>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Other Information</w:t>
            </w:r>
          </w:p>
        </w:tc>
      </w:tr>
      <w:tr>
        <w:trPr>
          <w:trHeight w:val="20"/>
        </w:trPr>
        <w:tc>
          <w:tcPr>
            <w:tcW w:w="48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r>
      <w:tr>
        <w:trPr>
          <w:trHeight w:val="465"/>
        </w:trPr>
        <w:tc>
          <w:tcPr>
            <w:tcW w:w="4840" w:type="dxa"/>
            <w:vAlign w:val="bottom"/>
          </w:tcPr>
          <w:p>
            <w:pPr>
              <w:spacing w:after="0"/>
              <w:rPr>
                <w:sz w:val="20"/>
                <w:szCs w:val="20"/>
                <w:color w:val="auto"/>
              </w:rPr>
            </w:pPr>
            <w:r>
              <w:rPr>
                <w:rFonts w:ascii="Arial" w:cs="Arial" w:eastAsia="Arial" w:hAnsi="Arial"/>
                <w:sz w:val="18"/>
                <w:szCs w:val="18"/>
                <w:color w:val="auto"/>
              </w:rPr>
              <w:t>Ratings:*</w:t>
            </w:r>
          </w:p>
        </w:tc>
        <w:tc>
          <w:tcPr>
            <w:tcW w:w="6160" w:type="dxa"/>
            <w:vAlign w:val="bottom"/>
            <w:gridSpan w:val="2"/>
          </w:tcPr>
          <w:p>
            <w:pPr>
              <w:ind w:left="900"/>
              <w:spacing w:after="0"/>
              <w:rPr>
                <w:sz w:val="20"/>
                <w:szCs w:val="20"/>
                <w:color w:val="auto"/>
              </w:rPr>
            </w:pPr>
            <w:r>
              <w:rPr>
                <w:rFonts w:ascii="Arial" w:cs="Arial" w:eastAsia="Arial" w:hAnsi="Arial"/>
                <w:sz w:val="18"/>
                <w:szCs w:val="18"/>
                <w:color w:val="auto"/>
              </w:rPr>
              <w:t>Moody’s: A1 (stable outlook)</w:t>
            </w:r>
          </w:p>
        </w:tc>
      </w:tr>
      <w:tr>
        <w:trPr>
          <w:trHeight w:val="230"/>
        </w:trPr>
        <w:tc>
          <w:tcPr>
            <w:tcW w:w="4840" w:type="dxa"/>
            <w:vAlign w:val="bottom"/>
          </w:tcPr>
          <w:p>
            <w:pPr>
              <w:spacing w:after="0"/>
              <w:rPr>
                <w:sz w:val="20"/>
                <w:szCs w:val="20"/>
                <w:color w:val="auto"/>
              </w:rPr>
            </w:pPr>
          </w:p>
        </w:tc>
        <w:tc>
          <w:tcPr>
            <w:tcW w:w="6160" w:type="dxa"/>
            <w:vAlign w:val="bottom"/>
            <w:gridSpan w:val="2"/>
          </w:tcPr>
          <w:p>
            <w:pPr>
              <w:ind w:left="900"/>
              <w:spacing w:after="0"/>
              <w:rPr>
                <w:sz w:val="20"/>
                <w:szCs w:val="20"/>
                <w:color w:val="auto"/>
              </w:rPr>
            </w:pPr>
            <w:r>
              <w:rPr>
                <w:rFonts w:ascii="Arial" w:cs="Arial" w:eastAsia="Arial" w:hAnsi="Arial"/>
                <w:sz w:val="18"/>
                <w:szCs w:val="18"/>
                <w:color w:val="auto"/>
              </w:rPr>
              <w:t>S&amp;P: A+ (stable outlook)</w:t>
            </w:r>
          </w:p>
        </w:tc>
      </w:tr>
      <w:tr>
        <w:trPr>
          <w:trHeight w:val="310"/>
        </w:trPr>
        <w:tc>
          <w:tcPr>
            <w:tcW w:w="4840" w:type="dxa"/>
            <w:vAlign w:val="bottom"/>
          </w:tcPr>
          <w:p>
            <w:pPr>
              <w:spacing w:after="0"/>
              <w:rPr>
                <w:sz w:val="20"/>
                <w:szCs w:val="20"/>
                <w:color w:val="auto"/>
              </w:rPr>
            </w:pPr>
            <w:r>
              <w:rPr>
                <w:rFonts w:ascii="Arial" w:cs="Arial" w:eastAsia="Arial" w:hAnsi="Arial"/>
                <w:sz w:val="18"/>
                <w:szCs w:val="18"/>
                <w:color w:val="auto"/>
              </w:rPr>
              <w:t>Joint Book-Running Managers:</w:t>
            </w:r>
          </w:p>
        </w:tc>
        <w:tc>
          <w:tcPr>
            <w:tcW w:w="6160" w:type="dxa"/>
            <w:vAlign w:val="bottom"/>
            <w:gridSpan w:val="2"/>
          </w:tcPr>
          <w:p>
            <w:pPr>
              <w:ind w:left="900"/>
              <w:spacing w:after="0"/>
              <w:rPr>
                <w:sz w:val="20"/>
                <w:szCs w:val="20"/>
                <w:color w:val="auto"/>
              </w:rPr>
            </w:pPr>
            <w:r>
              <w:rPr>
                <w:rFonts w:ascii="Arial" w:cs="Arial" w:eastAsia="Arial" w:hAnsi="Arial"/>
                <w:sz w:val="18"/>
                <w:szCs w:val="18"/>
                <w:color w:val="auto"/>
              </w:rPr>
              <w:t>Barclays Capital Inc.</w:t>
            </w:r>
          </w:p>
        </w:tc>
      </w:tr>
      <w:tr>
        <w:trPr>
          <w:trHeight w:val="216"/>
        </w:trPr>
        <w:tc>
          <w:tcPr>
            <w:tcW w:w="4840" w:type="dxa"/>
            <w:vAlign w:val="bottom"/>
          </w:tcPr>
          <w:p>
            <w:pPr>
              <w:spacing w:after="0"/>
              <w:rPr>
                <w:sz w:val="18"/>
                <w:szCs w:val="18"/>
                <w:color w:val="auto"/>
              </w:rPr>
            </w:pPr>
          </w:p>
        </w:tc>
        <w:tc>
          <w:tcPr>
            <w:tcW w:w="6160" w:type="dxa"/>
            <w:vAlign w:val="bottom"/>
            <w:gridSpan w:val="2"/>
          </w:tcPr>
          <w:p>
            <w:pPr>
              <w:ind w:left="900"/>
              <w:spacing w:after="0"/>
              <w:rPr>
                <w:sz w:val="20"/>
                <w:szCs w:val="20"/>
                <w:color w:val="auto"/>
              </w:rPr>
            </w:pPr>
            <w:r>
              <w:rPr>
                <w:rFonts w:ascii="Arial" w:cs="Arial" w:eastAsia="Arial" w:hAnsi="Arial"/>
                <w:sz w:val="18"/>
                <w:szCs w:val="18"/>
                <w:color w:val="auto"/>
              </w:rPr>
              <w:t>J.P. Morgan Securities LLC</w:t>
            </w:r>
          </w:p>
        </w:tc>
      </w:tr>
      <w:tr>
        <w:trPr>
          <w:trHeight w:val="216"/>
        </w:trPr>
        <w:tc>
          <w:tcPr>
            <w:tcW w:w="4840" w:type="dxa"/>
            <w:vAlign w:val="bottom"/>
          </w:tcPr>
          <w:p>
            <w:pPr>
              <w:spacing w:after="0"/>
              <w:rPr>
                <w:sz w:val="18"/>
                <w:szCs w:val="18"/>
                <w:color w:val="auto"/>
              </w:rPr>
            </w:pPr>
          </w:p>
        </w:tc>
        <w:tc>
          <w:tcPr>
            <w:tcW w:w="6160" w:type="dxa"/>
            <w:vAlign w:val="bottom"/>
            <w:gridSpan w:val="2"/>
          </w:tcPr>
          <w:p>
            <w:pPr>
              <w:ind w:left="900"/>
              <w:spacing w:after="0"/>
              <w:rPr>
                <w:sz w:val="20"/>
                <w:szCs w:val="20"/>
                <w:color w:val="auto"/>
              </w:rPr>
            </w:pPr>
            <w:r>
              <w:rPr>
                <w:rFonts w:ascii="Arial" w:cs="Arial" w:eastAsia="Arial" w:hAnsi="Arial"/>
                <w:sz w:val="18"/>
                <w:szCs w:val="18"/>
                <w:color w:val="auto"/>
              </w:rPr>
              <w:t>MUFG Securities Americas Inc.</w:t>
            </w:r>
          </w:p>
        </w:tc>
      </w:tr>
      <w:tr>
        <w:trPr>
          <w:trHeight w:val="216"/>
        </w:trPr>
        <w:tc>
          <w:tcPr>
            <w:tcW w:w="4840" w:type="dxa"/>
            <w:vAlign w:val="bottom"/>
          </w:tcPr>
          <w:p>
            <w:pPr>
              <w:spacing w:after="0"/>
              <w:rPr>
                <w:sz w:val="18"/>
                <w:szCs w:val="18"/>
                <w:color w:val="auto"/>
              </w:rPr>
            </w:pPr>
          </w:p>
        </w:tc>
        <w:tc>
          <w:tcPr>
            <w:tcW w:w="6160" w:type="dxa"/>
            <w:vAlign w:val="bottom"/>
            <w:gridSpan w:val="2"/>
          </w:tcPr>
          <w:p>
            <w:pPr>
              <w:ind w:left="900"/>
              <w:spacing w:after="0"/>
              <w:rPr>
                <w:sz w:val="20"/>
                <w:szCs w:val="20"/>
                <w:color w:val="auto"/>
              </w:rPr>
            </w:pPr>
            <w:r>
              <w:rPr>
                <w:rFonts w:ascii="Arial" w:cs="Arial" w:eastAsia="Arial" w:hAnsi="Arial"/>
                <w:sz w:val="18"/>
                <w:szCs w:val="18"/>
                <w:color w:val="auto"/>
              </w:rPr>
              <w:t>BofA Securities, Inc.</w:t>
            </w:r>
          </w:p>
        </w:tc>
      </w:tr>
      <w:tr>
        <w:trPr>
          <w:trHeight w:val="216"/>
        </w:trPr>
        <w:tc>
          <w:tcPr>
            <w:tcW w:w="4840" w:type="dxa"/>
            <w:vAlign w:val="bottom"/>
          </w:tcPr>
          <w:p>
            <w:pPr>
              <w:spacing w:after="0"/>
              <w:rPr>
                <w:sz w:val="18"/>
                <w:szCs w:val="18"/>
                <w:color w:val="auto"/>
              </w:rPr>
            </w:pPr>
          </w:p>
        </w:tc>
        <w:tc>
          <w:tcPr>
            <w:tcW w:w="6160" w:type="dxa"/>
            <w:vAlign w:val="bottom"/>
            <w:gridSpan w:val="2"/>
          </w:tcPr>
          <w:p>
            <w:pPr>
              <w:ind w:left="900"/>
              <w:spacing w:after="0"/>
              <w:rPr>
                <w:sz w:val="20"/>
                <w:szCs w:val="20"/>
                <w:color w:val="auto"/>
              </w:rPr>
            </w:pPr>
            <w:r>
              <w:rPr>
                <w:rFonts w:ascii="Arial" w:cs="Arial" w:eastAsia="Arial" w:hAnsi="Arial"/>
                <w:sz w:val="18"/>
                <w:szCs w:val="18"/>
                <w:color w:val="auto"/>
              </w:rPr>
              <w:t>Citigroup Global Markets Inc.</w:t>
            </w:r>
          </w:p>
        </w:tc>
      </w:tr>
      <w:tr>
        <w:trPr>
          <w:trHeight w:val="216"/>
        </w:trPr>
        <w:tc>
          <w:tcPr>
            <w:tcW w:w="4840" w:type="dxa"/>
            <w:vAlign w:val="bottom"/>
          </w:tcPr>
          <w:p>
            <w:pPr>
              <w:spacing w:after="0"/>
              <w:rPr>
                <w:sz w:val="18"/>
                <w:szCs w:val="18"/>
                <w:color w:val="auto"/>
              </w:rPr>
            </w:pPr>
          </w:p>
        </w:tc>
        <w:tc>
          <w:tcPr>
            <w:tcW w:w="6160" w:type="dxa"/>
            <w:vAlign w:val="bottom"/>
            <w:gridSpan w:val="2"/>
          </w:tcPr>
          <w:p>
            <w:pPr>
              <w:ind w:left="900"/>
              <w:spacing w:after="0"/>
              <w:rPr>
                <w:sz w:val="20"/>
                <w:szCs w:val="20"/>
                <w:color w:val="auto"/>
              </w:rPr>
            </w:pPr>
            <w:r>
              <w:rPr>
                <w:rFonts w:ascii="Arial" w:cs="Arial" w:eastAsia="Arial" w:hAnsi="Arial"/>
                <w:sz w:val="18"/>
                <w:szCs w:val="18"/>
                <w:color w:val="auto"/>
              </w:rPr>
              <w:t>Mizuho Securities USA LLC</w:t>
            </w:r>
          </w:p>
        </w:tc>
      </w:tr>
      <w:tr>
        <w:trPr>
          <w:trHeight w:val="230"/>
        </w:trPr>
        <w:tc>
          <w:tcPr>
            <w:tcW w:w="4840" w:type="dxa"/>
            <w:vAlign w:val="bottom"/>
          </w:tcPr>
          <w:p>
            <w:pPr>
              <w:spacing w:after="0"/>
              <w:rPr>
                <w:sz w:val="20"/>
                <w:szCs w:val="20"/>
                <w:color w:val="auto"/>
              </w:rPr>
            </w:pPr>
          </w:p>
        </w:tc>
        <w:tc>
          <w:tcPr>
            <w:tcW w:w="6160" w:type="dxa"/>
            <w:vAlign w:val="bottom"/>
            <w:gridSpan w:val="2"/>
          </w:tcPr>
          <w:p>
            <w:pPr>
              <w:ind w:left="900"/>
              <w:spacing w:after="0"/>
              <w:rPr>
                <w:sz w:val="20"/>
                <w:szCs w:val="20"/>
                <w:color w:val="auto"/>
              </w:rPr>
            </w:pPr>
            <w:r>
              <w:rPr>
                <w:rFonts w:ascii="Arial" w:cs="Arial" w:eastAsia="Arial" w:hAnsi="Arial"/>
                <w:sz w:val="18"/>
                <w:szCs w:val="18"/>
                <w:color w:val="auto"/>
              </w:rPr>
              <w:t>Morgan Stanley &amp; Co. LLC</w:t>
            </w:r>
          </w:p>
        </w:tc>
      </w:tr>
      <w:tr>
        <w:trPr>
          <w:trHeight w:val="323"/>
        </w:trPr>
        <w:tc>
          <w:tcPr>
            <w:tcW w:w="4840" w:type="dxa"/>
            <w:vAlign w:val="bottom"/>
          </w:tcPr>
          <w:p>
            <w:pPr>
              <w:spacing w:after="0"/>
              <w:rPr>
                <w:sz w:val="20"/>
                <w:szCs w:val="20"/>
                <w:color w:val="auto"/>
              </w:rPr>
            </w:pPr>
            <w:r>
              <w:rPr>
                <w:rFonts w:ascii="Arial" w:cs="Arial" w:eastAsia="Arial" w:hAnsi="Arial"/>
                <w:sz w:val="18"/>
                <w:szCs w:val="18"/>
                <w:color w:val="auto"/>
              </w:rPr>
              <w:t>Co-Managers:</w:t>
            </w:r>
          </w:p>
        </w:tc>
        <w:tc>
          <w:tcPr>
            <w:tcW w:w="6160" w:type="dxa"/>
            <w:vAlign w:val="bottom"/>
            <w:gridSpan w:val="2"/>
          </w:tcPr>
          <w:p>
            <w:pPr>
              <w:ind w:left="900"/>
              <w:spacing w:after="0"/>
              <w:rPr>
                <w:sz w:val="20"/>
                <w:szCs w:val="20"/>
                <w:color w:val="auto"/>
              </w:rPr>
            </w:pPr>
            <w:r>
              <w:rPr>
                <w:rFonts w:ascii="Arial" w:cs="Arial" w:eastAsia="Arial" w:hAnsi="Arial"/>
                <w:sz w:val="18"/>
                <w:szCs w:val="18"/>
                <w:color w:val="auto"/>
              </w:rPr>
              <w:t>Siebert Williams Shank &amp; Co., LLC</w:t>
            </w:r>
          </w:p>
        </w:tc>
      </w:tr>
      <w:tr>
        <w:trPr>
          <w:trHeight w:val="216"/>
        </w:trPr>
        <w:tc>
          <w:tcPr>
            <w:tcW w:w="4840" w:type="dxa"/>
            <w:vAlign w:val="bottom"/>
          </w:tcPr>
          <w:p>
            <w:pPr>
              <w:spacing w:after="0"/>
              <w:rPr>
                <w:sz w:val="18"/>
                <w:szCs w:val="18"/>
                <w:color w:val="auto"/>
              </w:rPr>
            </w:pPr>
          </w:p>
        </w:tc>
        <w:tc>
          <w:tcPr>
            <w:tcW w:w="6160" w:type="dxa"/>
            <w:vAlign w:val="bottom"/>
            <w:gridSpan w:val="2"/>
          </w:tcPr>
          <w:p>
            <w:pPr>
              <w:ind w:left="900"/>
              <w:spacing w:after="0"/>
              <w:rPr>
                <w:sz w:val="20"/>
                <w:szCs w:val="20"/>
                <w:color w:val="auto"/>
              </w:rPr>
            </w:pPr>
            <w:r>
              <w:rPr>
                <w:rFonts w:ascii="Arial" w:cs="Arial" w:eastAsia="Arial" w:hAnsi="Arial"/>
                <w:sz w:val="18"/>
                <w:szCs w:val="18"/>
                <w:color w:val="auto"/>
              </w:rPr>
              <w:t>U.S. Bancorp Investments, Inc.</w:t>
            </w:r>
          </w:p>
        </w:tc>
      </w:tr>
      <w:tr>
        <w:trPr>
          <w:trHeight w:val="216"/>
        </w:trPr>
        <w:tc>
          <w:tcPr>
            <w:tcW w:w="4840" w:type="dxa"/>
            <w:vAlign w:val="bottom"/>
          </w:tcPr>
          <w:p>
            <w:pPr>
              <w:spacing w:after="0"/>
              <w:rPr>
                <w:sz w:val="18"/>
                <w:szCs w:val="18"/>
                <w:color w:val="auto"/>
              </w:rPr>
            </w:pPr>
          </w:p>
        </w:tc>
        <w:tc>
          <w:tcPr>
            <w:tcW w:w="6160" w:type="dxa"/>
            <w:vAlign w:val="bottom"/>
            <w:gridSpan w:val="2"/>
          </w:tcPr>
          <w:p>
            <w:pPr>
              <w:ind w:left="900"/>
              <w:spacing w:after="0"/>
              <w:rPr>
                <w:sz w:val="20"/>
                <w:szCs w:val="20"/>
                <w:color w:val="auto"/>
              </w:rPr>
            </w:pPr>
            <w:r>
              <w:rPr>
                <w:rFonts w:ascii="Arial" w:cs="Arial" w:eastAsia="Arial" w:hAnsi="Arial"/>
                <w:sz w:val="18"/>
                <w:szCs w:val="18"/>
                <w:color w:val="auto"/>
              </w:rPr>
              <w:t>BNP Paribas Securities Corp.</w:t>
            </w:r>
          </w:p>
        </w:tc>
      </w:tr>
      <w:tr>
        <w:trPr>
          <w:trHeight w:val="230"/>
        </w:trPr>
        <w:tc>
          <w:tcPr>
            <w:tcW w:w="4840" w:type="dxa"/>
            <w:vAlign w:val="bottom"/>
          </w:tcPr>
          <w:p>
            <w:pPr>
              <w:spacing w:after="0"/>
              <w:rPr>
                <w:sz w:val="20"/>
                <w:szCs w:val="20"/>
                <w:color w:val="auto"/>
              </w:rPr>
            </w:pPr>
          </w:p>
        </w:tc>
        <w:tc>
          <w:tcPr>
            <w:tcW w:w="6160" w:type="dxa"/>
            <w:vAlign w:val="bottom"/>
            <w:gridSpan w:val="2"/>
          </w:tcPr>
          <w:p>
            <w:pPr>
              <w:ind w:left="900"/>
              <w:spacing w:after="0"/>
              <w:rPr>
                <w:sz w:val="20"/>
                <w:szCs w:val="20"/>
                <w:color w:val="auto"/>
              </w:rPr>
            </w:pPr>
            <w:r>
              <w:rPr>
                <w:rFonts w:ascii="Arial" w:cs="Arial" w:eastAsia="Arial" w:hAnsi="Arial"/>
                <w:sz w:val="18"/>
                <w:szCs w:val="18"/>
                <w:color w:val="auto"/>
              </w:rPr>
              <w:t>HSBC Securities (USA) Inc.</w:t>
            </w:r>
          </w:p>
        </w:tc>
      </w:tr>
    </w:tbl>
    <w:p>
      <w:pPr>
        <w:spacing w:after="0" w:line="2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5464" w:right="760" w:hanging="5464"/>
        <w:spacing w:after="0" w:line="454" w:lineRule="auto"/>
        <w:tabs>
          <w:tab w:leader="none" w:pos="217"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 securities rating is not a recommendation to buy, sell or hold securities and may be subject to revision or withdrawal at any time. </w:t>
      </w:r>
      <w:r>
        <w:rPr>
          <w:rFonts w:ascii="Arial" w:cs="Arial" w:eastAsia="Arial" w:hAnsi="Arial"/>
          <w:sz w:val="18"/>
          <w:szCs w:val="18"/>
          <w:color w:val="auto"/>
        </w:rPr>
        <w:t>4</w:t>
      </w:r>
    </w:p>
    <w:p>
      <w:pPr>
        <w:sectPr>
          <w:pgSz w:w="11900" w:h="16838" w:orient="portrait"/>
          <w:cols w:equalWidth="0" w:num="1">
            <w:col w:w="11004"/>
          </w:cols>
          <w:pgMar w:left="436" w:top="274" w:right="459" w:bottom="1440" w:gutter="0" w:footer="0" w:header="0"/>
        </w:sectPr>
      </w:pPr>
    </w:p>
    <w:bookmarkStart w:id="4" w:name="page5"/>
    <w:bookmarkEnd w:id="4"/>
    <w:p>
      <w:pPr>
        <w:spacing w:after="0" w:line="273"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 is expected that delivery of the notes will be made against payment therefore on or about September 15, 2021, which is the sixth business day following the date hereof (such settlement cycle being referred to as “T+6”). Under Rule 15c6-1 under the Securities Exchange Act of 1934, as amended, trades in the secondary market generally are required to settle in two business days unless the parties to any such trade expressly agree otherwise. Accordingly, purchasers who wish to trade the notes prior to the second business day before the delivery of the notes will be required, by virtue of the fact that the notes initially will settle in T+6, to specify an alternative settlement cycle at the time of any such trade to prevent failed settlement. Purchasers of the notes who wish to trade the notes prior to the second business day before the delivery of the notes should consult their own advisors.</w:t>
      </w:r>
    </w:p>
    <w:p>
      <w:pPr>
        <w:spacing w:after="0" w:line="172"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The issuer has filed a registration statement (including a prospectus) and a prospectus supplement with the Securities and Exchange Commission (“SEC”) for the offering to which this communication relates. Before you invest, you should read the prospectus in that registration statement, the prospectus supplement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and prospectus supplement if you request it by calling Barclays Capital Inc. at (888) 603-5847, J.P. Morgan Securities LLC at (212) 834-4533 or MUFG Securities Americas Inc. at (877) 649-6848.</w:t>
      </w:r>
    </w:p>
    <w:p>
      <w:pPr>
        <w:spacing w:after="0" w:line="189" w:lineRule="exact"/>
        <w:rPr>
          <w:sz w:val="20"/>
          <w:szCs w:val="20"/>
          <w:color w:val="auto"/>
        </w:rPr>
      </w:pPr>
    </w:p>
    <w:p>
      <w:pPr>
        <w:ind w:right="120"/>
        <w:spacing w:after="0" w:line="347" w:lineRule="auto"/>
        <w:rPr>
          <w:sz w:val="20"/>
          <w:szCs w:val="20"/>
          <w:color w:val="auto"/>
        </w:rPr>
      </w:pPr>
      <w:r>
        <w:rPr>
          <w:rFonts w:ascii="Arial" w:cs="Arial" w:eastAsia="Arial" w:hAnsi="Arial"/>
          <w:sz w:val="16"/>
          <w:szCs w:val="16"/>
          <w:b w:val="1"/>
          <w:bCs w:val="1"/>
          <w:color w:val="auto"/>
        </w:rPr>
        <w:t>Any disclaimer or other notice that may appear below is not applicable to this communication and should be disregarded. Such disclaimer or notice was automatically generated as a result of this communication being sent by Bloomberg or another email system.</w:t>
      </w:r>
    </w:p>
    <w:p>
      <w:pPr>
        <w:spacing w:after="0" w:line="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sectPr>
      <w:pgSz w:w="11900" w:h="16838" w:orient="portrait"/>
      <w:cols w:equalWidth="0" w:num="1">
        <w:col w:w="10920"/>
      </w:cols>
      <w:pgMar w:left="440" w:top="270"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2021-09-08T05:09:45Z</dcterms:created>
  <dcterms:modified xsi:type="dcterms:W3CDTF">2021-09-08T05:09:45Z</dcterms:modified>
</cp:coreProperties>
</file>