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8"/>
          <w:szCs w:val="18"/>
          <w:color w:val="auto"/>
        </w:rPr>
        <w:t>UNITED STATES</w:t>
      </w:r>
    </w:p>
    <w:p>
      <w:pPr>
        <w:jc w:val="center"/>
        <w:ind w:right="28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Common Stock</w:t>
      </w:r>
    </w:p>
    <w:p>
      <w:pPr>
        <w:jc w:val="center"/>
        <w:ind w:right="23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2003</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chedule is filed:</w:t>
      </w:r>
    </w:p>
    <w:p>
      <w:pPr>
        <w:spacing w:after="0"/>
        <w:rPr>
          <w:sz w:val="20"/>
          <w:szCs w:val="20"/>
          <w:color w:val="auto"/>
        </w:rPr>
      </w:pPr>
      <w:r>
        <w:rPr>
          <w:rFonts w:ascii="Courier New" w:cs="Courier New" w:eastAsia="Courier New" w:hAnsi="Courier New"/>
          <w:sz w:val="18"/>
          <w:szCs w:val="18"/>
          <w:color w:val="auto"/>
        </w:rPr>
        <w:t>X] Rule 13d-1(b)</w:t>
      </w:r>
    </w:p>
    <w:p>
      <w:pPr>
        <w:ind w:left="320" w:hanging="207"/>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ind w:left="320" w:hanging="207"/>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0" w:lineRule="exact"/>
        <w:rPr>
          <w:sz w:val="24"/>
          <w:szCs w:val="24"/>
          <w:color w:val="auto"/>
        </w:rPr>
      </w:pPr>
    </w:p>
    <w:p>
      <w:pPr>
        <w:spacing w:after="0" w:line="210" w:lineRule="exact"/>
        <w:rPr>
          <w:sz w:val="24"/>
          <w:szCs w:val="24"/>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erson's initial filing on this form with respect to the subject class f securities, and for any subsequent amendment containing information hich would alter the disclosures provided in a prior cover page.</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he information</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required in</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remainder</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this</w:t>
            </w:r>
          </w:p>
        </w:tc>
        <w:tc>
          <w:tcPr>
            <w:tcW w:w="22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cover page shall not</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 deemed to be</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 for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6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purpose of Section 18 of</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Securities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xchange Act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1934 ("Act") or</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otherwise</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subject</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the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liabilities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hat section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0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the Act but shall be subject</w:t>
            </w: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to all other provisions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bl>
    <w:p>
      <w:pPr>
        <w:spacing w:after="0" w:line="238" w:lineRule="auto"/>
        <w:rPr>
          <w:sz w:val="20"/>
          <w:szCs w:val="20"/>
          <w:color w:val="auto"/>
        </w:rPr>
      </w:pPr>
      <w:r>
        <w:rPr>
          <w:rFonts w:ascii="Courier New" w:cs="Courier New" w:eastAsia="Courier New" w:hAnsi="Courier New"/>
          <w:sz w:val="18"/>
          <w:szCs w:val="18"/>
          <w:color w:val="auto"/>
        </w:rPr>
        <w: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USIP:</w:t>
            </w:r>
          </w:p>
        </w:tc>
        <w:tc>
          <w:tcPr>
            <w:tcW w:w="3540" w:type="dxa"/>
            <w:vAlign w:val="bottom"/>
          </w:tcPr>
          <w:p>
            <w:pPr>
              <w:jc w:val="right"/>
              <w:ind w:right="2452"/>
              <w:spacing w:after="0"/>
              <w:rPr>
                <w:sz w:val="20"/>
                <w:szCs w:val="20"/>
                <w:color w:val="auto"/>
              </w:rPr>
            </w:pPr>
            <w:r>
              <w:rPr>
                <w:rFonts w:ascii="Courier New" w:cs="Courier New" w:eastAsia="Courier New" w:hAnsi="Courier New"/>
                <w:sz w:val="18"/>
                <w:szCs w:val="18"/>
                <w:color w:val="auto"/>
              </w:rPr>
              <w:t>882508104</w:t>
            </w:r>
          </w:p>
        </w:tc>
        <w:tc>
          <w:tcPr>
            <w:tcW w:w="3680" w:type="dxa"/>
            <w:vAlign w:val="bottom"/>
          </w:tcPr>
          <w:p>
            <w:pPr>
              <w:ind w:left="2520"/>
              <w:spacing w:after="0"/>
              <w:rPr>
                <w:sz w:val="20"/>
                <w:szCs w:val="20"/>
                <w:color w:val="auto"/>
              </w:rPr>
            </w:pPr>
            <w:r>
              <w:rPr>
                <w:rFonts w:ascii="Courier New" w:cs="Courier New" w:eastAsia="Courier New" w:hAnsi="Courier New"/>
                <w:sz w:val="18"/>
                <w:szCs w:val="18"/>
                <w:color w:val="auto"/>
                <w:w w:val="95"/>
              </w:rPr>
              <w:t>Page 1 of 4</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page&gt;</w:t>
            </w:r>
          </w:p>
        </w:tc>
        <w:tc>
          <w:tcPr>
            <w:tcW w:w="3540" w:type="dxa"/>
            <w:vAlign w:val="bottom"/>
          </w:tcPr>
          <w:p>
            <w:pPr>
              <w:spacing w:after="0"/>
              <w:rPr>
                <w:sz w:val="17"/>
                <w:szCs w:val="17"/>
                <w:color w:val="auto"/>
              </w:rPr>
            </w:pPr>
          </w:p>
        </w:tc>
        <w:tc>
          <w:tcPr>
            <w:tcW w:w="368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jc w:val="right"/>
        <w:ind w:right="2739"/>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540" w:right="5899" w:hanging="427"/>
        <w:spacing w:after="0" w:line="463"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3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110,899,620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800" w:hanging="423"/>
        <w:spacing w:after="0" w:line="237"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110,899,620</w:t>
      </w:r>
      <w:r>
        <w:rPr>
          <w:rFonts w:ascii="Courier New" w:cs="Courier New" w:eastAsia="Courier New" w:hAnsi="Courier New"/>
          <w:sz w:val="16"/>
          <w:szCs w:val="16"/>
          <w:color w:val="auto"/>
        </w:rPr>
        <w:t>Beneficial ownership disclaimed pursuant to Rule 13d-</w:t>
      </w:r>
    </w:p>
    <w:p>
      <w:pPr>
        <w:ind w:left="540"/>
        <w:spacing w:after="0" w:line="238" w:lineRule="auto"/>
        <w:rPr>
          <w:sz w:val="20"/>
          <w:szCs w:val="20"/>
          <w:color w:val="auto"/>
        </w:rPr>
      </w:pPr>
      <w:r>
        <w:rPr>
          <w:rFonts w:ascii="Courier New" w:cs="Courier New" w:eastAsia="Courier New" w:hAnsi="Courier New"/>
          <w:sz w:val="18"/>
          <w:szCs w:val="18"/>
          <w:color w:val="auto"/>
        </w:rPr>
        <w:t>4</w:t>
      </w:r>
    </w:p>
    <w:p>
      <w:pPr>
        <w:spacing w:after="0" w:line="5"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USIP: 882508104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page&gt;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419" w:lineRule="exact"/>
        <w:rPr>
          <w:sz w:val="20"/>
          <w:szCs w:val="20"/>
          <w:color w:val="auto"/>
        </w:rPr>
      </w:pPr>
    </w:p>
    <w:p>
      <w:pPr>
        <w:sectPr>
          <w:pgSz w:w="11900" w:h="16838" w:orient="portrait"/>
          <w:cols w:equalWidth="0" w:num="2">
            <w:col w:w="5920" w:space="720"/>
            <w:col w:w="3579"/>
          </w:cols>
          <w:pgMar w:left="240" w:top="344" w:right="1440" w:bottom="0" w:gutter="0" w:footer="0" w:header="0"/>
          <w:type w:val="continuous"/>
        </w:sectPr>
      </w:pPr>
    </w:p>
    <w:p>
      <w:pPr>
        <w:spacing w:after="0" w:line="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mendment No. 5</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344"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360" w:val="left"/>
          <w:tab w:leader="none" w:pos="2940" w:val="left"/>
        </w:tabs>
        <w:rPr>
          <w:sz w:val="20"/>
          <w:szCs w:val="20"/>
          <w:color w:val="auto"/>
        </w:rPr>
      </w:pPr>
      <w:r>
        <w:rPr>
          <w:rFonts w:ascii="Courier New" w:cs="Courier New" w:eastAsia="Courier New" w:hAnsi="Courier New"/>
          <w:sz w:val="18"/>
          <w:szCs w:val="18"/>
          <w:color w:val="auto"/>
        </w:rPr>
        <w:t>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ectPr>
          <w:pgSz w:w="11900" w:h="16838" w:orient="portrait"/>
          <w:cols w:equalWidth="0" w:num="1">
            <w:col w:w="10219"/>
          </w:cols>
          <w:pgMar w:left="240" w:top="344"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839" w:firstLine="316"/>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540" w:space="200"/>
            <w:col w:w="9479"/>
          </w:cols>
          <w:pgMar w:left="240" w:top="344"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Research and Management Company, an investment adviser</w:t>
      </w:r>
    </w:p>
    <w:p>
      <w:pPr>
        <w:ind w:left="740"/>
        <w:spacing w:after="0" w:line="238" w:lineRule="auto"/>
        <w:rPr>
          <w:sz w:val="20"/>
          <w:szCs w:val="20"/>
          <w:color w:val="auto"/>
        </w:rPr>
      </w:pPr>
      <w:r>
        <w:rPr>
          <w:rFonts w:ascii="Courier New" w:cs="Courier New" w:eastAsia="Courier New" w:hAnsi="Courier New"/>
          <w:sz w:val="18"/>
          <w:szCs w:val="18"/>
          <w:color w:val="auto"/>
        </w:rPr>
        <w:t>registered under Section 203 of the Investment Advisers Act of</w:t>
      </w:r>
    </w:p>
    <w:p>
      <w:pPr>
        <w:ind w:left="740"/>
        <w:spacing w:after="0"/>
        <w:rPr>
          <w:sz w:val="20"/>
          <w:szCs w:val="20"/>
          <w:color w:val="auto"/>
        </w:rPr>
      </w:pPr>
      <w:r>
        <w:rPr>
          <w:rFonts w:ascii="Courier New" w:cs="Courier New" w:eastAsia="Courier New" w:hAnsi="Courier New"/>
          <w:sz w:val="18"/>
          <w:szCs w:val="18"/>
          <w:color w:val="auto"/>
        </w:rPr>
        <w:t>1940 is deemed to be the beneficial owner of 110,899,620 shares</w:t>
      </w:r>
    </w:p>
    <w:p>
      <w:pPr>
        <w:ind w:left="740"/>
        <w:spacing w:after="0" w:line="237" w:lineRule="auto"/>
        <w:rPr>
          <w:sz w:val="20"/>
          <w:szCs w:val="20"/>
          <w:color w:val="auto"/>
        </w:rPr>
      </w:pPr>
      <w:r>
        <w:rPr>
          <w:rFonts w:ascii="Courier New" w:cs="Courier New" w:eastAsia="Courier New" w:hAnsi="Courier New"/>
          <w:sz w:val="18"/>
          <w:szCs w:val="18"/>
          <w:color w:val="auto"/>
        </w:rPr>
        <w:t>or 6.4% of the 1,730,625,000 shares of Common Stock believed to</w:t>
      </w:r>
    </w:p>
    <w:p>
      <w:pPr>
        <w:ind w:left="740"/>
        <w:spacing w:after="0" w:line="238" w:lineRule="auto"/>
        <w:rPr>
          <w:sz w:val="20"/>
          <w:szCs w:val="20"/>
          <w:color w:val="auto"/>
        </w:rPr>
      </w:pPr>
      <w:r>
        <w:rPr>
          <w:rFonts w:ascii="Courier New" w:cs="Courier New" w:eastAsia="Courier New" w:hAnsi="Courier New"/>
          <w:sz w:val="18"/>
          <w:szCs w:val="18"/>
          <w:color w:val="auto"/>
        </w:rPr>
        <w:t>be outstanding as a result of acting as investment adviser to</w:t>
      </w:r>
    </w:p>
    <w:p>
      <w:pPr>
        <w:ind w:left="740"/>
        <w:spacing w:after="0"/>
        <w:rPr>
          <w:sz w:val="20"/>
          <w:szCs w:val="20"/>
          <w:color w:val="auto"/>
        </w:rPr>
      </w:pPr>
      <w:r>
        <w:rPr>
          <w:rFonts w:ascii="Courier New" w:cs="Courier New" w:eastAsia="Courier New" w:hAnsi="Courier New"/>
          <w:sz w:val="18"/>
          <w:szCs w:val="18"/>
          <w:color w:val="auto"/>
        </w:rPr>
        <w:t>various investment companies registered under Section 8 of the</w:t>
      </w:r>
    </w:p>
    <w:p>
      <w:pPr>
        <w:ind w:left="740"/>
        <w:spacing w:after="0" w:line="237" w:lineRule="auto"/>
        <w:rPr>
          <w:sz w:val="20"/>
          <w:szCs w:val="20"/>
          <w:color w:val="auto"/>
        </w:rPr>
      </w:pPr>
      <w:r>
        <w:rPr>
          <w:rFonts w:ascii="Courier New" w:cs="Courier New" w:eastAsia="Courier New" w:hAnsi="Courier New"/>
          <w:sz w:val="18"/>
          <w:szCs w:val="18"/>
          <w:color w:val="auto"/>
        </w:rPr>
        <w:t>Investment Company Act of 1940.</w:t>
      </w:r>
    </w:p>
    <w:p>
      <w:pPr>
        <w:spacing w:after="0"/>
        <w:tabs>
          <w:tab w:leader="none" w:pos="6620" w:val="left"/>
        </w:tabs>
        <w:rPr>
          <w:sz w:val="20"/>
          <w:szCs w:val="20"/>
          <w:color w:val="auto"/>
        </w:rPr>
      </w:pPr>
      <w:r>
        <w:rPr>
          <w:rFonts w:ascii="Courier New" w:cs="Courier New" w:eastAsia="Courier New" w:hAnsi="Courier New"/>
          <w:sz w:val="18"/>
          <w:szCs w:val="18"/>
          <w:color w:val="auto"/>
        </w:rPr>
        <w:t>USIP: 882508104</w:t>
      </w:r>
      <w:r>
        <w:rPr>
          <w:sz w:val="20"/>
          <w:szCs w:val="20"/>
          <w:color w:val="auto"/>
        </w:rPr>
        <w:tab/>
      </w:r>
      <w:r>
        <w:rPr>
          <w:rFonts w:ascii="Courier New" w:cs="Courier New" w:eastAsia="Courier New" w:hAnsi="Courier New"/>
          <w:sz w:val="16"/>
          <w:szCs w:val="16"/>
          <w:color w:val="auto"/>
        </w:rPr>
        <w:t>Page 3 of 4</w:t>
      </w:r>
    </w:p>
    <w:p>
      <w:pPr>
        <w:spacing w:after="0" w:line="237" w:lineRule="auto"/>
        <w:rPr>
          <w:sz w:val="20"/>
          <w:szCs w:val="20"/>
          <w:color w:val="auto"/>
        </w:rPr>
      </w:pPr>
      <w:r>
        <w:rPr>
          <w:rFonts w:ascii="Courier New" w:cs="Courier New" w:eastAsia="Courier New" w:hAnsi="Courier New"/>
          <w:sz w:val="18"/>
          <w:szCs w:val="18"/>
          <w:color w:val="auto"/>
        </w:rPr>
        <w:t>page&gt;</w:t>
      </w:r>
    </w:p>
    <w:p>
      <w:pPr>
        <w:spacing w:after="0"/>
        <w:tabs>
          <w:tab w:leader="none" w:pos="1040" w:val="left"/>
          <w:tab w:leader="none" w:pos="6000" w:val="left"/>
        </w:tabs>
        <w:rPr>
          <w:sz w:val="20"/>
          <w:szCs w:val="20"/>
          <w:color w:val="auto"/>
        </w:rPr>
      </w:pPr>
      <w:r>
        <w:rPr>
          <w:rFonts w:ascii="Courier New" w:cs="Courier New" w:eastAsia="Courier New" w:hAnsi="Courier New"/>
          <w:sz w:val="18"/>
          <w:szCs w:val="18"/>
          <w:color w:val="auto"/>
        </w:rPr>
        <w:t>tem 5</w:t>
      </w:r>
      <w:r>
        <w:rPr>
          <w:sz w:val="20"/>
          <w:szCs w:val="20"/>
          <w:color w:val="auto"/>
        </w:rPr>
        <w:tab/>
      </w:r>
      <w:r>
        <w:rPr>
          <w:rFonts w:ascii="Courier New" w:cs="Courier New" w:eastAsia="Courier New" w:hAnsi="Courier New"/>
          <w:sz w:val="18"/>
          <w:szCs w:val="18"/>
          <w:color w:val="auto"/>
        </w:rPr>
        <w:t>Ownership of Five Percent or Less of a Class.</w:t>
      </w:r>
      <w:r>
        <w:rPr>
          <w:sz w:val="20"/>
          <w:szCs w:val="20"/>
          <w:color w:val="auto"/>
        </w:rPr>
        <w:tab/>
      </w:r>
      <w:r>
        <w:rPr>
          <w:rFonts w:ascii="Courier New" w:cs="Courier New" w:eastAsia="Courier New" w:hAnsi="Courier New"/>
          <w:sz w:val="16"/>
          <w:szCs w:val="16"/>
          <w:color w:val="auto"/>
        </w:rPr>
        <w:t>If this</w:t>
      </w:r>
    </w:p>
    <w:p>
      <w:pPr>
        <w:ind w:left="740"/>
        <w:spacing w:after="0" w:line="237" w:lineRule="auto"/>
        <w:rPr>
          <w:sz w:val="20"/>
          <w:szCs w:val="20"/>
          <w:color w:val="auto"/>
        </w:rPr>
      </w:pPr>
      <w:r>
        <w:rPr>
          <w:rFonts w:ascii="Courier New" w:cs="Courier New" w:eastAsia="Courier New" w:hAnsi="Courier New"/>
          <w:sz w:val="18"/>
          <w:szCs w:val="18"/>
          <w:color w:val="auto"/>
        </w:rPr>
        <w:t>statement is being filed to report the fact that as of the date</w:t>
      </w:r>
    </w:p>
    <w:p>
      <w:pPr>
        <w:ind w:left="740"/>
        <w:spacing w:after="0" w:line="238" w:lineRule="auto"/>
        <w:rPr>
          <w:sz w:val="20"/>
          <w:szCs w:val="20"/>
          <w:color w:val="auto"/>
        </w:rPr>
      </w:pPr>
      <w:r>
        <w:rPr>
          <w:rFonts w:ascii="Courier New" w:cs="Courier New" w:eastAsia="Courier New" w:hAnsi="Courier New"/>
          <w:sz w:val="18"/>
          <w:szCs w:val="18"/>
          <w:color w:val="auto"/>
        </w:rPr>
        <w:t>hereof the reporting person has ceased to be the beneficial</w:t>
      </w:r>
    </w:p>
    <w:p>
      <w:pPr>
        <w:ind w:left="740"/>
        <w:spacing w:after="0"/>
        <w:rPr>
          <w:sz w:val="20"/>
          <w:szCs w:val="20"/>
          <w:color w:val="auto"/>
        </w:rPr>
      </w:pPr>
      <w:r>
        <w:rPr>
          <w:rFonts w:ascii="Courier New" w:cs="Courier New" w:eastAsia="Courier New" w:hAnsi="Courier New"/>
          <w:sz w:val="18"/>
          <w:szCs w:val="18"/>
          <w:color w:val="auto"/>
        </w:rPr>
        <w:t>owner of more than five percent of the class of securities,</w:t>
      </w:r>
    </w:p>
    <w:p>
      <w:pPr>
        <w:ind w:left="740"/>
        <w:spacing w:after="0" w:line="237" w:lineRule="auto"/>
        <w:rPr>
          <w:sz w:val="20"/>
          <w:szCs w:val="20"/>
          <w:color w:val="auto"/>
        </w:rPr>
      </w:pPr>
      <w:r>
        <w:rPr>
          <w:rFonts w:ascii="Courier New" w:cs="Courier New" w:eastAsia="Courier New" w:hAnsi="Courier New"/>
          <w:sz w:val="18"/>
          <w:szCs w:val="18"/>
          <w:color w:val="auto"/>
        </w:rPr>
        <w:t>check the following: [ ]</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tem 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3259" w:firstLine="316"/>
        <w:spacing w:after="0" w:line="235" w:lineRule="auto"/>
        <w:rPr>
          <w:sz w:val="20"/>
          <w:szCs w:val="20"/>
          <w:color w:val="auto"/>
        </w:rPr>
      </w:pPr>
      <w:r>
        <w:rPr>
          <w:rFonts w:ascii="Courier New" w:cs="Courier New" w:eastAsia="Courier New" w:hAnsi="Courier New"/>
          <w:sz w:val="18"/>
          <w:szCs w:val="18"/>
          <w:color w:val="auto"/>
        </w:rPr>
        <w:t>Ownership of More than Five Percent on Behalf of Another Person: N/A</w:t>
      </w:r>
    </w:p>
    <w:p>
      <w:pPr>
        <w:spacing w:after="0" w:line="200" w:lineRule="exact"/>
        <w:rPr>
          <w:sz w:val="20"/>
          <w:szCs w:val="20"/>
          <w:color w:val="auto"/>
        </w:rPr>
      </w:pPr>
    </w:p>
    <w:p>
      <w:pPr>
        <w:sectPr>
          <w:pgSz w:w="11900" w:h="16838" w:orient="portrait"/>
          <w:cols w:equalWidth="0" w:num="2">
            <w:col w:w="540" w:space="200"/>
            <w:col w:w="9479"/>
          </w:cols>
          <w:pgMar w:left="240" w:top="136"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tem 7</w:t>
      </w:r>
    </w:p>
    <w:p>
      <w:pPr>
        <w:spacing w:after="0" w:line="20" w:lineRule="exact"/>
        <w:rPr>
          <w:sz w:val="20"/>
          <w:szCs w:val="20"/>
          <w:color w:val="auto"/>
        </w:rPr>
      </w:pPr>
      <w:r>
        <w:rPr>
          <w:sz w:val="20"/>
          <w:szCs w:val="20"/>
          <w:color w:val="auto"/>
        </w:rPr>
        <w:br w:type="column"/>
      </w:r>
    </w:p>
    <w:p>
      <w:pPr>
        <w:ind w:right="3039" w:firstLine="316"/>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 N/A</w:t>
      </w:r>
    </w:p>
    <w:p>
      <w:pPr>
        <w:spacing w:after="0" w:line="200" w:lineRule="exact"/>
        <w:rPr>
          <w:sz w:val="20"/>
          <w:szCs w:val="20"/>
          <w:color w:val="auto"/>
        </w:rPr>
      </w:pPr>
    </w:p>
    <w:p>
      <w:pPr>
        <w:sectPr>
          <w:pgSz w:w="11900" w:h="16838" w:orient="portrait"/>
          <w:cols w:equalWidth="0" w:num="2">
            <w:col w:w="540" w:space="200"/>
            <w:col w:w="9479"/>
          </w:cols>
          <w:pgMar w:left="240" w:top="136" w:right="1440"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1"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540" w:space="520"/>
            <w:col w:w="3260" w:space="220"/>
            <w:col w:w="5679"/>
          </w:cols>
          <w:pgMar w:left="240" w:top="136" w:right="1440" w:bottom="0" w:gutter="0" w:footer="0" w:header="0"/>
          <w:type w:val="continuous"/>
        </w:sectPr>
      </w:pPr>
    </w:p>
    <w:p>
      <w:pPr>
        <w:spacing w:after="0" w:line="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2004</w:t>
      </w:r>
    </w:p>
    <w:p>
      <w:pPr>
        <w:spacing w:after="0" w:line="216" w:lineRule="exact"/>
        <w:rPr>
          <w:sz w:val="20"/>
          <w:szCs w:val="20"/>
          <w:color w:val="auto"/>
        </w:rPr>
      </w:pPr>
    </w:p>
    <w:p>
      <w:pPr>
        <w:sectPr>
          <w:pgSz w:w="11900" w:h="16838" w:orient="portrait"/>
          <w:cols w:equalWidth="0" w:num="2">
            <w:col w:w="1600" w:space="720"/>
            <w:col w:w="7899"/>
          </w:cols>
          <w:pgMar w:left="240" w:top="136" w:right="1440" w:bottom="0" w:gutter="0" w:footer="0" w:header="0"/>
          <w:type w:val="continuous"/>
        </w:sectPr>
      </w:pP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238" w:lineRule="auto"/>
        <w:rPr>
          <w:sz w:val="20"/>
          <w:szCs w:val="20"/>
          <w:color w:val="auto"/>
        </w:rPr>
      </w:pPr>
      <w:r>
        <w:rPr>
          <w:rFonts w:ascii="Courier New" w:cs="Courier New" w:eastAsia="Courier New" w:hAnsi="Courier New"/>
          <w:sz w:val="18"/>
          <w:szCs w:val="18"/>
          <w:color w:val="auto"/>
        </w:rPr>
        <w:t>Paul G. Haaga, Jr., Executive Vice</w:t>
      </w:r>
    </w:p>
    <w:p>
      <w:pPr>
        <w:ind w:left="120"/>
        <w:spacing w:after="0"/>
        <w:rPr>
          <w:sz w:val="20"/>
          <w:szCs w:val="20"/>
          <w:color w:val="auto"/>
        </w:rPr>
      </w:pPr>
      <w:r>
        <w:rPr>
          <w:rFonts w:ascii="Courier New" w:cs="Courier New" w:eastAsia="Courier New" w:hAnsi="Courier New"/>
          <w:sz w:val="18"/>
          <w:szCs w:val="18"/>
          <w:color w:val="auto"/>
        </w:rPr>
        <w:t>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pacing w:after="0" w:line="200" w:lineRule="exact"/>
        <w:rPr>
          <w:sz w:val="20"/>
          <w:szCs w:val="20"/>
          <w:color w:val="auto"/>
        </w:rPr>
      </w:pPr>
    </w:p>
    <w:p>
      <w:pPr>
        <w:sectPr>
          <w:pgSz w:w="11900" w:h="16838" w:orient="portrait"/>
          <w:cols w:equalWidth="0" w:num="2">
            <w:col w:w="1900" w:space="420"/>
            <w:col w:w="789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Anna J. Griffith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Anna J. Griffith</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0" w:gutter="0" w:footer="0" w:header="0"/>
          <w:type w:val="continuous"/>
        </w:sectPr>
      </w:pPr>
    </w:p>
    <w:p>
      <w:pPr>
        <w:spacing w:after="0" w:line="7" w:lineRule="exact"/>
        <w:rPr>
          <w:sz w:val="20"/>
          <w:szCs w:val="20"/>
          <w:color w:val="auto"/>
        </w:rPr>
      </w:pPr>
    </w:p>
    <w:p>
      <w:pPr>
        <w:ind w:left="1580" w:right="2739"/>
        <w:spacing w:after="0" w:line="236" w:lineRule="auto"/>
        <w:rPr>
          <w:sz w:val="20"/>
          <w:szCs w:val="20"/>
          <w:color w:val="auto"/>
        </w:rPr>
      </w:pPr>
      <w:r>
        <w:rPr>
          <w:rFonts w:ascii="Courier New" w:cs="Courier New" w:eastAsia="Courier New" w:hAnsi="Courier New"/>
          <w:sz w:val="18"/>
          <w:szCs w:val="18"/>
          <w:color w:val="auto"/>
        </w:rPr>
        <w:t>Signed pursuant to a Power of Attorney dated January 14, 2004 included as an Exhibit to Schedule 13G filed with the Securities and Exchange Commission by Capital</w:t>
      </w:r>
    </w:p>
    <w:p>
      <w:pPr>
        <w:sectPr>
          <w:pgSz w:w="11900" w:h="16838" w:orient="portrait"/>
          <w:cols w:equalWidth="0" w:num="1">
            <w:col w:w="10219"/>
          </w:cols>
          <w:pgMar w:left="240" w:top="136" w:right="1440" w:bottom="0" w:gutter="0" w:footer="0" w:header="0"/>
          <w:type w:val="continuous"/>
        </w:sectPr>
      </w:pPr>
    </w:p>
    <w:p>
      <w:pPr>
        <w:spacing w:after="0" w:line="6" w:lineRule="exact"/>
        <w:rPr>
          <w:sz w:val="20"/>
          <w:szCs w:val="20"/>
          <w:color w:val="auto"/>
        </w:rPr>
      </w:pPr>
    </w:p>
    <w:p>
      <w:pPr>
        <w:ind w:left="1580" w:right="2739"/>
        <w:spacing w:after="0" w:line="290" w:lineRule="auto"/>
        <w:rPr>
          <w:sz w:val="20"/>
          <w:szCs w:val="20"/>
          <w:color w:val="auto"/>
        </w:rPr>
      </w:pPr>
      <w:r>
        <w:rPr>
          <w:rFonts w:ascii="Courier New" w:cs="Courier New" w:eastAsia="Courier New" w:hAnsi="Courier New"/>
          <w:sz w:val="16"/>
          <w:szCs w:val="16"/>
          <w:color w:val="auto"/>
        </w:rPr>
        <w:t>Research and Management Company on February 6, 2004 with respect to Air Products and Chemicals, Incorporated</w:t>
      </w:r>
    </w:p>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tabs>
          <w:tab w:leader="none" w:pos="6620" w:val="left"/>
        </w:tabs>
        <w:rPr>
          <w:sz w:val="20"/>
          <w:szCs w:val="20"/>
          <w:color w:val="auto"/>
        </w:rPr>
      </w:pPr>
      <w:r>
        <w:rPr>
          <w:rFonts w:ascii="Courier New" w:cs="Courier New" w:eastAsia="Courier New" w:hAnsi="Courier New"/>
          <w:sz w:val="18"/>
          <w:szCs w:val="18"/>
          <w:color w:val="auto"/>
        </w:rPr>
        <w:t>USIP: 882508104</w:t>
      </w:r>
      <w:r>
        <w:rPr>
          <w:sz w:val="20"/>
          <w:szCs w:val="20"/>
          <w:color w:val="auto"/>
        </w:rPr>
        <w:tab/>
      </w:r>
      <w:r>
        <w:rPr>
          <w:rFonts w:ascii="Courier New" w:cs="Courier New" w:eastAsia="Courier New" w:hAnsi="Courier New"/>
          <w:sz w:val="16"/>
          <w:szCs w:val="16"/>
          <w:color w:val="auto"/>
        </w:rPr>
        <w:t>Page 4 of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page&gt;</w:t>
      </w:r>
    </w:p>
    <w:sectPr>
      <w:pgSz w:w="11900" w:h="16838" w:orient="portrait"/>
      <w:cols w:equalWidth="0" w:num="1">
        <w:col w:w="10219"/>
      </w:cols>
      <w:pgMar w:left="240" w:top="9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1"/>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2019-12-13T07:31:32Z</dcterms:created>
  <dcterms:modified xsi:type="dcterms:W3CDTF">2019-12-13T07:31:32Z</dcterms:modified>
</cp:coreProperties>
</file>