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333-209678</w:t>
            </w:r>
          </w:p>
        </w:tc>
      </w:tr>
      <w:tr>
        <w:trPr>
          <w:trHeight w:val="216"/>
        </w:trPr>
        <w:tc>
          <w:tcPr>
            <w:tcW w:w="3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April 27, 2017</w:t>
            </w:r>
          </w:p>
        </w:tc>
      </w:tr>
      <w:tr>
        <w:trPr>
          <w:trHeight w:val="234"/>
        </w:trPr>
        <w:tc>
          <w:tcPr>
            <w:tcW w:w="3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April 27, 2017</w:t>
            </w:r>
          </w:p>
        </w:tc>
      </w:tr>
      <w:tr>
        <w:trPr>
          <w:trHeight w:val="432"/>
        </w:trPr>
        <w:tc>
          <w:tcPr>
            <w:tcW w:w="3200" w:type="dxa"/>
            <w:vAlign w:val="bottom"/>
          </w:tcPr>
          <w:p>
            <w:pPr>
              <w:spacing w:after="0"/>
              <w:rPr>
                <w:sz w:val="24"/>
                <w:szCs w:val="24"/>
                <w:color w:val="auto"/>
              </w:rPr>
            </w:pPr>
          </w:p>
        </w:tc>
        <w:tc>
          <w:tcPr>
            <w:tcW w:w="8220" w:type="dxa"/>
            <w:vAlign w:val="bottom"/>
            <w:gridSpan w:val="3"/>
          </w:tcPr>
          <w:p>
            <w:pPr>
              <w:jc w:val="center"/>
              <w:ind w:right="309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580" w:type="dxa"/>
            <w:vAlign w:val="bottom"/>
            <w:gridSpan w:val="2"/>
          </w:tcPr>
          <w:p>
            <w:pPr>
              <w:jc w:val="center"/>
              <w:ind w:right="473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750%</w:t>
            </w:r>
            <w:r>
              <w:rPr>
                <w:rFonts w:ascii="Arial" w:cs="Arial" w:eastAsia="Arial" w:hAnsi="Arial"/>
                <w:sz w:val="18"/>
                <w:szCs w:val="18"/>
                <w:color w:val="auto"/>
                <w:w w:val="90"/>
              </w:rPr>
              <w:t xml:space="preserve"> Notes due 2021</w:t>
            </w:r>
          </w:p>
        </w:tc>
        <w:tc>
          <w:tcPr>
            <w:tcW w:w="4840" w:type="dxa"/>
            <w:vAlign w:val="bottom"/>
          </w:tcPr>
          <w:p>
            <w:pPr>
              <w:spacing w:after="0"/>
              <w:rPr>
                <w:sz w:val="24"/>
                <w:szCs w:val="24"/>
                <w:color w:val="auto"/>
              </w:rPr>
            </w:pPr>
          </w:p>
        </w:tc>
      </w:tr>
      <w:tr>
        <w:trPr>
          <w:trHeight w:val="480"/>
        </w:trPr>
        <w:tc>
          <w:tcPr>
            <w:tcW w:w="3200" w:type="dxa"/>
            <w:vAlign w:val="bottom"/>
          </w:tcPr>
          <w:p>
            <w:pPr>
              <w:spacing w:after="0"/>
              <w:rPr>
                <w:sz w:val="20"/>
                <w:szCs w:val="20"/>
                <w:color w:val="auto"/>
              </w:rPr>
            </w:pPr>
            <w:r>
              <w:rPr>
                <w:rFonts w:ascii="Arial" w:cs="Arial" w:eastAsia="Arial" w:hAnsi="Arial"/>
                <w:sz w:val="18"/>
                <w:szCs w:val="18"/>
                <w:color w:val="auto"/>
              </w:rPr>
              <w:t>Issuer:</w:t>
            </w: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rPr>
              <w:t>Texas Instruments Incorporated (“TI”)</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Principal Amount:</w:t>
            </w: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4"/>
              </w:rPr>
              <w:t>$300,000,000. The 2.750% Notes due 2021 offered hereby will be a further issuance of and form a</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5"/>
              </w:rPr>
              <w:t>single series with the existing 2.750% Notes due 2021 issued by TI on March 12, 2014. The 2021</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0"/>
              </w:rPr>
              <w:t>Notes offered hereby will have the same terms (other than issue date, price to public and initial interest</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6"/>
              </w:rPr>
              <w:t>payment date) and will vote together as a single class, with the same CUSIP number as, and be</w:t>
            </w:r>
          </w:p>
        </w:tc>
      </w:tr>
      <w:tr>
        <w:trPr>
          <w:trHeight w:val="216"/>
        </w:trPr>
        <w:tc>
          <w:tcPr>
            <w:tcW w:w="3200" w:type="dxa"/>
            <w:vAlign w:val="bottom"/>
          </w:tcPr>
          <w:p>
            <w:pPr>
              <w:spacing w:after="0"/>
              <w:rPr>
                <w:sz w:val="18"/>
                <w:szCs w:val="18"/>
                <w:color w:val="auto"/>
              </w:rPr>
            </w:pP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7"/>
              </w:rPr>
              <w:t>fungible with, the existing 2.750% Notes due 2021. Upon completion of this offering, TI will have</w:t>
            </w:r>
          </w:p>
        </w:tc>
      </w:tr>
      <w:tr>
        <w:trPr>
          <w:trHeight w:val="230"/>
        </w:trPr>
        <w:tc>
          <w:tcPr>
            <w:tcW w:w="3200" w:type="dxa"/>
            <w:vAlign w:val="bottom"/>
          </w:tcPr>
          <w:p>
            <w:pPr>
              <w:spacing w:after="0"/>
              <w:rPr>
                <w:sz w:val="20"/>
                <w:szCs w:val="20"/>
                <w:color w:val="auto"/>
              </w:rPr>
            </w:pP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rPr>
              <w:t>$550 million aggregate principal amount outstanding of its 2.750% Notes due 2021.</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Maturity:</w:t>
            </w: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rPr>
              <w:t>March 12, 2021</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Coupon:</w:t>
            </w:r>
          </w:p>
        </w:tc>
        <w:tc>
          <w:tcPr>
            <w:tcW w:w="1640" w:type="dxa"/>
            <w:vAlign w:val="bottom"/>
          </w:tcPr>
          <w:p>
            <w:pPr>
              <w:ind w:left="800"/>
              <w:spacing w:after="0"/>
              <w:rPr>
                <w:sz w:val="20"/>
                <w:szCs w:val="20"/>
                <w:color w:val="auto"/>
              </w:rPr>
            </w:pPr>
            <w:r>
              <w:rPr>
                <w:rFonts w:ascii="Arial" w:cs="Arial" w:eastAsia="Arial" w:hAnsi="Arial"/>
                <w:sz w:val="18"/>
                <w:szCs w:val="18"/>
                <w:color w:val="auto"/>
              </w:rPr>
              <w:t>2.750%</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Price to Public:</w:t>
            </w: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7"/>
              </w:rPr>
              <w:t>102.279% of principal amount, plus accrued interest from March 12, 2017 to the date of delivery</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2"/>
              </w:rPr>
              <w:t>March 12 and September 12 beginning on September 12, 2017, and on the maturity date (interest on</w:t>
            </w:r>
          </w:p>
        </w:tc>
      </w:tr>
      <w:tr>
        <w:trPr>
          <w:trHeight w:val="230"/>
        </w:trPr>
        <w:tc>
          <w:tcPr>
            <w:tcW w:w="3200" w:type="dxa"/>
            <w:vAlign w:val="bottom"/>
          </w:tcPr>
          <w:p>
            <w:pPr>
              <w:spacing w:after="0"/>
              <w:rPr>
                <w:sz w:val="20"/>
                <w:szCs w:val="20"/>
                <w:color w:val="auto"/>
              </w:rPr>
            </w:pP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rPr>
              <w:t>the 2.750% Notes due 2021 offered hereby will accrue from March 12, 2017)</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Day Count Convention:</w:t>
            </w:r>
          </w:p>
        </w:tc>
        <w:tc>
          <w:tcPr>
            <w:tcW w:w="1640" w:type="dxa"/>
            <w:vAlign w:val="bottom"/>
          </w:tcPr>
          <w:p>
            <w:pPr>
              <w:ind w:left="800"/>
              <w:spacing w:after="0"/>
              <w:rPr>
                <w:sz w:val="20"/>
                <w:szCs w:val="20"/>
                <w:color w:val="auto"/>
              </w:rPr>
            </w:pPr>
            <w:r>
              <w:rPr>
                <w:rFonts w:ascii="Arial" w:cs="Arial" w:eastAsia="Arial" w:hAnsi="Arial"/>
                <w:sz w:val="18"/>
                <w:szCs w:val="18"/>
                <w:color w:val="auto"/>
              </w:rPr>
              <w:t>30/360</w:t>
            </w:r>
          </w:p>
        </w:tc>
        <w:tc>
          <w:tcPr>
            <w:tcW w:w="17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8220" w:type="dxa"/>
            <w:vAlign w:val="bottom"/>
            <w:gridSpan w:val="3"/>
          </w:tcPr>
          <w:p>
            <w:pPr>
              <w:ind w:left="800"/>
              <w:spacing w:after="0"/>
              <w:rPr>
                <w:sz w:val="20"/>
                <w:szCs w:val="20"/>
                <w:color w:val="auto"/>
              </w:rPr>
            </w:pPr>
            <w:r>
              <w:rPr>
                <w:rFonts w:ascii="Arial" w:cs="Arial" w:eastAsia="Arial" w:hAnsi="Arial"/>
                <w:sz w:val="18"/>
                <w:szCs w:val="18"/>
                <w:color w:val="auto"/>
                <w:w w:val="95"/>
              </w:rPr>
              <w:t>$305,937,000, plus accrued interest from March 12, 2017 to the date of delivery (in the amount of</w:t>
            </w:r>
          </w:p>
        </w:tc>
      </w:tr>
      <w:tr>
        <w:trPr>
          <w:trHeight w:val="230"/>
        </w:trPr>
        <w:tc>
          <w:tcPr>
            <w:tcW w:w="3200" w:type="dxa"/>
            <w:vAlign w:val="bottom"/>
          </w:tcPr>
          <w:p>
            <w:pPr>
              <w:spacing w:after="0"/>
              <w:rPr>
                <w:sz w:val="20"/>
                <w:szCs w:val="20"/>
                <w:color w:val="auto"/>
              </w:rPr>
            </w:pPr>
          </w:p>
        </w:tc>
        <w:tc>
          <w:tcPr>
            <w:tcW w:w="3380" w:type="dxa"/>
            <w:vAlign w:val="bottom"/>
            <w:gridSpan w:val="2"/>
          </w:tcPr>
          <w:p>
            <w:pPr>
              <w:ind w:left="800"/>
              <w:spacing w:after="0"/>
              <w:rPr>
                <w:sz w:val="20"/>
                <w:szCs w:val="20"/>
                <w:color w:val="auto"/>
              </w:rPr>
            </w:pPr>
            <w:r>
              <w:rPr>
                <w:rFonts w:ascii="Arial" w:cs="Arial" w:eastAsia="Arial" w:hAnsi="Arial"/>
                <w:sz w:val="18"/>
                <w:szCs w:val="18"/>
                <w:color w:val="auto"/>
              </w:rPr>
              <w:t>$1,191,666.67)</w:t>
            </w:r>
          </w:p>
        </w:tc>
        <w:tc>
          <w:tcPr>
            <w:tcW w:w="4840" w:type="dxa"/>
            <w:vAlign w:val="bottom"/>
          </w:tcPr>
          <w:p>
            <w:pPr>
              <w:spacing w:after="0"/>
              <w:rPr>
                <w:sz w:val="20"/>
                <w:szCs w:val="2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1.875% due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-215900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30 basis 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100-08+; 1.818%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any time before February 12, 2021 (one month before the maturity date) at the greater of 100% of the principal amount of the notes being redeemed or discounted present value at the rate of Treasury plus 12.5 basis points</w:t>
      </w:r>
    </w:p>
    <w:p>
      <w:pPr>
        <w:spacing w:after="0" w:line="181" w:lineRule="exact"/>
        <w:rPr>
          <w:sz w:val="20"/>
          <w:szCs w:val="20"/>
          <w:color w:val="auto"/>
        </w:rPr>
      </w:pPr>
    </w:p>
    <w:p>
      <w:pPr>
        <w:sectPr>
          <w:pgSz w:w="11900" w:h="16838" w:orient="portrait"/>
          <w:cols w:equalWidth="0" w:num="2">
            <w:col w:w="3280" w:space="720"/>
            <w:col w:w="7260"/>
          </w:cols>
          <w:pgMar w:left="240" w:top="274" w:right="399" w:bottom="1440" w:gutter="0" w:footer="0" w:header="0"/>
        </w:sectPr>
      </w:pPr>
    </w:p>
    <w:p>
      <w:pPr>
        <w:spacing w:after="0"/>
        <w:tabs>
          <w:tab w:leader="none" w:pos="3980" w:val="left"/>
        </w:tabs>
        <w:rPr>
          <w:sz w:val="20"/>
          <w:szCs w:val="20"/>
          <w:color w:val="auto"/>
        </w:rPr>
      </w:pPr>
      <w:r>
        <w:rPr>
          <w:rFonts w:ascii="Arial" w:cs="Arial" w:eastAsia="Arial" w:hAnsi="Arial"/>
          <w:sz w:val="18"/>
          <w:szCs w:val="18"/>
          <w:color w:val="auto"/>
        </w:rPr>
        <w:t>Par Call:</w:t>
      </w:r>
      <w:r>
        <w:rPr>
          <w:sz w:val="20"/>
          <w:szCs w:val="20"/>
          <w:color w:val="auto"/>
        </w:rPr>
        <w:tab/>
      </w:r>
      <w:r>
        <w:rPr>
          <w:rFonts w:ascii="Arial" w:cs="Arial" w:eastAsia="Arial" w:hAnsi="Arial"/>
          <w:sz w:val="16"/>
          <w:szCs w:val="16"/>
          <w:color w:val="auto"/>
        </w:rPr>
        <w:t>At any time on or after February 12, 2021 (one month before the maturity date) at 100% of the</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principal amount of notes being redeemed</w:t>
      </w:r>
    </w:p>
    <w:p>
      <w:pPr>
        <w:spacing w:after="0" w:line="211"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7"/>
          <w:szCs w:val="17"/>
          <w:color w:val="auto"/>
        </w:rPr>
        <w:t>April 27, 2017</w:t>
      </w:r>
    </w:p>
    <w:p>
      <w:pPr>
        <w:spacing w:after="0" w:line="225"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6"/>
          <w:szCs w:val="16"/>
          <w:color w:val="auto"/>
        </w:rPr>
        <w:t>May 4, 2017 (T+5)</w:t>
      </w:r>
    </w:p>
    <w:p>
      <w:pPr>
        <w:spacing w:after="0" w:line="225"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Denominations:</w:t>
      </w:r>
      <w:r>
        <w:rPr>
          <w:sz w:val="20"/>
          <w:szCs w:val="20"/>
          <w:color w:val="auto"/>
        </w:rPr>
        <w:tab/>
      </w:r>
      <w:r>
        <w:rPr>
          <w:rFonts w:ascii="Arial" w:cs="Arial" w:eastAsia="Arial" w:hAnsi="Arial"/>
          <w:sz w:val="18"/>
          <w:szCs w:val="18"/>
          <w:color w:val="auto"/>
        </w:rPr>
        <w:t>$2,000 and multiples of $1,000 thereafter</w:t>
      </w:r>
    </w:p>
    <w:p>
      <w:pPr>
        <w:spacing w:after="0" w:line="225"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CUSIP/ISIN:</w:t>
      </w:r>
      <w:r>
        <w:rPr>
          <w:sz w:val="20"/>
          <w:szCs w:val="20"/>
          <w:color w:val="auto"/>
        </w:rPr>
        <w:tab/>
      </w:r>
      <w:r>
        <w:rPr>
          <w:rFonts w:ascii="Arial" w:cs="Arial" w:eastAsia="Arial" w:hAnsi="Arial"/>
          <w:sz w:val="18"/>
          <w:szCs w:val="18"/>
          <w:color w:val="auto"/>
        </w:rPr>
        <w:t>882508 AY0 / US882508AY08</w:t>
      </w:r>
    </w:p>
    <w:p>
      <w:pPr>
        <w:spacing w:after="0" w:line="225"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Ratings:*</w:t>
      </w:r>
      <w:r>
        <w:rPr>
          <w:sz w:val="20"/>
          <w:szCs w:val="20"/>
          <w:color w:val="auto"/>
        </w:rPr>
        <w:tab/>
      </w:r>
      <w:r>
        <w:rPr>
          <w:rFonts w:ascii="Arial" w:cs="Arial" w:eastAsia="Arial" w:hAnsi="Arial"/>
          <w:sz w:val="18"/>
          <w:szCs w:val="18"/>
          <w:color w:val="auto"/>
        </w:rPr>
        <w:t>Moody’s: A1 (stable outlook)</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S&amp;P: A+ (stable outlook)</w:t>
      </w:r>
    </w:p>
    <w:p>
      <w:pPr>
        <w:spacing w:after="0" w:line="224"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Joint Book-Running Managers:</w:t>
      </w:r>
      <w:r>
        <w:rPr>
          <w:sz w:val="20"/>
          <w:szCs w:val="20"/>
          <w:color w:val="auto"/>
        </w:rPr>
        <w:tab/>
      </w:r>
      <w:r>
        <w:rPr>
          <w:rFonts w:ascii="Arial" w:cs="Arial" w:eastAsia="Arial" w:hAnsi="Arial"/>
          <w:sz w:val="16"/>
          <w:szCs w:val="16"/>
          <w:color w:val="auto"/>
        </w:rPr>
        <w:t>Citigroup Global Markets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MUFG Securities Americas Inc.</w:t>
      </w:r>
    </w:p>
    <w:p>
      <w:pPr>
        <w:spacing w:after="0" w:line="23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Mizuho Securities USA LLC</w:t>
      </w:r>
    </w:p>
    <w:p>
      <w:pPr>
        <w:spacing w:after="0" w:line="224"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U.S. Bancorp Investments,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Williams Capital Group, L.P.</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HSBC Securities (USA) LLC</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type w:val="continuous"/>
        </w:sectPr>
      </w:pPr>
    </w:p>
    <w:bookmarkStart w:id="2" w:name="page3"/>
    <w:bookmarkEnd w:id="2"/>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8"/>
          <w:szCs w:val="18"/>
          <w:u w:val="single" w:color="auto"/>
          <w:color w:val="auto"/>
        </w:rPr>
        <w:t>2.625%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-215900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2.625%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99.231% of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beginning on November 15, 2017, and on the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$296,493,000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2.125% due March 31,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65 basis 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2.746%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100-06; 2.096%</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any time before March 15, 2024 (2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March 15, 2024 (2 months before the maturity date), in each case discounted to the date of redemption on a semi-annual basis at the rate of Treasury plus 10 basis points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any time on or after March 15, 2024 (2 months before the maturity date) at 100% of the principal amount of notes being redeemed</w:t>
      </w:r>
    </w:p>
    <w:p>
      <w:pPr>
        <w:spacing w:after="0" w:line="10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280" w:space="720"/>
            <w:col w:w="7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-208915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380"/>
          </w:cols>
          <w:pgMar w:left="240" w:top="274" w:right="27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May 4, 2017 (T+5)</w:t>
      </w:r>
    </w:p>
    <w:p>
      <w:pPr>
        <w:spacing w:after="0" w:line="200"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$2,000 and multiples of $1,000 thereafter</w:t>
      </w:r>
    </w:p>
    <w:p>
      <w:pPr>
        <w:spacing w:after="0" w:line="200"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882508 BB9 / US882508BB95</w:t>
      </w:r>
    </w:p>
    <w:p>
      <w:pPr>
        <w:spacing w:after="0" w:line="211"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Moody’s: A1 (stable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200"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200"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spacing w:after="0" w:line="6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Mizuho Securities USA LLC</w:t>
      </w:r>
    </w:p>
    <w:p>
      <w:pPr>
        <w:sectPr>
          <w:pgSz w:w="11900" w:h="16838" w:orient="portrait"/>
          <w:cols w:equalWidth="0" w:num="1">
            <w:col w:w="11380"/>
          </w:cols>
          <w:pgMar w:left="240" w:top="274" w:right="27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U.S. Bancorp Investments,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LLC</w:t>
      </w:r>
    </w:p>
    <w:p>
      <w:pPr>
        <w:spacing w:after="0" w:line="200"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A securities rating is not a recommendation to buy, sell or hold securities and may be subject to revision or withdrawal at any time.</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4, 2017,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jc w:val="both"/>
        <w:ind w:right="180"/>
        <w:spacing w:after="0" w:line="314"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type w:val="continuous"/>
        </w:sectPr>
      </w:pPr>
    </w:p>
    <w:bookmarkStart w:id="4" w:name="page5"/>
    <w:bookmarkEnd w:id="4"/>
    <w:p>
      <w:pPr>
        <w:ind w:right="52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Morgan Stanley &amp; Co. LLC at (866) 718-1649 or MUFG Securities Americas Inc. at (877) 649-6848.</w:t>
      </w:r>
    </w:p>
    <w:p>
      <w:pPr>
        <w:spacing w:after="0" w:line="180"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2019-12-05T07:51:30Z</dcterms:created>
  <dcterms:modified xsi:type="dcterms:W3CDTF">2019-12-05T07:51:30Z</dcterms:modified>
</cp:coreProperties>
</file>