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10-K</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ANNUAL REPORT 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the Fiscal Year Ended December 31, 2001</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Commission File Number 1-3761</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7" w:lineRule="exact"/>
        <w:rPr>
          <w:sz w:val="24"/>
          <w:szCs w:val="24"/>
          <w:color w:val="auto"/>
        </w:rPr>
      </w:pPr>
    </w:p>
    <w:p>
      <w:pPr>
        <w:jc w:val="both"/>
        <w:ind w:left="1380" w:right="3159" w:firstLine="105"/>
        <w:spacing w:after="0" w:line="290" w:lineRule="auto"/>
        <w:rPr>
          <w:sz w:val="20"/>
          <w:szCs w:val="20"/>
          <w:color w:val="auto"/>
        </w:rPr>
      </w:pPr>
      <w:r>
        <w:rPr>
          <w:rFonts w:ascii="Courier New" w:cs="Courier New" w:eastAsia="Courier New" w:hAnsi="Courier New"/>
          <w:sz w:val="16"/>
          <w:szCs w:val="16"/>
          <w:color w:val="auto"/>
        </w:rPr>
        <w:t>----------------------------------------------------- (Exact name of Registrant as specified in its charter)</w:t>
      </w:r>
    </w:p>
    <w:p>
      <w:pPr>
        <w:sectPr>
          <w:pgSz w:w="11900" w:h="16865" w:orient="portrait"/>
          <w:cols w:equalWidth="0" w:num="1">
            <w:col w:w="10219"/>
          </w:cols>
          <w:pgMar w:left="240" w:top="447" w:right="1440" w:bottom="0" w:gutter="0" w:footer="0" w:header="0"/>
        </w:sectPr>
      </w:pPr>
    </w:p>
    <w:p>
      <w:pPr>
        <w:spacing w:after="0" w:line="164"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ind w:left="1460"/>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65" w:orient="portrait"/>
          <w:cols w:equalWidth="0" w:num="2">
            <w:col w:w="3300" w:space="720"/>
            <w:col w:w="6199"/>
          </w:cols>
          <w:pgMar w:left="240" w:top="447" w:right="1440" w:bottom="0" w:gutter="0" w:footer="0" w:header="0"/>
          <w:type w:val="continuous"/>
        </w:sectPr>
      </w:pPr>
    </w:p>
    <w:p>
      <w:pPr>
        <w:spacing w:after="0" w:line="18" w:lineRule="exact"/>
        <w:rPr>
          <w:sz w:val="24"/>
          <w:szCs w:val="24"/>
          <w:color w:val="auto"/>
        </w:rPr>
      </w:pPr>
    </w:p>
    <w:p>
      <w:pPr>
        <w:ind w:left="640"/>
        <w:spacing w:after="0"/>
        <w:tabs>
          <w:tab w:leader="none" w:pos="6840" w:val="left"/>
        </w:tabs>
        <w:rPr>
          <w:sz w:val="20"/>
          <w:szCs w:val="20"/>
          <w:color w:val="auto"/>
        </w:rPr>
      </w:pPr>
      <w:r>
        <w:rPr>
          <w:rFonts w:ascii="Courier New" w:cs="Courier New" w:eastAsia="Courier New" w:hAnsi="Courier New"/>
          <w:sz w:val="18"/>
          <w:szCs w:val="18"/>
          <w:color w:val="auto"/>
        </w:rPr>
        <w:t>12500 TI Boulevard, P.O. Box 660199, Dallas, Texas</w:t>
      </w:r>
      <w:r>
        <w:rPr>
          <w:sz w:val="20"/>
          <w:szCs w:val="20"/>
          <w:color w:val="auto"/>
        </w:rPr>
        <w:tab/>
      </w:r>
      <w:r>
        <w:rPr>
          <w:rFonts w:ascii="Courier New" w:cs="Courier New" w:eastAsia="Courier New" w:hAnsi="Courier New"/>
          <w:sz w:val="16"/>
          <w:szCs w:val="16"/>
          <w:color w:val="auto"/>
        </w:rPr>
        <w:t>75266-0199</w:t>
      </w:r>
    </w:p>
    <w:p>
      <w:pPr>
        <w:sectPr>
          <w:pgSz w:w="11900" w:h="16865" w:orient="portrait"/>
          <w:cols w:equalWidth="0" w:num="1">
            <w:col w:w="10219"/>
          </w:cols>
          <w:pgMar w:left="240" w:top="447" w:right="1440" w:bottom="0" w:gutter="0" w:footer="0" w:header="0"/>
          <w:type w:val="continuous"/>
        </w:sectPr>
      </w:pP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68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Registrant's telephone number, including area code 972-995-3773</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ectPr>
          <w:pgSz w:w="11900" w:h="16865"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Title of each class</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Common Stock, par value $1.00</w:t>
      </w:r>
    </w:p>
    <w:p>
      <w:pPr>
        <w:spacing w:after="0" w:line="206"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Preferred Stock Purchase Rights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on</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which registered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York Stock Exchange</w:t>
      </w:r>
    </w:p>
    <w:p>
      <w:pPr>
        <w:spacing w:after="0" w:line="238" w:lineRule="auto"/>
        <w:rPr>
          <w:sz w:val="20"/>
          <w:szCs w:val="20"/>
          <w:color w:val="auto"/>
        </w:rPr>
      </w:pPr>
      <w:r>
        <w:rPr>
          <w:rFonts w:ascii="Courier New" w:cs="Courier New" w:eastAsia="Courier New" w:hAnsi="Courier New"/>
          <w:sz w:val="18"/>
          <w:szCs w:val="18"/>
          <w:color w:val="auto"/>
        </w:rPr>
        <w:t>The Swiss Exchange</w:t>
      </w:r>
    </w:p>
    <w:p>
      <w:pPr>
        <w:spacing w:after="0"/>
        <w:rPr>
          <w:sz w:val="20"/>
          <w:szCs w:val="20"/>
          <w:color w:val="auto"/>
        </w:rPr>
      </w:pPr>
      <w:r>
        <w:rPr>
          <w:rFonts w:ascii="Courier New" w:cs="Courier New" w:eastAsia="Courier New" w:hAnsi="Courier New"/>
          <w:sz w:val="18"/>
          <w:szCs w:val="18"/>
          <w:color w:val="auto"/>
        </w:rPr>
        <w:t>New York Stock Exchange</w:t>
      </w:r>
    </w:p>
    <w:p>
      <w:pPr>
        <w:spacing w:after="0" w:line="200" w:lineRule="exact"/>
        <w:rPr>
          <w:sz w:val="24"/>
          <w:szCs w:val="24"/>
          <w:color w:val="auto"/>
        </w:rPr>
      </w:pPr>
    </w:p>
    <w:p>
      <w:pPr>
        <w:sectPr>
          <w:pgSz w:w="11900" w:h="16865" w:orient="portrait"/>
          <w:cols w:equalWidth="0" w:num="2">
            <w:col w:w="5080" w:space="720"/>
            <w:col w:w="4419"/>
          </w:cols>
          <w:pgMar w:left="240" w:top="447" w:right="1440" w:bottom="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Indicate by</w:t>
            </w:r>
          </w:p>
        </w:tc>
        <w:tc>
          <w:tcPr>
            <w:tcW w:w="7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check mark whether the Registrant (1) has filed all reports required</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filed</w:t>
            </w:r>
          </w:p>
        </w:tc>
        <w:tc>
          <w:tcPr>
            <w:tcW w:w="7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by Section 13 or 15(d) of the Securities Exchange Act of 1934 during</w:t>
            </w:r>
          </w:p>
        </w:tc>
      </w:tr>
      <w:tr>
        <w:trPr>
          <w:trHeight w:val="203"/>
        </w:trPr>
        <w:tc>
          <w:tcPr>
            <w:tcW w:w="8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preceding 12 months (or for such shorter period that the Registrant was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7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file such reports), and (2) has been subject to such filing</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requirements for the past 90 days. Yes X</w:t>
            </w:r>
          </w:p>
        </w:tc>
        <w:tc>
          <w:tcPr>
            <w:tcW w:w="4000" w:type="dxa"/>
            <w:vAlign w:val="bottom"/>
          </w:tcPr>
          <w:p>
            <w:pPr>
              <w:jc w:val="right"/>
              <w:ind w:right="3612"/>
              <w:spacing w:after="0" w:line="203" w:lineRule="exact"/>
              <w:rPr>
                <w:sz w:val="20"/>
                <w:szCs w:val="20"/>
                <w:color w:val="auto"/>
              </w:rPr>
            </w:pPr>
            <w:r>
              <w:rPr>
                <w:rFonts w:ascii="Courier New" w:cs="Courier New" w:eastAsia="Courier New" w:hAnsi="Courier New"/>
                <w:sz w:val="18"/>
                <w:szCs w:val="18"/>
                <w:color w:val="auto"/>
              </w:rPr>
              <w:t>No</w:t>
            </w:r>
          </w:p>
        </w:tc>
      </w:tr>
      <w:tr>
        <w:trPr>
          <w:trHeight w:val="203"/>
        </w:trPr>
        <w:tc>
          <w:tcPr>
            <w:tcW w:w="1220" w:type="dxa"/>
            <w:vAlign w:val="bottom"/>
          </w:tcPr>
          <w:p>
            <w:pPr>
              <w:spacing w:after="0"/>
              <w:rPr>
                <w:sz w:val="17"/>
                <w:szCs w:val="17"/>
                <w:color w:val="auto"/>
              </w:rPr>
            </w:pPr>
          </w:p>
        </w:tc>
        <w:tc>
          <w:tcPr>
            <w:tcW w:w="3220" w:type="dxa"/>
            <w:vAlign w:val="bottom"/>
          </w:tcPr>
          <w:p>
            <w:pPr>
              <w:ind w:left="280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jc w:val="right"/>
              <w:ind w:right="30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Indicate by</w:t>
            </w:r>
          </w:p>
        </w:tc>
        <w:tc>
          <w:tcPr>
            <w:tcW w:w="7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check mark if disclosure of delinquent filers pursuant to Item 405</w:t>
            </w:r>
          </w:p>
        </w:tc>
      </w:tr>
      <w:tr>
        <w:trPr>
          <w:trHeight w:val="203"/>
        </w:trPr>
        <w:tc>
          <w:tcPr>
            <w:tcW w:w="8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 Regulation S-K is not contained herein, and will not be contained, to the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best of the</w:t>
            </w:r>
          </w:p>
        </w:tc>
        <w:tc>
          <w:tcPr>
            <w:tcW w:w="7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Registrant's knowledge, in definitive proxy or information</w:t>
            </w:r>
          </w:p>
        </w:tc>
      </w:tr>
    </w:tbl>
    <w:p>
      <w:pPr>
        <w:spacing w:after="0" w:line="4"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statements incorporated by reference in Part III of this Form 10-K or any amendment to this Form 10-K. X</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The aggregate market value of voting stock held by non-affiliates of the Registrant was approximately $53,500,000,000 as of January 31, 2002.</w:t>
      </w:r>
    </w:p>
    <w:p>
      <w:pPr>
        <w:spacing w:after="0" w:line="16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1,736,248,062</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(Number of shares of common stock outstanding as of January 31, 2002)</w:t>
      </w:r>
    </w:p>
    <w:p>
      <w:pPr>
        <w:spacing w:after="0" w:line="206" w:lineRule="exact"/>
        <w:rPr>
          <w:sz w:val="24"/>
          <w:szCs w:val="24"/>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Parts I, II, III and IV hereof incorporate information by reference to the Registrant's proxy statement for the 2002 annual meeting of stockholders.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4"/>
          <w:szCs w:val="24"/>
          <w:color w:val="auto"/>
        </w:rPr>
      </w:pPr>
    </w:p>
    <w:p>
      <w:pPr>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ITEM</w:t>
        <w:tab/>
        <w:t>1.</w:t>
      </w:r>
      <w:r>
        <w:rPr>
          <w:sz w:val="20"/>
          <w:szCs w:val="20"/>
          <w:color w:val="auto"/>
        </w:rPr>
        <w:tab/>
      </w:r>
      <w:r>
        <w:rPr>
          <w:rFonts w:ascii="Courier New" w:cs="Courier New" w:eastAsia="Courier New" w:hAnsi="Courier New"/>
          <w:sz w:val="16"/>
          <w:szCs w:val="16"/>
          <w:color w:val="auto"/>
        </w:rPr>
        <w:t>Business.</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General</w:t>
        <w:tab/>
        <w:t>Information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("TI" or the "company," including subsidiaries except where the context indicates otherwise) is headquartered in Dallas, Texas, and has manufacturing, design or sales operations in more than 25 countries. TI's largest geographic markets are in the United States, Asia, Japan and Europe. TI has been in operation since 1930.</w:t>
      </w:r>
    </w:p>
    <w:p>
      <w:pPr>
        <w:spacing w:after="0" w:line="209" w:lineRule="exact"/>
        <w:rPr>
          <w:sz w:val="24"/>
          <w:szCs w:val="24"/>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financial information with respect to TI's business segments and operations outside the United States, which is contained in the note to the financial</w:t>
      </w:r>
    </w:p>
    <w:p>
      <w:pPr>
        <w:sectPr>
          <w:pgSz w:w="11900" w:h="16865" w:orient="portrait"/>
          <w:cols w:equalWidth="0" w:num="1">
            <w:col w:w="10219"/>
          </w:cols>
          <w:pgMar w:left="240" w:top="447" w:right="1440" w:bottom="0" w:gutter="0" w:footer="0" w:header="0"/>
          <w:type w:val="continuous"/>
        </w:sectPr>
      </w:pPr>
    </w:p>
    <w:bookmarkStart w:id="1" w:name="page2"/>
    <w:bookmarkEnd w:id="1"/>
    <w:p>
      <w:pPr>
        <w:ind w:right="1999"/>
        <w:spacing w:after="0" w:line="236" w:lineRule="auto"/>
        <w:rPr>
          <w:sz w:val="20"/>
          <w:szCs w:val="20"/>
          <w:color w:val="auto"/>
        </w:rPr>
      </w:pPr>
      <w:r>
        <w:rPr>
          <w:rFonts w:ascii="Courier New" w:cs="Courier New" w:eastAsia="Courier New" w:hAnsi="Courier New"/>
          <w:sz w:val="18"/>
          <w:szCs w:val="18"/>
          <w:color w:val="auto"/>
        </w:rPr>
        <w:t>statements captioned "Business Segment and Geographic Area Data" on pages C-25 through C-27 of TI's proxy statement for the 2002 annual meeting of stockholders, is incorporated herein by reference to such proxy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TI is a global semiconductor company and a leading designer and supplier of digital signal processors and analog integrated circuits, the engines driving the digitization of electronics. These two types of semiconductor products work together in digital electronic devices such as digital cellular phones. Digital signal processors and analog integrated circuits enable a wide range of new products and features for TI's more than 30,000 customers in commercial, industrial and consumer markets.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TI also is a world leader in the design and manufacturing of other semiconductor products. Those products include standard logic devices, application-specific integrated circuits, reduced instruction-set computing microprocessors, microcontrollers and digital imaging devices.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semiconductor business comprised 83% of TI's 2001 revenues. TI's semiconductor products are used in a diverse range of electronic systems, including cellular telephones, personal computers, servers, communications infrastructure equipment, digital cameras, digital audio players, motor controls, automobiles and digital imaging systems including projector and television systems. Products are sold to original-equipment manufacturers, contract manufacturers and distributors. TI's semiconductor patent portfolio has been established as an ongoing contributor to semiconductor revenues. Revenues generated from sales to TI's top five semiconductor customers accounted for approximately 29% of total semiconductor revenues in 2001.</w:t>
      </w:r>
    </w:p>
    <w:p>
      <w:pPr>
        <w:spacing w:after="0" w:line="21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semiconductor business is intensely competitive, subject to rapid technological change and pricing pressures, and requires high rates of investment. TI faces strong competition in all of its semiconductor product lines. The rapid pace of change and technological breakthroughs constantly create new opportunities for existing competitors and start-ups, which can quickly render existing technologies less valuable. In digital signal processors, TI competes with a growing number of large and small companies, both U.S.-based and international. New product development capabilities, applications</w:t>
      </w:r>
    </w:p>
    <w:p>
      <w:pPr>
        <w:spacing w:after="0" w:line="38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support, software knowledge and advanced semiconductor process technology are the primary competitive factors in this business.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market for analog integrated circuits is highly fragmented. TI competes with many large and small companies, both U.S.-based and international. Primary competitive factors in this business are the availability of innovative designs and designers, a broad range of process technologies and applications support and, particularly in the standard products area, price.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TI Businesses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to semiconductors, TI has two other principal segments. The largest, representing 12% of TI's 2001 revenues, is Sensors &amp; Controls. This business sells electrical and electronic controls, sensors and radio-frequency identification systems into commercial and industrial markets. Typically the top supplier in targeted product areas, Sensors &amp; Controls faces strong multinational and regional competitors. The primary competitive factors in this business are product reliability, manufacturing costs and engineering expertise. The products of the business are sold to original equipment manufacturers and distributors. Revenues generated from sales to TI's top five Sensors &amp; Controls customers accounted for approximately 24% of total Sensors &amp; Controls revenues in 2001.</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Educational &amp; Productivity Solutions (E&amp;PS) represents 5% of TI's 2001 revenues and is a leading supplier of graphing and educational calculators. This business sells primarily through retailers and to schools through instructional dealers. TI's principal competitors in this business are Japan- and U.S.-based companies. Technology expertise, price and infrastructure for education and market understanding are primary competitive factors in this business. Revenues generated from sales to TI's top five E&amp;PS customers accounted for approximately 44% of total E&amp;PS revenues in 2001.</w:t>
      </w:r>
    </w:p>
    <w:p>
      <w:pPr>
        <w:spacing w:after="0" w:line="200" w:lineRule="exact"/>
        <w:rPr>
          <w:sz w:val="20"/>
          <w:szCs w:val="20"/>
          <w:color w:val="auto"/>
        </w:rPr>
      </w:pPr>
    </w:p>
    <w:p>
      <w:pPr>
        <w:spacing w:after="0" w:line="209" w:lineRule="exact"/>
        <w:rPr>
          <w:sz w:val="20"/>
          <w:szCs w:val="20"/>
          <w:color w:val="auto"/>
        </w:rPr>
      </w:pPr>
    </w:p>
    <w:p>
      <w:pPr>
        <w:spacing w:after="0"/>
        <w:tabs>
          <w:tab w:leader="none" w:pos="1460" w:val="left"/>
          <w:tab w:leader="none" w:pos="1980" w:val="left"/>
        </w:tabs>
        <w:rPr>
          <w:sz w:val="20"/>
          <w:szCs w:val="20"/>
          <w:color w:val="auto"/>
        </w:rPr>
      </w:pPr>
      <w:r>
        <w:rPr>
          <w:rFonts w:ascii="Courier New" w:cs="Courier New" w:eastAsia="Courier New" w:hAnsi="Courier New"/>
          <w:sz w:val="18"/>
          <w:szCs w:val="18"/>
          <w:color w:val="auto"/>
        </w:rPr>
        <w:t>Acquisitions</w:t>
        <w:tab/>
        <w:t>and</w:t>
      </w:r>
      <w:r>
        <w:rPr>
          <w:sz w:val="20"/>
          <w:szCs w:val="20"/>
          <w:color w:val="auto"/>
        </w:rPr>
        <w:tab/>
      </w:r>
      <w:r>
        <w:rPr>
          <w:rFonts w:ascii="Courier New" w:cs="Courier New" w:eastAsia="Courier New" w:hAnsi="Courier New"/>
          <w:sz w:val="16"/>
          <w:szCs w:val="16"/>
          <w:color w:val="auto"/>
        </w:rPr>
        <w:t>Divestitures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From time to time TI considers acquisitions and divestitures that may strengthen its business portfolio. TI may effect one or more of these transactions at such time or times as it determines to be appropriate. In the third quarter of 2001, TI acquired Graychip, a developer of digital up- and down-converters. This acquisition strengthened TI's product offering for high-speed signal processing applications such as digital radio, wireless basestations, point-to-point microwave communications, broadband wireless access, cable modem head-ends, and digital video systems. Graychip also provided expertise in data conversion across multiple cellular standards.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dollar amount of backlog of orders believed by TI to be firm was $1036 million as of December 31, 2001 and $2411 million as of December 31, 2000. Backlog orders are, under certain circumstances, subject to cancellation. Also, there is generally a short cycle between order and shipment. Accordingly, the company believes that its backlog as of any particular date may not be indicative of revenue for any future period.</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3" w:name="page4"/>
    <w:bookmarkEnd w:id="3"/>
    <w:p>
      <w:pPr>
        <w:spacing w:after="0"/>
        <w:tabs>
          <w:tab w:leader="none" w:pos="520" w:val="left"/>
        </w:tabs>
        <w:rPr>
          <w:sz w:val="20"/>
          <w:szCs w:val="20"/>
          <w:color w:val="auto"/>
        </w:rPr>
      </w:pPr>
      <w:r>
        <w:rPr>
          <w:rFonts w:ascii="Courier New" w:cs="Courier New" w:eastAsia="Courier New" w:hAnsi="Courier New"/>
          <w:sz w:val="18"/>
          <w:szCs w:val="18"/>
          <w:color w:val="auto"/>
        </w:rPr>
        <w:t>Raw</w:t>
        <w:tab/>
        <w:t>Materials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TI purchases materials, parts and supplies from a number of suppliers. The materials, parts and supplies essential to TI's business are generally available at present and TI believes at this time that such materials, parts and supplies will be available in the foreseeable future.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1460" w:val="left"/>
        </w:tabs>
        <w:rPr>
          <w:sz w:val="20"/>
          <w:szCs w:val="20"/>
          <w:color w:val="auto"/>
        </w:rPr>
      </w:pPr>
      <w:r>
        <w:rPr>
          <w:rFonts w:ascii="Courier New" w:cs="Courier New" w:eastAsia="Courier New" w:hAnsi="Courier New"/>
          <w:sz w:val="18"/>
          <w:szCs w:val="18"/>
          <w:color w:val="auto"/>
        </w:rPr>
        <w:t>Patents</w:t>
        <w:tab/>
        <w:t>and</w:t>
      </w:r>
      <w:r>
        <w:rPr>
          <w:sz w:val="20"/>
          <w:szCs w:val="20"/>
          <w:color w:val="auto"/>
        </w:rPr>
        <w:tab/>
      </w:r>
      <w:r>
        <w:rPr>
          <w:rFonts w:ascii="Courier New" w:cs="Courier New" w:eastAsia="Courier New" w:hAnsi="Courier New"/>
          <w:sz w:val="16"/>
          <w:szCs w:val="16"/>
          <w:color w:val="auto"/>
        </w:rPr>
        <w:t>Trademarks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TI owns many patents in the United States and other countries in fields relating to its business. The company has developed a strong, broad-based patent portfolio. TI also has several agreements with other companies involving license rights and anticipates that other licenses may be negotiated in the future. TI does not consider its business materially dependent upon any one patent or patent license, although taken as a whole, the rights of TI and the products made and sold under patents and patent licenses are important to TI's business.</w:t>
      </w:r>
    </w:p>
    <w:p>
      <w:pPr>
        <w:spacing w:after="0" w:line="188" w:lineRule="exact"/>
        <w:rPr>
          <w:sz w:val="20"/>
          <w:szCs w:val="20"/>
          <w:color w:val="auto"/>
        </w:rPr>
      </w:pPr>
    </w:p>
    <w:p>
      <w:pPr>
        <w:jc w:val="both"/>
        <w:ind w:right="2839"/>
        <w:spacing w:after="0" w:line="236" w:lineRule="auto"/>
        <w:rPr>
          <w:sz w:val="20"/>
          <w:szCs w:val="20"/>
          <w:color w:val="auto"/>
        </w:rPr>
      </w:pPr>
      <w:r>
        <w:rPr>
          <w:rFonts w:ascii="Courier New" w:cs="Courier New" w:eastAsia="Courier New" w:hAnsi="Courier New"/>
          <w:sz w:val="18"/>
          <w:szCs w:val="18"/>
          <w:color w:val="auto"/>
        </w:rPr>
        <w:t>TI owns trademarks that are used in the conduct of its business. These trademarks are valuable assets, the most important of which are "Texas Instruments" and TI's corporate monogram.</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 w:leader="none" w:pos="1560" w:val="left"/>
        </w:tabs>
        <w:rPr>
          <w:sz w:val="20"/>
          <w:szCs w:val="20"/>
          <w:color w:val="auto"/>
        </w:rPr>
      </w:pPr>
      <w:r>
        <w:rPr>
          <w:rFonts w:ascii="Courier New" w:cs="Courier New" w:eastAsia="Courier New" w:hAnsi="Courier New"/>
          <w:sz w:val="18"/>
          <w:szCs w:val="18"/>
          <w:color w:val="auto"/>
        </w:rPr>
        <w:t>Research</w:t>
        <w:tab/>
        <w:t>and</w:t>
      </w:r>
      <w:r>
        <w:rPr>
          <w:sz w:val="20"/>
          <w:szCs w:val="20"/>
          <w:color w:val="auto"/>
        </w:rPr>
        <w:tab/>
      </w:r>
      <w:r>
        <w:rPr>
          <w:rFonts w:ascii="Courier New" w:cs="Courier New" w:eastAsia="Courier New" w:hAnsi="Courier New"/>
          <w:sz w:val="16"/>
          <w:szCs w:val="16"/>
          <w:color w:val="auto"/>
        </w:rPr>
        <w:t>Development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TI's research and development expense was $1598 million in 2001, compared with $1747 million in 2000 and $1379 million in 1999. Included is a charge for the value of acquisition-related purchased in-process research and development of zero in 2001, $112 million in 2000 and $79 million in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TI's revenues and operating results are subject to some seasonal variation.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information concerning the number of persons employed by TI at December 31, 2001 on page C-31 of TI's proxy statement for the 2002 annual meeting of stockholders is incorporated herein by reference to such proxy statement.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Cautionary Statements Regarding Future Results of Operations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You should read the following cautionary statements in conjunction with the factors discussed elsewhere in this and other of TI's filings with the Securities and Exchange Commission (SEC) and in materials incorporated by reference in these filings. These cautionary statements are intended to</w:t>
      </w:r>
    </w:p>
    <w:p>
      <w:pPr>
        <w:spacing w:after="0" w:line="3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highlight certain factors that may affect the financial condition and results of operations of TI and are not meant to be an exhaustive discussion of risks that apply to companies with broad international operations, such as TI. Like other businesses, TI is susceptible to macroeconomic downturns in the United States or abroad that may affect the general economic climate and performance of TI or its customers. Similarly, the price of TI's securities is subject to volatility due to fluctuations in general market conditions, differences in TI's results of operations from estimates and projections generated by the investment community and other factors beyond TI's control.</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 Weakening or Delayed Recovery in the Semiconductor Market May Adversely</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Affect TI's Performance.</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TI's semiconductor business represents its largest business segment and the principal source of its revenues. The semiconductor market has historically been cyclical and subject to significant economic downturns. After strong growth in 1999 and 2000, the semiconductor market declined significantly in 2001. Further weakening or delayed recovery in the semiconductor market could adversely affect TI's results of operations and have an adverse effect on the market price of its securities. In particular, TI's strategic focus in this business is on the development and marketing of digital signal processors and analog integrated circuits. While TI believes that focusing its efforts on digital signal processors and analog integrated circuits offers the best opportunity for TI to achieve its strategic goals and that TI has developed, and will continue to develop, a wide range of innovative and technologically advanced products, the results of TI's operations may be adversely affected in the future if demand for digital signal processors or analog integrated circuits decreases or if these markets or key end-equipment markets such as telecommunications and computers grow at a pace significantly less than that expected by management.</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Technology Industry is Characterized by Rapid Technological Change that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Requires TI to Develop New Technologies and Products.</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TI's results of operations depend in part upon its ability to successfully develop, manufacture and market innovative products in a rapidly changing technological environment. TI requires significant capital to develop new technologies and products to meet changing customer demands that, in turn, may result in shortened product lifecycles. Moreover, expenditures for technology and product development are generally made before the commercial viability for such developments can be assured. As a result, there can be no assurance that TI will successfully develop and market these new products, that the products TI does develop and market will be well received by customers or that TI will realize a return on the capital expended to develop such products.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Faces Substantial Competition that Requires TI to Respond Rapidly to Product</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Development and Pricing Pressures.</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TI faces intense technological and pricing competition in the markets in which it operates. TI expects that the level of this competition will increase in the</w:t>
      </w: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future from large, established semiconductor and related product companies, as well as from emerging companies serving niche markets also served by TI. Certain of TI's competitors possess sufficient financial, technical and management resources to develop and market products that may compete favorably against those products of TI that currently offer technological and/or price advantages over competitive products. Competition results in price and product development pressures, which may result in reduced profit margins and lost business opportunities in the event that TI is unable to match price declines or technological, product, applications support, software or manufacturing advances of its competitors.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TI's Performance Depends upon its Ability to Enforce Its Intellectual Property</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Rights and to Develop or License New Intellectual Property.</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TI benefits from royalties generated from various license agreements that will generally be in effect through the year 2005. Access to worldwide markets depends on the continued strength of TI's intellectual property portfolio. Future royalty revenue depends on the strength of TI's portfolio and enforcement efforts, and on the sales and financial stability of TI's licensees. TI actively enforces and protects its intellectual property rights, but there can be no assurance that TI's efforts will be adequate to prevent the misappropriation or improper use of the protected technology. Moreover, there can be no assurance that, as TI's business expands into new areas, TI will be able to independently develop the technology, software or know-how necessary to conduct its business or that it can do so without infringing the intellectual property rights of others. TI may have to rely increasingly on licensed technology from others. To the extent that TI relies on licenses from others, there can be no assurance that it will be able to obtain all of the licenses it desires in the future on terms it considers reasonable or at all.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Decline in Demand in Certain End-User Markets Could Have a Material Adverse</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Effect on the Demand for TI's Products and Results of Operations.</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TI's customer base includes companies in a wide range of industries, but TI generates a significant amount of revenues from sales to customers in the telecommunications and computer-related industries. Within these industries, a large portion of TI revenues is generated by the sale of digital signal processors and analog integrated circuits to customers in the cellular phone, personal computer and communications infrastructure markets. Many of TI's end-user markets declined significantly in 2001. Further decline in any one or several of these end-user markets could have a material adverse effect on the demand for TI's products and its results of operations.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TI's Global Manufacturing, Design and Sales Activities Subject It to Risks</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Associated with Legal, Political, Economic or Other Changes.</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TI operates in more than 25 countries worldwide and in 2001 more than 72% of its revenues came from sales to locations outside the United States. Operating internationally exposes TI to changes in the laws or policies, as well as the</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general economic conditions, security risks and possible disruptions in transportation networks, of the various countries in which it operates, which could result in an adverse effect on TI's business operations in such countries and its results of operations. Also, as discussed in more detail on pages C-12 and C-37 of TI's proxy statement for the 2002 annual meeting of stockholders, TI uses forward currency exchange contracts to minimize the adverse earnings impact from the effect of exchange rate fluctuations on the company's non-U.S. dollar net balance sheet exposures. Nevertheless, in periods when the U.S. dollar strengthens in relation to the non-U.S. currencies in which TI transacts business, the remeasurement of non-U.S. dollar transactions can have an adverse effect on TI's non-U.S. business.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Loss of or Significant Curtailment of Purchases by any of TI's Largest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Customers Could Adversely Affect TI's Results of Operations.</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While TI generates revenues from thousands of customers worldwide, the loss of or significant curtailment of purchases by one or more of its top customers, including curtailments due to a change in the design or manufacturing sourcing policies or practices of these customers, or the timing of customer inventory adjustments may adversely affect TI's results of operations.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TI's Performance Depends on the Availability of Raw Materials and Critical</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Manufacturing Equipment.</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Limited or delayed access to key raw materials used in the manufacturing process or critical manufacturing equipment could adversely impact TI's results of operations.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TI's Continued Success Depends Upon Its Ability to Retain and Recruit a</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Sufficient Number of Qualified Employees in a Competitive Environment.</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TI's continued success depends on the retention and recruitment of skilled personnel, including technical, marketing, management and staff personnel. Experienced personnel in the electronics industry are in high demand and competition for their skills is intense. There can be no assurance that TI will be able to successfully retain and recruit the key personnel that it requires.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Available Information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 files annual, quarterly and special reports, proxy statements and other information with the SEC. You may read and copy any reports, statements and other information filed by TI at the SEC's public reference rooms at 450 Fifth Street, N.W., Washington, D.C. 20549, or at the SEC offices in New York, New York and Chicago, Illinois. Please call (800) SEC-0330 for further information on the public reference rooms. TI's filings are also available to the public from commercial document retrieval services and at the web site maintained by the SEC at http://www.sec.gov.</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7" w:name="page8"/>
    <w:bookmarkEnd w:id="7"/>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TI's principal executive offices are located at 12500 TI Boulevard, Dallas, Texas. TI owns and leases facilities in the United States and 16 other countries for manufacturing, design and related purposes. The following table indicates the general location of TI's principal manufacturing and design operations and the business segments which make major use of them. Except as otherwise indicated, these facilities are owned by TI.</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8"/>
                <w:szCs w:val="18"/>
                <w:color w:val="auto"/>
              </w:rPr>
              <w:t>Sensors</w:t>
            </w:r>
          </w:p>
        </w:tc>
        <w:tc>
          <w:tcPr>
            <w:tcW w:w="6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Semiconductor</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&amp; Controls</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E&amp;PS</w:t>
            </w:r>
          </w:p>
        </w:tc>
      </w:tr>
      <w:tr>
        <w:trPr>
          <w:trHeight w:val="203"/>
        </w:trPr>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Dallas,</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Texas(1)</w:t>
            </w: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Houston,</w:t>
            </w: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w w:val="92"/>
              </w:rPr>
              <w:t>Texas</w:t>
            </w: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Sherman,</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Texas(1)(2)</w:t>
            </w: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Tucson,</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Arizona</w:t>
            </w: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Attleboro,</w:t>
            </w:r>
          </w:p>
        </w:tc>
        <w:tc>
          <w:tcPr>
            <w:tcW w:w="138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680" w:type="dxa"/>
            <w:vAlign w:val="bottom"/>
          </w:tcPr>
          <w:p>
            <w:pPr>
              <w:spacing w:after="0"/>
              <w:rPr>
                <w:sz w:val="17"/>
                <w:szCs w:val="17"/>
                <w:color w:val="auto"/>
              </w:rPr>
            </w:pPr>
          </w:p>
        </w:tc>
      </w:tr>
      <w:tr>
        <w:trPr>
          <w:trHeight w:val="203"/>
        </w:trPr>
        <w:tc>
          <w:tcPr>
            <w:tcW w:w="244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Massachusetts</w:t>
            </w:r>
          </w:p>
        </w:tc>
        <w:tc>
          <w:tcPr>
            <w:tcW w:w="1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Bangalore,</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India</w:t>
            </w: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Hiji,</w:t>
            </w:r>
          </w:p>
        </w:tc>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Japan</w:t>
            </w: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Miho,</w:t>
            </w:r>
          </w:p>
        </w:tc>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Japan</w:t>
            </w: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Tokyo,</w:t>
            </w:r>
          </w:p>
        </w:tc>
        <w:tc>
          <w:tcPr>
            <w:tcW w:w="1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Japan</w:t>
            </w: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Kuala</w:t>
            </w:r>
          </w:p>
        </w:tc>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Lumpur,</w:t>
            </w: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680" w:type="dxa"/>
            <w:vAlign w:val="bottom"/>
          </w:tcPr>
          <w:p>
            <w:pPr>
              <w:spacing w:after="0"/>
              <w:rPr>
                <w:sz w:val="17"/>
                <w:szCs w:val="17"/>
                <w:color w:val="auto"/>
              </w:rPr>
            </w:pPr>
          </w:p>
        </w:tc>
      </w:tr>
      <w:tr>
        <w:trPr>
          <w:trHeight w:val="203"/>
        </w:trPr>
        <w:tc>
          <w:tcPr>
            <w:tcW w:w="24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Malaysia(3)</w:t>
            </w:r>
          </w:p>
        </w:tc>
        <w:tc>
          <w:tcPr>
            <w:tcW w:w="1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Baguio,</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4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Philippines(4)</w:t>
            </w:r>
          </w:p>
        </w:tc>
        <w:tc>
          <w:tcPr>
            <w:tcW w:w="1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Taipei,</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Taiwan</w:t>
            </w: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Nice,</w:t>
            </w:r>
          </w:p>
        </w:tc>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France</w:t>
            </w: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Freising,</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Germany</w:t>
            </w: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680" w:type="dxa"/>
            <w:vAlign w:val="bottom"/>
          </w:tcPr>
          <w:p>
            <w:pPr>
              <w:spacing w:after="0"/>
              <w:rPr>
                <w:sz w:val="17"/>
                <w:szCs w:val="17"/>
                <w:color w:val="auto"/>
              </w:rPr>
            </w:pPr>
          </w:p>
        </w:tc>
      </w:tr>
      <w:tr>
        <w:trPr>
          <w:trHeight w:val="203"/>
        </w:trPr>
        <w:tc>
          <w:tcPr>
            <w:tcW w:w="2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Aguascalientes,  Mexico</w:t>
            </w:r>
          </w:p>
        </w:tc>
        <w:tc>
          <w:tcPr>
            <w:tcW w:w="1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680" w:type="dxa"/>
            <w:vAlign w:val="bottom"/>
          </w:tcPr>
          <w:p>
            <w:pPr>
              <w:spacing w:after="0"/>
              <w:rPr>
                <w:sz w:val="17"/>
                <w:szCs w:val="17"/>
                <w:color w:val="auto"/>
              </w:rPr>
            </w:pPr>
          </w:p>
        </w:tc>
      </w:tr>
      <w:tr>
        <w:trPr>
          <w:trHeight w:val="203"/>
        </w:trPr>
        <w:tc>
          <w:tcPr>
            <w:tcW w:w="2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7" w:lineRule="exact"/>
        <w:rPr>
          <w:sz w:val="20"/>
          <w:szCs w:val="20"/>
          <w:color w:val="auto"/>
        </w:rPr>
      </w:pPr>
    </w:p>
    <w:p>
      <w:pPr>
        <w:ind w:left="540" w:right="187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facilities or portions thereof in Dallas and Sherman are leased to Raytheon Company or Raytheon-related entities in connection with the sale in 1997 of TI's defense systems and electronics business.</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Leased.</w:t>
      </w:r>
    </w:p>
    <w:p>
      <w:pPr>
        <w:spacing w:after="0" w:line="4"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half of this site is owned on leased land; the remainder is leased.</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on leased land.</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TI's facilities in the United States contained approximately 15,800,000 square feet as of December 31, 2001, of which approximately 2,400,000 square feet were leased. TI's facilities outside the United States contained approximately 5,900,000 square feet as of December 31, 2001, of which approximately 1,500,000 square feet were leased.</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TI believes that its existing properties are in good condition and suitable for the manufacture of its products. At the end of 2001, the company utilized substantially all of the space in its facilities.</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Leases covering TI's leased facilities expire at varying dates generally within the next 10 years. TI anticipates no difficulty in either retaining occupancy through lease renewals, month-to-month occupancy or purchases of leased facilities, or replacing the leased facilities with equivalent facilities.</w:t>
      </w:r>
    </w:p>
    <w:p>
      <w:pPr>
        <w:spacing w:after="0" w:line="3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ITEM</w:t>
        <w:tab/>
        <w:t>3.</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Italian government auditors have substantially completed a review, conducted in the ordinary course, of approximately $250 million of grants from the Italian government to TI's former memory operations in Italy. The auditors have raised a number of issues relating to compliance with grant requirements and the eligibility of specific expenses for the grants. As part of a government reorganization with respect to program contracts, responsibility for review of the auditor's findings was transferred from the Ministry of the Treasury to the Ministry of Economics and Finance. Depending on the Ministry of Economics and Finance's decision, the review may result in a demand from the Italian government that TI repay a portion of the grants. The company believes that the grants were obtained and used in compliance with applicable law and contractual obligations.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TI is involved in various investigations and proceedings conducted by the federal Environmental Protection Agency and certain state environmental agencies regarding disposal of waste materials. Although the factual situations and the progress of each of these matters differ, the company believes that the amount of its liability will not have a material adverse effect upon its financial position or results of operations.</w:t>
      </w:r>
    </w:p>
    <w:p>
      <w:pPr>
        <w:spacing w:after="0" w:line="200" w:lineRule="exact"/>
        <w:rPr>
          <w:sz w:val="20"/>
          <w:szCs w:val="20"/>
          <w:color w:val="auto"/>
        </w:rPr>
      </w:pPr>
    </w:p>
    <w:p>
      <w:pPr>
        <w:spacing w:after="0" w:line="207"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ITEM</w:t>
        <w:tab/>
        <w:t>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9" w:name="page10"/>
    <w:bookmarkEnd w:id="9"/>
    <w:p>
      <w:pPr>
        <w:ind w:left="39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ITEM</w:t>
        <w:tab/>
        <w:t>5.</w:t>
      </w:r>
      <w:r>
        <w:rPr>
          <w:sz w:val="20"/>
          <w:szCs w:val="20"/>
          <w:color w:val="auto"/>
        </w:rPr>
        <w:tab/>
      </w:r>
      <w:r>
        <w:rPr>
          <w:rFonts w:ascii="Courier New" w:cs="Courier New" w:eastAsia="Courier New" w:hAnsi="Courier New"/>
          <w:sz w:val="16"/>
          <w:szCs w:val="16"/>
          <w:color w:val="auto"/>
        </w:rPr>
        <w:t>Market for Registrant's Common Equity and Related Stockholder Matters.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which is contained in the note to the financial statements captioned "Common Stock Prices and Dividends" on page C-44 of TI's proxy statement for the 2002 annual meeting of stockholders, and the information concerning the number of stockholders of record at December 31, 2001 on page C-31 of such proxy statement, are incorporated herein by reference to such proxy statement.</w:t>
      </w:r>
    </w:p>
    <w:p>
      <w:pPr>
        <w:spacing w:after="0" w:line="200" w:lineRule="exact"/>
        <w:rPr>
          <w:sz w:val="20"/>
          <w:szCs w:val="20"/>
          <w:color w:val="auto"/>
        </w:rPr>
      </w:pPr>
    </w:p>
    <w:p>
      <w:pPr>
        <w:spacing w:after="0" w:line="207"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ITEM</w:t>
        <w:tab/>
        <w:t>6.</w:t>
      </w:r>
      <w:r>
        <w:rPr>
          <w:sz w:val="20"/>
          <w:szCs w:val="20"/>
          <w:color w:val="auto"/>
        </w:rPr>
        <w:tab/>
      </w:r>
      <w:r>
        <w:rPr>
          <w:rFonts w:ascii="Courier New" w:cs="Courier New" w:eastAsia="Courier New" w:hAnsi="Courier New"/>
          <w:sz w:val="16"/>
          <w:szCs w:val="16"/>
          <w:color w:val="auto"/>
        </w:rPr>
        <w:t>Selected Financial Data.</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"Summary of Selected Financial Data" for the years 1997 through 2001 which appears on page C-31 of TI's proxy statement for the 2002 annual meeting of stockholders is incorporated herein by reference to such proxy statement.</w:t>
      </w:r>
    </w:p>
    <w:p>
      <w:pPr>
        <w:spacing w:after="0" w:line="381" w:lineRule="exact"/>
        <w:rPr>
          <w:sz w:val="20"/>
          <w:szCs w:val="20"/>
          <w:color w:val="auto"/>
        </w:rPr>
      </w:pPr>
    </w:p>
    <w:p>
      <w:pPr>
        <w:ind w:left="640" w:right="2519" w:hanging="1052"/>
        <w:spacing w:after="0" w:line="235" w:lineRule="auto"/>
        <w:tabs>
          <w:tab w:leader="none" w:pos="620" w:val="left"/>
        </w:tabs>
        <w:rPr>
          <w:sz w:val="20"/>
          <w:szCs w:val="20"/>
          <w:color w:val="auto"/>
        </w:rPr>
      </w:pPr>
      <w:r>
        <w:rPr>
          <w:rFonts w:ascii="Courier New" w:cs="Courier New" w:eastAsia="Courier New" w:hAnsi="Courier New"/>
          <w:sz w:val="18"/>
          <w:szCs w:val="18"/>
          <w:color w:val="auto"/>
        </w:rPr>
        <w:t>ITEM</w:t>
        <w:tab/>
        <w:t>7. Management's Discussion and Analysis of Financial Condition and Results of Operations.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contained under the caption "Management Discussion and Analysis of Financial Condition and Results of Operations" on pages C-32 through C-42 of TI's proxy statement for the 2002 annual meeting of stockholders is incorporated herein by reference to such proxy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ITEM</w:t>
        <w:tab/>
        <w:t>7A.</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Information concerning market risk is contained on pages C-37 and C-38 of TI's proxy statement for the 2002 annual meeting of stockholders and is incorporated by reference to such proxy statement.</w:t>
      </w:r>
    </w:p>
    <w:p>
      <w:pPr>
        <w:spacing w:after="0" w:line="200" w:lineRule="exact"/>
        <w:rPr>
          <w:sz w:val="20"/>
          <w:szCs w:val="20"/>
          <w:color w:val="auto"/>
        </w:rPr>
      </w:pPr>
    </w:p>
    <w:p>
      <w:pPr>
        <w:spacing w:after="0" w:line="206"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ITEM</w:t>
        <w:tab/>
        <w:t>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consolidated financial statements of the company at December 31, 2001 and 2000 and for each of the three years in the period ended December 31, 2001, and the report thereon of the independent auditors, on pages C-1 through C-30 of TI's proxy statement for the 2002 annual meeting of stockholders, are incorporated herein by reference to such proxy statement.</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"Quarterly Financial Data" on pages C-43 and C-44 of TI's proxy statement for the 2002 annual meeting of stockholders is also incorporated herein by reference to such proxy statement.</w:t>
      </w:r>
    </w:p>
    <w:p>
      <w:pPr>
        <w:spacing w:after="0" w:line="200" w:lineRule="exact"/>
        <w:rPr>
          <w:sz w:val="20"/>
          <w:szCs w:val="20"/>
          <w:color w:val="auto"/>
        </w:rPr>
      </w:pPr>
    </w:p>
    <w:p>
      <w:pPr>
        <w:spacing w:after="0" w:line="211" w:lineRule="exact"/>
        <w:rPr>
          <w:sz w:val="20"/>
          <w:szCs w:val="20"/>
          <w:color w:val="auto"/>
        </w:rPr>
      </w:pPr>
    </w:p>
    <w:p>
      <w:pPr>
        <w:ind w:left="640" w:right="2419" w:hanging="1158"/>
        <w:spacing w:after="0" w:line="235" w:lineRule="auto"/>
        <w:tabs>
          <w:tab w:leader="none" w:pos="620" w:val="left"/>
        </w:tabs>
        <w:rPr>
          <w:sz w:val="20"/>
          <w:szCs w:val="20"/>
          <w:color w:val="auto"/>
        </w:rPr>
      </w:pPr>
      <w:r>
        <w:rPr>
          <w:rFonts w:ascii="Courier New" w:cs="Courier New" w:eastAsia="Courier New" w:hAnsi="Courier New"/>
          <w:sz w:val="18"/>
          <w:szCs w:val="18"/>
          <w:color w:val="auto"/>
        </w:rPr>
        <w:t>ITEM</w:t>
        <w:tab/>
        <w:t>9. Changes in and Disagreements with Accountants on Accounting and Financial Disclosure.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10" w:name="page11"/>
    <w:bookmarkEnd w:id="10"/>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10. Directors and Executive Officers of the Registrant.</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information with respect to directors' names, ages, positions, term of office and periods of service, which is contained under the caption "Nominees for Directorship" in the company's proxy statement for the 2002 annual meeting of stockholders, is incorporated herein by reference to such proxy statement.</w:t>
      </w:r>
    </w:p>
    <w:p>
      <w:pPr>
        <w:spacing w:after="0" w:line="18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following is an alphabetical list of the names and ages of the executive officers of the company and the positions or offices with the company presently held by each person named: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ind w:left="740"/>
              <w:spacing w:after="0"/>
              <w:rPr>
                <w:sz w:val="20"/>
                <w:szCs w:val="20"/>
                <w:color w:val="auto"/>
              </w:rPr>
            </w:pPr>
            <w:r>
              <w:rPr>
                <w:rFonts w:ascii="Courier New" w:cs="Courier New" w:eastAsia="Courier New" w:hAnsi="Courier New"/>
                <w:sz w:val="18"/>
                <w:szCs w:val="18"/>
                <w:color w:val="auto"/>
              </w:rPr>
              <w:t>Name</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Age</w:t>
            </w:r>
          </w:p>
        </w:tc>
        <w:tc>
          <w:tcPr>
            <w:tcW w:w="122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Position</w:t>
            </w:r>
          </w:p>
        </w:tc>
        <w:tc>
          <w:tcPr>
            <w:tcW w:w="138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William A. Aylesworth</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59</w:t>
            </w: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Senior</w:t>
            </w:r>
          </w:p>
        </w:tc>
        <w:tc>
          <w:tcPr>
            <w:tcW w:w="580" w:type="dxa"/>
            <w:vAlign w:val="bottom"/>
          </w:tcPr>
          <w:p>
            <w:pPr>
              <w:ind w:left="140"/>
              <w:spacing w:after="0"/>
              <w:rPr>
                <w:sz w:val="20"/>
                <w:szCs w:val="20"/>
                <w:color w:val="auto"/>
              </w:rPr>
            </w:pPr>
            <w:r>
              <w:rPr>
                <w:rFonts w:ascii="Courier New" w:cs="Courier New" w:eastAsia="Courier New" w:hAnsi="Courier New"/>
                <w:sz w:val="18"/>
                <w:szCs w:val="18"/>
                <w:color w:val="auto"/>
                <w:w w:val="97"/>
              </w:rPr>
              <w:t>Vice</w:t>
            </w:r>
          </w:p>
        </w:tc>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President  and</w:t>
            </w: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Chief</w:t>
            </w:r>
          </w:p>
        </w:tc>
        <w:tc>
          <w:tcPr>
            <w:tcW w:w="3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Gilles Delfassy</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46</w:t>
            </w: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Senior</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Vice</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Thomas J. Engibous</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49</w:t>
            </w:r>
          </w:p>
        </w:tc>
        <w:tc>
          <w:tcPr>
            <w:tcW w:w="284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Director, Chairman of</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the</w:t>
            </w: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Board,</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President and</w:t>
            </w:r>
          </w:p>
        </w:tc>
        <w:tc>
          <w:tcPr>
            <w:tcW w:w="138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Michael J. Hames</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43</w:t>
            </w: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Senior</w:t>
            </w:r>
          </w:p>
        </w:tc>
        <w:tc>
          <w:tcPr>
            <w:tcW w:w="580" w:type="dxa"/>
            <w:vAlign w:val="bottom"/>
          </w:tcPr>
          <w:p>
            <w:pPr>
              <w:ind w:left="140"/>
              <w:spacing w:after="0"/>
              <w:rPr>
                <w:sz w:val="20"/>
                <w:szCs w:val="20"/>
                <w:color w:val="auto"/>
              </w:rPr>
            </w:pPr>
            <w:r>
              <w:rPr>
                <w:rFonts w:ascii="Courier New" w:cs="Courier New" w:eastAsia="Courier New" w:hAnsi="Courier New"/>
                <w:sz w:val="18"/>
                <w:szCs w:val="18"/>
                <w:color w:val="auto"/>
                <w:w w:val="97"/>
              </w:rPr>
              <w:t>Vice</w:t>
            </w:r>
          </w:p>
        </w:tc>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President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Joseph F. Hubach</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44</w:t>
            </w: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Senior</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Vice</w:t>
            </w:r>
          </w:p>
        </w:tc>
        <w:tc>
          <w:tcPr>
            <w:tcW w:w="1040" w:type="dxa"/>
            <w:vAlign w:val="bottom"/>
          </w:tcPr>
          <w:p>
            <w:pPr>
              <w:spacing w:after="0"/>
              <w:rPr>
                <w:sz w:val="20"/>
                <w:szCs w:val="20"/>
                <w:color w:val="auto"/>
              </w:rPr>
            </w:pPr>
            <w:r>
              <w:rPr>
                <w:rFonts w:ascii="Courier New" w:cs="Courier New" w:eastAsia="Courier New" w:hAnsi="Courier New"/>
                <w:sz w:val="18"/>
                <w:szCs w:val="18"/>
                <w:color w:val="auto"/>
                <w:w w:val="94"/>
              </w:rPr>
              <w:t>President,</w:t>
            </w:r>
          </w:p>
        </w:tc>
        <w:tc>
          <w:tcPr>
            <w:tcW w:w="138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Secretary and</w:t>
            </w:r>
          </w:p>
        </w:tc>
        <w:tc>
          <w:tcPr>
            <w:tcW w:w="138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General Counsel</w:t>
            </w:r>
          </w:p>
        </w:tc>
        <w:tc>
          <w:tcPr>
            <w:tcW w:w="138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Chung-Shing (C.S.) Lee</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47</w:t>
            </w: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Senior</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Vice</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Stephen H. Leven</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50</w:t>
            </w: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Senior</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Vice</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Gregg A. Lowe</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39</w:t>
            </w: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Senior</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Vice</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Syrus P. Madavi</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52</w:t>
            </w: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Senior</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Vice</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Philip J. Ritter</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43</w:t>
            </w: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Senior</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Vice</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Richard J. Schaar</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56</w:t>
            </w: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Senior</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Vice</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(President,</w:t>
            </w:r>
          </w:p>
        </w:tc>
        <w:tc>
          <w:tcPr>
            <w:tcW w:w="2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Educational &amp;</w:t>
            </w: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Productivity Solutions)</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M. Samuel Self</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62</w:t>
            </w: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Senior</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Vice</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Richard K. Templeton</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43</w:t>
            </w:r>
          </w:p>
        </w:tc>
        <w:tc>
          <w:tcPr>
            <w:tcW w:w="4220" w:type="dxa"/>
            <w:vAlign w:val="bottom"/>
            <w:gridSpan w:val="4"/>
          </w:tcPr>
          <w:p>
            <w:pPr>
              <w:ind w:left="520"/>
              <w:spacing w:after="0"/>
              <w:rPr>
                <w:sz w:val="20"/>
                <w:szCs w:val="20"/>
                <w:color w:val="auto"/>
              </w:rPr>
            </w:pPr>
            <w:r>
              <w:rPr>
                <w:rFonts w:ascii="Courier New" w:cs="Courier New" w:eastAsia="Courier New" w:hAnsi="Courier New"/>
                <w:sz w:val="18"/>
                <w:szCs w:val="18"/>
                <w:color w:val="auto"/>
              </w:rPr>
              <w:t>Executive Vice President and</w:t>
            </w: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w w:val="97"/>
              </w:rPr>
              <w:t>Chief Operating Officer (President,</w:t>
            </w: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Semiconductor)</w:t>
            </w:r>
          </w:p>
        </w:tc>
        <w:tc>
          <w:tcPr>
            <w:tcW w:w="138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Teresa L. West</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41</w:t>
            </w: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Senior</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Vice</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Thomas Wroe</w:t>
            </w: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rPr>
              <w:t>51</w:t>
            </w: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Senior</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Vice</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(President,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Sensors &amp;</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Controls)</w:t>
            </w:r>
          </w:p>
        </w:tc>
      </w:tr>
      <w:tr>
        <w:trPr>
          <w:trHeight w:val="608"/>
        </w:trPr>
        <w:tc>
          <w:tcPr>
            <w:tcW w:w="2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11</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1" w:name="page12"/>
    <w:bookmarkEnd w:id="11"/>
    <w:p>
      <w:pPr>
        <w:ind w:right="1779"/>
        <w:spacing w:after="0" w:line="270" w:lineRule="auto"/>
        <w:rPr>
          <w:sz w:val="20"/>
          <w:szCs w:val="20"/>
          <w:color w:val="auto"/>
        </w:rPr>
      </w:pPr>
      <w:r>
        <w:rPr>
          <w:rFonts w:ascii="Courier New" w:cs="Courier New" w:eastAsia="Courier New" w:hAnsi="Courier New"/>
          <w:sz w:val="16"/>
          <w:szCs w:val="16"/>
          <w:color w:val="auto"/>
        </w:rPr>
        <w:t>The term of office of the above listed officers is from the date of their election until their successor shall have been elected and qualified. Messrs. Lee, Lowe and Ritter were elected to their offices on April 19, 2001, February 21, 2002 and September 20, 2001, respectively; each has been an employee of the company for more than five years. Mr. Madavi was elected to his office on April 19, 2001 and became an employee of the company in August 2000 in connection with the company's acquisition of Burr-Brown Corporation. Mr. Madavi had been president and chief executive officer of Burr-Brown since 1994 and chairman since 1998. Messrs. Aylesworth, Engibous and Templeton have served as executive officers of the company for more than five years. Ms. West and Messrs. Leven, Schaar, Self and Wroe have served as executive officers of the company since 1998 and have been employees of the company for more than five years. Messrs. Delfassy, Hames and Hubach have served as executive officers of the company since 2000 and have been employees of the company for more than five years.</w:t>
      </w:r>
    </w:p>
    <w:p>
      <w:pPr>
        <w:spacing w:after="0" w:line="200" w:lineRule="exact"/>
        <w:rPr>
          <w:sz w:val="20"/>
          <w:szCs w:val="20"/>
          <w:color w:val="auto"/>
        </w:rPr>
      </w:pPr>
    </w:p>
    <w:p>
      <w:pPr>
        <w:spacing w:after="0" w:line="385" w:lineRule="exact"/>
        <w:rPr>
          <w:sz w:val="20"/>
          <w:szCs w:val="20"/>
          <w:color w:val="auto"/>
        </w:rPr>
      </w:pPr>
    </w:p>
    <w:p>
      <w:pPr>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ITEM</w:t>
        <w:tab/>
        <w:t>11.</w:t>
      </w:r>
      <w:r>
        <w:rPr>
          <w:sz w:val="20"/>
          <w:szCs w:val="20"/>
          <w:color w:val="auto"/>
        </w:rPr>
        <w:tab/>
      </w:r>
      <w:r>
        <w:rPr>
          <w:rFonts w:ascii="Courier New" w:cs="Courier New" w:eastAsia="Courier New" w:hAnsi="Courier New"/>
          <w:sz w:val="16"/>
          <w:szCs w:val="16"/>
          <w:color w:val="auto"/>
        </w:rPr>
        <w:t>Executive Compensation.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which is contained under the captions "Director Compensation" and "Executive Compensation" in the company's proxy statement for the 2002 annual meeting of stockholders is incorporated herein by reference to such proxy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concerning (a) the only persons that have reported beneficial ownership of more than 5% of the common stock of TI, and (b) the ownership of TI's common stock by the Chief Executive Officer and the four other most highly compensated executive officers, and all executive officers and directors as a group, which is contained under the caption "Voting Securities" in the company's proxy statement for the 2002 annual meeting of stockholders, is incorporated herein by reference to such proxy statement. The information concerning ownership of TI's common stock by each of the directors, which is contained under the caption "Nominees for Directorship" in such proxy statement, is also incorporated herein by reference to such proxy statement.</w:t>
      </w:r>
    </w:p>
    <w:p>
      <w:pPr>
        <w:spacing w:after="0" w:line="200" w:lineRule="exact"/>
        <w:rPr>
          <w:sz w:val="20"/>
          <w:szCs w:val="20"/>
          <w:color w:val="auto"/>
        </w:rPr>
      </w:pPr>
    </w:p>
    <w:p>
      <w:pPr>
        <w:spacing w:after="0" w:line="21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13. Certain Relationships and Related Transactions.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information which is contained under the caption "Certain Business Relationships" in the company's proxy statement for the 2002 annual meeting of stockholders is incorporated herein by reference to such proxy statement.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12" w:name="page13"/>
    <w:bookmarkEnd w:id="12"/>
    <w:p>
      <w:pPr>
        <w:ind w:left="39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14. Exhibits, Financial Statement Schedules, and Reports on Form 8-K.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1 and 2. Financial Statements and Financial Statement Schedules: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financial statements and financial statement schedules are listed in the index on page 22 hereof.</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13" w:name="page14"/>
    <w:bookmarkEnd w:id="13"/>
    <w:p>
      <w:pPr>
        <w:ind w:left="740" w:hanging="431"/>
        <w:spacing w:after="0"/>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ectPr>
          <w:pgSz w:w="11900" w:h="16838" w:orient="portrait"/>
          <w:cols w:equalWidth="0" w:num="1">
            <w:col w:w="10099"/>
          </w:cols>
          <w:pgMar w:left="36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Designation of Exhibit in this Report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340" w:val="left"/>
          <w:tab w:leader="none" w:pos="1760" w:val="left"/>
        </w:tabs>
        <w:rPr>
          <w:sz w:val="20"/>
          <w:szCs w:val="20"/>
          <w:color w:val="auto"/>
        </w:rPr>
      </w:pPr>
      <w:r>
        <w:rPr>
          <w:rFonts w:ascii="Courier New" w:cs="Courier New" w:eastAsia="Courier New" w:hAnsi="Courier New"/>
          <w:sz w:val="18"/>
          <w:szCs w:val="18"/>
          <w:color w:val="auto"/>
        </w:rPr>
        <w:t>Description</w:t>
        <w:tab/>
        <w:t>of</w:t>
      </w:r>
      <w:r>
        <w:rPr>
          <w:sz w:val="20"/>
          <w:szCs w:val="20"/>
          <w:color w:val="auto"/>
        </w:rPr>
        <w:tab/>
      </w:r>
      <w:r>
        <w:rPr>
          <w:rFonts w:ascii="Courier New" w:cs="Courier New" w:eastAsia="Courier New" w:hAnsi="Courier New"/>
          <w:sz w:val="16"/>
          <w:szCs w:val="16"/>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1460" w:space="220"/>
            <w:col w:w="8419"/>
          </w:cols>
          <w:pgMar w:left="360" w:top="925" w:right="1440" w:bottom="1440" w:gutter="0" w:footer="0" w:header="0"/>
          <w:type w:val="continuous"/>
        </w:sectPr>
      </w:pPr>
    </w:p>
    <w:p>
      <w:pPr>
        <w:spacing w:after="0" w:line="7" w:lineRule="exact"/>
        <w:rPr>
          <w:sz w:val="20"/>
          <w:szCs w:val="20"/>
          <w:color w:val="auto"/>
        </w:rPr>
      </w:pPr>
    </w:p>
    <w:p>
      <w:pPr>
        <w:ind w:left="1680" w:right="2199" w:hanging="1265"/>
        <w:spacing w:after="0" w:line="237" w:lineRule="auto"/>
        <w:tabs>
          <w:tab w:leader="none" w:pos="16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and Plan of Merger, dated as of June 21, 2000, by and among the Registrant, Burr-Brown Corporation and Burma Acquisition Corp. (disclosure schedules omitted; Registrant agrees to provide the Commission, upon request, copies of such schedules) (incorporated by reference to Texas Instruments Tucson Corporation's Current Report on Form 8-K dated June 22, 2000).</w:t>
      </w:r>
    </w:p>
    <w:p>
      <w:pPr>
        <w:spacing w:after="0" w:line="211" w:lineRule="exact"/>
        <w:rPr>
          <w:sz w:val="20"/>
          <w:szCs w:val="20"/>
          <w:color w:val="auto"/>
        </w:rPr>
      </w:pPr>
    </w:p>
    <w:p>
      <w:pPr>
        <w:ind w:left="1680" w:right="2199" w:hanging="1259"/>
        <w:spacing w:after="0" w:line="279" w:lineRule="auto"/>
        <w:tabs>
          <w:tab w:leader="none" w:pos="1660" w:val="left"/>
        </w:tabs>
        <w:rPr>
          <w:sz w:val="20"/>
          <w:szCs w:val="20"/>
          <w:color w:val="auto"/>
        </w:rPr>
      </w:pPr>
      <w:r>
        <w:rPr>
          <w:rFonts w:ascii="Courier New" w:cs="Courier New" w:eastAsia="Courier New" w:hAnsi="Courier New"/>
          <w:sz w:val="16"/>
          <w:szCs w:val="16"/>
          <w:color w:val="auto"/>
        </w:rPr>
        <w:t>3(a)</w:t>
      </w:r>
      <w:r>
        <w:rPr>
          <w:sz w:val="20"/>
          <w:szCs w:val="20"/>
          <w:color w:val="auto"/>
        </w:rPr>
        <w:tab/>
      </w:r>
      <w:r>
        <w:rPr>
          <w:rFonts w:ascii="Courier New" w:cs="Courier New" w:eastAsia="Courier New" w:hAnsi="Courier New"/>
          <w:sz w:val="16"/>
          <w:szCs w:val="16"/>
          <w:color w:val="auto"/>
        </w:rPr>
        <w:t>Restated Certificate of Incorporation of the Registrant (incorporated by reference to Exhibit 3(a) to the Registrant's Annual Report on Form 10-K for the year 1993).</w:t>
      </w:r>
    </w:p>
    <w:p>
      <w:pPr>
        <w:spacing w:after="0" w:line="178" w:lineRule="exact"/>
        <w:rPr>
          <w:sz w:val="20"/>
          <w:szCs w:val="20"/>
          <w:color w:val="auto"/>
        </w:rPr>
      </w:pPr>
    </w:p>
    <w:p>
      <w:pPr>
        <w:ind w:left="1680" w:right="2319" w:hanging="1259"/>
        <w:spacing w:after="0" w:line="237" w:lineRule="auto"/>
        <w:tabs>
          <w:tab w:leader="none" w:pos="1660" w:val="left"/>
        </w:tabs>
        <w:rPr>
          <w:sz w:val="20"/>
          <w:szCs w:val="20"/>
          <w:color w:val="auto"/>
        </w:rPr>
      </w:pPr>
      <w:r>
        <w:rPr>
          <w:rFonts w:ascii="Courier New" w:cs="Courier New" w:eastAsia="Courier New" w:hAnsi="Courier New"/>
          <w:sz w:val="18"/>
          <w:szCs w:val="18"/>
          <w:color w:val="auto"/>
        </w:rPr>
        <w:t>3(b)</w:t>
      </w:r>
      <w:r>
        <w:rPr>
          <w:sz w:val="20"/>
          <w:szCs w:val="20"/>
          <w:color w:val="auto"/>
        </w:rPr>
        <w:tab/>
      </w:r>
      <w:r>
        <w:rPr>
          <w:rFonts w:ascii="Courier New" w:cs="Courier New" w:eastAsia="Courier New" w:hAnsi="Courier New"/>
          <w:sz w:val="18"/>
          <w:szCs w:val="18"/>
          <w:color w:val="auto"/>
        </w:rPr>
        <w:t>Certificate of Amendment to Restated Certificate of Incorporation of the Registrant (incorporated by reference to Exhibit 3(b) to the Registrant's Annual Report on Form 10-K for the year 1993).</w:t>
      </w:r>
    </w:p>
    <w:p>
      <w:pPr>
        <w:spacing w:after="0" w:line="207" w:lineRule="exact"/>
        <w:rPr>
          <w:sz w:val="20"/>
          <w:szCs w:val="20"/>
          <w:color w:val="auto"/>
        </w:rPr>
      </w:pPr>
    </w:p>
    <w:p>
      <w:pPr>
        <w:ind w:left="1680" w:right="2319" w:hanging="1259"/>
        <w:spacing w:after="0" w:line="237" w:lineRule="auto"/>
        <w:tabs>
          <w:tab w:leader="none" w:pos="1660" w:val="left"/>
        </w:tabs>
        <w:rPr>
          <w:sz w:val="20"/>
          <w:szCs w:val="20"/>
          <w:color w:val="auto"/>
        </w:rPr>
      </w:pPr>
      <w:r>
        <w:rPr>
          <w:rFonts w:ascii="Courier New" w:cs="Courier New" w:eastAsia="Courier New" w:hAnsi="Courier New"/>
          <w:sz w:val="18"/>
          <w:szCs w:val="18"/>
          <w:color w:val="auto"/>
        </w:rPr>
        <w:t>3(c)</w:t>
      </w:r>
      <w:r>
        <w:rPr>
          <w:sz w:val="20"/>
          <w:szCs w:val="20"/>
          <w:color w:val="auto"/>
        </w:rPr>
        <w:tab/>
      </w:r>
      <w:r>
        <w:rPr>
          <w:rFonts w:ascii="Courier New" w:cs="Courier New" w:eastAsia="Courier New" w:hAnsi="Courier New"/>
          <w:sz w:val="18"/>
          <w:szCs w:val="18"/>
          <w:color w:val="auto"/>
        </w:rPr>
        <w:t>Certificate of Amendment to Restated Certificate of Incorporation of the Registrant (incorporated by reference to Exhibit 3(c) to the Registrant's Annual Report on Form 10-K for the year 1993).</w:t>
      </w:r>
    </w:p>
    <w:p>
      <w:pPr>
        <w:spacing w:after="0" w:line="207" w:lineRule="exact"/>
        <w:rPr>
          <w:sz w:val="20"/>
          <w:szCs w:val="20"/>
          <w:color w:val="auto"/>
        </w:rPr>
      </w:pPr>
    </w:p>
    <w:p>
      <w:pPr>
        <w:ind w:left="1680" w:right="2419" w:hanging="1259"/>
        <w:spacing w:after="0" w:line="275" w:lineRule="auto"/>
        <w:tabs>
          <w:tab w:leader="none" w:pos="1660" w:val="left"/>
        </w:tabs>
        <w:rPr>
          <w:sz w:val="20"/>
          <w:szCs w:val="20"/>
          <w:color w:val="auto"/>
        </w:rPr>
      </w:pPr>
      <w:r>
        <w:rPr>
          <w:rFonts w:ascii="Courier New" w:cs="Courier New" w:eastAsia="Courier New" w:hAnsi="Courier New"/>
          <w:sz w:val="16"/>
          <w:szCs w:val="16"/>
          <w:color w:val="auto"/>
        </w:rPr>
        <w:t>3(d)</w:t>
      </w:r>
      <w:r>
        <w:rPr>
          <w:sz w:val="20"/>
          <w:szCs w:val="20"/>
          <w:color w:val="auto"/>
        </w:rPr>
        <w:tab/>
      </w:r>
      <w:r>
        <w:rPr>
          <w:rFonts w:ascii="Courier New" w:cs="Courier New" w:eastAsia="Courier New" w:hAnsi="Courier New"/>
          <w:sz w:val="16"/>
          <w:szCs w:val="16"/>
          <w:color w:val="auto"/>
        </w:rPr>
        <w:t>Certificate of Amendment to Restated Certificate of Incorporation of the Registrant (incorporated by reference to Exhibit 3 to the Registrant's Quarterly Report on Form 10-Q for the quarter ended June 30, 1996).</w:t>
      </w:r>
    </w:p>
    <w:p>
      <w:pPr>
        <w:spacing w:after="0" w:line="182" w:lineRule="exact"/>
        <w:rPr>
          <w:sz w:val="20"/>
          <w:szCs w:val="20"/>
          <w:color w:val="auto"/>
        </w:rPr>
      </w:pPr>
    </w:p>
    <w:p>
      <w:pPr>
        <w:ind w:left="1680" w:right="2199" w:hanging="1259"/>
        <w:spacing w:after="0" w:line="275" w:lineRule="auto"/>
        <w:tabs>
          <w:tab w:leader="none" w:pos="1660" w:val="left"/>
        </w:tabs>
        <w:rPr>
          <w:sz w:val="20"/>
          <w:szCs w:val="20"/>
          <w:color w:val="auto"/>
        </w:rPr>
      </w:pPr>
      <w:r>
        <w:rPr>
          <w:rFonts w:ascii="Courier New" w:cs="Courier New" w:eastAsia="Courier New" w:hAnsi="Courier New"/>
          <w:sz w:val="16"/>
          <w:szCs w:val="16"/>
          <w:color w:val="auto"/>
        </w:rPr>
        <w:t>3(e)</w:t>
      </w:r>
      <w:r>
        <w:rPr>
          <w:sz w:val="20"/>
          <w:szCs w:val="20"/>
          <w:color w:val="auto"/>
        </w:rPr>
        <w:tab/>
      </w:r>
      <w:r>
        <w:rPr>
          <w:rFonts w:ascii="Courier New" w:cs="Courier New" w:eastAsia="Courier New" w:hAnsi="Courier New"/>
          <w:sz w:val="16"/>
          <w:szCs w:val="16"/>
          <w:color w:val="auto"/>
        </w:rPr>
        <w:t>Certificate of Ownership merging Texas Instruments Automation Controls, Inc. into the Registrant (incorporated by reference to Exhibit 3(e) to the Registrant's Annual Report on Form 10-K for the year 1993).</w:t>
      </w:r>
    </w:p>
    <w:p>
      <w:pPr>
        <w:spacing w:after="0" w:line="182" w:lineRule="exact"/>
        <w:rPr>
          <w:sz w:val="20"/>
          <w:szCs w:val="20"/>
          <w:color w:val="auto"/>
        </w:rPr>
      </w:pPr>
    </w:p>
    <w:p>
      <w:pPr>
        <w:ind w:left="1680" w:right="1999" w:hanging="1259"/>
        <w:spacing w:after="0" w:line="268" w:lineRule="auto"/>
        <w:tabs>
          <w:tab w:leader="none" w:pos="1660" w:val="left"/>
        </w:tabs>
        <w:rPr>
          <w:sz w:val="20"/>
          <w:szCs w:val="20"/>
          <w:color w:val="auto"/>
        </w:rPr>
      </w:pPr>
      <w:r>
        <w:rPr>
          <w:rFonts w:ascii="Courier New" w:cs="Courier New" w:eastAsia="Courier New" w:hAnsi="Courier New"/>
          <w:sz w:val="16"/>
          <w:szCs w:val="16"/>
          <w:color w:val="auto"/>
        </w:rPr>
        <w:t>3(f)</w:t>
      </w:r>
      <w:r>
        <w:rPr>
          <w:sz w:val="20"/>
          <w:szCs w:val="20"/>
          <w:color w:val="auto"/>
        </w:rPr>
        <w:tab/>
      </w:r>
      <w:r>
        <w:rPr>
          <w:rFonts w:ascii="Courier New" w:cs="Courier New" w:eastAsia="Courier New" w:hAnsi="Courier New"/>
          <w:sz w:val="16"/>
          <w:szCs w:val="16"/>
          <w:color w:val="auto"/>
        </w:rPr>
        <w:t>Certificate of Elimination of Designations of Preferred Stock of the Registrant (incorporated by reference to Exhibit</w:t>
      </w:r>
    </w:p>
    <w:p>
      <w:pPr>
        <w:ind w:left="1680" w:right="2199"/>
        <w:spacing w:after="0" w:line="235" w:lineRule="auto"/>
        <w:rPr>
          <w:sz w:val="20"/>
          <w:szCs w:val="20"/>
          <w:color w:val="auto"/>
        </w:rPr>
      </w:pPr>
      <w:r>
        <w:rPr>
          <w:rFonts w:ascii="Courier New" w:cs="Courier New" w:eastAsia="Courier New" w:hAnsi="Courier New"/>
          <w:sz w:val="18"/>
          <w:szCs w:val="18"/>
          <w:color w:val="auto"/>
        </w:rPr>
        <w:t>3(f) to the Registrant's Annual Report on Form 10-K for the year 1993).</w:t>
      </w:r>
    </w:p>
    <w:p>
      <w:pPr>
        <w:spacing w:after="0" w:line="208" w:lineRule="exact"/>
        <w:rPr>
          <w:sz w:val="20"/>
          <w:szCs w:val="20"/>
          <w:color w:val="auto"/>
        </w:rPr>
      </w:pPr>
    </w:p>
    <w:p>
      <w:pPr>
        <w:ind w:left="1680" w:right="2099" w:hanging="1259"/>
        <w:spacing w:after="0" w:line="237" w:lineRule="auto"/>
        <w:tabs>
          <w:tab w:leader="none" w:pos="1660" w:val="left"/>
        </w:tabs>
        <w:rPr>
          <w:sz w:val="20"/>
          <w:szCs w:val="20"/>
          <w:color w:val="auto"/>
        </w:rPr>
      </w:pPr>
      <w:r>
        <w:rPr>
          <w:rFonts w:ascii="Courier New" w:cs="Courier New" w:eastAsia="Courier New" w:hAnsi="Courier New"/>
          <w:sz w:val="18"/>
          <w:szCs w:val="18"/>
          <w:color w:val="auto"/>
        </w:rPr>
        <w:t>3(g)</w:t>
      </w:r>
      <w:r>
        <w:rPr>
          <w:sz w:val="20"/>
          <w:szCs w:val="20"/>
          <w:color w:val="auto"/>
        </w:rPr>
        <w:tab/>
      </w:r>
      <w:r>
        <w:rPr>
          <w:rFonts w:ascii="Courier New" w:cs="Courier New" w:eastAsia="Courier New" w:hAnsi="Courier New"/>
          <w:sz w:val="18"/>
          <w:szCs w:val="18"/>
          <w:color w:val="auto"/>
        </w:rPr>
        <w:t>Certificate of Ownership and Merger merging Tiburon Systems, Inc. into the Registrant (incorporated by reference to Exhibit 4(g) to the Registrant's Registration Statement No. 333-41919 on Form S-8).</w:t>
      </w:r>
    </w:p>
    <w:p>
      <w:pPr>
        <w:spacing w:after="0" w:line="200" w:lineRule="exact"/>
        <w:rPr>
          <w:sz w:val="20"/>
          <w:szCs w:val="20"/>
          <w:color w:val="auto"/>
        </w:r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099"/>
          </w:cols>
          <w:pgMar w:left="360" w:top="925" w:right="1440" w:bottom="1440" w:gutter="0" w:footer="0" w:header="0"/>
          <w:type w:val="continuous"/>
        </w:sectPr>
      </w:pPr>
    </w:p>
    <w:bookmarkStart w:id="14" w:name="page15"/>
    <w:bookmarkEnd w:id="14"/>
    <w:p>
      <w:pPr>
        <w:jc w:val="both"/>
        <w:ind w:left="600" w:right="2419" w:hanging="1259"/>
        <w:spacing w:after="0" w:line="236" w:lineRule="auto"/>
        <w:tabs>
          <w:tab w:leader="none" w:pos="580" w:val="left"/>
        </w:tabs>
        <w:rPr>
          <w:sz w:val="20"/>
          <w:szCs w:val="20"/>
          <w:color w:val="auto"/>
        </w:rPr>
      </w:pPr>
      <w:r>
        <w:rPr>
          <w:rFonts w:ascii="Courier New" w:cs="Courier New" w:eastAsia="Courier New" w:hAnsi="Courier New"/>
          <w:sz w:val="18"/>
          <w:szCs w:val="18"/>
          <w:color w:val="auto"/>
        </w:rPr>
        <w:t>3(h)</w:t>
      </w:r>
      <w:r>
        <w:rPr>
          <w:sz w:val="20"/>
          <w:szCs w:val="20"/>
          <w:color w:val="auto"/>
        </w:rPr>
        <w:tab/>
      </w:r>
      <w:r>
        <w:rPr>
          <w:rFonts w:ascii="Courier New" w:cs="Courier New" w:eastAsia="Courier New" w:hAnsi="Courier New"/>
          <w:sz w:val="18"/>
          <w:szCs w:val="18"/>
          <w:color w:val="auto"/>
        </w:rPr>
        <w:t>Certificate of Ownership and Merger merging Tartan, Inc. into the Registrant (incorporated by reference to Exhibit 4(h) to the Registrant's Registration Statement</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No. 333-41919 on Form S-8).</w:t>
      </w:r>
    </w:p>
    <w:p>
      <w:pPr>
        <w:spacing w:after="0" w:line="207" w:lineRule="exact"/>
        <w:rPr>
          <w:sz w:val="20"/>
          <w:szCs w:val="20"/>
          <w:color w:val="auto"/>
        </w:rPr>
      </w:pPr>
    </w:p>
    <w:p>
      <w:pPr>
        <w:ind w:left="600" w:right="2619" w:hanging="1259"/>
        <w:spacing w:after="0" w:line="237" w:lineRule="auto"/>
        <w:tabs>
          <w:tab w:leader="none" w:pos="580" w:val="left"/>
        </w:tabs>
        <w:rPr>
          <w:sz w:val="20"/>
          <w:szCs w:val="20"/>
          <w:color w:val="auto"/>
        </w:rPr>
      </w:pPr>
      <w:r>
        <w:rPr>
          <w:rFonts w:ascii="Courier New" w:cs="Courier New" w:eastAsia="Courier New" w:hAnsi="Courier New"/>
          <w:sz w:val="18"/>
          <w:szCs w:val="18"/>
          <w:color w:val="auto"/>
        </w:rPr>
        <w:t>3(i)</w:t>
      </w:r>
      <w:r>
        <w:rPr>
          <w:sz w:val="20"/>
          <w:szCs w:val="20"/>
          <w:color w:val="auto"/>
        </w:rPr>
        <w:tab/>
      </w:r>
      <w:r>
        <w:rPr>
          <w:rFonts w:ascii="Courier New" w:cs="Courier New" w:eastAsia="Courier New" w:hAnsi="Courier New"/>
          <w:sz w:val="18"/>
          <w:szCs w:val="18"/>
          <w:color w:val="auto"/>
        </w:rPr>
        <w:t>Certificate of Designation relating to the Registrant's Participating Cumulative Preferred Stock (incorporated by reference to Exhibit 4(a) to the Registrant's Quarterly Report on Form 10-Q for the quarter ended September 30, 1998).</w:t>
      </w:r>
    </w:p>
    <w:p>
      <w:pPr>
        <w:spacing w:after="0" w:line="209" w:lineRule="exact"/>
        <w:rPr>
          <w:sz w:val="20"/>
          <w:szCs w:val="20"/>
          <w:color w:val="auto"/>
        </w:rPr>
      </w:pPr>
    </w:p>
    <w:p>
      <w:pPr>
        <w:jc w:val="both"/>
        <w:ind w:left="600" w:right="2099" w:hanging="1259"/>
        <w:spacing w:after="0" w:line="237" w:lineRule="auto"/>
        <w:tabs>
          <w:tab w:leader="none" w:pos="580" w:val="left"/>
        </w:tabs>
        <w:rPr>
          <w:sz w:val="20"/>
          <w:szCs w:val="20"/>
          <w:color w:val="auto"/>
        </w:rPr>
      </w:pPr>
      <w:r>
        <w:rPr>
          <w:rFonts w:ascii="Courier New" w:cs="Courier New" w:eastAsia="Courier New" w:hAnsi="Courier New"/>
          <w:sz w:val="18"/>
          <w:szCs w:val="18"/>
          <w:color w:val="auto"/>
        </w:rPr>
        <w:t>3(j)</w:t>
      </w:r>
      <w:r>
        <w:rPr>
          <w:sz w:val="20"/>
          <w:szCs w:val="20"/>
          <w:color w:val="auto"/>
        </w:rPr>
        <w:tab/>
      </w:r>
      <w:r>
        <w:rPr>
          <w:rFonts w:ascii="Courier New" w:cs="Courier New" w:eastAsia="Courier New" w:hAnsi="Courier New"/>
          <w:sz w:val="18"/>
          <w:szCs w:val="18"/>
          <w:color w:val="auto"/>
        </w:rPr>
        <w:t>Certificate of Elimination of Designation of Preferred Stock of the Registrant (incorporated by reference to Exhibit 3(j) to the Registrant's Annual Report on Form 10-K for the year 1998).</w:t>
      </w:r>
    </w:p>
    <w:p>
      <w:pPr>
        <w:spacing w:after="0" w:line="207" w:lineRule="exact"/>
        <w:rPr>
          <w:sz w:val="20"/>
          <w:szCs w:val="20"/>
          <w:color w:val="auto"/>
        </w:rPr>
      </w:pPr>
    </w:p>
    <w:p>
      <w:pPr>
        <w:ind w:left="600" w:right="2199" w:hanging="1259"/>
        <w:spacing w:after="0" w:line="237" w:lineRule="auto"/>
        <w:tabs>
          <w:tab w:leader="none" w:pos="580" w:val="left"/>
        </w:tabs>
        <w:rPr>
          <w:sz w:val="20"/>
          <w:szCs w:val="20"/>
          <w:color w:val="auto"/>
        </w:rPr>
      </w:pPr>
      <w:r>
        <w:rPr>
          <w:rFonts w:ascii="Courier New" w:cs="Courier New" w:eastAsia="Courier New" w:hAnsi="Courier New"/>
          <w:sz w:val="18"/>
          <w:szCs w:val="18"/>
          <w:color w:val="auto"/>
        </w:rPr>
        <w:t>3(k)</w:t>
      </w:r>
      <w:r>
        <w:rPr>
          <w:sz w:val="20"/>
          <w:szCs w:val="20"/>
          <w:color w:val="auto"/>
        </w:rPr>
        <w:tab/>
      </w:r>
      <w:r>
        <w:rPr>
          <w:rFonts w:ascii="Courier New" w:cs="Courier New" w:eastAsia="Courier New" w:hAnsi="Courier New"/>
          <w:sz w:val="18"/>
          <w:szCs w:val="18"/>
          <w:color w:val="auto"/>
        </w:rPr>
        <w:t>Certificate of Ownership and Merger merging Intersect Technologies, Inc. into the Registrant (incorporated by reference to Exhibit 3(k) to the Registrant's Annual Report on Form 10-K for the year 1999).</w:t>
      </w:r>
    </w:p>
    <w:p>
      <w:pPr>
        <w:spacing w:after="0" w:line="207" w:lineRule="exact"/>
        <w:rPr>
          <w:sz w:val="20"/>
          <w:szCs w:val="20"/>
          <w:color w:val="auto"/>
        </w:rPr>
      </w:pPr>
    </w:p>
    <w:p>
      <w:pPr>
        <w:ind w:left="600" w:right="2199" w:hanging="1259"/>
        <w:spacing w:after="0" w:line="237" w:lineRule="auto"/>
        <w:tabs>
          <w:tab w:leader="none" w:pos="580" w:val="left"/>
        </w:tabs>
        <w:rPr>
          <w:sz w:val="20"/>
          <w:szCs w:val="20"/>
          <w:color w:val="auto"/>
        </w:rPr>
      </w:pPr>
      <w:r>
        <w:rPr>
          <w:rFonts w:ascii="Courier New" w:cs="Courier New" w:eastAsia="Courier New" w:hAnsi="Courier New"/>
          <w:sz w:val="18"/>
          <w:szCs w:val="18"/>
          <w:color w:val="auto"/>
        </w:rPr>
        <w:t>3(l)</w:t>
      </w:r>
      <w:r>
        <w:rPr>
          <w:sz w:val="20"/>
          <w:szCs w:val="20"/>
          <w:color w:val="auto"/>
        </w:rPr>
        <w:tab/>
      </w:r>
      <w:r>
        <w:rPr>
          <w:rFonts w:ascii="Courier New" w:cs="Courier New" w:eastAsia="Courier New" w:hAnsi="Courier New"/>
          <w:sz w:val="18"/>
          <w:szCs w:val="18"/>
          <w:color w:val="auto"/>
        </w:rPr>
        <w:t>Certificate of Ownership and Merger merging Soft Warehouse, Inc. into the Registrant (incorporated by reference to Exhibit 3(l) to the Registrant's Annual Report on Form 10-K for the year 1999).</w:t>
      </w:r>
    </w:p>
    <w:p>
      <w:pPr>
        <w:spacing w:after="0" w:line="207" w:lineRule="exact"/>
        <w:rPr>
          <w:sz w:val="20"/>
          <w:szCs w:val="20"/>
          <w:color w:val="auto"/>
        </w:rPr>
      </w:pPr>
    </w:p>
    <w:p>
      <w:pPr>
        <w:ind w:left="600" w:right="1879" w:hanging="1259"/>
        <w:spacing w:after="0" w:line="237" w:lineRule="auto"/>
        <w:tabs>
          <w:tab w:leader="none" w:pos="580" w:val="left"/>
        </w:tabs>
        <w:rPr>
          <w:sz w:val="20"/>
          <w:szCs w:val="20"/>
          <w:color w:val="auto"/>
        </w:rPr>
      </w:pPr>
      <w:r>
        <w:rPr>
          <w:rFonts w:ascii="Courier New" w:cs="Courier New" w:eastAsia="Courier New" w:hAnsi="Courier New"/>
          <w:sz w:val="18"/>
          <w:szCs w:val="18"/>
          <w:color w:val="auto"/>
        </w:rPr>
        <w:t>3(m)</w:t>
      </w:r>
      <w:r>
        <w:rPr>
          <w:sz w:val="20"/>
          <w:szCs w:val="20"/>
          <w:color w:val="auto"/>
        </w:rPr>
        <w:tab/>
      </w:r>
      <w:r>
        <w:rPr>
          <w:rFonts w:ascii="Courier New" w:cs="Courier New" w:eastAsia="Courier New" w:hAnsi="Courier New"/>
          <w:sz w:val="18"/>
          <w:szCs w:val="18"/>
          <w:color w:val="auto"/>
        </w:rPr>
        <w:t>Certificate of Ownership and Merger merging Silicon Systems, Inc. into the Registrant (incorporated by reference to Exhibit 3(m) to the Registrant's Annual Report on Form 10-K for the year 1999).</w:t>
      </w:r>
    </w:p>
    <w:p>
      <w:pPr>
        <w:spacing w:after="0" w:line="207" w:lineRule="exact"/>
        <w:rPr>
          <w:sz w:val="20"/>
          <w:szCs w:val="20"/>
          <w:color w:val="auto"/>
        </w:rPr>
      </w:pPr>
    </w:p>
    <w:p>
      <w:pPr>
        <w:ind w:left="600" w:right="2519" w:hanging="1259"/>
        <w:spacing w:after="0" w:line="237" w:lineRule="auto"/>
        <w:tabs>
          <w:tab w:leader="none" w:pos="580" w:val="left"/>
        </w:tabs>
        <w:rPr>
          <w:sz w:val="20"/>
          <w:szCs w:val="20"/>
          <w:color w:val="auto"/>
        </w:rPr>
      </w:pPr>
      <w:r>
        <w:rPr>
          <w:rFonts w:ascii="Courier New" w:cs="Courier New" w:eastAsia="Courier New" w:hAnsi="Courier New"/>
          <w:sz w:val="18"/>
          <w:szCs w:val="18"/>
          <w:color w:val="auto"/>
        </w:rPr>
        <w:t>3(n)</w:t>
      </w:r>
      <w:r>
        <w:rPr>
          <w:sz w:val="20"/>
          <w:szCs w:val="20"/>
          <w:color w:val="auto"/>
        </w:rPr>
        <w:tab/>
      </w:r>
      <w:r>
        <w:rPr>
          <w:rFonts w:ascii="Courier New" w:cs="Courier New" w:eastAsia="Courier New" w:hAnsi="Courier New"/>
          <w:sz w:val="18"/>
          <w:szCs w:val="18"/>
          <w:color w:val="auto"/>
        </w:rPr>
        <w:t>Certificate of Amendment to Restated Certificate of Incorporation (incorporated by reference to Exhibit 3(n) to the Registrant's Registration Statement on Form S-4 No. 333-41030 filed on July 7, 2000).</w:t>
      </w:r>
    </w:p>
    <w:p>
      <w:pPr>
        <w:spacing w:after="0" w:line="207" w:lineRule="exact"/>
        <w:rPr>
          <w:sz w:val="20"/>
          <w:szCs w:val="20"/>
          <w:color w:val="auto"/>
        </w:rPr>
      </w:pPr>
    </w:p>
    <w:p>
      <w:pPr>
        <w:ind w:left="600" w:right="2419" w:hanging="1259"/>
        <w:spacing w:after="0" w:line="235" w:lineRule="auto"/>
        <w:tabs>
          <w:tab w:leader="none" w:pos="580" w:val="left"/>
        </w:tabs>
        <w:rPr>
          <w:sz w:val="20"/>
          <w:szCs w:val="20"/>
          <w:color w:val="auto"/>
        </w:rPr>
      </w:pPr>
      <w:r>
        <w:rPr>
          <w:rFonts w:ascii="Courier New" w:cs="Courier New" w:eastAsia="Courier New" w:hAnsi="Courier New"/>
          <w:sz w:val="18"/>
          <w:szCs w:val="18"/>
          <w:color w:val="auto"/>
        </w:rPr>
        <w:t>3(o)</w:t>
      </w:r>
      <w:r>
        <w:rPr>
          <w:sz w:val="20"/>
          <w:szCs w:val="20"/>
          <w:color w:val="auto"/>
        </w:rPr>
        <w:tab/>
      </w:r>
      <w:r>
        <w:rPr>
          <w:rFonts w:ascii="Courier New" w:cs="Courier New" w:eastAsia="Courier New" w:hAnsi="Courier New"/>
          <w:sz w:val="18"/>
          <w:szCs w:val="18"/>
          <w:color w:val="auto"/>
        </w:rPr>
        <w:t>Certificate of Ownership and Merger merging Power Trends, Inc. with and into the Registrant.</w:t>
      </w:r>
    </w:p>
    <w:p>
      <w:pPr>
        <w:spacing w:after="0" w:line="208" w:lineRule="exact"/>
        <w:rPr>
          <w:sz w:val="20"/>
          <w:szCs w:val="20"/>
          <w:color w:val="auto"/>
        </w:rPr>
      </w:pPr>
    </w:p>
    <w:p>
      <w:pPr>
        <w:ind w:left="600" w:right="2519" w:hanging="1259"/>
        <w:spacing w:after="0" w:line="290" w:lineRule="auto"/>
        <w:tabs>
          <w:tab w:leader="none" w:pos="580" w:val="left"/>
        </w:tabs>
        <w:rPr>
          <w:sz w:val="20"/>
          <w:szCs w:val="20"/>
          <w:color w:val="auto"/>
        </w:rPr>
      </w:pPr>
      <w:r>
        <w:rPr>
          <w:rFonts w:ascii="Courier New" w:cs="Courier New" w:eastAsia="Courier New" w:hAnsi="Courier New"/>
          <w:sz w:val="16"/>
          <w:szCs w:val="16"/>
          <w:color w:val="auto"/>
        </w:rPr>
        <w:t>3(p)</w:t>
      </w:r>
      <w:r>
        <w:rPr>
          <w:sz w:val="20"/>
          <w:szCs w:val="20"/>
          <w:color w:val="auto"/>
        </w:rPr>
        <w:tab/>
      </w:r>
      <w:r>
        <w:rPr>
          <w:rFonts w:ascii="Courier New" w:cs="Courier New" w:eastAsia="Courier New" w:hAnsi="Courier New"/>
          <w:sz w:val="16"/>
          <w:szCs w:val="16"/>
          <w:color w:val="auto"/>
        </w:rPr>
        <w:t>Certificate of Ownership and Merger merging Amati Communications Corporation with and into the Registrant.</w:t>
      </w:r>
    </w:p>
    <w:p>
      <w:pPr>
        <w:spacing w:after="0" w:line="170" w:lineRule="exact"/>
        <w:rPr>
          <w:sz w:val="20"/>
          <w:szCs w:val="20"/>
          <w:color w:val="auto"/>
        </w:rPr>
      </w:pPr>
    </w:p>
    <w:p>
      <w:pPr>
        <w:jc w:val="both"/>
        <w:ind w:left="600" w:right="2619" w:hanging="1259"/>
        <w:spacing w:after="0" w:line="236" w:lineRule="auto"/>
        <w:tabs>
          <w:tab w:leader="none" w:pos="580" w:val="left"/>
        </w:tabs>
        <w:rPr>
          <w:sz w:val="20"/>
          <w:szCs w:val="20"/>
          <w:color w:val="auto"/>
        </w:rPr>
      </w:pPr>
      <w:r>
        <w:rPr>
          <w:rFonts w:ascii="Courier New" w:cs="Courier New" w:eastAsia="Courier New" w:hAnsi="Courier New"/>
          <w:sz w:val="18"/>
          <w:szCs w:val="18"/>
          <w:color w:val="auto"/>
        </w:rPr>
        <w:t>3(q)</w:t>
      </w:r>
      <w:r>
        <w:rPr>
          <w:sz w:val="20"/>
          <w:szCs w:val="20"/>
          <w:color w:val="auto"/>
        </w:rPr>
        <w:tab/>
      </w:r>
      <w:r>
        <w:rPr>
          <w:rFonts w:ascii="Courier New" w:cs="Courier New" w:eastAsia="Courier New" w:hAnsi="Courier New"/>
          <w:sz w:val="18"/>
          <w:szCs w:val="18"/>
          <w:color w:val="auto"/>
        </w:rPr>
        <w:t>By-Laws of the Registrant (incorporated by reference to Exhibit 3(n) to the Registrant's Annual Report on Form 10-K for the year 1999).</w:t>
      </w:r>
    </w:p>
    <w:p>
      <w:pPr>
        <w:spacing w:after="0" w:line="209" w:lineRule="exact"/>
        <w:rPr>
          <w:sz w:val="20"/>
          <w:szCs w:val="20"/>
          <w:color w:val="auto"/>
        </w:rPr>
      </w:pPr>
    </w:p>
    <w:p>
      <w:pPr>
        <w:ind w:left="600" w:right="1999" w:hanging="1263"/>
        <w:spacing w:after="0" w:line="273" w:lineRule="auto"/>
        <w:tabs>
          <w:tab w:leader="none" w:pos="580" w:val="left"/>
        </w:tabs>
        <w:rPr>
          <w:sz w:val="20"/>
          <w:szCs w:val="20"/>
          <w:color w:val="auto"/>
        </w:rPr>
      </w:pPr>
      <w:r>
        <w:rPr>
          <w:rFonts w:ascii="Courier New" w:cs="Courier New" w:eastAsia="Courier New" w:hAnsi="Courier New"/>
          <w:sz w:val="18"/>
          <w:szCs w:val="18"/>
          <w:color w:val="auto"/>
        </w:rPr>
        <w:t>4(a)(i)</w:t>
      </w:r>
      <w:r>
        <w:rPr>
          <w:sz w:val="20"/>
          <w:szCs w:val="20"/>
          <w:color w:val="auto"/>
        </w:rPr>
        <w:tab/>
      </w:r>
      <w:r>
        <w:rPr>
          <w:rFonts w:ascii="Courier New" w:cs="Courier New" w:eastAsia="Courier New" w:hAnsi="Courier New"/>
          <w:sz w:val="16"/>
          <w:szCs w:val="16"/>
          <w:color w:val="auto"/>
        </w:rPr>
        <w:t>Rights Agreement dated as of June 18, 1998 between the Registrant and Harris Trust and Savings Bank as Rights Agent, which includes as Exhibit B the form of Rights Certificate (incorporated by reference to Exhibit 1 to the Registrant's Registration Statement on Form 8-A dated June 23, 1998).</w:t>
      </w:r>
    </w:p>
    <w:p>
      <w:pPr>
        <w:spacing w:after="0" w:line="38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019"/>
          </w:cols>
          <w:pgMar w:left="1440" w:top="925" w:right="1440" w:bottom="1440" w:gutter="0" w:footer="0" w:header="0"/>
        </w:sectPr>
      </w:pPr>
    </w:p>
    <w:bookmarkStart w:id="15" w:name="page16"/>
    <w:bookmarkEnd w:id="15"/>
    <w:p>
      <w:pPr>
        <w:ind w:left="1480" w:right="2419" w:hanging="1263"/>
        <w:spacing w:after="0" w:line="237" w:lineRule="auto"/>
        <w:tabs>
          <w:tab w:leader="none" w:pos="1460" w:val="left"/>
        </w:tabs>
        <w:rPr>
          <w:sz w:val="20"/>
          <w:szCs w:val="20"/>
          <w:color w:val="auto"/>
        </w:rPr>
      </w:pPr>
      <w:r>
        <w:rPr>
          <w:rFonts w:ascii="Courier New" w:cs="Courier New" w:eastAsia="Courier New" w:hAnsi="Courier New"/>
          <w:sz w:val="18"/>
          <w:szCs w:val="18"/>
          <w:color w:val="auto"/>
        </w:rPr>
        <w:t>4(a)(ii)</w:t>
      </w:r>
      <w:r>
        <w:rPr>
          <w:sz w:val="20"/>
          <w:szCs w:val="20"/>
          <w:color w:val="auto"/>
        </w:rPr>
        <w:tab/>
      </w:r>
      <w:r>
        <w:rPr>
          <w:rFonts w:ascii="Courier New" w:cs="Courier New" w:eastAsia="Courier New" w:hAnsi="Courier New"/>
          <w:sz w:val="18"/>
          <w:szCs w:val="18"/>
          <w:color w:val="auto"/>
        </w:rPr>
        <w:t>Amendment dated as of September 18, 1998 to the Rights Agreement (incorporated by reference to Exhibit 2 to the Registrant's Amendment No. 1 to Registration Statement on Form 8-A dated September 23, 1998).</w:t>
      </w:r>
    </w:p>
    <w:p>
      <w:pPr>
        <w:spacing w:after="0" w:line="207" w:lineRule="exact"/>
        <w:rPr>
          <w:sz w:val="20"/>
          <w:szCs w:val="20"/>
          <w:color w:val="auto"/>
        </w:rPr>
      </w:pPr>
    </w:p>
    <w:p>
      <w:pPr>
        <w:ind w:left="1480" w:right="1879" w:hanging="1259"/>
        <w:spacing w:after="0" w:line="279" w:lineRule="auto"/>
        <w:tabs>
          <w:tab w:leader="none" w:pos="146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6"/>
          <w:szCs w:val="16"/>
          <w:color w:val="auto"/>
        </w:rPr>
        <w:t>The Registrant agrees to provide the Commission, upon request, copies of instruments defining the rights of holders of long-term debt of the Registrant and its subsidiaries.</w:t>
      </w:r>
    </w:p>
    <w:p>
      <w:pPr>
        <w:spacing w:after="0" w:line="178" w:lineRule="exact"/>
        <w:rPr>
          <w:sz w:val="20"/>
          <w:szCs w:val="20"/>
          <w:color w:val="auto"/>
        </w:rPr>
      </w:pPr>
    </w:p>
    <w:p>
      <w:pPr>
        <w:ind w:left="1480" w:right="2099" w:hanging="1259"/>
        <w:spacing w:after="0" w:line="279" w:lineRule="auto"/>
        <w:tabs>
          <w:tab w:leader="none" w:pos="1460" w:val="left"/>
        </w:tabs>
        <w:rPr>
          <w:sz w:val="20"/>
          <w:szCs w:val="20"/>
          <w:color w:val="auto"/>
        </w:rPr>
      </w:pPr>
      <w:r>
        <w:rPr>
          <w:rFonts w:ascii="Courier New" w:cs="Courier New" w:eastAsia="Courier New" w:hAnsi="Courier New"/>
          <w:sz w:val="16"/>
          <w:szCs w:val="16"/>
          <w:color w:val="auto"/>
        </w:rPr>
        <w:t>10(a)(i)</w:t>
      </w:r>
      <w:r>
        <w:rPr>
          <w:sz w:val="20"/>
          <w:szCs w:val="20"/>
          <w:color w:val="auto"/>
        </w:rPr>
        <w:tab/>
      </w:r>
      <w:r>
        <w:rPr>
          <w:rFonts w:ascii="Courier New" w:cs="Courier New" w:eastAsia="Courier New" w:hAnsi="Courier New"/>
          <w:sz w:val="16"/>
          <w:szCs w:val="16"/>
          <w:color w:val="auto"/>
        </w:rPr>
        <w:t>Amended and Restated TI Deferred Compensation Plan (incorporated by reference to Exhibit 10(a)(i) to the Registrant's Annual Report on Form 10-K for the year 1999).*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10(a)(ii)</w:t>
            </w:r>
          </w:p>
        </w:tc>
        <w:tc>
          <w:tcPr>
            <w:tcW w:w="67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First Amendment to Restated TI Deferred Compensation Plan</w:t>
            </w:r>
          </w:p>
        </w:tc>
      </w:tr>
      <w:tr>
        <w:trPr>
          <w:trHeight w:val="203"/>
        </w:trPr>
        <w:tc>
          <w:tcPr>
            <w:tcW w:w="132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reference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Exhibit 10(a)(ii) to the</w:t>
            </w:r>
          </w:p>
        </w:tc>
      </w:tr>
      <w:tr>
        <w:trPr>
          <w:trHeight w:val="203"/>
        </w:trPr>
        <w:tc>
          <w:tcPr>
            <w:tcW w:w="1320" w:type="dxa"/>
            <w:vAlign w:val="bottom"/>
          </w:tcPr>
          <w:p>
            <w:pPr>
              <w:spacing w:after="0"/>
              <w:rPr>
                <w:sz w:val="17"/>
                <w:szCs w:val="17"/>
                <w:color w:val="auto"/>
              </w:rPr>
            </w:pPr>
          </w:p>
        </w:tc>
        <w:tc>
          <w:tcPr>
            <w:tcW w:w="2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Registrant's Annual Report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 Form 10-K for the year 1999).*</w:t>
            </w:r>
          </w:p>
        </w:tc>
      </w:tr>
      <w:tr>
        <w:trPr>
          <w:trHeight w:val="405"/>
        </w:trPr>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10(a)(iii)</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Second Amendment</w:t>
            </w:r>
          </w:p>
        </w:tc>
        <w:tc>
          <w:tcPr>
            <w:tcW w:w="48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Restated TI Deferred Compensation Plan</w:t>
            </w:r>
          </w:p>
        </w:tc>
      </w:tr>
      <w:tr>
        <w:trPr>
          <w:trHeight w:val="203"/>
        </w:trPr>
        <w:tc>
          <w:tcPr>
            <w:tcW w:w="132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reference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Exhibit 10(a)(iii) to the</w:t>
            </w:r>
          </w:p>
        </w:tc>
      </w:tr>
      <w:tr>
        <w:trPr>
          <w:trHeight w:val="203"/>
        </w:trPr>
        <w:tc>
          <w:tcPr>
            <w:tcW w:w="1320" w:type="dxa"/>
            <w:vAlign w:val="bottom"/>
          </w:tcPr>
          <w:p>
            <w:pPr>
              <w:spacing w:after="0"/>
              <w:rPr>
                <w:sz w:val="17"/>
                <w:szCs w:val="17"/>
                <w:color w:val="auto"/>
              </w:rPr>
            </w:pPr>
          </w:p>
        </w:tc>
        <w:tc>
          <w:tcPr>
            <w:tcW w:w="2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Registrant's Annual Report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 Form 10-K for the year 1999).*</w:t>
            </w:r>
          </w:p>
        </w:tc>
      </w:tr>
      <w:tr>
        <w:trPr>
          <w:trHeight w:val="405"/>
        </w:trPr>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10(a)(iv)</w:t>
            </w:r>
          </w:p>
        </w:tc>
        <w:tc>
          <w:tcPr>
            <w:tcW w:w="67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Third Amendment to Restated TI Deferred Compensation Plan</w:t>
            </w:r>
          </w:p>
        </w:tc>
      </w:tr>
      <w:tr>
        <w:trPr>
          <w:trHeight w:val="203"/>
        </w:trPr>
        <w:tc>
          <w:tcPr>
            <w:tcW w:w="132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reference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Exhibit 10(a)(iv) to the</w:t>
            </w:r>
          </w:p>
        </w:tc>
      </w:tr>
      <w:tr>
        <w:trPr>
          <w:trHeight w:val="203"/>
        </w:trPr>
        <w:tc>
          <w:tcPr>
            <w:tcW w:w="1320" w:type="dxa"/>
            <w:vAlign w:val="bottom"/>
          </w:tcPr>
          <w:p>
            <w:pPr>
              <w:spacing w:after="0"/>
              <w:rPr>
                <w:sz w:val="17"/>
                <w:szCs w:val="17"/>
                <w:color w:val="auto"/>
              </w:rPr>
            </w:pPr>
          </w:p>
        </w:tc>
        <w:tc>
          <w:tcPr>
            <w:tcW w:w="2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Registrant's Annual report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 Form 10-K for the year 2000).*</w:t>
            </w:r>
          </w:p>
        </w:tc>
      </w:tr>
      <w:tr>
        <w:trPr>
          <w:trHeight w:val="405"/>
        </w:trPr>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10(a)(v)</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Fourth Amendment</w:t>
            </w:r>
          </w:p>
        </w:tc>
        <w:tc>
          <w:tcPr>
            <w:tcW w:w="48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Restated TI Deferred Compensation Plan.*</w:t>
            </w:r>
          </w:p>
        </w:tc>
      </w:tr>
      <w:tr>
        <w:trPr>
          <w:trHeight w:val="405"/>
        </w:trPr>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10(a)(vi)</w:t>
            </w:r>
          </w:p>
        </w:tc>
        <w:tc>
          <w:tcPr>
            <w:tcW w:w="67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Severance Benefit Agreement between Burr-Brown Corporation and</w:t>
            </w:r>
          </w:p>
        </w:tc>
      </w:tr>
      <w:tr>
        <w:trPr>
          <w:trHeight w:val="203"/>
        </w:trPr>
        <w:tc>
          <w:tcPr>
            <w:tcW w:w="132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Syrus P. Madavi dated October 30, 1996.*</w:t>
            </w:r>
          </w:p>
        </w:tc>
      </w:tr>
      <w:tr>
        <w:trPr>
          <w:trHeight w:val="405"/>
        </w:trPr>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10(a)(vii)</w:t>
            </w:r>
          </w:p>
        </w:tc>
        <w:tc>
          <w:tcPr>
            <w:tcW w:w="67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Change in Control Severance Benefit Agreement between</w:t>
            </w:r>
          </w:p>
        </w:tc>
      </w:tr>
      <w:tr>
        <w:trPr>
          <w:trHeight w:val="203"/>
        </w:trPr>
        <w:tc>
          <w:tcPr>
            <w:tcW w:w="1320" w:type="dxa"/>
            <w:vAlign w:val="bottom"/>
          </w:tcPr>
          <w:p>
            <w:pPr>
              <w:spacing w:after="0"/>
              <w:rPr>
                <w:sz w:val="17"/>
                <w:szCs w:val="17"/>
                <w:color w:val="auto"/>
              </w:rPr>
            </w:pPr>
          </w:p>
        </w:tc>
        <w:tc>
          <w:tcPr>
            <w:tcW w:w="2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Burr-Brown Corporation and</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Syrus P. Madavi dated</w:t>
            </w:r>
          </w:p>
        </w:tc>
      </w:tr>
      <w:tr>
        <w:trPr>
          <w:trHeight w:val="203"/>
        </w:trPr>
        <w:tc>
          <w:tcPr>
            <w:tcW w:w="1320" w:type="dxa"/>
            <w:vAlign w:val="bottom"/>
          </w:tcPr>
          <w:p>
            <w:pPr>
              <w:spacing w:after="0"/>
              <w:rPr>
                <w:sz w:val="17"/>
                <w:szCs w:val="17"/>
                <w:color w:val="auto"/>
              </w:rPr>
            </w:pPr>
          </w:p>
        </w:tc>
        <w:tc>
          <w:tcPr>
            <w:tcW w:w="2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October 30, 1996.*</w:t>
            </w:r>
          </w:p>
        </w:tc>
        <w:tc>
          <w:tcPr>
            <w:tcW w:w="3740" w:type="dxa"/>
            <w:vAlign w:val="bottom"/>
          </w:tcPr>
          <w:p>
            <w:pPr>
              <w:spacing w:after="0"/>
              <w:rPr>
                <w:sz w:val="17"/>
                <w:szCs w:val="17"/>
                <w:color w:val="auto"/>
              </w:rPr>
            </w:pPr>
          </w:p>
        </w:tc>
      </w:tr>
      <w:tr>
        <w:trPr>
          <w:trHeight w:val="405"/>
        </w:trPr>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10(a)(viii)</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Letter Agreement</w:t>
            </w:r>
          </w:p>
        </w:tc>
        <w:tc>
          <w:tcPr>
            <w:tcW w:w="48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between Texas Instruments Incorporated and</w:t>
            </w:r>
          </w:p>
        </w:tc>
      </w:tr>
    </w:tbl>
    <w:p>
      <w:pPr>
        <w:ind w:left="1480"/>
        <w:spacing w:after="0" w:line="238" w:lineRule="auto"/>
        <w:rPr>
          <w:sz w:val="20"/>
          <w:szCs w:val="20"/>
          <w:color w:val="auto"/>
        </w:rPr>
      </w:pPr>
      <w:r>
        <w:rPr>
          <w:rFonts w:ascii="Courier New" w:cs="Courier New" w:eastAsia="Courier New" w:hAnsi="Courier New"/>
          <w:sz w:val="18"/>
          <w:szCs w:val="18"/>
          <w:color w:val="auto"/>
        </w:rPr>
        <w:t>Syrus P. Madavi dated October 21, 2000.*</w:t>
      </w:r>
    </w:p>
    <w:p>
      <w:pPr>
        <w:spacing w:after="0" w:line="207" w:lineRule="exact"/>
        <w:rPr>
          <w:sz w:val="20"/>
          <w:szCs w:val="20"/>
          <w:color w:val="auto"/>
        </w:rPr>
      </w:pPr>
    </w:p>
    <w:p>
      <w:pPr>
        <w:ind w:left="1480" w:right="2519" w:hanging="1259"/>
        <w:spacing w:after="0" w:line="236" w:lineRule="auto"/>
        <w:tabs>
          <w:tab w:leader="none" w:pos="1460" w:val="left"/>
        </w:tabs>
        <w:rPr>
          <w:sz w:val="20"/>
          <w:szCs w:val="20"/>
          <w:color w:val="auto"/>
        </w:rPr>
      </w:pPr>
      <w:r>
        <w:rPr>
          <w:rFonts w:ascii="Courier New" w:cs="Courier New" w:eastAsia="Courier New" w:hAnsi="Courier New"/>
          <w:sz w:val="18"/>
          <w:szCs w:val="18"/>
          <w:color w:val="auto"/>
        </w:rPr>
        <w:t>10(b)(i)</w:t>
      </w:r>
      <w:r>
        <w:rPr>
          <w:sz w:val="20"/>
          <w:szCs w:val="20"/>
          <w:color w:val="auto"/>
        </w:rPr>
        <w:tab/>
      </w:r>
      <w:r>
        <w:rPr>
          <w:rFonts w:ascii="Courier New" w:cs="Courier New" w:eastAsia="Courier New" w:hAnsi="Courier New"/>
          <w:sz w:val="18"/>
          <w:szCs w:val="18"/>
          <w:color w:val="auto"/>
        </w:rPr>
        <w:t>TI Employees Supplemental Pension Plan (incorporated by reference to Exhibit 10(b)(i) to the Registrant's Annual Report on Form 10-K for the year 1999).*</w:t>
      </w:r>
    </w:p>
    <w:p>
      <w:pPr>
        <w:spacing w:after="0" w:line="209" w:lineRule="exact"/>
        <w:rPr>
          <w:sz w:val="20"/>
          <w:szCs w:val="20"/>
          <w:color w:val="auto"/>
        </w:rPr>
      </w:pPr>
    </w:p>
    <w:p>
      <w:pPr>
        <w:ind w:left="1480" w:right="1999" w:hanging="1259"/>
        <w:spacing w:after="0" w:line="279" w:lineRule="auto"/>
        <w:tabs>
          <w:tab w:leader="none" w:pos="1460" w:val="left"/>
        </w:tabs>
        <w:rPr>
          <w:sz w:val="20"/>
          <w:szCs w:val="20"/>
          <w:color w:val="auto"/>
        </w:rPr>
      </w:pPr>
      <w:r>
        <w:rPr>
          <w:rFonts w:ascii="Courier New" w:cs="Courier New" w:eastAsia="Courier New" w:hAnsi="Courier New"/>
          <w:sz w:val="16"/>
          <w:szCs w:val="16"/>
          <w:color w:val="auto"/>
        </w:rPr>
        <w:t>10(b)(ii)</w:t>
      </w:r>
      <w:r>
        <w:rPr>
          <w:sz w:val="20"/>
          <w:szCs w:val="20"/>
          <w:color w:val="auto"/>
        </w:rPr>
        <w:tab/>
      </w:r>
      <w:r>
        <w:rPr>
          <w:rFonts w:ascii="Courier New" w:cs="Courier New" w:eastAsia="Courier New" w:hAnsi="Courier New"/>
          <w:sz w:val="16"/>
          <w:szCs w:val="16"/>
          <w:color w:val="auto"/>
        </w:rPr>
        <w:t>First Amendment to TI Supplemental Pension Plan (incorporated by reference to Exhibit 10(b)(ii) to the Registrant's Annual Report on Form 10-K for the year 1999).*</w:t>
      </w:r>
    </w:p>
    <w:p>
      <w:pPr>
        <w:spacing w:after="0" w:line="37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899"/>
          </w:cols>
          <w:pgMar w:left="560" w:top="925" w:right="1440" w:bottom="1440" w:gutter="0" w:footer="0" w:header="0"/>
        </w:sectPr>
      </w:pPr>
    </w:p>
    <w:bookmarkStart w:id="16" w:name="page17"/>
    <w:bookmarkEnd w:id="16"/>
    <w:p>
      <w:pPr>
        <w:ind w:left="1045" w:right="2419" w:hanging="1039"/>
        <w:spacing w:after="0" w:line="236" w:lineRule="auto"/>
        <w:tabs>
          <w:tab w:leader="none" w:pos="1025" w:val="left"/>
        </w:tabs>
        <w:rPr>
          <w:sz w:val="20"/>
          <w:szCs w:val="20"/>
          <w:color w:val="auto"/>
        </w:rPr>
      </w:pPr>
      <w:r>
        <w:rPr>
          <w:rFonts w:ascii="Courier New" w:cs="Courier New" w:eastAsia="Courier New" w:hAnsi="Courier New"/>
          <w:sz w:val="18"/>
          <w:szCs w:val="18"/>
          <w:color w:val="auto"/>
        </w:rPr>
        <w:t>10(c)</w:t>
      </w:r>
      <w:r>
        <w:rPr>
          <w:sz w:val="20"/>
          <w:szCs w:val="20"/>
          <w:color w:val="auto"/>
        </w:rPr>
        <w:tab/>
      </w:r>
      <w:r>
        <w:rPr>
          <w:rFonts w:ascii="Courier New" w:cs="Courier New" w:eastAsia="Courier New" w:hAnsi="Courier New"/>
          <w:sz w:val="18"/>
          <w:szCs w:val="18"/>
          <w:color w:val="auto"/>
        </w:rPr>
        <w:t>Texas Instruments Long-Term Incentive Plan (incorporated by reference to Exhibit 10(a)(ii) to the Registrant's Annual Report on Form 10-K for the year 1993).*</w:t>
      </w:r>
    </w:p>
    <w:p>
      <w:pPr>
        <w:spacing w:after="0" w:line="209" w:lineRule="exact"/>
        <w:rPr>
          <w:sz w:val="20"/>
          <w:szCs w:val="20"/>
          <w:color w:val="auto"/>
        </w:rPr>
      </w:pPr>
    </w:p>
    <w:p>
      <w:pPr>
        <w:ind w:left="1045" w:right="1879" w:hanging="1039"/>
        <w:spacing w:after="0" w:line="236" w:lineRule="auto"/>
        <w:tabs>
          <w:tab w:leader="none" w:pos="1025" w:val="left"/>
        </w:tabs>
        <w:rPr>
          <w:sz w:val="20"/>
          <w:szCs w:val="20"/>
          <w:color w:val="auto"/>
        </w:rPr>
      </w:pPr>
      <w:r>
        <w:rPr>
          <w:rFonts w:ascii="Courier New" w:cs="Courier New" w:eastAsia="Courier New" w:hAnsi="Courier New"/>
          <w:sz w:val="18"/>
          <w:szCs w:val="18"/>
          <w:color w:val="auto"/>
        </w:rPr>
        <w:t>10(d)</w:t>
      </w:r>
      <w:r>
        <w:rPr>
          <w:sz w:val="20"/>
          <w:szCs w:val="20"/>
          <w:color w:val="auto"/>
        </w:rPr>
        <w:tab/>
      </w:r>
      <w:r>
        <w:rPr>
          <w:rFonts w:ascii="Courier New" w:cs="Courier New" w:eastAsia="Courier New" w:hAnsi="Courier New"/>
          <w:sz w:val="18"/>
          <w:szCs w:val="18"/>
          <w:color w:val="auto"/>
        </w:rPr>
        <w:t>Texas Instruments 1996 Long-Term Incentive Plan (incorporated by reference to Exhibit 10 to the Registrant's Quarterly Report on Form 10-Q for the quarter ended June 30, 1996).*</w:t>
      </w:r>
    </w:p>
    <w:p>
      <w:pPr>
        <w:spacing w:after="0" w:line="209" w:lineRule="exact"/>
        <w:rPr>
          <w:sz w:val="20"/>
          <w:szCs w:val="20"/>
          <w:color w:val="auto"/>
        </w:rPr>
      </w:pPr>
    </w:p>
    <w:p>
      <w:pPr>
        <w:ind w:left="1045" w:right="1879" w:hanging="1039"/>
        <w:spacing w:after="0" w:line="236" w:lineRule="auto"/>
        <w:tabs>
          <w:tab w:leader="none" w:pos="1025" w:val="left"/>
        </w:tabs>
        <w:rPr>
          <w:sz w:val="20"/>
          <w:szCs w:val="20"/>
          <w:color w:val="auto"/>
        </w:rPr>
      </w:pPr>
      <w:r>
        <w:rPr>
          <w:rFonts w:ascii="Courier New" w:cs="Courier New" w:eastAsia="Courier New" w:hAnsi="Courier New"/>
          <w:sz w:val="18"/>
          <w:szCs w:val="18"/>
          <w:color w:val="auto"/>
        </w:rPr>
        <w:t>10(e)</w:t>
      </w:r>
      <w:r>
        <w:rPr>
          <w:sz w:val="20"/>
          <w:szCs w:val="20"/>
          <w:color w:val="auto"/>
        </w:rPr>
        <w:tab/>
      </w:r>
      <w:r>
        <w:rPr>
          <w:rFonts w:ascii="Courier New" w:cs="Courier New" w:eastAsia="Courier New" w:hAnsi="Courier New"/>
          <w:sz w:val="18"/>
          <w:szCs w:val="18"/>
          <w:color w:val="auto"/>
        </w:rPr>
        <w:t>Texas Instruments 2000 Long-Term Incentive Plan (incorporated by reference to Exhibit 10(e) to the Registrant's Registration Statement on Form S-4 No. 333-41030 filed on July 7, 2000).*</w:t>
      </w:r>
    </w:p>
    <w:p>
      <w:pPr>
        <w:spacing w:after="0" w:line="209" w:lineRule="exact"/>
        <w:rPr>
          <w:sz w:val="20"/>
          <w:szCs w:val="20"/>
          <w:color w:val="auto"/>
        </w:rPr>
      </w:pPr>
    </w:p>
    <w:p>
      <w:pPr>
        <w:ind w:left="1045" w:right="2419" w:hanging="1039"/>
        <w:spacing w:after="0" w:line="279" w:lineRule="auto"/>
        <w:tabs>
          <w:tab w:leader="none" w:pos="1025" w:val="left"/>
        </w:tabs>
        <w:rPr>
          <w:sz w:val="20"/>
          <w:szCs w:val="20"/>
          <w:color w:val="auto"/>
        </w:rPr>
      </w:pPr>
      <w:r>
        <w:rPr>
          <w:rFonts w:ascii="Courier New" w:cs="Courier New" w:eastAsia="Courier New" w:hAnsi="Courier New"/>
          <w:sz w:val="16"/>
          <w:szCs w:val="16"/>
          <w:color w:val="auto"/>
        </w:rPr>
        <w:t>10(f)</w:t>
      </w:r>
      <w:r>
        <w:rPr>
          <w:sz w:val="20"/>
          <w:szCs w:val="20"/>
          <w:color w:val="auto"/>
        </w:rPr>
        <w:tab/>
      </w:r>
      <w:r>
        <w:rPr>
          <w:rFonts w:ascii="Courier New" w:cs="Courier New" w:eastAsia="Courier New" w:hAnsi="Courier New"/>
          <w:sz w:val="16"/>
          <w:szCs w:val="16"/>
          <w:color w:val="auto"/>
        </w:rPr>
        <w:t>Texas Instruments Executive Officer Performance Plan (incorporated by reference to the Registrant's Quarterly Report on Form 10-Q for the quarter ended March 31, 1997).*</w:t>
      </w:r>
    </w:p>
    <w:p>
      <w:pPr>
        <w:spacing w:after="0" w:line="178" w:lineRule="exact"/>
        <w:rPr>
          <w:sz w:val="20"/>
          <w:szCs w:val="20"/>
          <w:color w:val="auto"/>
        </w:rPr>
      </w:pPr>
    </w:p>
    <w:p>
      <w:pPr>
        <w:ind w:left="1045" w:right="1999" w:hanging="1039"/>
        <w:spacing w:after="0" w:line="268" w:lineRule="auto"/>
        <w:tabs>
          <w:tab w:leader="none" w:pos="1025" w:val="left"/>
        </w:tabs>
        <w:rPr>
          <w:sz w:val="20"/>
          <w:szCs w:val="20"/>
          <w:color w:val="auto"/>
        </w:rPr>
      </w:pPr>
      <w:r>
        <w:rPr>
          <w:rFonts w:ascii="Courier New" w:cs="Courier New" w:eastAsia="Courier New" w:hAnsi="Courier New"/>
          <w:sz w:val="16"/>
          <w:szCs w:val="16"/>
          <w:color w:val="auto"/>
        </w:rPr>
        <w:t>10(g)</w:t>
      </w:r>
      <w:r>
        <w:rPr>
          <w:sz w:val="20"/>
          <w:szCs w:val="20"/>
          <w:color w:val="auto"/>
        </w:rPr>
        <w:tab/>
      </w:r>
      <w:r>
        <w:rPr>
          <w:rFonts w:ascii="Courier New" w:cs="Courier New" w:eastAsia="Courier New" w:hAnsi="Courier New"/>
          <w:sz w:val="16"/>
          <w:szCs w:val="16"/>
          <w:color w:val="auto"/>
        </w:rPr>
        <w:t>Texas Instruments Restricted Stock Unit Plan for Directors (incorporated by reference to Exhibit 10(e) to the Registrant's Quarterly Report on Form 10-Q for the quarter ended</w:t>
      </w:r>
    </w:p>
    <w:p>
      <w:pPr>
        <w:ind w:left="1045"/>
        <w:spacing w:after="0" w:line="233" w:lineRule="auto"/>
        <w:rPr>
          <w:sz w:val="20"/>
          <w:szCs w:val="20"/>
          <w:color w:val="auto"/>
        </w:rPr>
      </w:pPr>
      <w:r>
        <w:rPr>
          <w:rFonts w:ascii="Courier New" w:cs="Courier New" w:eastAsia="Courier New" w:hAnsi="Courier New"/>
          <w:sz w:val="18"/>
          <w:szCs w:val="18"/>
          <w:color w:val="auto"/>
        </w:rPr>
        <w:t>March 31, 1998).</w:t>
      </w:r>
    </w:p>
    <w:p>
      <w:pPr>
        <w:spacing w:after="0" w:line="208" w:lineRule="exact"/>
        <w:rPr>
          <w:sz w:val="20"/>
          <w:szCs w:val="20"/>
          <w:color w:val="auto"/>
        </w:rPr>
      </w:pPr>
    </w:p>
    <w:p>
      <w:pPr>
        <w:ind w:left="1045" w:right="1999" w:hanging="1039"/>
        <w:spacing w:after="0" w:line="237" w:lineRule="auto"/>
        <w:tabs>
          <w:tab w:leader="none" w:pos="1025" w:val="left"/>
        </w:tabs>
        <w:rPr>
          <w:sz w:val="20"/>
          <w:szCs w:val="20"/>
          <w:color w:val="auto"/>
        </w:rPr>
      </w:pPr>
      <w:r>
        <w:rPr>
          <w:rFonts w:ascii="Courier New" w:cs="Courier New" w:eastAsia="Courier New" w:hAnsi="Courier New"/>
          <w:sz w:val="18"/>
          <w:szCs w:val="18"/>
          <w:color w:val="auto"/>
        </w:rPr>
        <w:t>10(h)</w:t>
      </w:r>
      <w:r>
        <w:rPr>
          <w:sz w:val="20"/>
          <w:szCs w:val="20"/>
          <w:color w:val="auto"/>
        </w:rPr>
        <w:tab/>
      </w:r>
      <w:r>
        <w:rPr>
          <w:rFonts w:ascii="Courier New" w:cs="Courier New" w:eastAsia="Courier New" w:hAnsi="Courier New"/>
          <w:sz w:val="18"/>
          <w:szCs w:val="18"/>
          <w:color w:val="auto"/>
        </w:rPr>
        <w:t>Texas Instruments Directors Deferred Compensation Plan (incorporated by reference to Exhibit 10(f) to the Registrant's Quarterly Report on Form 10-Q for the quarter ended March 31, 1998).</w:t>
      </w:r>
    </w:p>
    <w:p>
      <w:pPr>
        <w:spacing w:after="0" w:line="207" w:lineRule="exact"/>
        <w:rPr>
          <w:sz w:val="20"/>
          <w:szCs w:val="20"/>
          <w:color w:val="auto"/>
        </w:rPr>
      </w:pPr>
    </w:p>
    <w:p>
      <w:pPr>
        <w:ind w:left="1045" w:right="1999" w:hanging="1039"/>
        <w:spacing w:after="0" w:line="236" w:lineRule="auto"/>
        <w:tabs>
          <w:tab w:leader="none" w:pos="1025" w:val="left"/>
        </w:tabs>
        <w:rPr>
          <w:sz w:val="20"/>
          <w:szCs w:val="20"/>
          <w:color w:val="auto"/>
        </w:rPr>
      </w:pPr>
      <w:r>
        <w:rPr>
          <w:rFonts w:ascii="Courier New" w:cs="Courier New" w:eastAsia="Courier New" w:hAnsi="Courier New"/>
          <w:sz w:val="18"/>
          <w:szCs w:val="18"/>
          <w:color w:val="auto"/>
        </w:rPr>
        <w:t>10(i)</w:t>
      </w:r>
      <w:r>
        <w:rPr>
          <w:sz w:val="20"/>
          <w:szCs w:val="20"/>
          <w:color w:val="auto"/>
        </w:rPr>
        <w:tab/>
      </w:r>
      <w:r>
        <w:rPr>
          <w:rFonts w:ascii="Courier New" w:cs="Courier New" w:eastAsia="Courier New" w:hAnsi="Courier New"/>
          <w:sz w:val="18"/>
          <w:szCs w:val="18"/>
          <w:color w:val="auto"/>
        </w:rPr>
        <w:t>Texas Instruments Stock Option Plan for Non-Employee Directors (incorporated by reference to Exhibit 10(i) to the Registrant's Annual Report on Form 10-K for the year 2000.</w:t>
      </w:r>
    </w:p>
    <w:p>
      <w:pPr>
        <w:spacing w:after="0" w:line="209" w:lineRule="exact"/>
        <w:rPr>
          <w:sz w:val="20"/>
          <w:szCs w:val="20"/>
          <w:color w:val="auto"/>
        </w:rPr>
      </w:pPr>
    </w:p>
    <w:p>
      <w:pPr>
        <w:ind w:left="1045" w:right="1999" w:hanging="1039"/>
        <w:spacing w:after="0" w:line="237" w:lineRule="auto"/>
        <w:tabs>
          <w:tab w:leader="none" w:pos="1025" w:val="left"/>
        </w:tabs>
        <w:rPr>
          <w:sz w:val="20"/>
          <w:szCs w:val="20"/>
          <w:color w:val="auto"/>
        </w:rPr>
      </w:pPr>
      <w:r>
        <w:rPr>
          <w:rFonts w:ascii="Courier New" w:cs="Courier New" w:eastAsia="Courier New" w:hAnsi="Courier New"/>
          <w:sz w:val="18"/>
          <w:szCs w:val="18"/>
          <w:color w:val="auto"/>
        </w:rPr>
        <w:t>10(j)</w:t>
      </w:r>
      <w:r>
        <w:rPr>
          <w:sz w:val="20"/>
          <w:szCs w:val="20"/>
          <w:color w:val="auto"/>
        </w:rPr>
        <w:tab/>
      </w:r>
      <w:r>
        <w:rPr>
          <w:rFonts w:ascii="Courier New" w:cs="Courier New" w:eastAsia="Courier New" w:hAnsi="Courier New"/>
          <w:sz w:val="18"/>
          <w:szCs w:val="18"/>
          <w:color w:val="auto"/>
        </w:rPr>
        <w:t>Acquisition Agreement dated as of June 18, 1998 between Texas Instruments Incorporated and Micron Technology, Inc. (Exhibit C omitted) (incorporated by reference to Exhibit 2.1 to the Registrant's Current Report on Form 8-K dated June 18, 1998).</w:t>
      </w:r>
    </w:p>
    <w:p>
      <w:pPr>
        <w:spacing w:after="0" w:line="207" w:lineRule="exact"/>
        <w:rPr>
          <w:sz w:val="20"/>
          <w:szCs w:val="20"/>
          <w:color w:val="auto"/>
        </w:rPr>
      </w:pPr>
    </w:p>
    <w:p>
      <w:pPr>
        <w:ind w:left="1045" w:right="1999" w:hanging="1039"/>
        <w:spacing w:after="0" w:line="268" w:lineRule="auto"/>
        <w:tabs>
          <w:tab w:leader="none" w:pos="1025" w:val="left"/>
        </w:tabs>
        <w:rPr>
          <w:sz w:val="20"/>
          <w:szCs w:val="20"/>
          <w:color w:val="auto"/>
        </w:rPr>
      </w:pPr>
      <w:r>
        <w:rPr>
          <w:rFonts w:ascii="Courier New" w:cs="Courier New" w:eastAsia="Courier New" w:hAnsi="Courier New"/>
          <w:sz w:val="16"/>
          <w:szCs w:val="16"/>
          <w:color w:val="auto"/>
        </w:rPr>
        <w:t>10(k)</w:t>
      </w:r>
      <w:r>
        <w:rPr>
          <w:sz w:val="20"/>
          <w:szCs w:val="20"/>
          <w:color w:val="auto"/>
        </w:rPr>
        <w:tab/>
      </w:r>
      <w:r>
        <w:rPr>
          <w:rFonts w:ascii="Courier New" w:cs="Courier New" w:eastAsia="Courier New" w:hAnsi="Courier New"/>
          <w:sz w:val="16"/>
          <w:szCs w:val="16"/>
          <w:color w:val="auto"/>
        </w:rPr>
        <w:t>Second Amendment to Acquisition Agreement dated as of September 30, 1998 between Texas Instruments Incorporated and Micron Technology, Inc. (incorporated by reference to Exhibit 2.2 to the Registrant's Current Report on Form 8-K dated October</w:t>
      </w:r>
    </w:p>
    <w:p>
      <w:pPr>
        <w:ind w:left="1045"/>
        <w:spacing w:after="0" w:line="234" w:lineRule="auto"/>
        <w:rPr>
          <w:sz w:val="20"/>
          <w:szCs w:val="20"/>
          <w:color w:val="auto"/>
        </w:rPr>
      </w:pPr>
      <w:r>
        <w:rPr>
          <w:rFonts w:ascii="Courier New" w:cs="Courier New" w:eastAsia="Courier New" w:hAnsi="Courier New"/>
          <w:sz w:val="18"/>
          <w:szCs w:val="18"/>
          <w:color w:val="auto"/>
        </w:rPr>
        <w:t>15, 1998).</w:t>
      </w:r>
    </w:p>
    <w:p>
      <w:pPr>
        <w:spacing w:after="0" w:line="207" w:lineRule="exact"/>
        <w:rPr>
          <w:sz w:val="20"/>
          <w:szCs w:val="20"/>
          <w:color w:val="auto"/>
        </w:rPr>
      </w:pPr>
    </w:p>
    <w:p>
      <w:pPr>
        <w:ind w:left="1045" w:right="2199" w:hanging="1039"/>
        <w:spacing w:after="0" w:line="237" w:lineRule="auto"/>
        <w:tabs>
          <w:tab w:leader="none" w:pos="1025" w:val="left"/>
        </w:tabs>
        <w:rPr>
          <w:sz w:val="20"/>
          <w:szCs w:val="20"/>
          <w:color w:val="auto"/>
        </w:rPr>
      </w:pPr>
      <w:r>
        <w:rPr>
          <w:rFonts w:ascii="Courier New" w:cs="Courier New" w:eastAsia="Courier New" w:hAnsi="Courier New"/>
          <w:sz w:val="18"/>
          <w:szCs w:val="18"/>
          <w:color w:val="auto"/>
        </w:rPr>
        <w:t>10(l)</w:t>
      </w:r>
      <w:r>
        <w:rPr>
          <w:sz w:val="20"/>
          <w:szCs w:val="20"/>
          <w:color w:val="auto"/>
        </w:rPr>
        <w:tab/>
      </w:r>
      <w:r>
        <w:rPr>
          <w:rFonts w:ascii="Courier New" w:cs="Courier New" w:eastAsia="Courier New" w:hAnsi="Courier New"/>
          <w:sz w:val="18"/>
          <w:szCs w:val="18"/>
          <w:color w:val="auto"/>
        </w:rPr>
        <w:t>Securities Rights and Restrictions Agreement dated as of September 30, 1998 between Texas Instruments Incorporated and Micron Technology, Inc. (incorporated by reference to Exhibit 10(k) to the Registrant's Annual Report on Form 10-K for the year 1998).</w:t>
      </w:r>
    </w:p>
    <w:p>
      <w:pPr>
        <w:spacing w:after="0" w:line="209" w:lineRule="exact"/>
        <w:rPr>
          <w:sz w:val="20"/>
          <w:szCs w:val="20"/>
          <w:color w:val="auto"/>
        </w:rPr>
      </w:pPr>
    </w:p>
    <w:p>
      <w:pPr>
        <w:ind w:left="1045" w:right="1879" w:hanging="1045"/>
        <w:spacing w:after="0" w:line="235" w:lineRule="auto"/>
        <w:tabs>
          <w:tab w:leader="none" w:pos="104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Earnings (Loss) Per Common and Dilutive Potential Common Share.</w:t>
      </w:r>
    </w:p>
    <w:p>
      <w:pPr>
        <w:spacing w:after="0" w:line="202" w:lineRule="exact"/>
        <w:rPr>
          <w:rFonts w:ascii="Courier New" w:cs="Courier New" w:eastAsia="Courier New" w:hAnsi="Courier New"/>
          <w:sz w:val="18"/>
          <w:szCs w:val="18"/>
          <w:color w:val="auto"/>
        </w:rPr>
      </w:pPr>
    </w:p>
    <w:p>
      <w:pPr>
        <w:ind w:left="1045" w:hanging="1045"/>
        <w:spacing w:after="0"/>
        <w:tabs>
          <w:tab w:leader="none" w:pos="104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Ratio of Earnings to Fixed Charges.</w:t>
      </w:r>
    </w:p>
    <w:p>
      <w:pPr>
        <w:spacing w:after="0" w:line="200" w:lineRule="exact"/>
        <w:rPr>
          <w:sz w:val="20"/>
          <w:szCs w:val="20"/>
          <w:color w:val="auto"/>
        </w:rPr>
      </w:pP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684"/>
          </w:cols>
          <w:pgMar w:left="775" w:top="925" w:right="1440" w:bottom="1440" w:gutter="0" w:footer="0" w:header="0"/>
        </w:sectPr>
      </w:pPr>
    </w:p>
    <w:bookmarkStart w:id="17" w:name="page18"/>
    <w:bookmarkEnd w:id="17"/>
    <w:p>
      <w:pPr>
        <w:ind w:left="1580" w:right="1879" w:hanging="1045"/>
        <w:spacing w:after="0" w:line="237"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Portions of Registrant's Proxy Statement for 2002 Annual Meeting of Stockholders Incorporated by Reference Herein (incorporated by reference to Exhibit C to the Registrant's Proxy Statement for the 2002 Annual Meeting of Stockholders).</w:t>
      </w:r>
    </w:p>
    <w:p>
      <w:pPr>
        <w:spacing w:after="0" w:line="202" w:lineRule="exact"/>
        <w:rPr>
          <w:sz w:val="20"/>
          <w:szCs w:val="20"/>
          <w:color w:val="auto"/>
        </w:rPr>
      </w:pPr>
    </w:p>
    <w:p>
      <w:pPr>
        <w:ind w:left="1580" w:hanging="1045"/>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of Subsidiaries of the Registrant.</w:t>
      </w:r>
    </w:p>
    <w:p>
      <w:pPr>
        <w:spacing w:after="0" w:line="201" w:lineRule="exact"/>
        <w:rPr>
          <w:rFonts w:ascii="Courier New" w:cs="Courier New" w:eastAsia="Courier New" w:hAnsi="Courier New"/>
          <w:sz w:val="18"/>
          <w:szCs w:val="18"/>
          <w:color w:val="auto"/>
        </w:rPr>
      </w:pPr>
    </w:p>
    <w:p>
      <w:pPr>
        <w:ind w:left="1580" w:hanging="1045"/>
        <w:spacing w:after="0"/>
        <w:tabs>
          <w:tab w:leader="none" w:pos="15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Ernst &amp; Young LLP.</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0" w:hanging="312"/>
        <w:spacing w:after="0"/>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Compensation Plans and Arrangements.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Reports on Form 8-K: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quarter ended December 31, 2001, the Registrant filed a report on Form 8-K dated November 12, 2001, confirming its outlook for the fourth quarter of 2001 as set forth in the outlook section included in Item 2 of its Form 10-Q for the quarter ended September 30, 2001.</w:t>
      </w:r>
    </w:p>
    <w:p>
      <w:pPr>
        <w:spacing w:after="0" w:line="200" w:lineRule="exact"/>
        <w:rPr>
          <w:sz w:val="20"/>
          <w:szCs w:val="20"/>
          <w:color w:val="auto"/>
        </w:rPr>
      </w:pP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5"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TI or its management:</w:t>
      </w:r>
    </w:p>
    <w:p>
      <w:pPr>
        <w:spacing w:after="0" w:line="209" w:lineRule="exact"/>
        <w:rPr>
          <w:sz w:val="20"/>
          <w:szCs w:val="20"/>
          <w:color w:val="auto"/>
        </w:rPr>
      </w:pPr>
    </w:p>
    <w:p>
      <w:pPr>
        <w:ind w:left="320" w:right="2839" w:hanging="312"/>
        <w:spacing w:after="0" w:line="236" w:lineRule="auto"/>
        <w:tabs>
          <w:tab w:leader="none" w:pos="21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Market demand for semiconductors, particularly for digital signal processors and analog chips in key markets, such as telecommunications and computers.</w:t>
      </w:r>
    </w:p>
    <w:p>
      <w:pPr>
        <w:spacing w:after="0" w:line="208" w:lineRule="exact"/>
        <w:rPr>
          <w:rFonts w:ascii="Courier New" w:cs="Courier New" w:eastAsia="Courier New" w:hAnsi="Courier New"/>
          <w:sz w:val="18"/>
          <w:szCs w:val="18"/>
          <w:color w:val="auto"/>
        </w:rPr>
      </w:pPr>
    </w:p>
    <w:p>
      <w:pPr>
        <w:ind w:left="320" w:right="2619" w:hanging="312"/>
        <w:spacing w:after="0" w:line="235" w:lineRule="auto"/>
        <w:tabs>
          <w:tab w:leader="none" w:pos="21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320" w:right="1879" w:hanging="312"/>
        <w:spacing w:after="0" w:line="235" w:lineRule="auto"/>
        <w:tabs>
          <w:tab w:leader="none" w:pos="21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320" w:right="2619" w:hanging="312"/>
        <w:spacing w:after="0" w:line="235" w:lineRule="auto"/>
        <w:tabs>
          <w:tab w:leader="none" w:pos="21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maintain and enforce a strong intellectual property portfolio and obtain needed licenses from third parties.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Timely completion and successful integration of announced acquisitions.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18" w:name="page19"/>
    <w:bookmarkEnd w:id="18"/>
    <w:p>
      <w:pPr>
        <w:ind w:left="320" w:right="1779" w:hanging="312"/>
        <w:spacing w:after="0" w:line="237" w:lineRule="auto"/>
        <w:tabs>
          <w:tab w:leader="none" w:pos="21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Economic, social and political conditions in the countries in which TI, its customers or its suppliers operate, including security risks, possible disruptions in the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320" w:right="2199" w:hanging="312"/>
        <w:spacing w:after="0" w:line="235" w:lineRule="auto"/>
        <w:tabs>
          <w:tab w:leader="none" w:pos="21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recruit and retain skilled personnel.</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Availability of raw materials and critical manufacturing equipment.</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For a more detailed discussion of these factors see the text under the heading "Cautionary Statements Regarding Future Results of Operations" in Item 1 of this report. The forward-looking statements included in this report are made only as of the date of this report and TI undertakes no obligation to update the forward-looking statements to reflect subsequent events or circumstances.</w:t>
      </w:r>
    </w:p>
    <w:p>
      <w:pPr>
        <w:spacing w:after="0" w:line="3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WILLIAM A. AYLESWORTH</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William A. Aylesworth</w:t>
      </w:r>
    </w:p>
    <w:p>
      <w:pPr>
        <w:ind w:left="516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5160"/>
        <w:spacing w:after="0" w:line="238" w:lineRule="auto"/>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28, 2002</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Each person whose signature appears below constitutes and appoints each of Thomas J. Engibous, William A. Aylesworth and Joseph F. Hubach,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2001, to sign any and all amendments to the Form 10-K, and to file the same, with all exhibits thereto, and other documents in connection therewith, with the Securities and Exchange Commission, granting</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 Pursuant to the requirements of the Securities Exchange Act of 1934, this Report has been signed below by the following persons on behalf of the Registrant and in the capacities indicated on the 21st day of February 2002.</w:t>
      </w:r>
    </w:p>
    <w:p>
      <w:pPr>
        <w:sectPr>
          <w:pgSz w:w="11900" w:h="16838" w:orient="portrait"/>
          <w:cols w:equalWidth="0" w:num="1">
            <w:col w:w="10219"/>
          </w:cols>
          <w:pgMar w:left="240" w:top="925" w:right="1440" w:bottom="1440" w:gutter="0" w:footer="0" w:header="0"/>
        </w:sectPr>
      </w:pPr>
    </w:p>
    <w:p>
      <w:pPr>
        <w:spacing w:after="0" w:line="21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5080" w:space="720"/>
            <w:col w:w="4419"/>
          </w:cols>
          <w:pgMar w:left="240" w:top="925" w:right="1440" w:bottom="1440" w:gutter="0" w:footer="0" w:header="0"/>
          <w:type w:val="continuous"/>
        </w:sectPr>
      </w:pPr>
    </w:p>
    <w:p>
      <w:pPr>
        <w:spacing w:after="0" w:line="22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 JAMES R. ADAMS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 w:lineRule="exact"/>
        <w:rPr>
          <w:sz w:val="20"/>
          <w:szCs w:val="20"/>
          <w:color w:val="auto"/>
        </w:rPr>
      </w:pPr>
    </w:p>
    <w:p>
      <w:pPr>
        <w:sectPr>
          <w:pgSz w:w="11900" w:h="16838" w:orient="portrait"/>
          <w:cols w:equalWidth="0" w:num="2">
            <w:col w:w="4880" w:space="720"/>
            <w:col w:w="4619"/>
          </w:cols>
          <w:pgMar w:left="240" w:top="925" w:right="1440" w:bottom="1440" w:gutter="0" w:footer="0" w:header="0"/>
          <w:type w:val="continuous"/>
        </w:sect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James R. Adams</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DAVID L. BOREN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David L. Boren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925" w:right="1440" w:bottom="1440" w:gutter="0" w:footer="0" w:header="0"/>
          <w:type w:val="continuous"/>
        </w:sect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JAMES B. BUSEY IV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B. Busey IV</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925" w:right="1440" w:bottom="1440" w:gutter="0" w:footer="0" w:header="0"/>
          <w:type w:val="continuous"/>
        </w:sect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DANIEL A. CARP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Daniel A. Carp</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THOMAS J. ENGIBOUS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Thomas J. Engibous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Director</w:t>
      </w:r>
    </w:p>
    <w:p>
      <w:pPr>
        <w:spacing w:after="0" w:line="605" w:lineRule="exact"/>
        <w:rPr>
          <w:sz w:val="20"/>
          <w:szCs w:val="20"/>
          <w:color w:val="auto"/>
        </w:rPr>
      </w:pPr>
    </w:p>
    <w:p>
      <w:pPr>
        <w:sectPr>
          <w:pgSz w:w="11900" w:h="16838" w:orient="portrait"/>
          <w:cols w:equalWidth="0" w:num="2">
            <w:col w:w="4880" w:space="720"/>
            <w:col w:w="4619"/>
          </w:cols>
          <w:pgMar w:left="240" w:top="925" w:right="1440" w:bottom="1440" w:gutter="0" w:footer="0" w:header="0"/>
          <w:type w:val="continuous"/>
        </w:sectPr>
      </w:pPr>
    </w:p>
    <w:p>
      <w:pPr>
        <w:spacing w:after="0" w:line="204" w:lineRule="exact"/>
        <w:rPr>
          <w:sz w:val="20"/>
          <w:szCs w:val="20"/>
          <w:color w:val="auto"/>
        </w:rPr>
      </w:pPr>
    </w:p>
    <w:p>
      <w:pPr>
        <w:ind w:left="860"/>
        <w:spacing w:after="0"/>
        <w:tabs>
          <w:tab w:leader="none" w:pos="5580" w:val="left"/>
        </w:tabs>
        <w:rPr>
          <w:sz w:val="20"/>
          <w:szCs w:val="20"/>
          <w:color w:val="auto"/>
        </w:rPr>
      </w:pPr>
      <w:r>
        <w:rPr>
          <w:rFonts w:ascii="Courier New" w:cs="Courier New" w:eastAsia="Courier New" w:hAnsi="Courier New"/>
          <w:sz w:val="18"/>
          <w:szCs w:val="18"/>
          <w:color w:val="auto"/>
        </w:rPr>
        <w:t>/s/ GERALD W. FRONTERHOUSE</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Gerald W. Fronterhouse</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5580" w:val="left"/>
        </w:tabs>
        <w:rPr>
          <w:sz w:val="20"/>
          <w:szCs w:val="20"/>
          <w:color w:val="auto"/>
        </w:rPr>
      </w:pPr>
      <w:r>
        <w:rPr>
          <w:rFonts w:ascii="Courier New" w:cs="Courier New" w:eastAsia="Courier New" w:hAnsi="Courier New"/>
          <w:sz w:val="18"/>
          <w:szCs w:val="18"/>
          <w:color w:val="auto"/>
        </w:rPr>
        <w:t>/s/ DAVID R. GOODE</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R. Goode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5" w:right="1440" w:bottom="1440" w:gutter="0" w:footer="0" w:header="0"/>
          <w:type w:val="continuous"/>
        </w:sectPr>
      </w:pPr>
    </w:p>
    <w:bookmarkStart w:id="20" w:name="page21"/>
    <w:bookmarkEnd w:id="20"/>
    <w:p>
      <w:pPr>
        <w:ind w:left="860"/>
        <w:spacing w:after="0"/>
        <w:rPr>
          <w:sz w:val="20"/>
          <w:szCs w:val="20"/>
          <w:color w:val="auto"/>
        </w:rPr>
      </w:pPr>
      <w:r>
        <w:rPr>
          <w:rFonts w:ascii="Courier New" w:cs="Courier New" w:eastAsia="Courier New" w:hAnsi="Courier New"/>
          <w:sz w:val="18"/>
          <w:szCs w:val="18"/>
          <w:color w:val="auto"/>
        </w:rPr>
        <w:t>/s/ WAYNE R. SANDERS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Wayne R. Sanders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919" w:right="1440" w:bottom="1440" w:gutter="0" w:footer="0" w:header="0"/>
        </w:sect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RUTH J. SIMMONS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Ruth J. Simmons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William A. Aylesworth</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6"/>
          <w:szCs w:val="16"/>
          <w:color w:val="auto"/>
        </w:rPr>
        <w:t>Senior Vice President and</w:t>
      </w:r>
    </w:p>
    <w:p>
      <w:pPr>
        <w:spacing w:after="0" w:line="16"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Chief Financial Officer</w:t>
      </w:r>
    </w:p>
    <w:p>
      <w:pPr>
        <w:spacing w:after="0" w:line="402"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919" w:right="1440" w:bottom="1440" w:gutter="0" w:footer="0" w:header="0"/>
          <w:type w:val="continuous"/>
        </w:sectPr>
      </w:pPr>
    </w:p>
    <w:bookmarkStart w:id="21" w:name="page22"/>
    <w:bookmarkEnd w:id="21"/>
    <w:p>
      <w:pPr>
        <w:jc w:val="center"/>
        <w:ind w:right="1679"/>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21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INDEX TO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AND FINANCIAL STATEMENT SCHEDULES</w:t>
      </w:r>
    </w:p>
    <w:p>
      <w:pPr>
        <w:jc w:val="center"/>
        <w:ind w:right="1779"/>
        <w:spacing w:after="0"/>
        <w:rPr>
          <w:sz w:val="20"/>
          <w:szCs w:val="20"/>
          <w:color w:val="auto"/>
        </w:rPr>
      </w:pPr>
      <w:r>
        <w:rPr>
          <w:rFonts w:ascii="Courier New" w:cs="Courier New" w:eastAsia="Courier New" w:hAnsi="Courier New"/>
          <w:sz w:val="18"/>
          <w:szCs w:val="18"/>
          <w:color w:val="auto"/>
        </w:rPr>
        <w:t>(Item 14(a))</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Form 10-K</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Reference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Statement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for the 2002</w:t>
      </w:r>
    </w:p>
    <w:p>
      <w:pPr>
        <w:spacing w:after="0" w:line="238" w:lineRule="auto"/>
        <w:rPr>
          <w:sz w:val="20"/>
          <w:szCs w:val="20"/>
          <w:color w:val="auto"/>
        </w:rPr>
      </w:pPr>
      <w:r>
        <w:rPr>
          <w:rFonts w:ascii="Courier New" w:cs="Courier New" w:eastAsia="Courier New" w:hAnsi="Courier New"/>
          <w:sz w:val="18"/>
          <w:szCs w:val="18"/>
          <w:color w:val="auto"/>
        </w:rPr>
        <w:t>Annual Meeting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Stockholders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5600" w:space="520"/>
            <w:col w:w="409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Information incorporated by reference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Registrant's Proxy Statement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2002 Annual Meeting of Stockholders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Operations for each of the three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years in the period ended</w:t>
      </w:r>
    </w:p>
    <w:p>
      <w:pPr>
        <w:ind w:left="540"/>
        <w:spacing w:after="0" w:line="238" w:lineRule="auto"/>
        <w:rPr>
          <w:sz w:val="20"/>
          <w:szCs w:val="20"/>
          <w:color w:val="auto"/>
        </w:rPr>
      </w:pPr>
      <w:r>
        <w:rPr>
          <w:rFonts w:ascii="Courier New" w:cs="Courier New" w:eastAsia="Courier New" w:hAnsi="Courier New"/>
          <w:sz w:val="18"/>
          <w:szCs w:val="18"/>
          <w:color w:val="auto"/>
        </w:rPr>
        <w:t>December 31,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C-1</w:t>
      </w:r>
    </w:p>
    <w:p>
      <w:pPr>
        <w:spacing w:after="0" w:line="216" w:lineRule="exact"/>
        <w:rPr>
          <w:sz w:val="20"/>
          <w:szCs w:val="20"/>
          <w:color w:val="auto"/>
        </w:rPr>
      </w:pPr>
    </w:p>
    <w:p>
      <w:pPr>
        <w:sectPr>
          <w:pgSz w:w="11900" w:h="16838" w:orient="portrait"/>
          <w:cols w:equalWidth="0" w:num="2">
            <w:col w:w="6140" w:space="720"/>
            <w:col w:w="3359"/>
          </w:cols>
          <w:pgMar w:left="240" w:top="925" w:right="1440" w:bottom="144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Balance sheet at December 31,</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2001 and 2000</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C-2</w:t>
      </w:r>
    </w:p>
    <w:p>
      <w:pPr>
        <w:spacing w:after="0" w:line="216" w:lineRule="exact"/>
        <w:rPr>
          <w:sz w:val="20"/>
          <w:szCs w:val="20"/>
          <w:color w:val="auto"/>
        </w:rPr>
      </w:pPr>
    </w:p>
    <w:p>
      <w:pPr>
        <w:sectPr>
          <w:pgSz w:w="11900" w:h="16838" w:orient="portrait"/>
          <w:cols w:equalWidth="0" w:num="2">
            <w:col w:w="6140" w:space="720"/>
            <w:col w:w="3359"/>
          </w:cols>
          <w:pgMar w:left="240" w:top="925" w:right="1440" w:bottom="144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Cash flows for each of the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three years in the period</w:t>
      </w:r>
    </w:p>
    <w:p>
      <w:pPr>
        <w:ind w:left="540"/>
        <w:spacing w:after="0" w:line="238" w:lineRule="auto"/>
        <w:rPr>
          <w:sz w:val="20"/>
          <w:szCs w:val="20"/>
          <w:color w:val="auto"/>
        </w:rPr>
      </w:pPr>
      <w:r>
        <w:rPr>
          <w:rFonts w:ascii="Courier New" w:cs="Courier New" w:eastAsia="Courier New" w:hAnsi="Courier New"/>
          <w:sz w:val="18"/>
          <w:szCs w:val="18"/>
          <w:color w:val="auto"/>
        </w:rPr>
        <w:t>ended December 31, 2001</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C-3</w:t>
      </w:r>
    </w:p>
    <w:p>
      <w:pPr>
        <w:spacing w:after="0" w:line="216" w:lineRule="exact"/>
        <w:rPr>
          <w:sz w:val="20"/>
          <w:szCs w:val="20"/>
          <w:color w:val="auto"/>
        </w:rPr>
      </w:pPr>
    </w:p>
    <w:p>
      <w:pPr>
        <w:sectPr>
          <w:pgSz w:w="11900" w:h="16838" w:orient="portrait"/>
          <w:cols w:equalWidth="0" w:num="2">
            <w:col w:w="6140" w:space="720"/>
            <w:col w:w="3359"/>
          </w:cols>
          <w:pgMar w:left="240" w:top="925" w:right="1440" w:bottom="1440" w:gutter="0" w:footer="0" w:header="0"/>
          <w:type w:val="continuous"/>
        </w:sectPr>
      </w:pP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Stockholders' equity for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each of the three years in the</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period ended December 31, 2001</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Report of Independent Auditors</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C-5 - C-29</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C-30</w:t>
      </w:r>
    </w:p>
    <w:p>
      <w:pPr>
        <w:spacing w:after="0" w:line="200" w:lineRule="exact"/>
        <w:rPr>
          <w:sz w:val="20"/>
          <w:szCs w:val="20"/>
          <w:color w:val="auto"/>
        </w:rPr>
      </w:pPr>
    </w:p>
    <w:p>
      <w:pPr>
        <w:sectPr>
          <w:pgSz w:w="11900" w:h="16838" w:orient="portrait"/>
          <w:cols w:equalWidth="0" w:num="2">
            <w:col w:w="6140" w:space="720"/>
            <w:col w:w="3359"/>
          </w:cols>
          <w:pgMar w:left="240" w:top="925" w:right="1440" w:bottom="1440" w:gutter="0" w:footer="0" w:header="0"/>
          <w:type w:val="continuous"/>
        </w:sect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Consolidated Schedule for each of the three years in the period ended December 31, 2001:</w:t>
      </w:r>
    </w:p>
    <w:p>
      <w:pPr>
        <w:spacing w:after="0" w:line="200" w:lineRule="exact"/>
        <w:rPr>
          <w:sz w:val="20"/>
          <w:szCs w:val="20"/>
          <w:color w:val="auto"/>
        </w:rPr>
      </w:pPr>
    </w:p>
    <w:p>
      <w:pPr>
        <w:spacing w:after="0" w:line="205" w:lineRule="exact"/>
        <w:rPr>
          <w:sz w:val="20"/>
          <w:szCs w:val="20"/>
          <w:color w:val="auto"/>
        </w:rPr>
      </w:pPr>
    </w:p>
    <w:p>
      <w:pPr>
        <w:ind w:left="1160" w:hanging="625"/>
        <w:spacing w:after="0"/>
        <w:tabs>
          <w:tab w:leader="none" w:pos="11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Allowance for Losses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25" w:right="1440" w:bottom="1440" w:gutter="0" w:footer="0" w:header="0"/>
          <w:type w:val="continuous"/>
        </w:sectPr>
      </w:pPr>
    </w:p>
    <w:bookmarkStart w:id="22" w:name="page23"/>
    <w:bookmarkEnd w:id="22"/>
    <w:p>
      <w:pPr>
        <w:ind w:left="6440"/>
        <w:spacing w:after="0"/>
        <w:tabs>
          <w:tab w:leader="none" w:pos="7460" w:val="left"/>
        </w:tabs>
        <w:rPr>
          <w:sz w:val="20"/>
          <w:szCs w:val="20"/>
          <w:color w:val="auto"/>
        </w:rPr>
      </w:pPr>
      <w:r>
        <w:rPr>
          <w:rFonts w:ascii="Courier New" w:cs="Courier New" w:eastAsia="Courier New" w:hAnsi="Courier New"/>
          <w:sz w:val="18"/>
          <w:szCs w:val="18"/>
          <w:color w:val="auto"/>
        </w:rPr>
        <w:t>Schedule</w:t>
        <w:tab/>
        <w:t>II</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TEXAS INSTRUMENTS INCORPORATED AND SUBSIDIARIES</w:t>
      </w:r>
    </w:p>
    <w:p>
      <w:pPr>
        <w:ind w:left="3160"/>
        <w:spacing w:after="0" w:line="238" w:lineRule="auto"/>
        <w:rPr>
          <w:sz w:val="20"/>
          <w:szCs w:val="20"/>
          <w:color w:val="auto"/>
        </w:rPr>
      </w:pPr>
      <w:r>
        <w:rPr>
          <w:rFonts w:ascii="Courier New" w:cs="Courier New" w:eastAsia="Courier New" w:hAnsi="Courier New"/>
          <w:sz w:val="18"/>
          <w:szCs w:val="18"/>
          <w:color w:val="auto"/>
        </w:rPr>
        <w:t>ALLOWANCE FOR LOSSES</w:t>
      </w:r>
    </w:p>
    <w:p>
      <w:pPr>
        <w:ind w:left="2960"/>
        <w:spacing w:after="0"/>
        <w:rPr>
          <w:sz w:val="20"/>
          <w:szCs w:val="20"/>
          <w:color w:val="auto"/>
        </w:rPr>
      </w:pPr>
      <w:r>
        <w:rPr>
          <w:rFonts w:ascii="Courier New" w:cs="Courier New" w:eastAsia="Courier New" w:hAnsi="Courier New"/>
          <w:sz w:val="18"/>
          <w:szCs w:val="18"/>
          <w:color w:val="auto"/>
        </w:rPr>
        <w:t>(Millions of Dollars)</w:t>
      </w:r>
    </w:p>
    <w:tbl>
      <w:tblPr>
        <w:tblLayout w:type="fixed"/>
        <w:tblInd w:w="0" w:type="dxa"/>
        <w:tblCellMar>
          <w:top w:w="0" w:type="dxa"/>
          <w:left w:w="0" w:type="dxa"/>
          <w:bottom w:w="0" w:type="dxa"/>
          <w:right w:w="0" w:type="dxa"/>
        </w:tblCellMar>
      </w:tblPr>
      <w:tr>
        <w:trPr>
          <w:trHeight w:val="202"/>
        </w:trPr>
        <w:tc>
          <w:tcPr>
            <w:tcW w:w="800" w:type="dxa"/>
            <w:vAlign w:val="bottom"/>
          </w:tcPr>
          <w:p>
            <w:pPr>
              <w:spacing w:after="0"/>
              <w:rPr>
                <w:sz w:val="17"/>
                <w:szCs w:val="17"/>
                <w:color w:val="auto"/>
              </w:rPr>
            </w:pPr>
          </w:p>
        </w:tc>
        <w:tc>
          <w:tcPr>
            <w:tcW w:w="6060" w:type="dxa"/>
            <w:vAlign w:val="bottom"/>
            <w:gridSpan w:val="4"/>
          </w:tcPr>
          <w:p>
            <w:pPr>
              <w:jc w:val="right"/>
              <w:ind w:right="332"/>
              <w:spacing w:after="0" w:line="202" w:lineRule="exact"/>
              <w:rPr>
                <w:sz w:val="20"/>
                <w:szCs w:val="20"/>
                <w:color w:val="auto"/>
              </w:rPr>
            </w:pPr>
            <w:r>
              <w:rPr>
                <w:rFonts w:ascii="Courier New" w:cs="Courier New" w:eastAsia="Courier New" w:hAnsi="Courier New"/>
                <w:sz w:val="18"/>
                <w:szCs w:val="18"/>
                <w:color w:val="auto"/>
              </w:rPr>
              <w:t>Years Ended December 31, 2001, 2000, 1999</w:t>
            </w:r>
          </w:p>
        </w:tc>
      </w:tr>
      <w:tr>
        <w:trPr>
          <w:trHeight w:val="608"/>
        </w:trPr>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8"/>
                <w:szCs w:val="18"/>
                <w:color w:val="auto"/>
              </w:rPr>
              <w:t>Additions</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1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Balance at</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Charged to</w:t>
            </w:r>
          </w:p>
        </w:tc>
        <w:tc>
          <w:tcPr>
            <w:tcW w:w="142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5"/>
              </w:rPr>
              <w:t>Balance</w:t>
            </w:r>
          </w:p>
        </w:tc>
      </w:tr>
      <w:tr>
        <w:trPr>
          <w:trHeight w:val="203"/>
        </w:trPr>
        <w:tc>
          <w:tcPr>
            <w:tcW w:w="800" w:type="dxa"/>
            <w:vAlign w:val="bottom"/>
          </w:tcPr>
          <w:p>
            <w:pPr>
              <w:spacing w:after="0"/>
              <w:rPr>
                <w:sz w:val="17"/>
                <w:szCs w:val="17"/>
                <w:color w:val="auto"/>
              </w:rPr>
            </w:pPr>
          </w:p>
        </w:tc>
        <w:tc>
          <w:tcPr>
            <w:tcW w:w="1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Beginning</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Operating</w:t>
            </w:r>
          </w:p>
        </w:tc>
        <w:tc>
          <w:tcPr>
            <w:tcW w:w="142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at End</w:t>
            </w:r>
          </w:p>
        </w:tc>
      </w:tr>
      <w:tr>
        <w:trPr>
          <w:trHeight w:val="203"/>
        </w:trPr>
        <w:tc>
          <w:tcPr>
            <w:tcW w:w="800" w:type="dxa"/>
            <w:vAlign w:val="bottom"/>
          </w:tcPr>
          <w:p>
            <w:pPr>
              <w:spacing w:after="0"/>
              <w:rPr>
                <w:sz w:val="17"/>
                <w:szCs w:val="17"/>
                <w:color w:val="auto"/>
              </w:rPr>
            </w:pP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of Year</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Results</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Usage</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5"/>
              </w:rPr>
              <w:t>of Year</w:t>
            </w:r>
          </w:p>
        </w:tc>
      </w:tr>
      <w:tr>
        <w:trPr>
          <w:trHeight w:val="405"/>
        </w:trPr>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2001</w:t>
            </w:r>
          </w:p>
        </w:tc>
        <w:tc>
          <w:tcPr>
            <w:tcW w:w="16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$54</w:t>
            </w:r>
          </w:p>
        </w:tc>
        <w:tc>
          <w:tcPr>
            <w:tcW w:w="16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$50</w:t>
            </w: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$(43)</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$61</w:t>
            </w:r>
          </w:p>
        </w:tc>
      </w:tr>
      <w:tr>
        <w:trPr>
          <w:trHeight w:val="203"/>
        </w:trPr>
        <w:tc>
          <w:tcPr>
            <w:tcW w:w="800" w:type="dxa"/>
            <w:vAlign w:val="bottom"/>
          </w:tcPr>
          <w:p>
            <w:pPr>
              <w:spacing w:after="0"/>
              <w:rPr>
                <w:sz w:val="17"/>
                <w:szCs w:val="17"/>
                <w:color w:val="auto"/>
              </w:rPr>
            </w:pPr>
          </w:p>
        </w:tc>
        <w:tc>
          <w:tcPr>
            <w:tcW w:w="16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2000</w:t>
            </w:r>
          </w:p>
        </w:tc>
        <w:tc>
          <w:tcPr>
            <w:tcW w:w="16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$56</w:t>
            </w:r>
          </w:p>
        </w:tc>
        <w:tc>
          <w:tcPr>
            <w:tcW w:w="16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$79</w:t>
            </w: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$(81)</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$54</w:t>
            </w:r>
          </w:p>
        </w:tc>
      </w:tr>
      <w:tr>
        <w:trPr>
          <w:trHeight w:val="203"/>
        </w:trPr>
        <w:tc>
          <w:tcPr>
            <w:tcW w:w="800" w:type="dxa"/>
            <w:vAlign w:val="bottom"/>
          </w:tcPr>
          <w:p>
            <w:pPr>
              <w:spacing w:after="0"/>
              <w:rPr>
                <w:sz w:val="17"/>
                <w:szCs w:val="17"/>
                <w:color w:val="auto"/>
              </w:rPr>
            </w:pPr>
          </w:p>
        </w:tc>
        <w:tc>
          <w:tcPr>
            <w:tcW w:w="16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1999</w:t>
            </w:r>
          </w:p>
        </w:tc>
        <w:tc>
          <w:tcPr>
            <w:tcW w:w="16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$60</w:t>
            </w:r>
          </w:p>
        </w:tc>
        <w:tc>
          <w:tcPr>
            <w:tcW w:w="16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$83</w:t>
            </w: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$(87)</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$56</w:t>
            </w:r>
          </w:p>
        </w:tc>
      </w:tr>
      <w:tr>
        <w:trPr>
          <w:trHeight w:val="203"/>
        </w:trPr>
        <w:tc>
          <w:tcPr>
            <w:tcW w:w="800" w:type="dxa"/>
            <w:vAlign w:val="bottom"/>
          </w:tcPr>
          <w:p>
            <w:pPr>
              <w:spacing w:after="0"/>
              <w:rPr>
                <w:sz w:val="17"/>
                <w:szCs w:val="17"/>
                <w:color w:val="auto"/>
              </w:rPr>
            </w:pPr>
          </w:p>
        </w:tc>
        <w:tc>
          <w:tcPr>
            <w:tcW w:w="16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Allowances for losses from uncollectible accounts, returns, etc., are deducted from accounts receivable in the balance sheet.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19" w:right="1440" w:bottom="1440" w:gutter="0" w:footer="0" w:header="0"/>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Exhibit 3(o)</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CERTIFICATE OF OWNERSHIP AND MERGER</w:t>
      </w:r>
    </w:p>
    <w:p>
      <w:pPr>
        <w:ind w:left="3900"/>
        <w:spacing w:after="0" w:line="238" w:lineRule="auto"/>
        <w:rPr>
          <w:sz w:val="20"/>
          <w:szCs w:val="20"/>
          <w:color w:val="auto"/>
        </w:rPr>
      </w:pPr>
      <w:r>
        <w:rPr>
          <w:rFonts w:ascii="Courier New" w:cs="Courier New" w:eastAsia="Courier New" w:hAnsi="Courier New"/>
          <w:sz w:val="18"/>
          <w:szCs w:val="18"/>
          <w:color w:val="auto"/>
        </w:rPr>
        <w:t>MERGING</w:t>
      </w:r>
    </w:p>
    <w:p>
      <w:pPr>
        <w:ind w:left="3280"/>
        <w:spacing w:after="0"/>
        <w:rPr>
          <w:sz w:val="20"/>
          <w:szCs w:val="20"/>
          <w:color w:val="auto"/>
        </w:rPr>
      </w:pPr>
      <w:r>
        <w:rPr>
          <w:rFonts w:ascii="Courier New" w:cs="Courier New" w:eastAsia="Courier New" w:hAnsi="Courier New"/>
          <w:sz w:val="18"/>
          <w:szCs w:val="18"/>
          <w:color w:val="auto"/>
        </w:rPr>
        <w:t>POWER TRENDS, INC.</w:t>
      </w:r>
    </w:p>
    <w:p>
      <w:pPr>
        <w:ind w:left="3580"/>
        <w:spacing w:after="0" w:line="237" w:lineRule="auto"/>
        <w:rPr>
          <w:sz w:val="20"/>
          <w:szCs w:val="20"/>
          <w:color w:val="auto"/>
        </w:rPr>
      </w:pPr>
      <w:r>
        <w:rPr>
          <w:rFonts w:ascii="Courier New" w:cs="Courier New" w:eastAsia="Courier New" w:hAnsi="Courier New"/>
          <w:sz w:val="18"/>
          <w:szCs w:val="18"/>
          <w:color w:val="auto"/>
        </w:rPr>
        <w:t>WITH AND INTO</w:t>
      </w:r>
    </w:p>
    <w:p>
      <w:pPr>
        <w:ind w:left="26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253 of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General Corporation of Law</w:t>
      </w:r>
    </w:p>
    <w:p>
      <w:pPr>
        <w:jc w:val="center"/>
        <w:ind w:right="1779"/>
        <w:spacing w:after="0"/>
        <w:rPr>
          <w:sz w:val="20"/>
          <w:szCs w:val="20"/>
          <w:color w:val="auto"/>
        </w:rPr>
      </w:pPr>
      <w:r>
        <w:rPr>
          <w:rFonts w:ascii="Courier New" w:cs="Courier New" w:eastAsia="Courier New" w:hAnsi="Courier New"/>
          <w:sz w:val="18"/>
          <w:szCs w:val="18"/>
          <w:color w:val="auto"/>
        </w:rPr>
        <w:t>of the State of Delaware</w:t>
      </w:r>
    </w:p>
    <w:p>
      <w:pPr>
        <w:spacing w:after="0" w:line="20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Texas Instruments Incorporated, a Delaware corporation (the "Company"), does hereby certify to the following facts relating to the merger (the "Merger") of Power Trends, Inc., an Illinois corporation (the "Subsidiary"), with and into the Company, with the Company remaining as the surviving corporation:</w:t>
      </w:r>
    </w:p>
    <w:p>
      <w:pPr>
        <w:spacing w:after="0" w:line="18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FIRST: The Company is incorporated pursuant to the General Corporation Law of the State of Delaware (the "DGCL"). The Subsidiary is incorporated pursuant to the laws of the State of Illinois.</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SECOND: The Company owns all of the outstanding shares of each class of capital stock of the Subsidiary.</w:t>
      </w:r>
    </w:p>
    <w:p>
      <w:pPr>
        <w:spacing w:after="0" w:line="208"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THIRD: The Board of Directors of the Company, by the following resolutions duly adopted at a meeting of the Board on April 18, 2001, determined to merge the Subsidiary with and into the Company pursuant to Section 253 of the DGCL:</w:t>
      </w:r>
    </w:p>
    <w:p>
      <w:pPr>
        <w:spacing w:after="0" w:line="178"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RESOLVED, that the Board of Directors of the Company has deemed it advisable that Power Trends, Inc. (the "Subsidiary") be merged with and into the Company pursuant to Section 253 of the General Corporation Law of the State of Delaware and Section 11.30 of the Illinois Business Corporation Act; and it is</w:t>
      </w:r>
    </w:p>
    <w:p>
      <w:pPr>
        <w:spacing w:after="0" w:line="209" w:lineRule="exact"/>
        <w:rPr>
          <w:sz w:val="20"/>
          <w:szCs w:val="20"/>
          <w:color w:val="auto"/>
        </w:rPr>
      </w:pPr>
    </w:p>
    <w:p>
      <w:pPr>
        <w:ind w:left="540" w:right="2839"/>
        <w:spacing w:after="0" w:line="235" w:lineRule="auto"/>
        <w:rPr>
          <w:sz w:val="20"/>
          <w:szCs w:val="20"/>
          <w:color w:val="auto"/>
        </w:rPr>
      </w:pPr>
      <w:r>
        <w:rPr>
          <w:rFonts w:ascii="Courier New" w:cs="Courier New" w:eastAsia="Courier New" w:hAnsi="Courier New"/>
          <w:sz w:val="18"/>
          <w:szCs w:val="18"/>
          <w:color w:val="auto"/>
        </w:rPr>
        <w:t>FURTHER RESOLVED, that the Subsidiary be merged with and into the Company (the "Merger"); and it is</w:t>
      </w:r>
    </w:p>
    <w:p>
      <w:pPr>
        <w:sectPr>
          <w:pgSz w:w="11900" w:h="16838" w:orient="portrait"/>
          <w:cols w:equalWidth="0" w:num="1">
            <w:col w:w="10219"/>
          </w:cols>
          <w:pgMar w:left="240" w:top="717" w:right="1440" w:bottom="1440" w:gutter="0" w:footer="0" w:header="0"/>
        </w:sectPr>
      </w:pPr>
    </w:p>
    <w:bookmarkStart w:id="24" w:name="page25"/>
    <w:bookmarkEnd w:id="24"/>
    <w:p>
      <w:pPr>
        <w:ind w:left="540" w:right="1779"/>
        <w:spacing w:after="0" w:line="237" w:lineRule="auto"/>
        <w:rPr>
          <w:sz w:val="20"/>
          <w:szCs w:val="20"/>
          <w:color w:val="auto"/>
        </w:rPr>
      </w:pPr>
      <w:r>
        <w:rPr>
          <w:rFonts w:ascii="Courier New" w:cs="Courier New" w:eastAsia="Courier New" w:hAnsi="Courier New"/>
          <w:sz w:val="18"/>
          <w:szCs w:val="18"/>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210"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FURTHER RESOLVED, that the appropriate officers of the Company be and they hereby are authorized and directed to make, execute and acknowledge, in the name and under the corporate seal of the Company, Articles of Merger for the purpose of effecting the merger and to file the same in the office of the Secretary of State of the State of Illinois; and it is</w:t>
      </w:r>
    </w:p>
    <w:p>
      <w:pPr>
        <w:spacing w:after="0" w:line="209"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and to file the same in the office of the Secretary of State of the State of Delaware, and to do all other acts and things that may be necessary to carry out and effectuate the purpose and intent of the resolutions relating to the Merger; and it is</w:t>
      </w:r>
    </w:p>
    <w:p>
      <w:pPr>
        <w:spacing w:after="0" w:line="212"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FURTHER RESOLVED, that the Merger shall be effective on May 31, 2001; and it is</w:t>
      </w:r>
    </w:p>
    <w:p>
      <w:pPr>
        <w:spacing w:after="0" w:line="208"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FOURTH: The Company shall be the surviving corporation of the Merger.</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FIFTH: The Restated Certificate of Incorporation of the Company as in effect Immediately prior to the effective time of the Merger shall be the Certificate of Incorporation of the surviving corporation.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WITNESS WHEREOF, the Company has caused this Certificate of Ownership and Merger to be executed by its duly authorized officer this 31st day of May, 2001.</w:t>
      </w:r>
    </w:p>
    <w:p>
      <w:pPr>
        <w:spacing w:after="0" w:line="200" w:lineRule="exact"/>
        <w:rPr>
          <w:sz w:val="20"/>
          <w:szCs w:val="20"/>
          <w:color w:val="auto"/>
        </w:rPr>
      </w:pPr>
    </w:p>
    <w:p>
      <w:pPr>
        <w:spacing w:after="0" w:line="206" w:lineRule="exact"/>
        <w:rPr>
          <w:sz w:val="20"/>
          <w:szCs w:val="20"/>
          <w:color w:val="auto"/>
        </w:rPr>
      </w:pPr>
    </w:p>
    <w:p>
      <w:pPr>
        <w:ind w:left="1160"/>
        <w:spacing w:after="0"/>
        <w:tabs>
          <w:tab w:leader="none" w:pos="1880" w:val="left"/>
          <w:tab w:leader="none" w:pos="3260" w:val="left"/>
        </w:tabs>
        <w:rPr>
          <w:sz w:val="20"/>
          <w:szCs w:val="20"/>
          <w:color w:val="auto"/>
        </w:rPr>
      </w:pPr>
      <w:r>
        <w:rPr>
          <w:rFonts w:ascii="Courier New" w:cs="Courier New" w:eastAsia="Courier New" w:hAnsi="Courier New"/>
          <w:sz w:val="18"/>
          <w:szCs w:val="18"/>
          <w:color w:val="auto"/>
        </w:rPr>
        <w:t>TEXAS</w:t>
        <w:tab/>
        <w:t>INSTRUMENTS</w:t>
      </w:r>
      <w:r>
        <w:rPr>
          <w:sz w:val="20"/>
          <w:szCs w:val="20"/>
          <w:color w:val="auto"/>
        </w:rPr>
        <w:tab/>
      </w:r>
      <w:r>
        <w:rPr>
          <w:rFonts w:ascii="Courier New" w:cs="Courier New" w:eastAsia="Courier New" w:hAnsi="Courier New"/>
          <w:sz w:val="16"/>
          <w:szCs w:val="16"/>
          <w:color w:val="auto"/>
        </w:rPr>
        <w:t>INCORPORATED</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Office: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CYNTHIA H. HAYNES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Cynthia H. Haynes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Assistant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2">
            <w:col w:w="1280" w:space="300"/>
            <w:col w:w="8639"/>
          </w:cols>
          <w:pgMar w:left="240" w:top="925" w:right="1440" w:bottom="1440" w:gutter="0" w:footer="0" w:header="0"/>
          <w:type w:val="continuous"/>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Exhibit 3(p)</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CERTIFICATE OF OWNERSHIP AND MERGER</w:t>
      </w:r>
    </w:p>
    <w:p>
      <w:pPr>
        <w:ind w:left="3900"/>
        <w:spacing w:after="0" w:line="238" w:lineRule="auto"/>
        <w:rPr>
          <w:sz w:val="20"/>
          <w:szCs w:val="20"/>
          <w:color w:val="auto"/>
        </w:rPr>
      </w:pPr>
      <w:r>
        <w:rPr>
          <w:rFonts w:ascii="Courier New" w:cs="Courier New" w:eastAsia="Courier New" w:hAnsi="Courier New"/>
          <w:sz w:val="18"/>
          <w:szCs w:val="18"/>
          <w:color w:val="auto"/>
        </w:rPr>
        <w:t>MERGING</w:t>
      </w:r>
    </w:p>
    <w:p>
      <w:pPr>
        <w:ind w:left="2540"/>
        <w:spacing w:after="0"/>
        <w:rPr>
          <w:sz w:val="20"/>
          <w:szCs w:val="20"/>
          <w:color w:val="auto"/>
        </w:rPr>
      </w:pPr>
      <w:r>
        <w:rPr>
          <w:rFonts w:ascii="Courier New" w:cs="Courier New" w:eastAsia="Courier New" w:hAnsi="Courier New"/>
          <w:sz w:val="18"/>
          <w:szCs w:val="18"/>
          <w:color w:val="auto"/>
        </w:rPr>
        <w:t>AMATI COMMUNICATIONS CORPORATION</w:t>
      </w:r>
    </w:p>
    <w:p>
      <w:pPr>
        <w:ind w:left="3580"/>
        <w:spacing w:after="0" w:line="237" w:lineRule="auto"/>
        <w:rPr>
          <w:sz w:val="20"/>
          <w:szCs w:val="20"/>
          <w:color w:val="auto"/>
        </w:rPr>
      </w:pPr>
      <w:r>
        <w:rPr>
          <w:rFonts w:ascii="Courier New" w:cs="Courier New" w:eastAsia="Courier New" w:hAnsi="Courier New"/>
          <w:sz w:val="18"/>
          <w:szCs w:val="18"/>
          <w:color w:val="auto"/>
        </w:rPr>
        <w:t>WITH AND INTO</w:t>
      </w:r>
    </w:p>
    <w:p>
      <w:pPr>
        <w:ind w:left="26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253 of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General Corporation of Law</w:t>
      </w:r>
    </w:p>
    <w:p>
      <w:pPr>
        <w:jc w:val="center"/>
        <w:ind w:right="1779"/>
        <w:spacing w:after="0"/>
        <w:rPr>
          <w:sz w:val="20"/>
          <w:szCs w:val="20"/>
          <w:color w:val="auto"/>
        </w:rPr>
      </w:pPr>
      <w:r>
        <w:rPr>
          <w:rFonts w:ascii="Courier New" w:cs="Courier New" w:eastAsia="Courier New" w:hAnsi="Courier New"/>
          <w:sz w:val="18"/>
          <w:szCs w:val="18"/>
          <w:color w:val="auto"/>
        </w:rPr>
        <w:t>of the State of Delaware</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Texas Instruments Incorporated, a Delaware corporation, (the "Company") does hereby certify to the following facts relating to the merger (the "Merger") of Amati Communications Corporation, a Delaware corporation, (the "Subsidiary") with and into the Company, with the Company remaining as the surviving corporation:</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FIRST: The Company is incorporated pursuant to the General Corporation Law of the State of Delaware (the "DGCL"). The Subsidiary is incorporated pursuant to the DGCL.</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SECOND: The Company owns all of the outstanding shares of each class of capital stock of the Subsidiary.</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THIRD: The Board of Directors of the Company, by the following resolutions duly adopted at a meeting of the Board on July 19, 2001, determined to merge the Subsidiary with and into the Company pursuant to Section 253 of the DGCL:</w:t>
      </w:r>
    </w:p>
    <w:p>
      <w:pPr>
        <w:spacing w:after="0" w:line="178" w:lineRule="exact"/>
        <w:rPr>
          <w:sz w:val="20"/>
          <w:szCs w:val="20"/>
          <w:color w:val="auto"/>
        </w:rPr>
      </w:pPr>
    </w:p>
    <w:p>
      <w:pPr>
        <w:ind w:left="540" w:right="2199"/>
        <w:spacing w:after="0" w:line="237" w:lineRule="auto"/>
        <w:rPr>
          <w:sz w:val="20"/>
          <w:szCs w:val="20"/>
          <w:color w:val="auto"/>
        </w:rPr>
      </w:pPr>
      <w:r>
        <w:rPr>
          <w:rFonts w:ascii="Courier New" w:cs="Courier New" w:eastAsia="Courier New" w:hAnsi="Courier New"/>
          <w:sz w:val="18"/>
          <w:szCs w:val="18"/>
          <w:color w:val="auto"/>
        </w:rPr>
        <w:t>RESOLVED, that the Board of Directors of the Company has deemed it advisable that Amati Communications Corporation (the "Subsidiary") be merged with and into the Company pursuant to Section 253 of the General Corporation Law of the State of Delaware; and it is</w:t>
      </w:r>
    </w:p>
    <w:p>
      <w:pPr>
        <w:spacing w:after="0" w:line="207" w:lineRule="exact"/>
        <w:rPr>
          <w:sz w:val="20"/>
          <w:szCs w:val="20"/>
          <w:color w:val="auto"/>
        </w:rPr>
      </w:pPr>
    </w:p>
    <w:p>
      <w:pPr>
        <w:ind w:left="420" w:right="1999" w:firstLine="105"/>
        <w:spacing w:after="0" w:line="235" w:lineRule="auto"/>
        <w:rPr>
          <w:sz w:val="20"/>
          <w:szCs w:val="20"/>
          <w:color w:val="auto"/>
        </w:rPr>
      </w:pPr>
      <w:r>
        <w:rPr>
          <w:rFonts w:ascii="Courier New" w:cs="Courier New" w:eastAsia="Courier New" w:hAnsi="Courier New"/>
          <w:sz w:val="18"/>
          <w:szCs w:val="18"/>
          <w:color w:val="auto"/>
        </w:rPr>
        <w:t>FURTHER RESOLVED, that the Subsidiary be merged with and into the Company (the "Merger"); and it is</w:t>
      </w:r>
    </w:p>
    <w:p>
      <w:pPr>
        <w:sectPr>
          <w:pgSz w:w="11900" w:h="16838" w:orient="portrait"/>
          <w:cols w:equalWidth="0" w:num="1">
            <w:col w:w="10219"/>
          </w:cols>
          <w:pgMar w:left="240" w:top="919" w:right="1440" w:bottom="1440" w:gutter="0" w:footer="0" w:header="0"/>
        </w:sectPr>
      </w:pPr>
    </w:p>
    <w:bookmarkStart w:id="26" w:name="page27"/>
    <w:bookmarkEnd w:id="26"/>
    <w:p>
      <w:pPr>
        <w:jc w:val="both"/>
        <w:ind w:left="540" w:right="1779"/>
        <w:spacing w:after="0" w:line="237" w:lineRule="auto"/>
        <w:rPr>
          <w:sz w:val="20"/>
          <w:szCs w:val="20"/>
          <w:color w:val="auto"/>
        </w:rPr>
      </w:pPr>
      <w:r>
        <w:rPr>
          <w:rFonts w:ascii="Courier New" w:cs="Courier New" w:eastAsia="Courier New" w:hAnsi="Courier New"/>
          <w:sz w:val="18"/>
          <w:szCs w:val="18"/>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210"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and to file the same in the office of the Secretary of State of the State of Delaware, and to do all other acts and things that may be necessary to carry out and effectuate the purpose and intent of the resolutions relating to the Merger; and it is</w:t>
      </w:r>
    </w:p>
    <w:p>
      <w:pPr>
        <w:sectPr>
          <w:pgSz w:w="11900" w:h="16838" w:orient="portrait"/>
          <w:cols w:equalWidth="0" w:num="1">
            <w:col w:w="10219"/>
          </w:cols>
          <w:pgMar w:left="240" w:top="925" w:right="1440" w:bottom="1440" w:gutter="0" w:footer="0" w:header="0"/>
        </w:sect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FURTHER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filing</w:t>
      </w:r>
    </w:p>
    <w:p>
      <w:pPr>
        <w:ind w:left="540"/>
        <w:spacing w:after="0" w:line="238" w:lineRule="auto"/>
        <w:rPr>
          <w:sz w:val="20"/>
          <w:szCs w:val="20"/>
          <w:color w:val="auto"/>
        </w:rPr>
      </w:pPr>
      <w:r>
        <w:rPr>
          <w:rFonts w:ascii="Courier New" w:cs="Courier New" w:eastAsia="Courier New" w:hAnsi="Courier New"/>
          <w:sz w:val="18"/>
          <w:szCs w:val="18"/>
          <w:color w:val="auto"/>
        </w:rPr>
        <w:t>State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1779" w:firstLine="211"/>
        <w:spacing w:after="0" w:line="236" w:lineRule="auto"/>
        <w:rPr>
          <w:sz w:val="20"/>
          <w:szCs w:val="20"/>
          <w:color w:val="auto"/>
        </w:rPr>
      </w:pPr>
      <w:r>
        <w:rPr>
          <w:rFonts w:ascii="Courier New" w:cs="Courier New" w:eastAsia="Courier New" w:hAnsi="Courier New"/>
          <w:sz w:val="18"/>
          <w:szCs w:val="18"/>
          <w:color w:val="auto"/>
        </w:rPr>
        <w:t>RESOLVED, that the Merger shall be effective upon the date of of the Certification of Ownership and Merger with the Secretary of of the State of Delaware; and it is</w:t>
      </w:r>
    </w:p>
    <w:p>
      <w:pPr>
        <w:spacing w:after="0" w:line="201" w:lineRule="exact"/>
        <w:rPr>
          <w:sz w:val="20"/>
          <w:szCs w:val="20"/>
          <w:color w:val="auto"/>
        </w:rPr>
      </w:pPr>
    </w:p>
    <w:p>
      <w:pPr>
        <w:sectPr>
          <w:pgSz w:w="11900" w:h="16838" w:orient="portrait"/>
          <w:cols w:equalWidth="0" w:num="2">
            <w:col w:w="1280" w:space="0"/>
            <w:col w:w="8939"/>
          </w:cols>
          <w:pgMar w:left="240" w:top="925" w:right="1440" w:bottom="1440" w:gutter="0" w:footer="0" w:header="0"/>
          <w:type w:val="continuous"/>
        </w:sectPr>
      </w:pPr>
    </w:p>
    <w:p>
      <w:pPr>
        <w:spacing w:after="0" w:line="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202" w:lineRule="exact"/>
        <w:rPr>
          <w:sz w:val="20"/>
          <w:szCs w:val="20"/>
          <w:color w:val="auto"/>
        </w:rPr>
      </w:pPr>
    </w:p>
    <w:p>
      <w:pPr>
        <w:ind w:left="540"/>
        <w:spacing w:after="0"/>
        <w:tabs>
          <w:tab w:leader="none" w:pos="1460" w:val="left"/>
          <w:tab w:leader="none" w:pos="1980" w:val="left"/>
          <w:tab w:leader="none" w:pos="2940" w:val="left"/>
          <w:tab w:leader="none" w:pos="3680" w:val="left"/>
          <w:tab w:leader="none" w:pos="4100" w:val="left"/>
          <w:tab w:leader="none" w:pos="4620" w:val="left"/>
        </w:tabs>
        <w:rPr>
          <w:sz w:val="20"/>
          <w:szCs w:val="20"/>
          <w:color w:val="auto"/>
        </w:rPr>
      </w:pPr>
      <w:r>
        <w:rPr>
          <w:rFonts w:ascii="Courier New" w:cs="Courier New" w:eastAsia="Courier New" w:hAnsi="Courier New"/>
          <w:sz w:val="18"/>
          <w:szCs w:val="18"/>
          <w:color w:val="auto"/>
        </w:rPr>
        <w:t>FOURTH:</w:t>
        <w:tab/>
        <w:t>The</w:t>
        <w:tab/>
        <w:t>Company</w:t>
        <w:tab/>
        <w:t>shall</w:t>
        <w:tab/>
        <w:t>be</w:t>
        <w:tab/>
        <w:t>the</w:t>
      </w:r>
      <w:r>
        <w:rPr>
          <w:sz w:val="20"/>
          <w:szCs w:val="20"/>
          <w:color w:val="auto"/>
        </w:rPr>
        <w:tab/>
      </w:r>
      <w:r>
        <w:rPr>
          <w:rFonts w:ascii="Courier New" w:cs="Courier New" w:eastAsia="Courier New" w:hAnsi="Courier New"/>
          <w:sz w:val="16"/>
          <w:szCs w:val="16"/>
          <w:color w:val="auto"/>
        </w:rPr>
        <w:t>surviving corporation of the Merger.</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FIFTH: The Restated Certificate of Incorporation of the Company as in effect immediately prior to the effective time of the Merger shall be the Certificate of Incorporation of the surviving corporation.</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WITNESS WHEREOF, the Company has caused this Certificate of Ownership and Merger to be executed by its duly authorized officer this 28th day of September, 2001.</w:t>
      </w:r>
    </w:p>
    <w:p>
      <w:pPr>
        <w:spacing w:after="0" w:line="203" w:lineRule="exact"/>
        <w:rPr>
          <w:sz w:val="20"/>
          <w:szCs w:val="20"/>
          <w:color w:val="auto"/>
        </w:rPr>
      </w:pPr>
    </w:p>
    <w:p>
      <w:pPr>
        <w:ind w:left="860"/>
        <w:spacing w:after="0"/>
        <w:tabs>
          <w:tab w:leader="none" w:pos="1560" w:val="left"/>
          <w:tab w:leader="none" w:pos="2940" w:val="left"/>
        </w:tabs>
        <w:rPr>
          <w:sz w:val="20"/>
          <w:szCs w:val="20"/>
          <w:color w:val="auto"/>
        </w:rPr>
      </w:pPr>
      <w:r>
        <w:rPr>
          <w:rFonts w:ascii="Courier New" w:cs="Courier New" w:eastAsia="Courier New" w:hAnsi="Courier New"/>
          <w:sz w:val="18"/>
          <w:szCs w:val="18"/>
          <w:color w:val="auto"/>
        </w:rPr>
        <w:t>TEXAS</w:t>
        <w:tab/>
        <w:t>INSTRUMENTS</w:t>
      </w:r>
      <w:r>
        <w:rPr>
          <w:sz w:val="20"/>
          <w:szCs w:val="20"/>
          <w:color w:val="auto"/>
        </w:rPr>
        <w:tab/>
      </w:r>
      <w:r>
        <w:rPr>
          <w:rFonts w:ascii="Courier New" w:cs="Courier New" w:eastAsia="Courier New" w:hAnsi="Courier New"/>
          <w:sz w:val="16"/>
          <w:szCs w:val="16"/>
          <w:color w:val="auto"/>
        </w:rPr>
        <w:t>INCORPORATED</w:t>
      </w: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1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DANIEL M. DRORY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1140" w:val="left"/>
          <w:tab w:leader="none" w:pos="1980" w:val="left"/>
          <w:tab w:leader="none" w:pos="2420" w:val="left"/>
        </w:tabs>
        <w:rPr>
          <w:sz w:val="20"/>
          <w:szCs w:val="20"/>
          <w:color w:val="auto"/>
        </w:rPr>
      </w:pPr>
      <w:r>
        <w:rPr>
          <w:rFonts w:ascii="Courier New" w:cs="Courier New" w:eastAsia="Courier New" w:hAnsi="Courier New"/>
          <w:sz w:val="18"/>
          <w:szCs w:val="18"/>
          <w:color w:val="auto"/>
        </w:rPr>
        <w:t>Name:</w:t>
        <w:tab/>
        <w:t>Daniel</w:t>
        <w:tab/>
        <w:t>M.</w:t>
      </w:r>
      <w:r>
        <w:rPr>
          <w:sz w:val="20"/>
          <w:szCs w:val="20"/>
          <w:color w:val="auto"/>
        </w:rPr>
        <w:tab/>
      </w:r>
      <w:r>
        <w:rPr>
          <w:rFonts w:ascii="Courier New" w:cs="Courier New" w:eastAsia="Courier New" w:hAnsi="Courier New"/>
          <w:sz w:val="16"/>
          <w:szCs w:val="16"/>
          <w:color w:val="auto"/>
        </w:rPr>
        <w:t>Drory</w:t>
      </w:r>
    </w:p>
    <w:p>
      <w:pPr>
        <w:ind w:left="320"/>
        <w:spacing w:after="0"/>
        <w:tabs>
          <w:tab w:leader="none" w:pos="2300" w:val="left"/>
        </w:tabs>
        <w:rPr>
          <w:sz w:val="20"/>
          <w:szCs w:val="20"/>
          <w:color w:val="auto"/>
        </w:rPr>
      </w:pPr>
      <w:r>
        <w:rPr>
          <w:rFonts w:ascii="Courier New" w:cs="Courier New" w:eastAsia="Courier New" w:hAnsi="Courier New"/>
          <w:sz w:val="18"/>
          <w:szCs w:val="18"/>
          <w:color w:val="auto"/>
        </w:rPr>
        <w:t>Office: Assistant</w:t>
      </w:r>
      <w:r>
        <w:rPr>
          <w:sz w:val="20"/>
          <w:szCs w:val="20"/>
          <w:color w:val="auto"/>
        </w:rPr>
        <w:tab/>
      </w:r>
      <w:r>
        <w:rPr>
          <w:rFonts w:ascii="Courier New" w:cs="Courier New" w:eastAsia="Courier New" w:hAnsi="Courier New"/>
          <w:sz w:val="16"/>
          <w:szCs w:val="16"/>
          <w:color w:val="auto"/>
        </w:rPr>
        <w:t>Secretary</w:t>
      </w:r>
    </w:p>
    <w:p>
      <w:pPr>
        <w:sectPr>
          <w:pgSz w:w="11900" w:h="16838" w:orient="portrait"/>
          <w:cols w:equalWidth="0" w:num="1">
            <w:col w:w="10219"/>
          </w:cols>
          <w:pgMar w:left="240" w:top="925" w:right="1440" w:bottom="1440" w:gutter="0" w:footer="0" w:header="0"/>
          <w:type w:val="continuous"/>
        </w:sectPr>
      </w:pPr>
    </w:p>
    <w:bookmarkStart w:id="27" w:name="page28"/>
    <w:bookmarkEnd w:id="27"/>
    <w:p>
      <w:pPr>
        <w:ind w:left="6640"/>
        <w:spacing w:after="0"/>
        <w:rPr>
          <w:sz w:val="20"/>
          <w:szCs w:val="20"/>
          <w:color w:val="auto"/>
        </w:rPr>
      </w:pPr>
      <w:r>
        <w:rPr>
          <w:rFonts w:ascii="Courier New" w:cs="Courier New" w:eastAsia="Courier New" w:hAnsi="Courier New"/>
          <w:sz w:val="18"/>
          <w:szCs w:val="18"/>
          <w:color w:val="auto"/>
        </w:rPr>
        <w:t>Exhibit 10(a)(v)</w:t>
      </w:r>
    </w:p>
    <w:p>
      <w:pPr>
        <w:ind w:left="6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FOURTH AMENDMENT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TO RESTATED</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TI DEFERRED COMPENSATION PLAN</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TEXAS INSTRUMENTS INCORPORATED, a Delaware corporation with its principal offices in Dallas, Texas (hereinafter referred to as "TI" or the "Company") hereby adopts this Fourth Amendment to the restated TI Deferred Compensation Plan (the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Fourth Amendment to the restated TI Deferred Compensation Plan shall be effective as of the dates specified. Except as hereby amended by this Fourth Amendment, the Plan, as previously amended, shall continue in full force and effect.</w:t>
      </w:r>
    </w:p>
    <w:p>
      <w:pPr>
        <w:spacing w:after="0" w:line="207" w:lineRule="exact"/>
        <w:rPr>
          <w:sz w:val="20"/>
          <w:szCs w:val="20"/>
          <w:color w:val="auto"/>
        </w:rPr>
      </w:pPr>
    </w:p>
    <w:p>
      <w:pPr>
        <w:jc w:val="both"/>
        <w:ind w:left="540" w:right="1779" w:hanging="532"/>
        <w:spacing w:after="0" w:line="236"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1998, the definition appearing as Section 1-4, Benefit Restoration Account, is amended to correct the cross reference therein from "Section 3-4" to "Section 3-3."</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July 1, 2000, Section 1-14 is hereby amended and restated in the entirety, to read as follows:</w:t>
      </w:r>
    </w:p>
    <w:p>
      <w:pPr>
        <w:spacing w:after="0" w:line="208"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"Sec. 1-14. Election Period. "Election Period" means the one or more periods determined by the Administrator, in its sole discretion, when Participants may enter into new, or amend existing, Deferred Compensation Agreements; provided that a Designated Employee may defer Compensation pursuant to Section 3.2(iv) any time after being designated for participation as a Designated Employee."</w:t>
      </w:r>
    </w:p>
    <w:p>
      <w:pPr>
        <w:spacing w:after="0" w:line="210" w:lineRule="exact"/>
        <w:rPr>
          <w:sz w:val="20"/>
          <w:szCs w:val="20"/>
          <w:color w:val="auto"/>
        </w:rPr>
      </w:pPr>
    </w:p>
    <w:p>
      <w:pPr>
        <w:ind w:left="540" w:right="261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April 1, 2001, Section 3-5 is amended and restated in the entirety, to read as follows:</w:t>
      </w:r>
    </w:p>
    <w:p>
      <w:pPr>
        <w:spacing w:after="0" w:line="208"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"Sec. 3-5. Withdrawal of Contributions During a Plan Year, a Participant may withdraw funds credited to the Participant's Deferred Compensation Account. A Participant who makes such an election shall forfeit 10% of the amount withdrawn and the Participant's Deferred Contribution Account shall be adjusted to reflect such forfeiture. Withdrawals shall be made as soon as practicable after the Administrator receives a request for a withdrawal of funds. A Participant may not withdraw funds credited to the Benefit Restoration Account until after the date of the Participant's Termination of Employment, in which event distribution shall be made pursuant to Section 3-6."</w:t>
      </w:r>
    </w:p>
    <w:p>
      <w:pPr>
        <w:sectPr>
          <w:pgSz w:w="11900" w:h="16838" w:orient="portrait"/>
          <w:cols w:equalWidth="0" w:num="1">
            <w:col w:w="10219"/>
          </w:cols>
          <w:pgMar w:left="240" w:top="919" w:right="1440" w:bottom="1440" w:gutter="0" w:footer="0" w:header="0"/>
        </w:sectPr>
      </w:pPr>
    </w:p>
    <w:bookmarkStart w:id="28" w:name="page29"/>
    <w:bookmarkEnd w:id="28"/>
    <w:p>
      <w:pPr>
        <w:ind w:left="532" w:right="1779" w:hanging="532"/>
        <w:spacing w:after="0" w:line="235"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April 1, 2001, Section 3-11 is amended and restated in the entirety, to read as follows:</w:t>
      </w:r>
    </w:p>
    <w:p>
      <w:pPr>
        <w:spacing w:after="0" w:line="208" w:lineRule="exact"/>
        <w:rPr>
          <w:sz w:val="20"/>
          <w:szCs w:val="20"/>
          <w:color w:val="auto"/>
        </w:rPr>
      </w:pPr>
    </w:p>
    <w:p>
      <w:pPr>
        <w:ind w:left="1052" w:right="1779"/>
        <w:spacing w:after="0" w:line="238" w:lineRule="auto"/>
        <w:rPr>
          <w:sz w:val="20"/>
          <w:szCs w:val="20"/>
          <w:color w:val="auto"/>
        </w:rPr>
      </w:pPr>
      <w:r>
        <w:rPr>
          <w:rFonts w:ascii="Courier New" w:cs="Courier New" w:eastAsia="Courier New" w:hAnsi="Courier New"/>
          <w:sz w:val="18"/>
          <w:szCs w:val="18"/>
          <w:color w:val="auto"/>
        </w:rPr>
        <w:t>"Sec. 3-11. Alternate Payee Claims. Any claim against any benefits hereunder for child support, spousal maintenance, property settlement or alimony (an "Alternate Payee Claim") shall be treated in the same manner as would a claim for corresponding benefits under the U.S. Retirement Plan or the Universal Plan, and shall be subject to all claims provisions and restrictions of those plans; provided, however, that the distribution of benefits hereunder in satisfaction of an Alternate Payee Claim shall be made in a lump-sum payment as soon as practicable after the determination of the validity of the claim. No order issued pursuant to an Alternative Payee Claim may require payment in any other form than a full lump sum distribution equal to the present value (as determined by the Administrator) of the Alternate Payee Claim. The Administrator may delegate the administration of Alternate Payee Claims to the Administration Committee under the U.S. Retirement Plan or the Universal Plan."</w:t>
      </w:r>
    </w:p>
    <w:p>
      <w:pPr>
        <w:spacing w:after="0" w:line="202" w:lineRule="exact"/>
        <w:rPr>
          <w:sz w:val="20"/>
          <w:szCs w:val="20"/>
          <w:color w:val="auto"/>
        </w:rPr>
      </w:pPr>
    </w:p>
    <w:p>
      <w:pPr>
        <w:ind w:left="532" w:hanging="532"/>
        <w:spacing w:after="0"/>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April  1,  2001, Section 3-7 (iv) is amended by adding</w:t>
      </w:r>
    </w:p>
    <w:p>
      <w:pPr>
        <w:ind w:left="532"/>
        <w:spacing w:after="0"/>
        <w:tabs>
          <w:tab w:leader="none" w:pos="1032" w:val="left"/>
          <w:tab w:leader="none" w:pos="2192" w:val="left"/>
          <w:tab w:leader="none" w:pos="3032" w:val="left"/>
        </w:tabs>
        <w:rPr>
          <w:sz w:val="20"/>
          <w:szCs w:val="20"/>
          <w:color w:val="auto"/>
        </w:rPr>
      </w:pPr>
      <w:r>
        <w:rPr>
          <w:rFonts w:ascii="Courier New" w:cs="Courier New" w:eastAsia="Courier New" w:hAnsi="Courier New"/>
          <w:sz w:val="18"/>
          <w:szCs w:val="18"/>
          <w:color w:val="auto"/>
        </w:rPr>
        <w:t>the</w:t>
        <w:tab/>
        <w:t>following</w:t>
        <w:tab/>
        <w:t>clause</w:t>
      </w:r>
      <w:r>
        <w:rPr>
          <w:sz w:val="20"/>
          <w:szCs w:val="20"/>
          <w:color w:val="auto"/>
        </w:rPr>
        <w:tab/>
      </w:r>
      <w:r>
        <w:rPr>
          <w:rFonts w:ascii="Courier New" w:cs="Courier New" w:eastAsia="Courier New" w:hAnsi="Courier New"/>
          <w:sz w:val="16"/>
          <w:szCs w:val="16"/>
          <w:color w:val="auto"/>
        </w:rPr>
        <w:t>at the end of the first sentence thereof:</w:t>
      </w:r>
    </w:p>
    <w:p>
      <w:pPr>
        <w:spacing w:after="0" w:line="202" w:lineRule="exact"/>
        <w:rPr>
          <w:sz w:val="20"/>
          <w:szCs w:val="20"/>
          <w:color w:val="auto"/>
        </w:rPr>
      </w:pPr>
    </w:p>
    <w:p>
      <w:pPr>
        <w:ind w:left="1372" w:hanging="319"/>
        <w:spacing w:after="0"/>
        <w:tabs>
          <w:tab w:leader="none" w:pos="137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provided,  however,  that  if  the  amount  credited  to  the</w:t>
      </w:r>
    </w:p>
    <w:p>
      <w:pPr>
        <w:spacing w:after="0" w:line="4" w:lineRule="exact"/>
        <w:rPr>
          <w:rFonts w:ascii="Courier New" w:cs="Courier New" w:eastAsia="Courier New" w:hAnsi="Courier New"/>
          <w:sz w:val="18"/>
          <w:szCs w:val="18"/>
          <w:color w:val="auto"/>
        </w:rPr>
      </w:pPr>
    </w:p>
    <w:p>
      <w:pPr>
        <w:jc w:val="both"/>
        <w:ind w:left="1052"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Participant's Accounts at the time of the Participant's death is less than $25,000, the entire amount credited to those Accounts shall</w:t>
      </w:r>
    </w:p>
    <w:p>
      <w:pPr>
        <w:ind w:left="1052"/>
        <w:spacing w:after="0"/>
        <w:tabs>
          <w:tab w:leader="none" w:pos="2412" w:val="left"/>
          <w:tab w:leader="none" w:pos="2832" w:val="left"/>
          <w:tab w:leader="none" w:pos="3132" w:val="left"/>
          <w:tab w:leader="none" w:pos="3992" w:val="left"/>
          <w:tab w:leader="none" w:pos="4612" w:val="left"/>
        </w:tabs>
        <w:rPr>
          <w:sz w:val="20"/>
          <w:szCs w:val="20"/>
          <w:color w:val="auto"/>
        </w:rPr>
      </w:pPr>
      <w:r>
        <w:rPr>
          <w:rFonts w:ascii="Courier New" w:cs="Courier New" w:eastAsia="Courier New" w:hAnsi="Courier New"/>
          <w:sz w:val="18"/>
          <w:szCs w:val="18"/>
          <w:color w:val="auto"/>
        </w:rPr>
        <w:t>distributed</w:t>
        <w:tab/>
        <w:t>in</w:t>
        <w:tab/>
        <w:t>a</w:t>
        <w:tab/>
        <w:t>single</w:t>
        <w:tab/>
        <w:t>lump</w:t>
      </w:r>
      <w:r>
        <w:rPr>
          <w:sz w:val="20"/>
          <w:szCs w:val="20"/>
          <w:color w:val="auto"/>
        </w:rPr>
        <w:tab/>
      </w:r>
      <w:r>
        <w:rPr>
          <w:rFonts w:ascii="Courier New" w:cs="Courier New" w:eastAsia="Courier New" w:hAnsi="Courier New"/>
          <w:sz w:val="16"/>
          <w:szCs w:val="16"/>
          <w:color w:val="auto"/>
        </w:rPr>
        <w:t>sum."</w:t>
      </w:r>
    </w:p>
    <w:p>
      <w:pPr>
        <w:spacing w:after="0" w:line="208" w:lineRule="exact"/>
        <w:rPr>
          <w:sz w:val="20"/>
          <w:szCs w:val="20"/>
          <w:color w:val="auto"/>
        </w:rPr>
      </w:pPr>
    </w:p>
    <w:p>
      <w:pPr>
        <w:ind w:left="532" w:right="3359" w:hanging="532"/>
        <w:spacing w:after="0" w:line="235" w:lineRule="auto"/>
        <w:tabs>
          <w:tab w:leader="none" w:pos="5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1998, Section 5-2 is hereby amended and restated in the entirety, to read as follows:</w:t>
      </w:r>
    </w:p>
    <w:p>
      <w:pPr>
        <w:spacing w:after="0" w:line="208" w:lineRule="exact"/>
        <w:rPr>
          <w:sz w:val="20"/>
          <w:szCs w:val="20"/>
          <w:color w:val="auto"/>
        </w:rPr>
      </w:pPr>
    </w:p>
    <w:p>
      <w:pPr>
        <w:ind w:left="1052" w:right="1779"/>
        <w:spacing w:after="0" w:line="275" w:lineRule="auto"/>
        <w:rPr>
          <w:sz w:val="20"/>
          <w:szCs w:val="20"/>
          <w:color w:val="auto"/>
        </w:rPr>
      </w:pPr>
      <w:r>
        <w:rPr>
          <w:rFonts w:ascii="Courier New" w:cs="Courier New" w:eastAsia="Courier New" w:hAnsi="Courier New"/>
          <w:sz w:val="16"/>
          <w:szCs w:val="16"/>
          <w:color w:val="auto"/>
        </w:rPr>
        <w:t>"Sec. 5-2. Number and Selection. The Plan shall be administered by an Administrator or Administrators appointed by the Compensation Committee. Each Administrator shall serve without compensation for services rendered in connection with the administration of this Plan."</w:t>
      </w:r>
    </w:p>
    <w:p>
      <w:pPr>
        <w:spacing w:after="0" w:line="182" w:lineRule="exact"/>
        <w:rPr>
          <w:sz w:val="20"/>
          <w:szCs w:val="20"/>
          <w:color w:val="auto"/>
        </w:rPr>
      </w:pPr>
    </w:p>
    <w:p>
      <w:pPr>
        <w:ind w:left="532" w:right="3359" w:hanging="532"/>
        <w:spacing w:after="0" w:line="235" w:lineRule="auto"/>
        <w:tabs>
          <w:tab w:leader="none" w:pos="5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1998, Section 5-4 is hereby amended by addition of the following sentence at the end:</w:t>
      </w:r>
    </w:p>
    <w:p>
      <w:pPr>
        <w:spacing w:after="0" w:line="208" w:lineRule="exact"/>
        <w:rPr>
          <w:sz w:val="20"/>
          <w:szCs w:val="20"/>
          <w:color w:val="auto"/>
        </w:rPr>
      </w:pPr>
    </w:p>
    <w:p>
      <w:pPr>
        <w:jc w:val="both"/>
        <w:ind w:left="1052" w:right="1779"/>
        <w:spacing w:after="0" w:line="237" w:lineRule="auto"/>
        <w:rPr>
          <w:sz w:val="20"/>
          <w:szCs w:val="20"/>
          <w:color w:val="auto"/>
        </w:rPr>
      </w:pPr>
      <w:r>
        <w:rPr>
          <w:rFonts w:ascii="Courier New" w:cs="Courier New" w:eastAsia="Courier New" w:hAnsi="Courier New"/>
          <w:sz w:val="18"/>
          <w:szCs w:val="18"/>
          <w:color w:val="auto"/>
        </w:rPr>
        <w:t>"The Administrator in its discretion shall determine whether, and to what extent, Participant accounts will be charged with the expenses of administration of the Plan. Expenses charged against Participant accounts shall be charged as adjustments under Section 3-4 and Section 3-7, as applicable. Expenses of the Plan not charged to Participant accounts shall be paid by TI."</w:t>
      </w:r>
    </w:p>
    <w:p>
      <w:pPr>
        <w:spacing w:after="0" w:line="210" w:lineRule="exact"/>
        <w:rPr>
          <w:sz w:val="20"/>
          <w:szCs w:val="20"/>
          <w:color w:val="auto"/>
        </w:rPr>
      </w:pPr>
    </w:p>
    <w:p>
      <w:pPr>
        <w:ind w:left="532" w:right="1999" w:hanging="532"/>
        <w:spacing w:after="0" w:line="236" w:lineRule="auto"/>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amended by this Fourth Amendment, the Company hereby ratifies the Plan as last amended and restated in the entirety effective January 1, 1998, and as amended thereafter.</w:t>
      </w:r>
    </w:p>
    <w:p>
      <w:pPr>
        <w:sectPr>
          <w:pgSz w:w="11900" w:h="16838" w:orient="portrait"/>
          <w:cols w:equalWidth="0" w:num="1">
            <w:col w:w="10211"/>
          </w:cols>
          <w:pgMar w:left="248" w:top="925" w:right="1440" w:bottom="1440" w:gutter="0" w:footer="0" w:header="0"/>
        </w:sectPr>
      </w:pPr>
    </w:p>
    <w:bookmarkStart w:id="29" w:name="page30"/>
    <w:bookmarkEnd w:id="29"/>
    <w:p>
      <w:pPr>
        <w:ind w:right="3259"/>
        <w:spacing w:after="0" w:line="235" w:lineRule="auto"/>
        <w:rPr>
          <w:sz w:val="20"/>
          <w:szCs w:val="20"/>
          <w:color w:val="auto"/>
        </w:rPr>
      </w:pPr>
      <w:r>
        <w:rPr>
          <w:rFonts w:ascii="Courier New" w:cs="Courier New" w:eastAsia="Courier New" w:hAnsi="Courier New"/>
          <w:sz w:val="18"/>
          <w:szCs w:val="18"/>
          <w:color w:val="auto"/>
        </w:rPr>
        <w:t>IN WITNESS WHEREOF, Texas Instruments Incorporated has caused this instrument to be executed by its duly authorized officer.</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Texas</w:t>
            </w: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Instruments</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Incorporated</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6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 STEPHEN</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H. LEVEN</w:t>
            </w:r>
          </w:p>
        </w:tc>
      </w:tr>
      <w:tr>
        <w:trPr>
          <w:trHeight w:val="203"/>
        </w:trPr>
        <w:tc>
          <w:tcPr>
            <w:tcW w:w="640" w:type="dxa"/>
            <w:vAlign w:val="bottom"/>
          </w:tcPr>
          <w:p>
            <w:pPr>
              <w:spacing w:after="0"/>
              <w:rPr>
                <w:sz w:val="17"/>
                <w:szCs w:val="17"/>
                <w:color w:val="auto"/>
              </w:rPr>
            </w:pPr>
          </w:p>
        </w:tc>
        <w:tc>
          <w:tcPr>
            <w:tcW w:w="46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Stephen</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Leven</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Its:</w:t>
            </w:r>
          </w:p>
        </w:tc>
        <w:tc>
          <w:tcPr>
            <w:tcW w:w="16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Senior Vice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President - Human  Resources</w:t>
            </w:r>
          </w:p>
        </w:tc>
      </w:tr>
    </w:tbl>
    <w:p>
      <w:pPr>
        <w:sectPr>
          <w:pgSz w:w="11900" w:h="16838" w:orient="portrait"/>
          <w:cols w:equalWidth="0" w:num="1">
            <w:col w:w="10219"/>
          </w:cols>
          <w:pgMar w:left="240" w:top="925" w:right="1440" w:bottom="1440" w:gutter="0" w:footer="0" w:header="0"/>
        </w:sectPr>
      </w:pPr>
    </w:p>
    <w:bookmarkStart w:id="30" w:name="page31"/>
    <w:bookmarkEnd w:id="30"/>
    <w:p>
      <w:pPr>
        <w:ind w:left="6540"/>
        <w:spacing w:after="0"/>
        <w:rPr>
          <w:sz w:val="20"/>
          <w:szCs w:val="20"/>
          <w:color w:val="auto"/>
        </w:rPr>
      </w:pPr>
      <w:r>
        <w:rPr>
          <w:rFonts w:ascii="Courier New" w:cs="Courier New" w:eastAsia="Courier New" w:hAnsi="Courier New"/>
          <w:sz w:val="18"/>
          <w:szCs w:val="18"/>
          <w:color w:val="auto"/>
        </w:rPr>
        <w:t>Exhibit 10(a)(vi)</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SEVERANCE BENEFIT AGREEMENT</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SEVERANCE BENEFIT AGREEMENT (the "Agreement") executed this 30th day of October 1996 (the "Effective Date") by and between BURR-BROWN CORPORATION, a Delaware corporation (the "Company"), and SYRUS P. MADAVI, the Company's President and Chief Executive Officer (the "Executive").</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 E C I T A L S</w:t>
      </w:r>
    </w:p>
    <w:p>
      <w:pPr>
        <w:ind w:left="3480"/>
        <w:spacing w:after="0" w:line="238" w:lineRule="auto"/>
        <w:rPr>
          <w:sz w:val="20"/>
          <w:szCs w:val="20"/>
          <w:color w:val="auto"/>
        </w:rPr>
      </w:pPr>
      <w:r>
        <w:rPr>
          <w:rFonts w:ascii="Courier New" w:cs="Courier New" w:eastAsia="Courier New" w:hAnsi="Courier New"/>
          <w:sz w:val="18"/>
          <w:szCs w:val="18"/>
          <w:color w:val="auto"/>
        </w:rPr>
        <w:t>- - - - - - - -</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 The Executive is currently employed on an "at-will" basis by the Company as the Company's President and Chief Executive Officer.</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B. The Company and the Executive wish to enter into a formal agreement under which the Executive will be provided with certain defined severance benefits in the event his employment were to terminate under specified circumstances.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 the Company and Executive mutually agree as follows: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For purposes of this Agreement, the following definitions shall be in effect: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1.1 AVERAGE ANNUAL COMPENSATION means the sum of the following dollar amounts: (i) the average rate of base salary in effect for the Executive over the three (3)-year period ending with the date of Executive's termination of employment with the Company plus (ii) the average bonus earned or accrued by Executive on the basis of corporate and personal performance over the three (3) fiscal years of the Company immediately preceding the fiscal year of Executive's termination, whether or not the actual payment of those bonuses occurred within that three (3)-year period.</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1.2 BENEFICIARY means any person or persons designated from time to time by Executive pursuant to Section 5.2 to receive any benefits under this Agreement which may become due and payable to Executive following his death.</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 BOARD means the Board of Directors of the Company.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1.4 COMPETE means directly or indirectly to engage in activities for, render services to, or otherwise participate in the ownership (other than ownership of less than five percent (5%) of the outstanding equity or capital or profit interests in any entity) of, any business competitive with any line of business engaged in by the Company.</w:t>
      </w:r>
    </w:p>
    <w:p>
      <w:pPr>
        <w:sectPr>
          <w:pgSz w:w="11900" w:h="16838" w:orient="portrait"/>
          <w:cols w:equalWidth="0" w:num="1">
            <w:col w:w="10219"/>
          </w:cols>
          <w:pgMar w:left="240" w:top="919" w:right="1440" w:bottom="1440" w:gutter="0" w:footer="0" w:header="0"/>
        </w:sectPr>
      </w:pPr>
    </w:p>
    <w:bookmarkStart w:id="31" w:name="page32"/>
    <w:bookmarkEnd w:id="31"/>
    <w:p>
      <w:pPr>
        <w:ind w:right="1999" w:firstLine="527"/>
        <w:spacing w:after="0" w:line="237" w:lineRule="auto"/>
        <w:rPr>
          <w:sz w:val="20"/>
          <w:szCs w:val="20"/>
          <w:color w:val="auto"/>
        </w:rPr>
      </w:pPr>
      <w:r>
        <w:rPr>
          <w:rFonts w:ascii="Courier New" w:cs="Courier New" w:eastAsia="Courier New" w:hAnsi="Courier New"/>
          <w:sz w:val="18"/>
          <w:szCs w:val="18"/>
          <w:color w:val="auto"/>
        </w:rPr>
        <w:t>1.5 CONFIDENTIAL INFORMATION means any non-public proprietary or confidential information of the Company or its parent or subsidiary companies, including (without limitation) trade secrets; customer lists and information concerning vendors, suppliers, licensors or licensees; records or research, proposals, reports, methods, techniques, financial information and other data, and other non-public information regarding the Company and its parent or subsidiary companies or the existing and planned businesses, properties or affairs of the Company and its parent or subsidiary companies.</w:t>
      </w:r>
    </w:p>
    <w:p>
      <w:pPr>
        <w:spacing w:after="0" w:line="212"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1.6 CONTRACT PAYOUT EVENT means any one of the following events, as further detailed in ARTICLE FOUR:</w:t>
      </w:r>
    </w:p>
    <w:p>
      <w:pPr>
        <w:spacing w:after="0" w:line="208" w:lineRule="exact"/>
        <w:rPr>
          <w:sz w:val="20"/>
          <w:szCs w:val="20"/>
          <w:color w:val="auto"/>
        </w:rPr>
      </w:pPr>
    </w:p>
    <w:p>
      <w:pPr>
        <w:ind w:left="960" w:right="3159" w:hanging="425"/>
        <w:spacing w:after="0" w:line="235"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Executive's employment by reason of his death;</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Executive's employment by reason of his Long-Term Disability;</w:t>
      </w:r>
    </w:p>
    <w:p>
      <w:pPr>
        <w:spacing w:after="0" w:line="208" w:lineRule="exact"/>
        <w:rPr>
          <w:rFonts w:ascii="Courier New" w:cs="Courier New" w:eastAsia="Courier New" w:hAnsi="Courier New"/>
          <w:sz w:val="18"/>
          <w:szCs w:val="18"/>
          <w:color w:val="auto"/>
        </w:rPr>
      </w:pPr>
    </w:p>
    <w:p>
      <w:pPr>
        <w:ind w:left="1160" w:right="2619" w:hanging="625"/>
        <w:spacing w:after="0" w:line="235" w:lineRule="auto"/>
        <w:tabs>
          <w:tab w:leader="none" w:pos="11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Executive's employment by the Company for Justifiable Reason; or</w:t>
      </w:r>
    </w:p>
    <w:p>
      <w:pPr>
        <w:spacing w:after="0" w:line="202"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termination of Executive's employment Without Cause.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Should the Executive's employment be terminated by the Company for Misconduct or should the Executive voluntarily terminate his employment with the Company, then no benefits shall become payable under this Agreement in connection with such termination, and such termination shall not constitute a Contract Payout Event.</w:t>
      </w:r>
    </w:p>
    <w:p>
      <w:pPr>
        <w:spacing w:after="0" w:line="209"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1.7 HEALTH CARE COVERAGE means the continued health care coverage under the Company's group health plans to which Executive and his eligible dependents will become entitled under this Agreement upon a Contract Payout Event.</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1.8 JUSTIFIABLE REASON means the Company's termination of Executive's employment for one or more of the following reasons: (i) Executive's willful refusal to carry out the reasonable directives of the Board or (ii) Executive's failure to correct one or more material performance deficiencies within a reasonable period after receipt of written notice from the Board identifying those deficiencies. The reasonableness of the correction period for the identified deficiencies shall be determined on the basis of the nature and scope of those particular deficiencies.</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32" w:name="page33"/>
    <w:bookmarkEnd w:id="32"/>
    <w:p>
      <w:pPr>
        <w:ind w:right="1779" w:firstLine="527"/>
        <w:spacing w:after="0" w:line="279" w:lineRule="auto"/>
        <w:rPr>
          <w:sz w:val="20"/>
          <w:szCs w:val="20"/>
          <w:color w:val="auto"/>
        </w:rPr>
      </w:pPr>
      <w:r>
        <w:rPr>
          <w:rFonts w:ascii="Courier New" w:cs="Courier New" w:eastAsia="Courier New" w:hAnsi="Courier New"/>
          <w:sz w:val="16"/>
          <w:szCs w:val="16"/>
          <w:color w:val="auto"/>
        </w:rPr>
        <w:t>1.9 LONG-TERM DISABILITY shall have the meaning assigned to that term from time to time in the disability income policy or policies which the Company is to maintain on behalf of Executive pursuant to the provisions of Section 4.3.</w:t>
      </w:r>
    </w:p>
    <w:p>
      <w:pPr>
        <w:spacing w:after="0" w:line="17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1.10 MISCONDUCT means Executive's (i) commission of any act of fraud, dishonesty or embezzlement; (ii) commission of any other willful and malicious act which has a materially adverse financial impact upon the Company; (iii) habitual neglect of his duties by reason of substance abuse or other repeated unexcused absences; or (iv) conviction of a felony which has a materially adverse financial impact upon the Company.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1.11 NEW OPTION means any option to purchase shares of the Company's common stock which is granted to Executive at any time after the Effective Date by the Company and which remains outstanding at the time Executive's employment with the Company terminates.</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1.12 PLAN means the Company's 1993 Stock Incentive Plan, as amended from time to time, and any successor equity incentive plan maintained by the Company.</w:t>
      </w:r>
    </w:p>
    <w:p>
      <w:pPr>
        <w:spacing w:after="0" w:line="170" w:lineRule="exact"/>
        <w:rPr>
          <w:sz w:val="20"/>
          <w:szCs w:val="20"/>
          <w:color w:val="auto"/>
        </w:rPr>
      </w:pPr>
    </w:p>
    <w:p>
      <w:pPr>
        <w:jc w:val="both"/>
        <w:ind w:right="2839" w:firstLine="527"/>
        <w:spacing w:after="0" w:line="290" w:lineRule="auto"/>
        <w:rPr>
          <w:sz w:val="20"/>
          <w:szCs w:val="20"/>
          <w:color w:val="auto"/>
        </w:rPr>
      </w:pPr>
      <w:r>
        <w:rPr>
          <w:rFonts w:ascii="Courier New" w:cs="Courier New" w:eastAsia="Courier New" w:hAnsi="Courier New"/>
          <w:sz w:val="16"/>
          <w:szCs w:val="16"/>
          <w:color w:val="auto"/>
        </w:rPr>
        <w:t>1.13 WITHOUT CAUSE means the Company's termination of Executive's employment for any reason other than Misconduct or Justifiable Reason.</w:t>
      </w: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33" w:name="page34"/>
    <w:bookmarkEnd w:id="33"/>
    <w:p>
      <w:pPr>
        <w:ind w:left="3580"/>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2.1 TERM. This Agreement shall remain in effect through December 31, 1999. The term of this Agreement shall be automatically renewed for each subsequent calendar year during which Executive continues in the Company's employ, unless the Company terminates this Agreement as of the first day of any calendar year beginning after December 31, 1999 by providing Executive with written notice of such termination at least one hundred (180) days prior to the start of that calendar year. In the event the Company elects to so terminate this Agreement, then the following provisions shall become effective:</w:t>
      </w:r>
    </w:p>
    <w:p>
      <w:pPr>
        <w:spacing w:after="0" w:line="186" w:lineRule="exact"/>
        <w:rPr>
          <w:sz w:val="20"/>
          <w:szCs w:val="20"/>
          <w:color w:val="auto"/>
        </w:rPr>
      </w:pPr>
    </w:p>
    <w:p>
      <w:pPr>
        <w:jc w:val="both"/>
        <w:ind w:left="1060" w:right="1779" w:hanging="525"/>
        <w:spacing w:after="0" w:line="235" w:lineRule="auto"/>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Executive shall in good faith. negotiate a new severance benefits agreement to replace this Agreement, effective as</w:t>
      </w:r>
    </w:p>
    <w:p>
      <w:pPr>
        <w:ind w:left="1060"/>
        <w:spacing w:after="0"/>
        <w:tabs>
          <w:tab w:leader="none" w:pos="1460" w:val="left"/>
          <w:tab w:leader="none" w:pos="1980" w:val="left"/>
          <w:tab w:leader="none" w:pos="3360" w:val="left"/>
          <w:tab w:leader="none" w:pos="4000" w:val="left"/>
          <w:tab w:leader="none" w:pos="4420" w:val="left"/>
          <w:tab w:leader="none" w:pos="5040" w:val="left"/>
        </w:tabs>
        <w:rPr>
          <w:sz w:val="20"/>
          <w:szCs w:val="20"/>
          <w:color w:val="auto"/>
        </w:rPr>
      </w:pPr>
      <w:r>
        <w:rPr>
          <w:rFonts w:ascii="Courier New" w:cs="Courier New" w:eastAsia="Courier New" w:hAnsi="Courier New"/>
          <w:sz w:val="18"/>
          <w:szCs w:val="18"/>
          <w:color w:val="auto"/>
        </w:rPr>
        <w:t>of</w:t>
        <w:tab/>
        <w:t>the</w:t>
        <w:tab/>
        <w:t>termination</w:t>
        <w:tab/>
        <w:t>date</w:t>
        <w:tab/>
        <w:t>of</w:t>
        <w:tab/>
        <w:t>this</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left="1060" w:right="1779" w:hanging="525"/>
        <w:spacing w:after="0" w:line="237" w:lineRule="auto"/>
        <w:tabs>
          <w:tab w:leader="none" w:pos="10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agreement cannot be reached as to the terms and conditions of such a replacement agreement, then Executive shall have the right to terminate his employment within six (6) months after the termination date of this Agreement and shall thereupon become entitled to severance benefits to be reasonably agreed upon by the Company and Executive on the basis of severance packages in effect for similarly-situated chief executive officers in the industry.</w:t>
      </w:r>
    </w:p>
    <w:p>
      <w:pPr>
        <w:spacing w:after="0" w:line="211"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2.2 OPTION GRANTS. Any New Options granted to Executive under the Plan during the term of this Agreement shall incorporate the following terms and provisions:</w:t>
      </w:r>
    </w:p>
    <w:p>
      <w:pPr>
        <w:spacing w:after="0" w:line="209" w:lineRule="exact"/>
        <w:rPr>
          <w:sz w:val="20"/>
          <w:szCs w:val="20"/>
          <w:color w:val="auto"/>
        </w:rPr>
      </w:pPr>
    </w:p>
    <w:p>
      <w:pPr>
        <w:ind w:left="1060" w:hanging="525"/>
        <w:spacing w:after="0"/>
        <w:tabs>
          <w:tab w:leader="none" w:pos="10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shall  become immediately exercisable for twenty percent</w:t>
      </w:r>
    </w:p>
    <w:p>
      <w:pPr>
        <w:spacing w:after="0" w:line="21" w:lineRule="exact"/>
        <w:rPr>
          <w:sz w:val="20"/>
          <w:szCs w:val="20"/>
          <w:color w:val="auto"/>
        </w:rPr>
      </w:pPr>
    </w:p>
    <w:p>
      <w:pPr>
        <w:jc w:val="both"/>
        <w:ind w:left="1060" w:right="1779"/>
        <w:spacing w:after="0" w:line="236" w:lineRule="auto"/>
        <w:rPr>
          <w:sz w:val="20"/>
          <w:szCs w:val="20"/>
          <w:color w:val="auto"/>
        </w:rPr>
      </w:pPr>
      <w:r>
        <w:rPr>
          <w:rFonts w:ascii="Courier New" w:cs="Courier New" w:eastAsia="Courier New" w:hAnsi="Courier New"/>
          <w:sz w:val="18"/>
          <w:szCs w:val="18"/>
          <w:color w:val="auto"/>
        </w:rPr>
        <w:t>(20%) of the number of option shares for which the Option is not otherwise at the time exercisable should Executive's employment terminate by reason of his death</w:t>
      </w:r>
    </w:p>
    <w:p>
      <w:pPr>
        <w:spacing w:after="0" w:line="209" w:lineRule="exact"/>
        <w:rPr>
          <w:sz w:val="20"/>
          <w:szCs w:val="20"/>
          <w:color w:val="auto"/>
        </w:rPr>
      </w:pPr>
    </w:p>
    <w:p>
      <w:pPr>
        <w:ind w:left="1060" w:hanging="525"/>
        <w:spacing w:after="0"/>
        <w:tabs>
          <w:tab w:leader="none" w:pos="10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shall  become  immediately exercisable for fifty percent</w:t>
      </w:r>
    </w:p>
    <w:p>
      <w:pPr>
        <w:spacing w:after="0" w:line="21" w:lineRule="exact"/>
        <w:rPr>
          <w:sz w:val="20"/>
          <w:szCs w:val="20"/>
          <w:color w:val="auto"/>
        </w:rPr>
      </w:pPr>
    </w:p>
    <w:p>
      <w:pPr>
        <w:jc w:val="both"/>
        <w:ind w:left="1060" w:right="1779"/>
        <w:spacing w:after="0" w:line="236" w:lineRule="auto"/>
        <w:rPr>
          <w:sz w:val="20"/>
          <w:szCs w:val="20"/>
          <w:color w:val="auto"/>
        </w:rPr>
      </w:pPr>
      <w:r>
        <w:rPr>
          <w:rFonts w:ascii="Courier New" w:cs="Courier New" w:eastAsia="Courier New" w:hAnsi="Courier New"/>
          <w:sz w:val="18"/>
          <w:szCs w:val="18"/>
          <w:color w:val="auto"/>
        </w:rPr>
        <w:t>(50%) of the number of option shares for which the Option is not otherwise at the time exercisable should Executive's employment terminate by reason of his Long-Term Disability.</w:t>
      </w:r>
    </w:p>
    <w:p>
      <w:pPr>
        <w:spacing w:after="0" w:line="209" w:lineRule="exact"/>
        <w:rPr>
          <w:sz w:val="20"/>
          <w:szCs w:val="20"/>
          <w:color w:val="auto"/>
        </w:rPr>
      </w:pPr>
    </w:p>
    <w:p>
      <w:pPr>
        <w:jc w:val="both"/>
        <w:ind w:left="1060" w:right="1779" w:hanging="525"/>
        <w:spacing w:after="0" w:line="237"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become immediately exercisable for eighty percent (80%) of the number of option shares for which the Option is not otherwise at the time exercisable should the Company terminate Executive's employment Without Cause.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34" w:name="page35"/>
    <w:bookmarkEnd w:id="34"/>
    <w:p>
      <w:pPr>
        <w:jc w:val="both"/>
        <w:ind w:left="525" w:right="1779" w:hanging="525"/>
        <w:spacing w:after="0" w:line="237" w:lineRule="auto"/>
        <w:tabs>
          <w:tab w:leader="none" w:pos="52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continue to vest and become exercisable for one or more installments of the underlying option shares for so long as Executive renders services to the Company as an officer, employee, non-employee Board member or an independent consultant (including services rendered pursuant to the consulting arrangement set forth in Section 3.2).</w:t>
      </w:r>
    </w:p>
    <w:p>
      <w:pPr>
        <w:spacing w:after="0" w:line="209"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remain exercisable for a period of twelve (12) months following the termination of Executive's employment in connection with a Contract Payout Event, but in no event beyond the expiration date of the option term.</w:t>
      </w:r>
    </w:p>
    <w:p>
      <w:pPr>
        <w:spacing w:after="0" w:line="200" w:lineRule="exact"/>
        <w:rPr>
          <w:sz w:val="20"/>
          <w:szCs w:val="20"/>
          <w:color w:val="auto"/>
        </w:rPr>
      </w:pPr>
    </w:p>
    <w:p>
      <w:pPr>
        <w:spacing w:after="0" w:line="204"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84"/>
          </w:cols>
          <w:pgMar w:left="775" w:top="925" w:right="1440" w:bottom="1440" w:gutter="0" w:footer="0" w:header="0"/>
        </w:sectPr>
      </w:pPr>
    </w:p>
    <w:bookmarkStart w:id="35" w:name="page36"/>
    <w:bookmarkEnd w:id="35"/>
    <w:p>
      <w:pPr>
        <w:jc w:val="center"/>
        <w:ind w:right="1659"/>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COVENANTS AND CONSULTING AGREEMENT</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3.1 COVENANTS. Executive shall be subject to the following covenants and obligations: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3.1.1 RETURN OF DOCUMENTS. Upon the termination of Executive's employment for any reason, Executive shall promptly relinquish and return to the Company all Confidential Information and all files, correspondence, memoranda, diaries and other records, minutes, notes, manuals, papers and other documents and data, however prepared or memorialized, and all copies thereof, belonging to or relating to the business of the Company, that are in Executive's custody or control, whether or not they contain Confidential Information.</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3.1.2 NON-COMPETITION COVENANT. While employed by the Company, Executive shall not Compete or plan or prepare to Compete with the Company. To the extent obligated pursuant to the provisions of ARTICLE FOUR, Executive shall not, for a period of twelve (12) months following the termination of his employment, Compete with any line of business in which (i) the Company is engaged at the time his employment terminates or (ii) the Company is preparing to engage pursuant to plans or proposals approved by the Board prior to such termination.</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3.1.3 NON-SOLICITATION COVENANT. For a period of twenty-four (24) months following the termination of Executive's employment with the Company for any reason, Executive shall not, directly or indirectly, solicit the services of any Company employees or otherwise induce or attempt to induce any Company employees to sever their employment relationship with the Company.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3.1.4 SCOPE AND DURATION: SEVERABILITY. The Company and Executive understand and agree that the scope and duration of the covenants contained in this Section 3.1 are reasonable both in time and geographical area and are fairly necessary to protect the business of the Company. Such covenants shall survive the termination of Executive's employment, except that the Section 3.1.2 non-competition covenant shall remain in effect following such termination of employment only to extent required pursuant to the provisions of ARTICLE FOUR. It is further agreed that such covenants shall be regarded as divisible and shall be operative as to time and geographical area to the extent that they may be made so operative, and should any portion of such covenants be declared invalid or unenforceable, the validity and enforceability of the remainder shall not be affected.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36" w:name="page37"/>
    <w:bookmarkEnd w:id="36"/>
    <w:p>
      <w:pPr>
        <w:ind w:right="1999" w:firstLine="527"/>
        <w:spacing w:after="0" w:line="237" w:lineRule="auto"/>
        <w:rPr>
          <w:sz w:val="20"/>
          <w:szCs w:val="20"/>
          <w:color w:val="auto"/>
        </w:rPr>
      </w:pPr>
      <w:r>
        <w:rPr>
          <w:rFonts w:ascii="Courier New" w:cs="Courier New" w:eastAsia="Courier New" w:hAnsi="Courier New"/>
          <w:sz w:val="18"/>
          <w:szCs w:val="18"/>
          <w:color w:val="auto"/>
        </w:rPr>
        <w:t>3.1.5 ASSIGNMENT. Except as otherwise provided to the contrary in ARTICLE FOUR, Executive agrees that the covenants contained in this Section 3.1 shall inure to the benefit of any successor or assign of the Company, with the same force and effect as if such covenant had been made by Executive with such successor or assign.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3.2 CONSULTING AGREEMENT. Upon the termination of Executive's employment-other than in connection with (i) a voluntary termination by Executive under Section 4.5 or (ii) a termination by the Company for Misconduct, Executive hereby agrees to make himself available to perform, for a period not to exceed twelve (12) months following such termination of employment, such consulting services for the Company within his area of expertise as may from time to time be reasonably requested by the Board, and the Company may not terminate the consulting arrangement during such twelve (12)-month other than for Misconduct or a breach by Executive of his non-competition covenant under Section 3.1.2. However, Executive shall not be required to perform more than ten</w:t>
      </w:r>
    </w:p>
    <w:p>
      <w:pPr>
        <w:spacing w:after="0" w:line="12" w:lineRule="exact"/>
        <w:rPr>
          <w:sz w:val="20"/>
          <w:szCs w:val="20"/>
          <w:color w:val="auto"/>
        </w:rPr>
      </w:pPr>
    </w:p>
    <w:p>
      <w:pPr>
        <w:ind w:right="1779" w:firstLine="8"/>
        <w:spacing w:after="0" w:line="235" w:lineRule="auto"/>
        <w:tabs>
          <w:tab w:leader="none" w:pos="52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hours of consulting services per month during the period of such consulting arrangement.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3.2.1 COMPENSATION Executive shall not receive any cash compensation for the consulting services rendered pursuant to this Section 3.2 if Executive is otherwise to receive salary continuation payments (or disability income payments) under ARTICLE FOUR in connection with his termination of employment. However, if Executive is required under Section 3.2 to render one or more hours of consulting services following a termination of employment in which he is not entitled to any salary continuation payments (or disability income payments) under ARTICLE FOUR, then Executive shall receive cash compensation for such services at the hourly rate to be negotiated in good faith with the Company at the time of each project assignment.</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3.2.2 EXPENSE REIMBURSEMENT. Executive shall be entitled to reimbursement of all reasonable out-of-pocket expenses incurred in connection with the performance of his consulting services pursuant to this Section 3.2 upon presentation to the Company of appropriate documentation evidencing those expenses.</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37" w:name="page38"/>
    <w:bookmarkEnd w:id="37"/>
    <w:p>
      <w:pPr>
        <w:ind w:left="3580"/>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PAYOUT OF CONTRACT BENEFITS</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4.1 TERMINATION OF EMPLOYMENT. Executive's employment may be terminated by either Executive or the Company at any time for the reasons and with the consequences set out below. In the event of such termination, Executive may become entitled to certain severance benefits under this Agreement in accordance with the provisions of this ARTICLE FOUR.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4.2 DEATH. Executive's employment shall terminate upon his death.</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4.2.1 SEVERANCE BENEFITS. In such event, the Company shall provide the following severance benefits:</w:t>
      </w:r>
    </w:p>
    <w:p>
      <w:pPr>
        <w:spacing w:after="0" w:line="208" w:lineRule="exact"/>
        <w:rPr>
          <w:sz w:val="20"/>
          <w:szCs w:val="20"/>
          <w:color w:val="auto"/>
        </w:rPr>
      </w:pPr>
    </w:p>
    <w:p>
      <w:pPr>
        <w:jc w:val="both"/>
        <w:ind w:left="1060" w:right="1779" w:hanging="525"/>
        <w:spacing w:after="0" w:line="237"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 continuation payments at the monthly rate of base salary in effect for Executive at the time of his death shall be paid to Executive's designated Beneficiary for a period of three (3) months following the date of Executive's death. The payments shall be made in accordance with the Company's normal payroll practices and shall be subject to the Company's collection of all applicable withholding taxes.</w:t>
      </w:r>
    </w:p>
    <w:p>
      <w:pPr>
        <w:spacing w:after="0" w:line="211" w:lineRule="exact"/>
        <w:rPr>
          <w:rFonts w:ascii="Courier New" w:cs="Courier New" w:eastAsia="Courier New" w:hAnsi="Courier New"/>
          <w:sz w:val="18"/>
          <w:szCs w:val="18"/>
          <w:color w:val="auto"/>
        </w:rPr>
      </w:pPr>
    </w:p>
    <w:p>
      <w:pPr>
        <w:ind w:left="1060" w:right="1779" w:hanging="525"/>
        <w:spacing w:after="0" w:line="270" w:lineRule="auto"/>
        <w:tabs>
          <w:tab w:leader="none" w:pos="10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at its expense, provide Executive's surviving spouse and other eligible dependents with continued Health Care Coverage until the earlier of (i) eighteen (18) months after the date of Executive's death or (ii) the first date that such individuals are covered under another employer's health benefit program which provides substantially the same level of benefits without exclusion for pre-existing medical conditions. Such coverage will be in full satisfaction of any continued health care coverage to which Executive's surviving spouse or dependents would otherwise be entitled pursuant to the requirements of Code Section 4980B by reason of Executive's termination of employment ("COBRA Continuation Coverage").</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4.3 LONG-TERM DISABILITY. Either the Company or Executive may terminate Executive's employment, upon thirty (30) days prior written notice, by reason of his Long-Term Disability. Any such termination by the Company, however, shall be subject to the Company's compliance with the applicable requirements of the Americans with Disabilities Act.</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38" w:name="page39"/>
    <w:bookmarkEnd w:id="38"/>
    <w:p>
      <w:pPr>
        <w:ind w:right="1879" w:firstLine="527"/>
        <w:spacing w:after="0" w:line="237" w:lineRule="auto"/>
        <w:rPr>
          <w:sz w:val="20"/>
          <w:szCs w:val="20"/>
          <w:color w:val="auto"/>
        </w:rPr>
      </w:pPr>
      <w:r>
        <w:rPr>
          <w:rFonts w:ascii="Courier New" w:cs="Courier New" w:eastAsia="Courier New" w:hAnsi="Courier New"/>
          <w:sz w:val="18"/>
          <w:szCs w:val="18"/>
          <w:color w:val="auto"/>
        </w:rPr>
        <w:t>4.3.1 COVENANTS. Following such termination of employment, Executive shall remain subject to the covenants and obligations set forth in Section 3.1 and Section 3.2 (but only the extent Executive is physically able to perform any consulting services in accordance therewith).</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4.3.2 DISABILITY INCOME. Executive shall be entitled to receive short-term and long-term disability income benefits from the following sources in connection with the termination of his employment under this Section 4.3:</w:t>
      </w:r>
    </w:p>
    <w:p>
      <w:pPr>
        <w:spacing w:after="0" w:line="209" w:lineRule="exact"/>
        <w:rPr>
          <w:sz w:val="20"/>
          <w:szCs w:val="20"/>
          <w:color w:val="auto"/>
        </w:rPr>
      </w:pPr>
    </w:p>
    <w:p>
      <w:pPr>
        <w:jc w:val="both"/>
        <w:ind w:left="1060" w:right="1779" w:hanging="525"/>
        <w:spacing w:after="0" w:line="268" w:lineRule="auto"/>
        <w:tabs>
          <w:tab w:leader="none" w:pos="10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receive short-term disability benefits in the form of salary continuation payments, at one hundred percent (100%) of his base salary, for the first six (6) months of his disability period. Such payments shall be made pursuant to the terms</w:t>
      </w:r>
    </w:p>
    <w:p>
      <w:pPr>
        <w:spacing w:after="0" w:line="1" w:lineRule="exact"/>
        <w:rPr>
          <w:sz w:val="20"/>
          <w:szCs w:val="20"/>
          <w:color w:val="auto"/>
        </w:rPr>
      </w:pPr>
    </w:p>
    <w:p>
      <w:pPr>
        <w:jc w:val="both"/>
        <w:ind w:left="1060" w:right="1779"/>
        <w:spacing w:after="0" w:line="236" w:lineRule="auto"/>
        <w:rPr>
          <w:sz w:val="20"/>
          <w:szCs w:val="20"/>
          <w:color w:val="auto"/>
        </w:rPr>
      </w:pPr>
      <w:r>
        <w:rPr>
          <w:rFonts w:ascii="Courier New" w:cs="Courier New" w:eastAsia="Courier New" w:hAnsi="Courier New"/>
          <w:sz w:val="18"/>
          <w:szCs w:val="18"/>
          <w:color w:val="auto"/>
        </w:rPr>
        <w:t>of the Company's Short-Term Disability Income Plan, and Executive's eligibility for such payments shall be determined solely in accordance with the terms of that Plan.</w:t>
      </w:r>
    </w:p>
    <w:p>
      <w:pPr>
        <w:spacing w:after="0" w:line="209" w:lineRule="exact"/>
        <w:rPr>
          <w:sz w:val="20"/>
          <w:szCs w:val="20"/>
          <w:color w:val="auto"/>
        </w:rPr>
      </w:pPr>
    </w:p>
    <w:p>
      <w:pPr>
        <w:ind w:left="1060" w:right="1779" w:hanging="525"/>
        <w:spacing w:after="0" w:line="270" w:lineRule="auto"/>
        <w:tabs>
          <w:tab w:leader="none" w:pos="10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expiration of the salary continuation period under the Short-Term Disability Income Plan, Executive shall become entitled to receive salary continuation payments in the monthly amount of Twenty-Five Thousand Dollars ($25,000.00) pursuant to the terms of the special long-term disability income policies which the Company shall maintain on Executive's behalf. Such monthly payments shall continue until the earliest to occur of (i) Executive's attainment of age sixty five (65) or (ii) his failure to qualify for continued disability income payments under the terms of those policies or (iii) his return to full-time employment with the Company or other business entity in substantially the same position he held immediately prior to his disability. Should Executive's attainment of age sixty five (65) be the earliest event, then such salary continuation payments shall be reduced to the amount of Fifteen Thousand Dollars ($15,000.00) per month and shall continue at that level until the earliest to occur of</w:t>
      </w:r>
    </w:p>
    <w:p>
      <w:pPr>
        <w:spacing w:after="0" w:line="183" w:lineRule="exact"/>
        <w:rPr>
          <w:rFonts w:ascii="Courier New" w:cs="Courier New" w:eastAsia="Courier New" w:hAnsi="Courier New"/>
          <w:sz w:val="16"/>
          <w:szCs w:val="16"/>
          <w:color w:val="auto"/>
        </w:rPr>
      </w:pPr>
    </w:p>
    <w:p>
      <w:pPr>
        <w:jc w:val="both"/>
        <w:ind w:left="1060" w:right="1779" w:firstLine="1"/>
        <w:spacing w:after="0" w:line="237" w:lineRule="auto"/>
        <w:tabs>
          <w:tab w:leader="none" w:pos="1587"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death or (ii) his failure to qualify for continued disability income payments under the terms of those policies or (iii) his return to full-time employment with the Company or other business entity in substantially the same position he held immediately prior to his disability.</w:t>
      </w:r>
    </w:p>
    <w:p>
      <w:pPr>
        <w:spacing w:after="0" w:line="209" w:lineRule="exact"/>
        <w:rPr>
          <w:sz w:val="20"/>
          <w:szCs w:val="20"/>
          <w:color w:val="auto"/>
        </w:rPr>
      </w:pPr>
    </w:p>
    <w:p>
      <w:pPr>
        <w:ind w:left="540" w:right="1779"/>
        <w:spacing w:after="0" w:line="271" w:lineRule="auto"/>
        <w:rPr>
          <w:sz w:val="20"/>
          <w:szCs w:val="20"/>
          <w:color w:val="auto"/>
        </w:rPr>
      </w:pPr>
      <w:r>
        <w:rPr>
          <w:rFonts w:ascii="Courier New" w:cs="Courier New" w:eastAsia="Courier New" w:hAnsi="Courier New"/>
          <w:sz w:val="16"/>
          <w:szCs w:val="16"/>
          <w:color w:val="auto"/>
        </w:rPr>
        <w:t>The long-term disability income policies shall be purchased from one or more insurance companies mutually acceptable to the Company and Executive, and all premiums on those policies shall be paid by the Company. The Company shall, throughout the term of this Agreement, continue to maintain the existing long-term income policies currently in effect for Executive. Such policies shall, however, be reviewed at least annually in terms of the financial stability of the insurer, and the Company shall use its best efforts to obtain replacement policies from one or more other financially-solvent insurance companies, to the extent the insurance</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39" w:name="page40"/>
    <w:bookmarkEnd w:id="39"/>
    <w:p>
      <w:pPr>
        <w:jc w:val="both"/>
        <w:ind w:left="540" w:right="1779"/>
        <w:spacing w:after="0" w:line="237" w:lineRule="auto"/>
        <w:rPr>
          <w:sz w:val="20"/>
          <w:szCs w:val="20"/>
          <w:color w:val="auto"/>
        </w:rPr>
      </w:pPr>
      <w:r>
        <w:rPr>
          <w:rFonts w:ascii="Courier New" w:cs="Courier New" w:eastAsia="Courier New" w:hAnsi="Courier New"/>
          <w:sz w:val="18"/>
          <w:szCs w:val="18"/>
          <w:color w:val="auto"/>
        </w:rPr>
        <w:t>company issuing one or more of the current policies is deemed by the Company or Executive to pose an unacceptable risk of insolvency. However, should Executive be unable to qualify to qualify for coverage under one or more replacement policies needed to provide the benefits contemplated by this Section 4.3.2, then Executive's entitlement to disability income payments hereunder shall be reduced to the actual dollar amount of the income payments provided by the remaining policies and shall be reduced to zero if there are no remaining policies.</w:t>
      </w: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Executive shall look exclusively to the Company's Short-Term Disability Income Plan and any long-term disability income policies maintained on his behalf pursuant to this Section 4.3.2 for the payment of his disability benefits hereunder, and the Company shall have no obligation to provide any long-term disability income payments out of the Company's own funds and shall not be the guarantor of the disability income benefits contemplated by this Section 4.3.2.</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4.3.3 HEALTH CARE COVERAGE. The Company shall, at its expense, provide Executive and his eligible dependents with continued Health Care Coverage until the earliest to occur of (i) the Executive's death or (ii) the first date that such individuals are covered under another employer's health benefit program which provides substantially the same level of benefits without exclusion for pre-existing medical conditions or (iii) his return to full-time employment with the Company or other business entity in substantially the same position he held immediately prior to his disability. The period of such Company-paid coverage shall be credited against any period of COBRA Continued Care Coverage to which Executive and his eligible dependents may, at their sole cost, be entitled by reason of Executive's termination of employment and shall not be in addition to such period of COBRA Continued Care Coverage.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4.4 TERMINATION BY THE COMPANY FOR MISCONDUCT. The Company may terminate Executive's employment for Misconduct.</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4.4.1 NO CONTRACT BENEFITS. Should Executive's employment be terminated for Misconduct, Executive shall have no right to receive any severance benefits under this Agreement. However, Executive shall be entitled to receive (i) any unpaid compensation earned for services rendered through the date of such termination and (ii) any accrued but unpaid vacation benefits or sick days.</w:t>
      </w:r>
    </w:p>
    <w:p>
      <w:pPr>
        <w:spacing w:after="0" w:line="18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4.4.2 COVENANTS. Following such termination for Misconduct, Executive shall comply with his covenants and obligations under Section 3.1 but shall not be subject to any consulting agreement under Section 3.2.</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4.5 VOLUNTARY TERMINATION BY EXECUTIVE. Executive may, upon thirty (30) days prior written notice to the Company, voluntarily terminate his employment at any time.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40" w:name="page41"/>
    <w:bookmarkEnd w:id="40"/>
    <w:p>
      <w:pPr>
        <w:ind w:right="1779" w:firstLine="527"/>
        <w:spacing w:after="0" w:line="237" w:lineRule="auto"/>
        <w:rPr>
          <w:sz w:val="20"/>
          <w:szCs w:val="20"/>
          <w:color w:val="auto"/>
        </w:rPr>
      </w:pPr>
      <w:r>
        <w:rPr>
          <w:rFonts w:ascii="Courier New" w:cs="Courier New" w:eastAsia="Courier New" w:hAnsi="Courier New"/>
          <w:sz w:val="18"/>
          <w:szCs w:val="18"/>
          <w:color w:val="auto"/>
        </w:rPr>
        <w:t>4.5.1 NO CONTRACT BENEFITS. Following Executive's termination of employment under this Section 4.5, Executive shall have no right to receive any severance benefits under this Agreement, but he and his eligible dependents shall be entitled, at their sole cost, to receive COBRA Continuation Coverage. In addition, Executive shall be entitled to receive (i) any unpaid compensation earned for services rendered through the date of such termination and (ii) any accrued but unpaid vacation benefits or sick days.</w:t>
      </w:r>
    </w:p>
    <w:p>
      <w:pPr>
        <w:spacing w:after="0" w:line="211"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4.5.2 COVENANTS. Following such termination of employment, Executive shall comply with his covenants and obligations under Section 3.1 (other than Section 3.1.2) but shall not be subject to any consulting agreement under Section 3.2.</w:t>
      </w:r>
    </w:p>
    <w:p>
      <w:pPr>
        <w:spacing w:after="0" w:line="17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4.6 TERMINATION BY THE COMPANY FOR JUSTIFIABLE REASON. The Company may terminate Executive's employment at any time for Justifiable Reason.</w:t>
      </w:r>
    </w:p>
    <w:p>
      <w:pPr>
        <w:spacing w:after="0" w:line="208"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4.6.1 SEVERANCE BENEFITS. Upon the Company's termination of Executive's employment under this Section 4.6, the Company shall provide the following severance benefits:</w:t>
      </w:r>
    </w:p>
    <w:p>
      <w:pPr>
        <w:spacing w:after="0" w:line="209" w:lineRule="exact"/>
        <w:rPr>
          <w:sz w:val="20"/>
          <w:szCs w:val="20"/>
          <w:color w:val="auto"/>
        </w:rPr>
      </w:pPr>
    </w:p>
    <w:p>
      <w:pPr>
        <w:ind w:left="1060" w:hanging="525"/>
        <w:spacing w:after="0"/>
        <w:tabs>
          <w:tab w:leader="none" w:pos="10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receive an immediate lump sum severance</w:t>
      </w:r>
    </w:p>
    <w:p>
      <w:pPr>
        <w:spacing w:after="0" w:line="21"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payment equal to one (1) times his Average Annual Compensation. The payment shall be made within thirty (30) days following the Executive's termination date and shall be subject to the Company's collection of all applicable withholding taxes</w:t>
      </w:r>
    </w:p>
    <w:p>
      <w:pPr>
        <w:spacing w:after="0" w:line="207" w:lineRule="exact"/>
        <w:rPr>
          <w:sz w:val="20"/>
          <w:szCs w:val="20"/>
          <w:color w:val="auto"/>
        </w:rPr>
      </w:pPr>
    </w:p>
    <w:p>
      <w:pPr>
        <w:ind w:left="1060" w:right="1779" w:hanging="525"/>
        <w:spacing w:after="0" w:line="268" w:lineRule="auto"/>
        <w:tabs>
          <w:tab w:leader="none" w:pos="10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receive salary continuation payments, at the monthly rate of base salary in effect for him at the time of his termination of employment, for a period of twelve (12) months. The payments shall be made in accordance with the Company's normal payroll practices and shall be subject to the Company's collection of all applicable withholding taxes. Payments shall commence with the first payday following Executive's termination date. However, should Executive obtain a position of full-time employment during the salary</w:t>
      </w:r>
    </w:p>
    <w:p>
      <w:pPr>
        <w:sectPr>
          <w:pgSz w:w="11900" w:h="16838" w:orient="portrait"/>
          <w:cols w:equalWidth="0" w:num="1">
            <w:col w:w="10219"/>
          </w:cols>
          <w:pgMar w:left="240" w:top="925" w:right="1440" w:bottom="1440" w:gutter="0" w:footer="0" w:header="0"/>
        </w:sectPr>
      </w:pPr>
    </w:p>
    <w:p>
      <w:pPr>
        <w:spacing w:after="0" w:line="1" w:lineRule="exact"/>
        <w:rPr>
          <w:sz w:val="20"/>
          <w:szCs w:val="20"/>
          <w:color w:val="auto"/>
        </w:rPr>
      </w:pPr>
    </w:p>
    <w:p>
      <w:pPr>
        <w:ind w:left="1060" w:right="1779"/>
        <w:spacing w:after="0" w:line="279" w:lineRule="auto"/>
        <w:rPr>
          <w:sz w:val="20"/>
          <w:szCs w:val="20"/>
          <w:color w:val="auto"/>
        </w:rPr>
      </w:pPr>
      <w:r>
        <w:rPr>
          <w:rFonts w:ascii="Courier New" w:cs="Courier New" w:eastAsia="Courier New" w:hAnsi="Courier New"/>
          <w:sz w:val="16"/>
          <w:szCs w:val="16"/>
          <w:color w:val="auto"/>
        </w:rPr>
        <w:t>continuation period, then the dollar amount of the salary continuation payments shall be reduced by the salary earned by Executive during such period for services rendered to his new employer.</w:t>
      </w:r>
    </w:p>
    <w:p>
      <w:pPr>
        <w:sectPr>
          <w:pgSz w:w="11900" w:h="16838" w:orient="portrait"/>
          <w:cols w:equalWidth="0" w:num="1">
            <w:col w:w="10219"/>
          </w:cols>
          <w:pgMar w:left="240" w:top="925" w:right="1440" w:bottom="1440" w:gutter="0" w:footer="0" w:header="0"/>
          <w:type w:val="continuous"/>
        </w:sectPr>
      </w:pPr>
    </w:p>
    <w:p>
      <w:pPr>
        <w:spacing w:after="0" w:line="178" w:lineRule="exact"/>
        <w:rPr>
          <w:sz w:val="20"/>
          <w:szCs w:val="20"/>
          <w:color w:val="auto"/>
        </w:rPr>
      </w:pPr>
    </w:p>
    <w:p>
      <w:pPr>
        <w:ind w:left="1060" w:right="1779" w:hanging="525"/>
        <w:spacing w:after="0" w:line="268" w:lineRule="auto"/>
        <w:tabs>
          <w:tab w:leader="none" w:pos="10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at its expense, provide Executive and his eligible dependents with continued Health Care Coverage until the earlier of</w:t>
      </w:r>
    </w:p>
    <w:p>
      <w:pPr>
        <w:ind w:left="1060" w:right="1879" w:firstLine="1"/>
        <w:spacing w:after="0" w:line="272" w:lineRule="auto"/>
        <w:tabs>
          <w:tab w:leader="none" w:pos="1481"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twelve (12) months after the Executive's termination date or (ii) the first date that such individuals are covered under another employer's health benefit program which provides substantially the same level of benefits without exclusion for pre-existing medical conditions. The period of such Company-paid coverage shall be credited against any period of COBRA Continued Care Coverage to which</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type w:val="continuous"/>
        </w:sectPr>
      </w:pPr>
    </w:p>
    <w:bookmarkStart w:id="41" w:name="page42"/>
    <w:bookmarkEnd w:id="41"/>
    <w:p>
      <w:pPr>
        <w:ind w:left="1060" w:right="1779"/>
        <w:spacing w:after="0" w:line="279" w:lineRule="auto"/>
        <w:rPr>
          <w:sz w:val="20"/>
          <w:szCs w:val="20"/>
          <w:color w:val="auto"/>
        </w:rPr>
      </w:pPr>
      <w:r>
        <w:rPr>
          <w:rFonts w:ascii="Courier New" w:cs="Courier New" w:eastAsia="Courier New" w:hAnsi="Courier New"/>
          <w:sz w:val="16"/>
          <w:szCs w:val="16"/>
          <w:color w:val="auto"/>
        </w:rPr>
        <w:t>Executive and his eligible dependents may, at their sole cost, be entitled by .reason of Executive's termination of employment and shall not be in addition to such period of COBRA Continued Care Coverage.</w:t>
      </w:r>
    </w:p>
    <w:p>
      <w:pPr>
        <w:spacing w:after="0" w:line="17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4.6.2 COVENANTS. Following the termination of Executive's employment pursuant to this Section 4.6, Executive shall comply with all his covenants and obligations under Section 3.1 and Section 3.2.</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4.7 TERMINATION BY THE COMPANY WITHOUT CAUSE. The Company may terminate Executive's employment at any time Without Cause.</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4.7.1 SEVERANCE BENEFITS. Upon the Company's termination of Executive's employment under this Section 4.7, the Company shall provide the following severance benefits:</w:t>
      </w:r>
    </w:p>
    <w:p>
      <w:pPr>
        <w:spacing w:after="0" w:line="209" w:lineRule="exact"/>
        <w:rPr>
          <w:sz w:val="20"/>
          <w:szCs w:val="20"/>
          <w:color w:val="auto"/>
        </w:rPr>
      </w:pPr>
    </w:p>
    <w:p>
      <w:pPr>
        <w:ind w:left="1060" w:right="1779" w:hanging="525"/>
        <w:spacing w:after="0" w:line="237" w:lineRule="auto"/>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entitled to receive an immediate lump sum severance payment equal to one (1) times his Average Annual Compensation. The payment shall be made within thirty (30) days following the Executive's termination date and shall be subject to the Company's collection of all applicable withholding taxes.</w:t>
      </w:r>
    </w:p>
    <w:p>
      <w:pPr>
        <w:spacing w:after="0" w:line="208" w:lineRule="exact"/>
        <w:rPr>
          <w:rFonts w:ascii="Courier New" w:cs="Courier New" w:eastAsia="Courier New" w:hAnsi="Courier New"/>
          <w:sz w:val="18"/>
          <w:szCs w:val="18"/>
          <w:color w:val="auto"/>
        </w:rPr>
      </w:pPr>
    </w:p>
    <w:p>
      <w:pPr>
        <w:jc w:val="both"/>
        <w:ind w:left="1060" w:right="1779" w:hanging="525"/>
        <w:spacing w:after="0" w:line="235" w:lineRule="auto"/>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entitled to receive an additional benefit in an amount equal to one (1) times his Average Annual Compensation. This</w:t>
      </w:r>
    </w:p>
    <w:p>
      <w:pPr>
        <w:spacing w:after="0" w:line="6"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additional benefit shall be paid in equal increments over a twelve (12)-month period in accordance with the Company's normal payroll practices and shall be subject to the Company's collection of all applicable withholding taxes. Payment shall commence with the first payday following Executive's termination date.</w:t>
      </w:r>
    </w:p>
    <w:p>
      <w:pPr>
        <w:spacing w:after="0" w:line="209" w:lineRule="exact"/>
        <w:rPr>
          <w:sz w:val="20"/>
          <w:szCs w:val="20"/>
          <w:color w:val="auto"/>
        </w:rPr>
      </w:pPr>
    </w:p>
    <w:p>
      <w:pPr>
        <w:ind w:left="1060" w:right="1779" w:hanging="525"/>
        <w:spacing w:after="0" w:line="268" w:lineRule="auto"/>
        <w:tabs>
          <w:tab w:leader="none" w:pos="10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at its expense, provide Executive and his eligible dependents with continued Health Care Coverage until the earlier of</w:t>
      </w:r>
    </w:p>
    <w:p>
      <w:pPr>
        <w:ind w:left="1480" w:hanging="419"/>
        <w:spacing w:after="0" w:line="238" w:lineRule="auto"/>
        <w:tabs>
          <w:tab w:leader="none" w:pos="148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twelve (12) months after the date of Executive's termination or</w:t>
      </w:r>
    </w:p>
    <w:p>
      <w:pPr>
        <w:spacing w:after="0" w:line="4" w:lineRule="exact"/>
        <w:rPr>
          <w:rFonts w:ascii="Courier New" w:cs="Courier New" w:eastAsia="Courier New" w:hAnsi="Courier New"/>
          <w:sz w:val="18"/>
          <w:szCs w:val="18"/>
          <w:color w:val="auto"/>
        </w:rPr>
      </w:pPr>
    </w:p>
    <w:p>
      <w:pPr>
        <w:jc w:val="both"/>
        <w:ind w:left="1060" w:right="1779" w:firstLine="1"/>
        <w:spacing w:after="0" w:line="271" w:lineRule="auto"/>
        <w:tabs>
          <w:tab w:leader="none" w:pos="1587"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date that such individuals are covered under another employer's health benefit program which provides substantially the same level of benefits without exclusion for pre-existing medical conditions. The period of such Company-paid coverage shall be credited against any period of COBRA Continued Care Coverage to which Executive and his eligible dependents may, at their sole cost, be entitled by reason of Executive's termination of employment and shall not be in addition to such period of COBRA Continued Care Coverage.</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42" w:name="page43"/>
    <w:bookmarkEnd w:id="42"/>
    <w:p>
      <w:pPr>
        <w:ind w:right="1879" w:firstLine="527"/>
        <w:spacing w:after="0" w:line="236" w:lineRule="auto"/>
        <w:rPr>
          <w:sz w:val="20"/>
          <w:szCs w:val="20"/>
          <w:color w:val="auto"/>
        </w:rPr>
      </w:pPr>
      <w:r>
        <w:rPr>
          <w:rFonts w:ascii="Courier New" w:cs="Courier New" w:eastAsia="Courier New" w:hAnsi="Courier New"/>
          <w:sz w:val="18"/>
          <w:szCs w:val="18"/>
          <w:color w:val="auto"/>
        </w:rPr>
        <w:t>4.7.2 Covenants. Following the termination of Executive's employment pursuant to this Section 4.7, Executive shall comply with all his covenants and obligations under Sections 3.1 and 3.2.</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43" w:name="page44"/>
    <w:bookmarkEnd w:id="43"/>
    <w:p>
      <w:pPr>
        <w:ind w:left="3580"/>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MISCELLANEOUS PROVISIONS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5.1 TERMINATION OF HEALTH COVERAGE. Any Health Care Coverage to which Executive or his eligible dependents may become entitled pursuant to the provisions of ARTICLE FOUR or any COBRA Continuation Coverage to which such individuals are otherwise entitled by law shall immediately terminate upon the occurrence of any of the following events:</w:t>
      </w:r>
    </w:p>
    <w:p>
      <w:pPr>
        <w:spacing w:after="0" w:line="209" w:lineRule="exact"/>
        <w:rPr>
          <w:sz w:val="20"/>
          <w:szCs w:val="20"/>
          <w:color w:val="auto"/>
        </w:rPr>
      </w:pPr>
    </w:p>
    <w:p>
      <w:pPr>
        <w:jc w:val="both"/>
        <w:ind w:left="1060" w:right="1779" w:hanging="525"/>
        <w:spacing w:after="0" w:line="237" w:lineRule="auto"/>
        <w:tabs>
          <w:tab w:leader="none" w:pos="10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and his eligible dependents become covered under another employer's health benefit program, which provides substantially the same level of benefits without exclusion for pre-existing medical conditions;</w:t>
      </w:r>
    </w:p>
    <w:p>
      <w:pPr>
        <w:spacing w:after="0" w:line="207" w:lineRule="exact"/>
        <w:rPr>
          <w:rFonts w:ascii="Courier New" w:cs="Courier New" w:eastAsia="Courier New" w:hAnsi="Courier New"/>
          <w:sz w:val="18"/>
          <w:szCs w:val="18"/>
          <w:color w:val="auto"/>
        </w:rPr>
      </w:pPr>
    </w:p>
    <w:p>
      <w:pPr>
        <w:jc w:val="both"/>
        <w:ind w:left="1060" w:right="1779" w:hanging="525"/>
        <w:spacing w:after="0" w:line="268" w:lineRule="auto"/>
        <w:tabs>
          <w:tab w:leader="none" w:pos="10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 fails to pay the applicable premium for the Health Care Coverage prior the expiration of any applicable grace period following</w:t>
      </w:r>
    </w:p>
    <w:p>
      <w:pPr>
        <w:ind w:left="1060"/>
        <w:spacing w:after="0"/>
        <w:tabs>
          <w:tab w:leader="none" w:pos="1560" w:val="left"/>
          <w:tab w:leader="none" w:pos="2100" w:val="left"/>
          <w:tab w:leader="none" w:pos="2720" w:val="left"/>
          <w:tab w:leader="none" w:pos="3260" w:val="left"/>
          <w:tab w:leader="none" w:pos="3880" w:val="left"/>
        </w:tabs>
        <w:rPr>
          <w:sz w:val="20"/>
          <w:szCs w:val="20"/>
          <w:color w:val="auto"/>
        </w:rPr>
      </w:pPr>
      <w:r>
        <w:rPr>
          <w:rFonts w:ascii="Courier New" w:cs="Courier New" w:eastAsia="Courier New" w:hAnsi="Courier New"/>
          <w:sz w:val="18"/>
          <w:szCs w:val="18"/>
          <w:color w:val="auto"/>
        </w:rPr>
        <w:t>the</w:t>
        <w:tab/>
        <w:t>due</w:t>
        <w:tab/>
        <w:t>date</w:t>
        <w:tab/>
        <w:t>for</w:t>
        <w:tab/>
        <w:t>such</w:t>
      </w:r>
      <w:r>
        <w:rPr>
          <w:sz w:val="20"/>
          <w:szCs w:val="20"/>
          <w:color w:val="auto"/>
        </w:rPr>
        <w:tab/>
      </w:r>
      <w:r>
        <w:rPr>
          <w:rFonts w:ascii="Courier New" w:cs="Courier New" w:eastAsia="Courier New" w:hAnsi="Courier New"/>
          <w:sz w:val="16"/>
          <w:szCs w:val="16"/>
          <w:color w:val="auto"/>
        </w:rPr>
        <w:t>premium;</w:t>
      </w:r>
    </w:p>
    <w:p>
      <w:pPr>
        <w:spacing w:after="0" w:line="208" w:lineRule="exact"/>
        <w:rPr>
          <w:sz w:val="20"/>
          <w:szCs w:val="20"/>
          <w:color w:val="auto"/>
        </w:rPr>
      </w:pPr>
    </w:p>
    <w:p>
      <w:pPr>
        <w:jc w:val="both"/>
        <w:ind w:left="1060" w:right="1779" w:hanging="525"/>
        <w:spacing w:after="0" w:line="268" w:lineRule="auto"/>
        <w:tabs>
          <w:tab w:leader="none" w:pos="10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Company-paid coverage will immediately terminate should the Executive fail to perform his obligations under ARTICLE THREE, to the extent those obligations are applicable pursuant to the provisions of</w:t>
      </w:r>
    </w:p>
    <w:p>
      <w:pPr>
        <w:ind w:left="1060"/>
        <w:spacing w:after="0" w:line="233" w:lineRule="auto"/>
        <w:tabs>
          <w:tab w:leader="none" w:pos="1980" w:val="left"/>
          <w:tab w:leader="none" w:pos="2620" w:val="left"/>
          <w:tab w:leader="none" w:pos="3780" w:val="left"/>
          <w:tab w:leader="none" w:pos="4300" w:val="left"/>
          <w:tab w:leader="none" w:pos="5680" w:val="left"/>
          <w:tab w:leader="none" w:pos="6100" w:val="left"/>
          <w:tab w:leader="none" w:pos="7460" w:val="left"/>
        </w:tabs>
        <w:rPr>
          <w:sz w:val="20"/>
          <w:szCs w:val="20"/>
          <w:color w:val="auto"/>
        </w:rPr>
      </w:pPr>
      <w:r>
        <w:rPr>
          <w:rFonts w:ascii="Courier New" w:cs="Courier New" w:eastAsia="Courier New" w:hAnsi="Courier New"/>
          <w:sz w:val="18"/>
          <w:szCs w:val="18"/>
          <w:color w:val="auto"/>
        </w:rPr>
        <w:t>ARTICLE</w:t>
        <w:tab/>
        <w:t>FOUR</w:t>
        <w:tab/>
        <w:t>following</w:t>
        <w:tab/>
        <w:t>his</w:t>
        <w:tab/>
        <w:t>termination</w:t>
        <w:tab/>
        <w:t>of</w:t>
        <w:tab/>
        <w:t>employment;</w:t>
        <w:tab/>
        <w:t>or</w:t>
      </w:r>
    </w:p>
    <w:p>
      <w:pPr>
        <w:spacing w:after="0" w:line="208" w:lineRule="exact"/>
        <w:rPr>
          <w:sz w:val="20"/>
          <w:szCs w:val="20"/>
          <w:color w:val="auto"/>
        </w:rPr>
      </w:pPr>
    </w:p>
    <w:p>
      <w:pPr>
        <w:ind w:left="1060" w:right="1779" w:hanging="525"/>
        <w:spacing w:after="0" w:line="235" w:lineRule="auto"/>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discontinues all health care coverage programs for active employees.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5.2 DESIGNATION OF BENEFICIARY. Executive may designate from time to time the person or persons who are to be his designated Beneficiary under this Agreement. Each such designation shall be evidenced by a written, signed document delivered to the Company's Corporate Secretary, and each new designation shall automatically supersede and revoke the prior existing designation. In the absence of any such designation, the Beneficiary shall be the Executive's estate.</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5.3 ENTIRE AGREEMENT. This Agreement, together with the contemporaneous Change in Control Severance Benefit Agreement between the Company and Executive (the "Change in Control Benefit Agreement"), contains the entire agreement and understanding between Executive and the Company regarding the severance benefits to which Executive may become entitled upon his cessation of employment and supersedes and replaces all prior contracts, understandings and representations (whether oral or written) regarding the terms and conditions of such severance benefits. Neither this Agreement nor the Change in Control Benefit Agreement may be modified except by a writing executed by both Executive and the Company.</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0" w:right="1440" w:bottom="1440" w:gutter="0" w:footer="0" w:header="0"/>
        </w:sectPr>
      </w:pPr>
    </w:p>
    <w:bookmarkStart w:id="44" w:name="page45"/>
    <w:bookmarkEnd w:id="44"/>
    <w:p>
      <w:pPr>
        <w:ind w:left="540"/>
        <w:spacing w:after="0"/>
        <w:rPr>
          <w:sz w:val="20"/>
          <w:szCs w:val="20"/>
          <w:color w:val="auto"/>
        </w:rPr>
      </w:pPr>
      <w:r>
        <w:rPr>
          <w:rFonts w:ascii="Courier New" w:cs="Courier New" w:eastAsia="Courier New" w:hAnsi="Courier New"/>
          <w:sz w:val="18"/>
          <w:szCs w:val="18"/>
          <w:color w:val="auto"/>
        </w:rPr>
        <w:t>5.4 ASSIGNMENT BY THE COMPANY. This Agreement shall be binding upon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inure to the benefit of any successors or assigns of the Company. As used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this Agreement, the term "successor" includes any person or group of persons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acting in concert who at any time in any form or manner acquires all or</w:t>
      </w:r>
    </w:p>
    <w:p>
      <w:pPr>
        <w:spacing w:after="0" w:line="238" w:lineRule="auto"/>
        <w:rPr>
          <w:sz w:val="20"/>
          <w:szCs w:val="20"/>
          <w:color w:val="auto"/>
        </w:rPr>
      </w:pPr>
      <w:r>
        <w:rPr>
          <w:rFonts w:ascii="Courier New" w:cs="Courier New" w:eastAsia="Courier New" w:hAnsi="Courier New"/>
          <w:sz w:val="18"/>
          <w:szCs w:val="18"/>
          <w:color w:val="auto"/>
        </w:rPr>
        <w:t>substantially all of the assets or business of the Company or more than thirty</w:t>
      </w:r>
    </w:p>
    <w:p>
      <w:pPr>
        <w:spacing w:after="0"/>
        <w:rPr>
          <w:sz w:val="20"/>
          <w:szCs w:val="20"/>
          <w:color w:val="auto"/>
        </w:rPr>
      </w:pPr>
      <w:r>
        <w:rPr>
          <w:rFonts w:ascii="Courier New" w:cs="Courier New" w:eastAsia="Courier New" w:hAnsi="Courier New"/>
          <w:sz w:val="18"/>
          <w:szCs w:val="18"/>
          <w:color w:val="auto"/>
        </w:rPr>
        <w:t>(30%) of the outstanding voting securities of the Company. Accordingly, this</w:t>
      </w:r>
    </w:p>
    <w:p>
      <w:pPr>
        <w:spacing w:after="0" w:line="237" w:lineRule="auto"/>
        <w:rPr>
          <w:sz w:val="20"/>
          <w:szCs w:val="20"/>
          <w:color w:val="auto"/>
        </w:rPr>
      </w:pPr>
      <w:r>
        <w:rPr>
          <w:rFonts w:ascii="Courier New" w:cs="Courier New" w:eastAsia="Courier New" w:hAnsi="Courier New"/>
          <w:sz w:val="18"/>
          <w:szCs w:val="18"/>
          <w:color w:val="auto"/>
        </w:rPr>
        <w:t>Agreement, together with the Change in Control Benefit Agreement, 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 in full force and effect following any such assignment to the successor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5.5. GENERAL CREDITOR STATUS The benefits to which Executive may become entitled under this Agreement (except those attributable to his options) shall be paid, when due, from the general assets of the Company. The right of the Executive (or his Beneficiary) to receive any such payments shall at all times be that of a general creditor of the Company and will have no priority over the claims of other general creditors of the Company.</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5.6. DEATH. Should Executive die before receipt of all benefits to which he may become entitled under this Agreement, then the payment of such benefits shall be made, on the due date or dates hereunder had Executive survived, to his Beneficiary. Should Executive die before he has exercised all his outstanding vested Options, then each such Option may be exercised, during the applicable exercise period in effect for such Option, by the executors or administrators of Executive's estate or by the Person to whom the Option is transferred pursuant to the Executive's will or in accordance with the laws of inheritance.</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5.7. MISCELLANEOUS. The provisions of this Agreement shall be construed and interpreted under the laws of the State of Arizona. If any provision of this Agreement as applied to any party or to any circumstance should be adjudged by a court of competent jurisdiction to be void or unenforceable for any reason, the invalidity of that provision shall in no way affect (to the maximum extent permissible by law) the application of such provision under circumstances different from those adjudicated by the court, the application of any other provision of this Agreement, or the enforceability or invalidity of this Agreement as a whole.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5.8 ARBITRATION. Any controversy which may arise between Executive and the Company with respect to the construction, interpretation or application of any of the terms, provisions or conditions of this Agreement or any monetary-claim arising from or relating to this Agreement shall be submitted to final and binding arbitration in Tucson, Arizona in accordance with the rules of the American Arbitration Association then in effect.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1440" w:gutter="0" w:footer="0" w:header="0"/>
        </w:sectPr>
      </w:pPr>
    </w:p>
    <w:bookmarkStart w:id="45" w:name="page46"/>
    <w:bookmarkEnd w:id="45"/>
    <w:p>
      <w:pPr>
        <w:ind w:right="1779" w:firstLine="527"/>
        <w:spacing w:after="0" w:line="237" w:lineRule="auto"/>
        <w:rPr>
          <w:sz w:val="20"/>
          <w:szCs w:val="20"/>
          <w:color w:val="auto"/>
        </w:rPr>
      </w:pPr>
      <w:r>
        <w:rPr>
          <w:rFonts w:ascii="Courier New" w:cs="Courier New" w:eastAsia="Courier New" w:hAnsi="Courier New"/>
          <w:sz w:val="18"/>
          <w:szCs w:val="18"/>
          <w:color w:val="auto"/>
        </w:rPr>
        <w:t>5.9. NO EMPLOYMENT OR SERVICE CONTRACT. Nothing in this Agreement shall confer upon Executive any right to continue in the employment of the Company for any period of specific duration or interfere with or otherwise restrict in any way the rights of the Company or Executive, which rights are hereby expressly reserved by each, to terminate Executive's employment at any time for any reason whatsoever, with or without cause.</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5.10 NOTICES. Any notice provided for by this Agreement and any other notice, demand, designation or communication which either party may wish to send to the other ("Notices") shall be in writing and shall be deemed to have been properly given if served by (i) personal delivery, (ii) registered or certified mail, return receipt requested in a sealed envelope, postage and other charges prepaid, or (iii) telegram, telecopy, telex, facsimile or other similar form of transmission followed by delivery pursuant to clause (i) or (ii), in each case addressed to the party for which such Notice is intended as follows: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the Company: Board of Directors</w:t>
      </w:r>
    </w:p>
    <w:p>
      <w:pPr>
        <w:ind w:left="2000"/>
        <w:spacing w:after="0"/>
        <w:tabs>
          <w:tab w:leader="none" w:pos="3260" w:val="left"/>
        </w:tabs>
        <w:rPr>
          <w:sz w:val="20"/>
          <w:szCs w:val="20"/>
          <w:color w:val="auto"/>
        </w:rPr>
      </w:pPr>
      <w:r>
        <w:rPr>
          <w:rFonts w:ascii="Courier New" w:cs="Courier New" w:eastAsia="Courier New" w:hAnsi="Courier New"/>
          <w:sz w:val="18"/>
          <w:szCs w:val="18"/>
          <w:color w:val="auto"/>
        </w:rPr>
        <w:t>Burr-Brown</w:t>
      </w:r>
      <w:r>
        <w:rPr>
          <w:sz w:val="20"/>
          <w:szCs w:val="20"/>
          <w:color w:val="auto"/>
        </w:rPr>
        <w:tab/>
      </w:r>
      <w:r>
        <w:rPr>
          <w:rFonts w:ascii="Courier New" w:cs="Courier New" w:eastAsia="Courier New" w:hAnsi="Courier New"/>
          <w:sz w:val="16"/>
          <w:szCs w:val="16"/>
          <w:color w:val="auto"/>
        </w:rPr>
        <w:t>Corporation</w:t>
      </w:r>
    </w:p>
    <w:p>
      <w:pPr>
        <w:ind w:left="2000"/>
        <w:spacing w:after="0"/>
        <w:tabs>
          <w:tab w:leader="none" w:pos="2620" w:val="left"/>
          <w:tab w:leader="none" w:pos="3360" w:val="left"/>
          <w:tab w:leader="none" w:pos="4200" w:val="left"/>
        </w:tabs>
        <w:rPr>
          <w:sz w:val="20"/>
          <w:szCs w:val="20"/>
          <w:color w:val="auto"/>
        </w:rPr>
      </w:pPr>
      <w:r>
        <w:rPr>
          <w:rFonts w:ascii="Courier New" w:cs="Courier New" w:eastAsia="Courier New" w:hAnsi="Courier New"/>
          <w:sz w:val="18"/>
          <w:szCs w:val="18"/>
          <w:color w:val="auto"/>
        </w:rPr>
        <w:t>6730</w:t>
        <w:tab/>
        <w:t>South</w:t>
        <w:tab/>
        <w:t>Tucson</w:t>
      </w:r>
      <w:r>
        <w:rPr>
          <w:sz w:val="20"/>
          <w:szCs w:val="20"/>
          <w:color w:val="auto"/>
        </w:rPr>
        <w:tab/>
      </w:r>
      <w:r>
        <w:rPr>
          <w:rFonts w:ascii="Courier New" w:cs="Courier New" w:eastAsia="Courier New" w:hAnsi="Courier New"/>
          <w:sz w:val="16"/>
          <w:szCs w:val="16"/>
          <w:color w:val="auto"/>
        </w:rPr>
        <w:t>Boulevard</w:t>
      </w:r>
    </w:p>
    <w:p>
      <w:pPr>
        <w:ind w:left="2000"/>
        <w:spacing w:after="0"/>
        <w:tabs>
          <w:tab w:leader="none" w:pos="2940" w:val="left"/>
          <w:tab w:leader="none" w:pos="3360" w:val="left"/>
        </w:tabs>
        <w:rPr>
          <w:sz w:val="20"/>
          <w:szCs w:val="20"/>
          <w:color w:val="auto"/>
        </w:rPr>
      </w:pPr>
      <w:r>
        <w:rPr>
          <w:rFonts w:ascii="Courier New" w:cs="Courier New" w:eastAsia="Courier New" w:hAnsi="Courier New"/>
          <w:sz w:val="18"/>
          <w:szCs w:val="18"/>
          <w:color w:val="auto"/>
        </w:rPr>
        <w:t>Tucson,</w:t>
        <w:tab/>
        <w:t>AZ</w:t>
      </w:r>
      <w:r>
        <w:rPr>
          <w:sz w:val="20"/>
          <w:szCs w:val="20"/>
          <w:color w:val="auto"/>
        </w:rPr>
        <w:tab/>
      </w:r>
      <w:r>
        <w:rPr>
          <w:rFonts w:ascii="Courier New" w:cs="Courier New" w:eastAsia="Courier New" w:hAnsi="Courier New"/>
          <w:sz w:val="16"/>
          <w:szCs w:val="16"/>
          <w:color w:val="auto"/>
        </w:rPr>
        <w:t>85706</w:t>
      </w:r>
    </w:p>
    <w:p>
      <w:pPr>
        <w:ind w:left="2000"/>
        <w:spacing w:after="0"/>
        <w:tabs>
          <w:tab w:leader="none" w:pos="2620" w:val="left"/>
          <w:tab w:leader="none" w:pos="3360" w:val="left"/>
        </w:tabs>
        <w:rPr>
          <w:sz w:val="20"/>
          <w:szCs w:val="20"/>
          <w:color w:val="auto"/>
        </w:rPr>
      </w:pPr>
      <w:r>
        <w:rPr>
          <w:rFonts w:ascii="Courier New" w:cs="Courier New" w:eastAsia="Courier New" w:hAnsi="Courier New"/>
          <w:sz w:val="18"/>
          <w:szCs w:val="18"/>
          <w:color w:val="auto"/>
        </w:rPr>
        <w:t>FAX:</w:t>
        <w:tab/>
        <w:t>(520)</w:t>
      </w:r>
      <w:r>
        <w:rPr>
          <w:sz w:val="20"/>
          <w:szCs w:val="20"/>
          <w:color w:val="auto"/>
        </w:rPr>
        <w:tab/>
      </w:r>
      <w:r>
        <w:rPr>
          <w:rFonts w:ascii="Courier New" w:cs="Courier New" w:eastAsia="Courier New" w:hAnsi="Courier New"/>
          <w:sz w:val="16"/>
          <w:szCs w:val="16"/>
          <w:color w:val="auto"/>
        </w:rPr>
        <w:t>746-7752</w:t>
      </w:r>
    </w:p>
    <w:p>
      <w:pPr>
        <w:spacing w:after="0" w:line="202" w:lineRule="exact"/>
        <w:rPr>
          <w:sz w:val="20"/>
          <w:szCs w:val="20"/>
          <w:color w:val="auto"/>
        </w:rPr>
      </w:pPr>
    </w:p>
    <w:p>
      <w:pPr>
        <w:spacing w:after="0"/>
        <w:tabs>
          <w:tab w:leader="none" w:pos="1980" w:val="left"/>
          <w:tab w:leader="none" w:pos="2720" w:val="left"/>
          <w:tab w:leader="none" w:pos="3140" w:val="left"/>
        </w:tabs>
        <w:rPr>
          <w:sz w:val="20"/>
          <w:szCs w:val="20"/>
          <w:color w:val="auto"/>
        </w:rPr>
      </w:pPr>
      <w:r>
        <w:rPr>
          <w:rFonts w:ascii="Courier New" w:cs="Courier New" w:eastAsia="Courier New" w:hAnsi="Courier New"/>
          <w:sz w:val="18"/>
          <w:szCs w:val="18"/>
          <w:color w:val="auto"/>
        </w:rPr>
        <w:t>If to Executive:</w:t>
        <w:tab/>
        <w:t>Syrus</w:t>
        <w:tab/>
        <w:t>P.</w:t>
      </w:r>
      <w:r>
        <w:rPr>
          <w:sz w:val="20"/>
          <w:szCs w:val="20"/>
          <w:color w:val="auto"/>
        </w:rPr>
        <w:tab/>
      </w:r>
      <w:r>
        <w:rPr>
          <w:rFonts w:ascii="Courier New" w:cs="Courier New" w:eastAsia="Courier New" w:hAnsi="Courier New"/>
          <w:sz w:val="16"/>
          <w:szCs w:val="16"/>
          <w:color w:val="auto"/>
        </w:rPr>
        <w:t>Madavi</w:t>
      </w:r>
    </w:p>
    <w:p>
      <w:pPr>
        <w:ind w:left="2000"/>
        <w:spacing w:after="0" w:line="238" w:lineRule="auto"/>
        <w:rPr>
          <w:sz w:val="20"/>
          <w:szCs w:val="20"/>
          <w:color w:val="auto"/>
        </w:rPr>
      </w:pPr>
      <w:r>
        <w:rPr>
          <w:rFonts w:ascii="Courier New" w:cs="Courier New" w:eastAsia="Courier New" w:hAnsi="Courier New"/>
          <w:sz w:val="18"/>
          <w:szCs w:val="18"/>
          <w:color w:val="auto"/>
        </w:rPr>
        <w:t>__________________</w:t>
      </w:r>
    </w:p>
    <w:p>
      <w:pPr>
        <w:ind w:left="2000"/>
        <w:spacing w:after="0"/>
        <w:rPr>
          <w:sz w:val="20"/>
          <w:szCs w:val="20"/>
          <w:color w:val="auto"/>
        </w:rPr>
      </w:pPr>
      <w:r>
        <w:rPr>
          <w:rFonts w:ascii="Courier New" w:cs="Courier New" w:eastAsia="Courier New" w:hAnsi="Courier New"/>
          <w:sz w:val="18"/>
          <w:szCs w:val="18"/>
          <w:color w:val="auto"/>
        </w:rPr>
        <w:t>__________________</w:t>
      </w:r>
    </w:p>
    <w:p>
      <w:pPr>
        <w:ind w:left="2000"/>
        <w:spacing w:after="0" w:line="237" w:lineRule="auto"/>
        <w:tabs>
          <w:tab w:leader="none" w:pos="2620" w:val="left"/>
        </w:tabs>
        <w:rPr>
          <w:sz w:val="20"/>
          <w:szCs w:val="20"/>
          <w:color w:val="auto"/>
        </w:rPr>
      </w:pPr>
      <w:r>
        <w:rPr>
          <w:rFonts w:ascii="Courier New" w:cs="Courier New" w:eastAsia="Courier New" w:hAnsi="Courier New"/>
          <w:sz w:val="18"/>
          <w:szCs w:val="18"/>
          <w:color w:val="auto"/>
        </w:rPr>
        <w:t>FAX:</w:t>
        <w:tab/>
        <w:t>(520)_________</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5.10.1 CHANGE OF ADDRESS. Any address or specified in this Section 5.10 may be changed by a Notice given by the addressee to the other party in accordance with this Section 5.10.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5.10.2 EFFECTIVE DATE OF NOTICE. All Notices shall be given and effective as of the date of personal delivery thereof or the date of receipt set forth on the return receipt. The inability to deliver because of a changed address of which no Notice was given or rejection or other refusal to accept any Notice shall be deemed to be the receipt of the Notice as of the date of such inability to deliver or rejection or refusal to accept.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46" w:name="page47"/>
    <w:bookmarkEnd w:id="46"/>
    <w:p>
      <w:pPr>
        <w:ind w:right="1879" w:firstLine="527"/>
        <w:spacing w:after="0" w:line="235" w:lineRule="auto"/>
        <w:rPr>
          <w:sz w:val="20"/>
          <w:szCs w:val="20"/>
          <w:color w:val="auto"/>
        </w:rPr>
      </w:pPr>
      <w:r>
        <w:rPr>
          <w:rFonts w:ascii="Courier New" w:cs="Courier New" w:eastAsia="Courier New" w:hAnsi="Courier New"/>
          <w:sz w:val="18"/>
          <w:szCs w:val="18"/>
          <w:color w:val="auto"/>
        </w:rPr>
        <w:t>IN WITNESS WHEREOF, this Severance Benefit Agreement has been executed and delivered by the parties as of the date first set forth above.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SYRUS P. MADAVI</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Syrus P. Madavi, Executive</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BURR-BROWN</w:t>
      </w:r>
      <w:r>
        <w:rPr>
          <w:sz w:val="20"/>
          <w:szCs w:val="20"/>
          <w:color w:val="auto"/>
        </w:rPr>
        <w:tab/>
      </w:r>
      <w:r>
        <w:rPr>
          <w:rFonts w:ascii="Courier New" w:cs="Courier New" w:eastAsia="Courier New" w:hAnsi="Courier New"/>
          <w:sz w:val="16"/>
          <w:szCs w:val="16"/>
          <w:color w:val="auto"/>
        </w:rPr>
        <w:t>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R. BROWN, JR.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780" w:val="left"/>
          <w:tab w:leader="none" w:pos="2200" w:val="left"/>
          <w:tab w:leader="none" w:pos="2720" w:val="left"/>
        </w:tabs>
        <w:rPr>
          <w:sz w:val="20"/>
          <w:szCs w:val="20"/>
          <w:color w:val="auto"/>
        </w:rPr>
      </w:pPr>
      <w:r>
        <w:rPr>
          <w:rFonts w:ascii="Courier New" w:cs="Courier New" w:eastAsia="Courier New" w:hAnsi="Courier New"/>
          <w:sz w:val="18"/>
          <w:szCs w:val="18"/>
          <w:color w:val="auto"/>
        </w:rPr>
        <w:t>Title: Chairman</w:t>
        <w:tab/>
        <w:t>of</w:t>
        <w:tab/>
        <w:t>the</w:t>
        <w:tab/>
        <w:t>Board</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47" w:name="page48"/>
    <w:bookmarkEnd w:id="47"/>
    <w:p>
      <w:pPr>
        <w:jc w:val="right"/>
        <w:ind w:right="1779"/>
        <w:spacing w:after="0"/>
        <w:rPr>
          <w:sz w:val="20"/>
          <w:szCs w:val="20"/>
          <w:color w:val="auto"/>
        </w:rPr>
      </w:pPr>
      <w:r>
        <w:rPr>
          <w:rFonts w:ascii="Courier New" w:cs="Courier New" w:eastAsia="Courier New" w:hAnsi="Courier New"/>
          <w:sz w:val="18"/>
          <w:szCs w:val="18"/>
          <w:color w:val="auto"/>
        </w:rPr>
        <w:t>Exhibit 10(a)(vii)</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CHANGE IN CONTROL SEVERANCE BENEFIT AGREEMENT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CHANGE IN CONTROL SEVERANCE BENEFIT AGREEMENT (the "Agreement") executed this 30th day of October 1996 (the "Effective Date") by and between BURR-BROWN CORPORATION, a Delaware corporation (the "Company"), and SYRUS P. MADAVI, the Company's President and Chief Executive Officer (the "Executive").</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 E C I T A L S</w:t>
      </w:r>
    </w:p>
    <w:p>
      <w:pPr>
        <w:ind w:left="3480"/>
        <w:spacing w:after="0" w:line="238" w:lineRule="auto"/>
        <w:rPr>
          <w:sz w:val="20"/>
          <w:szCs w:val="20"/>
          <w:color w:val="auto"/>
        </w:rPr>
      </w:pPr>
      <w:r>
        <w:rPr>
          <w:rFonts w:ascii="Courier New" w:cs="Courier New" w:eastAsia="Courier New" w:hAnsi="Courier New"/>
          <w:sz w:val="18"/>
          <w:szCs w:val="18"/>
          <w:color w:val="auto"/>
        </w:rPr>
        <w:t>- - - --- - - -</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 The Executive is currently employed on an "at-will" basis by the Company as the Company's President and Chief Executive Officer.</w:t>
      </w:r>
    </w:p>
    <w:p>
      <w:pPr>
        <w:spacing w:after="0" w:line="208"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B. The Company and the Executive wish to enter into a formal agreement under which the Executive will be provided with certain defined severance benefits in the event his employment were to terminate under specified circumstances following a change in control or ownership of the Company.</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NOW THEREFORE, the Company and Executive mutually agree as follows: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For purposes of this Agreement, the following definitions shall be in effect:</w:t>
      </w:r>
    </w:p>
    <w:p>
      <w:pPr>
        <w:spacing w:after="0" w:line="22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1.1 ACTUAL FIVE-YEAR AVERAGE COMPENSATION means Executive's average W-2 wages and other compensation received from the Company for the five (5) calendar years completed immediately prior to the calendar year in which a Parachute Event occurs. Any W-2 wages or other compensation for a partial year of employment with the Company will be annualized, in accordance with the frequency with which such wages are paid during such partial year, before inclusion within Executive's Actual Five-Year Average Compensation. If any of Executive's compensation from the Company during such five (5)-year or shorter period was not included in his W-2 wages for U.S. income tax purposes because such compensation was excludible from income as foreign earned income under Code Section 911 or as pre-tax income under Code Section 125 or 402(g), then such compensation shall nevertheless be included in Executive's Actual Five-Year Average Compensation to the same extent as if it were part of his W-2 wages.</w:t>
      </w:r>
    </w:p>
    <w:p>
      <w:pPr>
        <w:sectPr>
          <w:pgSz w:w="11900" w:h="16838" w:orient="portrait"/>
          <w:cols w:equalWidth="0" w:num="1">
            <w:col w:w="10219"/>
          </w:cols>
          <w:pgMar w:left="240" w:top="920" w:right="1440" w:bottom="1440" w:gutter="0" w:footer="0" w:header="0"/>
        </w:sectPr>
      </w:pPr>
    </w:p>
    <w:bookmarkStart w:id="48" w:name="page49"/>
    <w:bookmarkEnd w:id="48"/>
    <w:p>
      <w:pPr>
        <w:ind w:right="1779" w:firstLine="527"/>
        <w:spacing w:after="0" w:line="271" w:lineRule="auto"/>
        <w:rPr>
          <w:sz w:val="20"/>
          <w:szCs w:val="20"/>
          <w:color w:val="auto"/>
        </w:rPr>
      </w:pPr>
      <w:r>
        <w:rPr>
          <w:rFonts w:ascii="Courier New" w:cs="Courier New" w:eastAsia="Courier New" w:hAnsi="Courier New"/>
          <w:sz w:val="16"/>
          <w:szCs w:val="16"/>
          <w:color w:val="auto"/>
        </w:rPr>
        <w:t>1.2 AVERAGE ANNUAL COMPENSATION means the sum of the following dollar amounts: (i) the average rate of base salary in effect for the Executive over the three (3)-year period ending with the date of his termination of employment with the Company or, if greater, over the three (3) year period ending immediately prior to the Parachute Event plus (ii) the average bonus earned or accrued by Executive on the basis of corporate and personal performance over the three (3) fiscal years of the Company immediately preceding the fiscal year of Executive's termination, or if greater, over the three (3)-year, period immediately preceding the fiscal year of the Parachute Event, whether or not the actual payment of those bonuses occurred within that three (3) year period.</w:t>
      </w:r>
    </w:p>
    <w:p>
      <w:pPr>
        <w:spacing w:after="0" w:line="3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1.3 BENEFICIARY means any person or persons designated from time to time by Executive pursuant to Section 6.2 to receive any benefits under this Agreement which may become due and payable to Executive following his death.</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 BOARD means the Board of Directors of the Company.</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1.5 CHANGE OF CONTROL means a change of ownership or control of the Company (other than a Hostile Take-Over under Section 1.12) effected pursuant to one or more of the following events:</w:t>
      </w:r>
    </w:p>
    <w:p>
      <w:pPr>
        <w:spacing w:after="0" w:line="209" w:lineRule="exact"/>
        <w:rPr>
          <w:sz w:val="20"/>
          <w:szCs w:val="20"/>
          <w:color w:val="auto"/>
        </w:rPr>
      </w:pPr>
    </w:p>
    <w:p>
      <w:pPr>
        <w:jc w:val="both"/>
        <w:ind w:left="1060" w:right="1779" w:hanging="525"/>
        <w:spacing w:after="0" w:line="237" w:lineRule="auto"/>
        <w:tabs>
          <w:tab w:leader="none" w:pos="10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(or any group of related persons acting in concert) of beneficial ownership (as defined in Rule 13d-3 under the Securities Exchange Act) of securities of the Company possessing more than fifty percent (50%) of the total combined voting power of the Company's then outstanding securities; or</w:t>
      </w:r>
    </w:p>
    <w:p>
      <w:pPr>
        <w:spacing w:after="0" w:line="208" w:lineRule="exact"/>
        <w:rPr>
          <w:rFonts w:ascii="Courier New" w:cs="Courier New" w:eastAsia="Courier New" w:hAnsi="Courier New"/>
          <w:sz w:val="18"/>
          <w:szCs w:val="18"/>
          <w:color w:val="auto"/>
        </w:rPr>
      </w:pPr>
    </w:p>
    <w:p>
      <w:pPr>
        <w:ind w:left="1060" w:right="1779" w:hanging="525"/>
        <w:spacing w:after="0" w:line="273" w:lineRule="auto"/>
        <w:tabs>
          <w:tab w:leader="none" w:pos="106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in which securities of the Company possessing more than fifty percent (50%) of the total combined voting power of the Company's then outstanding securities are transferred to a person or persons different from the persons holding those securities immediately prior to such merger or consolidation; or</w:t>
      </w:r>
    </w:p>
    <w:p>
      <w:pPr>
        <w:spacing w:after="0" w:line="184" w:lineRule="exact"/>
        <w:rPr>
          <w:rFonts w:ascii="Courier New" w:cs="Courier New" w:eastAsia="Courier New" w:hAnsi="Courier New"/>
          <w:sz w:val="16"/>
          <w:szCs w:val="16"/>
          <w:color w:val="auto"/>
        </w:rPr>
      </w:pPr>
    </w:p>
    <w:p>
      <w:pPr>
        <w:ind w:left="1060" w:right="1999" w:hanging="631"/>
        <w:spacing w:after="0" w:line="235" w:lineRule="auto"/>
        <w:tabs>
          <w:tab w:leader="none" w:pos="10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or substantially all of the Company's assets in complete liquidation or dissolution of the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1.6 CODE means the Internal Revenue Code of 1986 as amended.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1.7 COMPETE means directly or indirectly to engage in activities for, render services to or otherwise participate in the ownership (other than ownership of less than five percent (5%) of the outstanding equity or capital or profit interests in any entity) of any business competitive with any line of business engaged in by the Company.</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49" w:name="page50"/>
    <w:bookmarkEnd w:id="49"/>
    <w:p>
      <w:pPr>
        <w:ind w:right="1999" w:firstLine="527"/>
        <w:spacing w:after="0" w:line="237" w:lineRule="auto"/>
        <w:rPr>
          <w:sz w:val="20"/>
          <w:szCs w:val="20"/>
          <w:color w:val="auto"/>
        </w:rPr>
      </w:pPr>
      <w:r>
        <w:rPr>
          <w:rFonts w:ascii="Courier New" w:cs="Courier New" w:eastAsia="Courier New" w:hAnsi="Courier New"/>
          <w:sz w:val="18"/>
          <w:szCs w:val="18"/>
          <w:color w:val="auto"/>
        </w:rPr>
        <w:t>1.8 CONFIDENTIAL INFORMATION means any non-public proprietary or confidential information of the Company or its parent or subsidiary companies, including (without limitation) trade secrets; customer lists and information concerning vendors, suppliers, licensors or licensees; records or research, proposals, reports, methods, techniques, financial information and other data, and other non-public information regarding the Company and its parent or subsidiary companies or the existing and planned businesses, properties or affairs of the Company and its parent or subsidiary companies.</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1.9 CONSTRUCTIVE TERMINATION means Executive's resignation from employment with the Company at any time after a Change in Control but within six (6) months after the occurrence of one or more of the following events:</w:t>
      </w:r>
    </w:p>
    <w:p>
      <w:pPr>
        <w:spacing w:after="0" w:line="209" w:lineRule="exact"/>
        <w:rPr>
          <w:sz w:val="20"/>
          <w:szCs w:val="20"/>
          <w:color w:val="auto"/>
        </w:rPr>
      </w:pPr>
    </w:p>
    <w:p>
      <w:pPr>
        <w:jc w:val="both"/>
        <w:ind w:left="1060" w:right="1779" w:hanging="525"/>
        <w:spacing w:after="0" w:line="237" w:lineRule="auto"/>
        <w:tabs>
          <w:tab w:leader="none" w:pos="10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assignment to Executive of any duties of materially lesser status, dignity and character than his duties on the Effective Date, or a substantial reduction in the nature or status of his responsibilities from those in effect on the Effective-Date;</w:t>
      </w:r>
    </w:p>
    <w:p>
      <w:pPr>
        <w:spacing w:after="0" w:line="207" w:lineRule="exact"/>
        <w:rPr>
          <w:rFonts w:ascii="Courier New" w:cs="Courier New" w:eastAsia="Courier New" w:hAnsi="Courier New"/>
          <w:sz w:val="18"/>
          <w:szCs w:val="18"/>
          <w:color w:val="auto"/>
        </w:rPr>
      </w:pPr>
    </w:p>
    <w:p>
      <w:pPr>
        <w:ind w:left="1060" w:right="1779" w:hanging="525"/>
        <w:spacing w:after="0" w:line="275" w:lineRule="auto"/>
        <w:tabs>
          <w:tab w:leader="none" w:pos="10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greater than ten percent (10%) reduction in Executive's level of compensation (including base salary, fringe benefits and target bonuses (to the extent those targets are expressed as a percentage of base salary) under any Company performance-based incentive plans);</w:t>
      </w:r>
    </w:p>
    <w:p>
      <w:pPr>
        <w:spacing w:after="0" w:line="182" w:lineRule="exact"/>
        <w:rPr>
          <w:sz w:val="20"/>
          <w:szCs w:val="20"/>
          <w:color w:val="auto"/>
        </w:rPr>
      </w:pPr>
    </w:p>
    <w:p>
      <w:pPr>
        <w:ind w:left="1060" w:right="1999" w:hanging="631"/>
        <w:spacing w:after="0" w:line="235" w:lineRule="auto"/>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relocation of Executive's principal place of employment by more than fifty (50) miles; or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reduction in compensation which occurs in connection with an across-the board reduction in the level of compensation payable to the Company's executive officers or senior management shall not constitute grounds for a clause (ii) resignation, unless implemented within twelve (12) months after a Change in Control.</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1.10 CONTRACT PAYOUT EVENT means any one of the following events which transpire after a Change in Control or Hostile Take-Over, as further detailed in ARTICLE FOUR:</w:t>
      </w:r>
    </w:p>
    <w:p>
      <w:pPr>
        <w:spacing w:after="0" w:line="209" w:lineRule="exact"/>
        <w:rPr>
          <w:sz w:val="20"/>
          <w:szCs w:val="20"/>
          <w:color w:val="auto"/>
        </w:rPr>
      </w:pPr>
    </w:p>
    <w:p>
      <w:pPr>
        <w:jc w:val="both"/>
        <w:ind w:left="1060" w:right="1779" w:hanging="525"/>
        <w:spacing w:after="0" w:line="236" w:lineRule="auto"/>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voluntary termination of employment within two (2) years after the effective date of such Change in Control or Hostile Take-Over;</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termination of employment within six (6) months after an event of Constructive Termination; or</w:t>
      </w:r>
    </w:p>
    <w:p>
      <w:pPr>
        <w:spacing w:after="0" w:line="202" w:lineRule="exact"/>
        <w:rPr>
          <w:rFonts w:ascii="Courier New" w:cs="Courier New" w:eastAsia="Courier New" w:hAnsi="Courier New"/>
          <w:sz w:val="18"/>
          <w:szCs w:val="18"/>
          <w:color w:val="auto"/>
        </w:rPr>
      </w:pPr>
    </w:p>
    <w:p>
      <w:pPr>
        <w:ind w:left="1060" w:hanging="736"/>
        <w:spacing w:after="0"/>
        <w:tabs>
          <w:tab w:leader="none" w:pos="10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termination of Executive's employment Without Cause.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50" w:name="page51"/>
    <w:bookmarkEnd w:id="50"/>
    <w:p>
      <w:pPr>
        <w:ind w:right="1879" w:firstLine="527"/>
        <w:spacing w:after="0" w:line="279" w:lineRule="auto"/>
        <w:rPr>
          <w:sz w:val="20"/>
          <w:szCs w:val="20"/>
          <w:color w:val="auto"/>
        </w:rPr>
      </w:pPr>
      <w:r>
        <w:rPr>
          <w:rFonts w:ascii="Courier New" w:cs="Courier New" w:eastAsia="Courier New" w:hAnsi="Courier New"/>
          <w:sz w:val="16"/>
          <w:szCs w:val="16"/>
          <w:color w:val="auto"/>
        </w:rPr>
        <w:t>1.11 HEALTH CARE COVERAGE means the continued health care coverage under the Company's group health plans to which Executive and his eligible dependents will become entitled under this Agreement upon a Contract Payout Event.</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1.12 HOSTILE TAKE-OVER means either of the following events:</w:t>
      </w:r>
    </w:p>
    <w:p>
      <w:pPr>
        <w:spacing w:after="0" w:line="207" w:lineRule="exact"/>
        <w:rPr>
          <w:sz w:val="20"/>
          <w:szCs w:val="20"/>
          <w:color w:val="auto"/>
        </w:rPr>
      </w:pPr>
    </w:p>
    <w:p>
      <w:pPr>
        <w:ind w:left="1060" w:right="1779" w:hanging="525"/>
        <w:spacing w:after="0" w:line="237" w:lineRule="auto"/>
        <w:tabs>
          <w:tab w:leader="none" w:pos="10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(or related group of persons), whether by tender or exchange offer made directly to the Company's stockholders, private purchases from one or more of the Company's stockholders, open market purchases or any other transaction, of beneficial ownership of securities possessing more than fifty percent (50%) of the total combined voting power of the Company's outstanding securities pursuant to a tender offer made directly to the Company's stockholders which the Board does not recommend such stockholders to accept, or</w:t>
      </w:r>
    </w:p>
    <w:p>
      <w:pPr>
        <w:spacing w:after="0" w:line="21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the composition of the Board over a period of twenty-four</w:t>
      </w:r>
    </w:p>
    <w:p>
      <w:pPr>
        <w:spacing w:after="0" w:line="21" w:lineRule="exact"/>
        <w:rPr>
          <w:rFonts w:ascii="Courier New" w:cs="Courier New" w:eastAsia="Courier New" w:hAnsi="Courier New"/>
          <w:sz w:val="16"/>
          <w:szCs w:val="16"/>
          <w:color w:val="auto"/>
        </w:rPr>
      </w:pPr>
    </w:p>
    <w:p>
      <w:pPr>
        <w:jc w:val="both"/>
        <w:ind w:left="1060" w:right="1779" w:firstLine="1"/>
        <w:spacing w:after="0" w:line="237" w:lineRule="auto"/>
        <w:tabs>
          <w:tab w:leader="none" w:pos="1692"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such election or nomination was approved by the Board.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1.13 JUSTIFIABLE REASON means the Company's termination of Executive's employment for one or more of the following reasons: (i) Executive's willful refusal to carry out the reasonable directives of the Board or (ii) Executive's failure to correct one or more material performance deficiencies within a reasonable period after receipt of written notice from the Board identifying those deficiencies. The reasonableness of the correction period for the identified deficiencies shall be determined on the basis of the nature and scope of those particular deficiencies.</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1.14 MISCONDUCT means Executive's (i) commission of any act of fraud, dishonesty or embezzlement; (ii) commission of any other willful and malicious act which has a materially adverse financial impact upon the Company; (iii) habitual neglect of his duties by reason of substance abuse or other repeated unexcused absences; or (iv) conviction of a felony which has a materially adverse financial impact upon the Company.</w:t>
      </w:r>
    </w:p>
    <w:p>
      <w:pPr>
        <w:spacing w:after="0" w:line="21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1.15 OPTION means any option to purchase shares of the Company's common stock granted to Executive by the Company and outstanding at the time of a Parachute Event.</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51" w:name="page52"/>
    <w:bookmarkEnd w:id="51"/>
    <w:p>
      <w:pPr>
        <w:ind w:right="1779" w:firstLine="527"/>
        <w:spacing w:after="0" w:line="238" w:lineRule="auto"/>
        <w:rPr>
          <w:sz w:val="20"/>
          <w:szCs w:val="20"/>
          <w:color w:val="auto"/>
        </w:rPr>
      </w:pPr>
      <w:r>
        <w:rPr>
          <w:rFonts w:ascii="Courier New" w:cs="Courier New" w:eastAsia="Courier New" w:hAnsi="Courier New"/>
          <w:sz w:val="18"/>
          <w:szCs w:val="18"/>
          <w:color w:val="auto"/>
        </w:rPr>
        <w:t>1.16 OPTION PARACHUTE PAYMENT means, with respect to each Option accelerated in whole or in part in connection with a Parachute Event or the subsequent termination of Executive's employment, the portion of that Option deemed to be a parachute payment under Code Section 280G and the Treasury Regulations issued thereunder. The portion of such Option which is categorized as an Option Parachute Payment shall be calculated in accordance with the valuation provisions established under Code Section 280G and the applicable Treasury Regulations and shall include an appropriate dollar adjustment to reflect the lapse of Executive's obligation to remain in the Company's employ as a condition to the vesting of the accelerated installment. In no event, however, shall the Option Parachute Payment attributable to any Option (or accelerated installment) exceed the spread (the excess of the fair market value of the accelerated option shares over the option exercise price payable for those shares) existing at the time of acceleration.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1.17 OTHER PARACHUTE PAYMENT means any payment in the nature of compensation (other than an Option Parachute Payment) which is made to Executive in connection with a Parachute Event or the subsequent termination of his employment and which accordingly qualifies as a parachute payment within the meaning of Code Section 280G(b)(2) and the Treasury Regulations issued thereunder.</w:t>
      </w:r>
    </w:p>
    <w:p>
      <w:pPr>
        <w:spacing w:after="0" w:line="210"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1.18 PARACHUTE EVENT means a Change in Control or Hostile Take-Over, to the extent such transaction constitutes a change in ownership or control of the Company under Code Section 280G and the Treasury Regulations issued thereunder.</w:t>
      </w:r>
    </w:p>
    <w:p>
      <w:pPr>
        <w:spacing w:after="0" w:line="17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1.19 PRESENT VALUE means the value, determined as of the date of the applicable Parachute Event, of any payment in the nature of compensation to which Executive becomes entitled in connection with either the Parachute Event or the subsequent termination of his employment. The Present Value of each such payment shall be determined in accordance with the provisions of Code Section 280G(d)(4), utilizing a discount rate equal to one hundred twenty percent (120%) of the applicable Federal rate in effect at the time of such determination, compounded semi-annually to the effective date of the Parachute Event.</w:t>
      </w:r>
    </w:p>
    <w:p>
      <w:pPr>
        <w:spacing w:after="0" w:line="186"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1.20 PLAN means the Company's 1993 Stock Incentive Plan, as amended from time to time, and any successor equity incentive plan maintained by the Company.</w:t>
      </w:r>
    </w:p>
    <w:p>
      <w:pPr>
        <w:spacing w:after="0" w:line="17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1.21 SEVERANCE BENEFIT AGREEMENT means the Severance Benefit Agreement which the Company and Executive will execute contemporaneously with this Agreement or any successor or replacement agreement, to the extent any such agreement is in effect at the time.</w:t>
      </w:r>
    </w:p>
    <w:p>
      <w:pPr>
        <w:spacing w:after="0" w:line="207" w:lineRule="exact"/>
        <w:rPr>
          <w:sz w:val="20"/>
          <w:szCs w:val="20"/>
          <w:color w:val="auto"/>
        </w:rPr>
      </w:pPr>
    </w:p>
    <w:p>
      <w:pPr>
        <w:jc w:val="both"/>
        <w:ind w:right="2839" w:firstLine="527"/>
        <w:spacing w:after="0" w:line="290" w:lineRule="auto"/>
        <w:rPr>
          <w:sz w:val="20"/>
          <w:szCs w:val="20"/>
          <w:color w:val="auto"/>
        </w:rPr>
      </w:pPr>
      <w:r>
        <w:rPr>
          <w:rFonts w:ascii="Courier New" w:cs="Courier New" w:eastAsia="Courier New" w:hAnsi="Courier New"/>
          <w:sz w:val="16"/>
          <w:szCs w:val="16"/>
          <w:color w:val="auto"/>
        </w:rPr>
        <w:t>1.22 WITHOUT CAUSE means the Company's termination of Executive's employment for any reason other than Misconduct or Justifiable Reason.</w:t>
      </w: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52" w:name="page53"/>
    <w:bookmarkEnd w:id="52"/>
    <w:p>
      <w:pPr>
        <w:ind w:left="3700"/>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2.1 TERM. This Agreement shall remain in effect through December 31, 1999. The term of this Agreement shall be automatically renewed for each subsequent calendar year during which Executive continues in the Company's employ, unless the Company terminates this Agreement as of the first day of any calendar year beginning after December 31, 1999 by providing Executive with written notice of such termination at least one hundred (180) days prior to the start of that calendar year. In the event the Company elects to so terminate this Agreement prior to a Change in Control or Hostile Take-Over, then the following provisions shall become effective:</w:t>
      </w:r>
    </w:p>
    <w:p>
      <w:pPr>
        <w:spacing w:after="0" w:line="214" w:lineRule="exact"/>
        <w:rPr>
          <w:sz w:val="20"/>
          <w:szCs w:val="20"/>
          <w:color w:val="auto"/>
        </w:rPr>
      </w:pPr>
    </w:p>
    <w:p>
      <w:pPr>
        <w:jc w:val="both"/>
        <w:ind w:left="1060" w:right="1779" w:hanging="525"/>
        <w:spacing w:after="0" w:line="235" w:lineRule="auto"/>
        <w:tabs>
          <w:tab w:leader="none" w:pos="10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Executive shall in good faith negotiate a new change in control severance benefits agreement to replace this Agreement,</w:t>
      </w:r>
    </w:p>
    <w:p>
      <w:pPr>
        <w:ind w:left="1060"/>
        <w:spacing w:after="0"/>
        <w:tabs>
          <w:tab w:leader="none" w:pos="2200" w:val="left"/>
          <w:tab w:leader="none" w:pos="2620" w:val="left"/>
          <w:tab w:leader="none" w:pos="3040" w:val="left"/>
          <w:tab w:leader="none" w:pos="3560" w:val="left"/>
          <w:tab w:leader="none" w:pos="4940" w:val="left"/>
          <w:tab w:leader="none" w:pos="5580" w:val="left"/>
          <w:tab w:leader="none" w:pos="6000" w:val="left"/>
          <w:tab w:leader="none" w:pos="6620" w:val="left"/>
        </w:tabs>
        <w:rPr>
          <w:sz w:val="20"/>
          <w:szCs w:val="20"/>
          <w:color w:val="auto"/>
        </w:rPr>
      </w:pPr>
      <w:r>
        <w:rPr>
          <w:rFonts w:ascii="Courier New" w:cs="Courier New" w:eastAsia="Courier New" w:hAnsi="Courier New"/>
          <w:sz w:val="18"/>
          <w:szCs w:val="18"/>
          <w:color w:val="auto"/>
        </w:rPr>
        <w:t>effective</w:t>
        <w:tab/>
        <w:t>as</w:t>
        <w:tab/>
        <w:t>of</w:t>
        <w:tab/>
        <w:t>the</w:t>
        <w:tab/>
        <w:t>termination</w:t>
        <w:tab/>
        <w:t>date</w:t>
        <w:tab/>
        <w:t>of</w:t>
        <w:tab/>
        <w:t>this</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jc w:val="both"/>
        <w:ind w:left="1060" w:right="1779" w:hanging="525"/>
        <w:spacing w:after="0" w:line="237" w:lineRule="auto"/>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agreement cannot be reached as to the terms and conditions of such a replacement agreement, then Executive shall have the right to terminate his employment within six (6) months after the termination date of this Agreement and shall thereupon become entitled to</w:t>
      </w:r>
    </w:p>
    <w:p>
      <w:pPr>
        <w:spacing w:after="0" w:line="5"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severance benefits to be reasonably agreed upon by the Company and Executive on the basis of severance packages in effect for similarly-situated chief executive officers in the industry.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Company elects to terminate this Agreement after a Change in Control or Hostile Take-Over, then Executive shall, upon his termination of employment within six (6) months after the effective date on which this Agreement is so terminated, be treated as if his termination of employment were a termination by the Company Without Cause, and all the provisions of Section 4.3 shall accordingly apply to such termination of employment.</w:t>
      </w:r>
    </w:p>
    <w:p>
      <w:pPr>
        <w:spacing w:after="0" w:line="210"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2.2 OPTION GRANTS. Any new Options granted to Executive under the Plan during the term of this Agreement shall incorporate the following terms and provisions:</w:t>
      </w:r>
    </w:p>
    <w:p>
      <w:pPr>
        <w:spacing w:after="0" w:line="209" w:lineRule="exact"/>
        <w:rPr>
          <w:sz w:val="20"/>
          <w:szCs w:val="20"/>
          <w:color w:val="auto"/>
        </w:rPr>
      </w:pPr>
    </w:p>
    <w:p>
      <w:pPr>
        <w:jc w:val="both"/>
        <w:ind w:left="1060" w:right="1779" w:hanging="525"/>
        <w:spacing w:after="0" w:line="237" w:lineRule="auto"/>
        <w:tabs>
          <w:tab w:leader="none" w:pos="10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become immediately exercisable for all of the option shares as fully-vested shares upon a Change in Control in which that Option is not assumed by the successor entity (or the parent company). Any Option so assumed in a Change in Control shall subsequently become exercisable for all the option shares as fully-vested shares if Executive's employment is terminated within two (2) years after such Change in Control either by the Company Without Cause or by Executive in connection with a Constructive Termination.</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0" w:right="1440" w:bottom="1440" w:gutter="0" w:footer="0" w:header="0"/>
        </w:sectPr>
      </w:pPr>
    </w:p>
    <w:bookmarkStart w:id="53" w:name="page54"/>
    <w:bookmarkEnd w:id="53"/>
    <w:p>
      <w:pPr>
        <w:jc w:val="both"/>
        <w:ind w:left="525" w:right="1779" w:hanging="525"/>
        <w:spacing w:after="0" w:line="235" w:lineRule="auto"/>
        <w:tabs>
          <w:tab w:leader="none" w:pos="52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subject to the benefit limitations of ARTICLE FIVE, become immediately exercisable for all of the option shares as</w:t>
      </w:r>
    </w:p>
    <w:p>
      <w:pPr>
        <w:ind w:left="525"/>
        <w:spacing w:after="0"/>
        <w:tabs>
          <w:tab w:leader="none" w:pos="1985" w:val="left"/>
          <w:tab w:leader="none" w:pos="2825" w:val="left"/>
          <w:tab w:leader="none" w:pos="3465" w:val="left"/>
          <w:tab w:leader="none" w:pos="3985" w:val="left"/>
          <w:tab w:leader="none" w:pos="5245" w:val="left"/>
          <w:tab w:leader="none" w:pos="5665" w:val="left"/>
          <w:tab w:leader="none" w:pos="5985" w:val="left"/>
        </w:tabs>
        <w:rPr>
          <w:sz w:val="20"/>
          <w:szCs w:val="20"/>
          <w:color w:val="auto"/>
        </w:rPr>
      </w:pPr>
      <w:r>
        <w:rPr>
          <w:rFonts w:ascii="Courier New" w:cs="Courier New" w:eastAsia="Courier New" w:hAnsi="Courier New"/>
          <w:sz w:val="18"/>
          <w:szCs w:val="18"/>
          <w:color w:val="auto"/>
        </w:rPr>
        <w:t>fully-vested</w:t>
        <w:tab/>
        <w:t>shares</w:t>
        <w:tab/>
        <w:t>upon</w:t>
        <w:tab/>
        <w:t>the</w:t>
        <w:tab/>
        <w:t>occurrence</w:t>
        <w:tab/>
        <w:t>of</w:t>
        <w:tab/>
        <w:t>a</w:t>
      </w:r>
      <w:r>
        <w:rPr>
          <w:sz w:val="20"/>
          <w:szCs w:val="20"/>
          <w:color w:val="auto"/>
        </w:rPr>
        <w:tab/>
      </w:r>
      <w:r>
        <w:rPr>
          <w:rFonts w:ascii="Courier New" w:cs="Courier New" w:eastAsia="Courier New" w:hAnsi="Courier New"/>
          <w:sz w:val="16"/>
          <w:szCs w:val="16"/>
          <w:color w:val="auto"/>
        </w:rPr>
        <w:t>Hostile Take-Over.</w:t>
      </w:r>
    </w:p>
    <w:p>
      <w:pPr>
        <w:spacing w:after="0" w:line="207" w:lineRule="exact"/>
        <w:rPr>
          <w:sz w:val="20"/>
          <w:szCs w:val="20"/>
          <w:color w:val="auto"/>
        </w:rPr>
      </w:pPr>
    </w:p>
    <w:p>
      <w:pPr>
        <w:ind w:left="525" w:right="1779" w:hanging="525"/>
        <w:spacing w:after="0" w:line="237" w:lineRule="auto"/>
        <w:tabs>
          <w:tab w:leader="none" w:pos="52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remain exercisable for a period of twelve (12) months following the termination of Executive's employment in connection with a Contract Payout Event, but in no event beyond the expiration date of the option term.</w:t>
      </w:r>
    </w:p>
    <w:p>
      <w:pPr>
        <w:spacing w:after="0" w:line="200" w:lineRule="exact"/>
        <w:rPr>
          <w:sz w:val="20"/>
          <w:szCs w:val="20"/>
          <w:color w:val="auto"/>
        </w:rPr>
      </w:pPr>
    </w:p>
    <w:p>
      <w:pPr>
        <w:spacing w:after="0" w:line="204"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684"/>
          </w:cols>
          <w:pgMar w:left="775" w:top="925" w:right="1440" w:bottom="1440" w:gutter="0" w:footer="0" w:header="0"/>
        </w:sectPr>
      </w:pPr>
    </w:p>
    <w:bookmarkStart w:id="54" w:name="page55"/>
    <w:bookmarkEnd w:id="54"/>
    <w:p>
      <w:pPr>
        <w:jc w:val="center"/>
        <w:ind w:right="1659"/>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COVENANTS AND CONSULTING AGREEMENT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3.1 COVENANTS. Executive shall be subject to the following covenants and obligations: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3.1.1 RETURN OF DOCUMENTS. Upon the termination of Executive's employment for any reason, Executive shall promptly relinquish and return to the Company all Confidential Information and all files, correspondence, memoranda, diaries and other records, minutes, notes, manuals, papers and other documents and data, however prepared or memorialized, and all copies thereof, belonging to or relating to the business of the Company, that are in Executive's custody or control, whether or not they contain Confidential Information.</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3.1.2 NON-COMPETITION COVENANT. While employed by the Company, Executive shall not Compete or plan or prepare to Compete with the Company. To the extent obligated pursuant to the provisions of ARTICLE FOUR. Executive shall not, for a period of twelve (12) months following the termination of his employment, Compete with any line of business in which (i) the Company is engaged at the time his employment terminates or (ii) the Company is preparing to engage pursuant to plans or proposals approved by the Board prior to such termination.</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3.1.3 NON-SOLICITATION COVENANT. For a period of twenty-four (24) months following the termination of Executive's employment with the Company for any reason other than in connection with a Hostile Take-Over, Executive shall not, directly or indirectly, solicit the services of any Company employees or otherwise induce or attempt to induce any Company employees to sever their employment relationship with the Company.</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3.1.4 SCOPE AND DURATION; SEVERABILITY. The Company and Executive understand and agree that the scope and duration of the covenants contained in this Section 3.1 are reasonable both in time and geographical area and are fairly necessary to protect the business of the Company. Such covenants shall survive the termination of Executive's employment, except that the Section 3.1.2 non-competition covenant shall remain in effect following such termination of employment only to extent required pursuant to the provisions of ARTICLE FOUR. It is further agreed that such covenants shall be regarded as divisible and shall be operative as to time and geographical area to the extent that they may be made so operative, and should any portion of such covenants be declared invalid or unenforceable, the validity and enforceability of the remainder shall not be affected.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55" w:name="page56"/>
    <w:bookmarkEnd w:id="55"/>
    <w:p>
      <w:pPr>
        <w:ind w:right="1999" w:firstLine="527"/>
        <w:spacing w:after="0" w:line="237" w:lineRule="auto"/>
        <w:rPr>
          <w:sz w:val="20"/>
          <w:szCs w:val="20"/>
          <w:color w:val="auto"/>
        </w:rPr>
      </w:pPr>
      <w:r>
        <w:rPr>
          <w:rFonts w:ascii="Courier New" w:cs="Courier New" w:eastAsia="Courier New" w:hAnsi="Courier New"/>
          <w:sz w:val="18"/>
          <w:szCs w:val="18"/>
          <w:color w:val="auto"/>
        </w:rPr>
        <w:t>3.1.5 ASSIGNMENT. Except as otherwise provided to the contrary in ARTICLE FOUR, Executive agrees that the covenants contained in this Section 3.1 shall inure to the benefit of any successor or assign of the Company, with the same force and effect as if such covenant had been made by Executive with such successor or assign.</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3.2 CONSULTING AGREEMENT. Should Executive's employment terminate within two (2) years following a Change in Control, then Executive shall make himself available to perform, for a period not to exceed twelve (12) months following such termination of employment, such consulting services for the Company within his area of expertise as may from time to time be reasonably requested by the Board, and the Company may not terminate the consulting arrangement during such twelve (12)-month other than for Misconduct or breach by Executive of his non-competition covenant under Section 3.1.2. However, Executive shall not be required to perform more than ten (10) hours of consulting services per month during the period of such consulting arrangement. Such consulting, agreement shall not be applicable in the event Executive's employment terminates after a Hostile Take-Over.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3.2.1 COMPENSATION. Executive shall not receive any cash compensation for the consulting services rendered pursuant to this Section 3.2 if Executive is otherwise to receive salary continuation payments under ARTICLE FOUR in connection with his termination of employment. However, should Executive be required under Section 3.2 to render one or more hours of consulting services following a termination of employment in which he is not entitled to any salary continuation payments under ARTICLE FOUR, then Executive shall receive cash compensation for such services at the hourly rate to be negotiated in good faith with the Company at the time of each project assignment.</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3.2.2 EXPENSE REIMBURSEMENT. Executive shall be entitled to reimbursement of all reasonable out-of-pocket expenses incurred in connection with the performance of his consulting services pursuant to this Section 3.2 upon presentation to the Company of appropriate documentation evidencing those expenses.</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3.3 CONSIDERATION FOR COVENANTS AND CONSULTING AGREEMENT. Should Executive's employment terminate in connection with a Change in Control, then the value of his non-competition covenant under Section 3.1.2 and his consulting agreement under Section 3.2 shall be determined by independent appraisal, and the severance benefits payable to Executive under ARTICLE FOUR shall, to the extent of such appraised value, be allocated as reasonable compensation for such covenant and consulting agreement. Executive and the Company shall, within ten</w:t>
      </w:r>
    </w:p>
    <w:p>
      <w:pPr>
        <w:spacing w:after="0" w:line="1" w:lineRule="exact"/>
        <w:rPr>
          <w:sz w:val="20"/>
          <w:szCs w:val="20"/>
          <w:color w:val="auto"/>
        </w:rPr>
      </w:pPr>
    </w:p>
    <w:p>
      <w:pPr>
        <w:ind w:right="1779" w:firstLine="8"/>
        <w:spacing w:after="0" w:line="272" w:lineRule="auto"/>
        <w:tabs>
          <w:tab w:leader="none" w:pos="52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following such Change in Control, select an independent third party (either an experienced tax counsel or a nationally recognized accounting firm) to perform the appraisal required under this Section 3.3. Should Executive and the Company be unable to mutually agree upon the selection of such third party, then Executive shall designate a nationally recognized accounting firm to perform such appraisal, provided such firm has not previously served as the</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56" w:name="page57"/>
    <w:bookmarkEnd w:id="56"/>
    <w:p>
      <w:pPr>
        <w:ind w:right="2319"/>
        <w:spacing w:after="0" w:line="235" w:lineRule="auto"/>
        <w:rPr>
          <w:sz w:val="20"/>
          <w:szCs w:val="20"/>
          <w:color w:val="auto"/>
        </w:rPr>
      </w:pPr>
      <w:r>
        <w:rPr>
          <w:rFonts w:ascii="Courier New" w:cs="Courier New" w:eastAsia="Courier New" w:hAnsi="Courier New"/>
          <w:sz w:val="18"/>
          <w:szCs w:val="18"/>
          <w:color w:val="auto"/>
        </w:rPr>
        <w:t>Company's independent auditors or provided prior tax advice to Executive on personal matters.</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57" w:name="page58"/>
    <w:bookmarkEnd w:id="57"/>
    <w:p>
      <w:pPr>
        <w:ind w:left="3580"/>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PAYOUT OF CONTRACT BENEFITS</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4.1 CHANGE OF CONTROL. Executive may voluntarily terminate his employment in connection with a Change of Control, provided such termination is, pursuant to written notice delivered to the Company, effected within two (2) years after such Change in Control.</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4.1.1 COVENANTS. Following such termination of employment, Executive shall comply with all his covenants and obligations under Sections 3.1 and 3.2.</w:t>
      </w:r>
    </w:p>
    <w:p>
      <w:pPr>
        <w:spacing w:after="0" w:line="1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4.1.2 SEVERANCE BENEFITS. Upon the termination of Executive's employment in connection with the Change in Control, the Company shall provide the following severance benefits:</w:t>
      </w:r>
    </w:p>
    <w:p>
      <w:pPr>
        <w:spacing w:after="0" w:line="209" w:lineRule="exact"/>
        <w:rPr>
          <w:sz w:val="20"/>
          <w:szCs w:val="20"/>
          <w:color w:val="auto"/>
        </w:rPr>
      </w:pPr>
    </w:p>
    <w:p>
      <w:pPr>
        <w:jc w:val="both"/>
        <w:ind w:left="1060" w:right="1779" w:hanging="525"/>
        <w:spacing w:after="0" w:line="268" w:lineRule="auto"/>
        <w:tabs>
          <w:tab w:leader="none" w:pos="10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receive an immediate lump sum severance payment equal to one (1) times his Average Annual Compensation. The</w:t>
      </w:r>
    </w:p>
    <w:p>
      <w:pPr>
        <w:ind w:left="1060" w:right="1779"/>
        <w:spacing w:after="0" w:line="236" w:lineRule="auto"/>
        <w:rPr>
          <w:sz w:val="20"/>
          <w:szCs w:val="20"/>
          <w:color w:val="auto"/>
        </w:rPr>
      </w:pPr>
      <w:r>
        <w:rPr>
          <w:rFonts w:ascii="Courier New" w:cs="Courier New" w:eastAsia="Courier New" w:hAnsi="Courier New"/>
          <w:sz w:val="18"/>
          <w:szCs w:val="18"/>
          <w:color w:val="auto"/>
        </w:rPr>
        <w:t>payment shall be made within thirty (30) days following the Executive's termination date and shall be subject to the Company's collection of all applicable withholding taxes.</w:t>
      </w:r>
    </w:p>
    <w:p>
      <w:pPr>
        <w:spacing w:after="0" w:line="209" w:lineRule="exact"/>
        <w:rPr>
          <w:sz w:val="20"/>
          <w:szCs w:val="20"/>
          <w:color w:val="auto"/>
        </w:rPr>
      </w:pPr>
    </w:p>
    <w:p>
      <w:pPr>
        <w:jc w:val="both"/>
        <w:ind w:left="1060" w:right="1779" w:hanging="525"/>
        <w:spacing w:after="0" w:line="237" w:lineRule="auto"/>
        <w:tabs>
          <w:tab w:leader="none" w:pos="10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entitled to receive an additional benefit in an amount equal to one (1) times his Average Annual Compensation. This additional benefit shall be paid in equal increments over a twelve (12)-month period in accordance with the Company's normal payroll practices and shall be subject to the Company's collection of all</w:t>
      </w:r>
    </w:p>
    <w:p>
      <w:pPr>
        <w:spacing w:after="0" w:line="6"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applicable withholding taxes. Payment shall commence with the first payday following Executive's termination date.</w:t>
      </w:r>
    </w:p>
    <w:p>
      <w:pPr>
        <w:spacing w:after="0" w:line="208" w:lineRule="exact"/>
        <w:rPr>
          <w:sz w:val="20"/>
          <w:szCs w:val="20"/>
          <w:color w:val="auto"/>
        </w:rPr>
      </w:pPr>
    </w:p>
    <w:p>
      <w:pPr>
        <w:jc w:val="both"/>
        <w:ind w:left="1060" w:right="1779" w:hanging="525"/>
        <w:spacing w:after="0" w:line="268" w:lineRule="auto"/>
        <w:tabs>
          <w:tab w:leader="none" w:pos="10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at its expense, provide Executive and his eligible dependents with continued Health Care Coverage until the earlier of</w:t>
      </w:r>
    </w:p>
    <w:p>
      <w:pPr>
        <w:jc w:val="both"/>
        <w:ind w:left="1060" w:right="1779" w:firstLine="1"/>
        <w:spacing w:after="0" w:line="271" w:lineRule="auto"/>
        <w:tabs>
          <w:tab w:leader="none" w:pos="1587"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twelve (12) months after the Executive's termination date or (ii) the first date that such individuals are covered under another employer's health benefit program which provides substantially the same level of benefits without exclusion for pre-existing medical conditions. The period of such Company-paid coverage shall be credited against any period of COBRA Continued Care Coverage to which Executive and his eligible dependents may, at their sole cost, be entitled by reason of Executive's termination of employment and shall not be in addition to such period of COBRA Continued Care Coverage.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0" w:right="1440" w:bottom="1440" w:gutter="0" w:footer="0" w:header="0"/>
        </w:sectPr>
      </w:pPr>
    </w:p>
    <w:bookmarkStart w:id="58" w:name="page59"/>
    <w:bookmarkEnd w:id="58"/>
    <w:p>
      <w:pPr>
        <w:ind w:right="1779" w:firstLine="527"/>
        <w:spacing w:after="0" w:line="236" w:lineRule="auto"/>
        <w:rPr>
          <w:sz w:val="20"/>
          <w:szCs w:val="20"/>
          <w:color w:val="auto"/>
        </w:rPr>
      </w:pPr>
      <w:r>
        <w:rPr>
          <w:rFonts w:ascii="Courier New" w:cs="Courier New" w:eastAsia="Courier New" w:hAnsi="Courier New"/>
          <w:sz w:val="18"/>
          <w:szCs w:val="18"/>
          <w:color w:val="auto"/>
        </w:rPr>
        <w:t>4.2 CONSTRUCTIVE TERMINATION. Executive may, following a Change in Control, terminate his employment within six (6) months after any event qualifying as a Constructive Termination under Section 1.9.</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4.2.1 COVENANTS. Following such termination of employment, Executive shall comply with all his covenants and obligations under Sections 3.1 and 3.2.</w:t>
      </w:r>
    </w:p>
    <w:p>
      <w:pPr>
        <w:spacing w:after="0" w:line="170"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4.2.2 SEVERANCE BENEFITS. Upon Executive's termination of employment under this Section 4.7, the Company shall provide the following severance benefits:</w:t>
      </w:r>
    </w:p>
    <w:p>
      <w:pPr>
        <w:spacing w:after="0" w:line="170" w:lineRule="exact"/>
        <w:rPr>
          <w:sz w:val="20"/>
          <w:szCs w:val="20"/>
          <w:color w:val="auto"/>
        </w:rPr>
      </w:pPr>
    </w:p>
    <w:p>
      <w:pPr>
        <w:jc w:val="both"/>
        <w:ind w:left="1060" w:right="1779" w:hanging="525"/>
        <w:spacing w:after="0" w:line="268" w:lineRule="auto"/>
        <w:tabs>
          <w:tab w:leader="none" w:pos="10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receive an immediate lump sum severance payment equal to two (2) times his Average Annual Compensation. The payment shall be made within thirty (30) days following the</w:t>
      </w:r>
    </w:p>
    <w:p>
      <w:pPr>
        <w:spacing w:after="0" w:line="1"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Executive's termination date and shall be subject to the Company's collection of all applicable withholding taxes.</w:t>
      </w:r>
    </w:p>
    <w:p>
      <w:pPr>
        <w:spacing w:after="0" w:line="208" w:lineRule="exact"/>
        <w:rPr>
          <w:sz w:val="20"/>
          <w:szCs w:val="20"/>
          <w:color w:val="auto"/>
        </w:rPr>
      </w:pPr>
    </w:p>
    <w:p>
      <w:pPr>
        <w:ind w:left="1060" w:hanging="525"/>
        <w:spacing w:after="0"/>
        <w:tabs>
          <w:tab w:leader="none" w:pos="10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receive an additional benefit in an</w:t>
      </w:r>
    </w:p>
    <w:p>
      <w:pPr>
        <w:spacing w:after="0" w:line="21"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amount equal to one (1) times his Average Annual Compensation. This additional benefit shall be paid in equal increments over a twelve (12)-month period in accordance with the Company's normal payroll practices and shall be subject to the Company's collection of all applicable withholding taxes. Payment shall commence with the first payday following Executive's termination date.</w:t>
      </w:r>
    </w:p>
    <w:p>
      <w:pPr>
        <w:spacing w:after="0" w:line="210" w:lineRule="exact"/>
        <w:rPr>
          <w:sz w:val="20"/>
          <w:szCs w:val="20"/>
          <w:color w:val="auto"/>
        </w:rPr>
      </w:pPr>
    </w:p>
    <w:p>
      <w:pPr>
        <w:jc w:val="both"/>
        <w:ind w:left="1060" w:right="1779" w:hanging="525"/>
        <w:spacing w:after="0" w:line="268" w:lineRule="auto"/>
        <w:tabs>
          <w:tab w:leader="none" w:pos="10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at its expense, provide Executive and his eligible dependents with continued Health Care Coverage until the earlier of</w:t>
      </w:r>
    </w:p>
    <w:p>
      <w:pPr>
        <w:jc w:val="both"/>
        <w:ind w:left="1060" w:right="1779" w:firstLine="1"/>
        <w:spacing w:after="0" w:line="268" w:lineRule="auto"/>
        <w:tabs>
          <w:tab w:leader="none" w:pos="1587"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twelve (12) months after the Executive's termination date or (ii) the first date that such individuals are covered under another employer's health benefit program which provides substantially the same level of benefits without exclusion for pre-existing medical conditions. The period of such Company-paid coverage shall be credited</w:t>
      </w:r>
    </w:p>
    <w:tbl>
      <w:tblPr>
        <w:tblLayout w:type="fixed"/>
        <w:tblInd w:w="1060" w:type="dxa"/>
        <w:tblCellMar>
          <w:top w:w="0" w:type="dxa"/>
          <w:left w:w="0" w:type="dxa"/>
          <w:bottom w:w="0" w:type="dxa"/>
          <w:right w:w="0" w:type="dxa"/>
        </w:tblCellMar>
      </w:tblPr>
      <w:tr>
        <w:trPr>
          <w:trHeight w:val="199"/>
        </w:trPr>
        <w:tc>
          <w:tcPr>
            <w:tcW w:w="840" w:type="dxa"/>
            <w:vAlign w:val="bottom"/>
          </w:tcPr>
          <w:p>
            <w:pPr>
              <w:spacing w:after="0" w:line="199" w:lineRule="exact"/>
              <w:rPr>
                <w:sz w:val="20"/>
                <w:szCs w:val="20"/>
                <w:color w:val="auto"/>
              </w:rPr>
            </w:pPr>
            <w:r>
              <w:rPr>
                <w:rFonts w:ascii="Courier New" w:cs="Courier New" w:eastAsia="Courier New" w:hAnsi="Courier New"/>
                <w:sz w:val="18"/>
                <w:szCs w:val="18"/>
                <w:color w:val="auto"/>
              </w:rPr>
              <w:t>against</w:t>
            </w:r>
          </w:p>
        </w:tc>
        <w:tc>
          <w:tcPr>
            <w:tcW w:w="420" w:type="dxa"/>
            <w:vAlign w:val="bottom"/>
          </w:tcPr>
          <w:p>
            <w:pPr>
              <w:spacing w:after="0" w:line="199" w:lineRule="exact"/>
              <w:rPr>
                <w:sz w:val="20"/>
                <w:szCs w:val="20"/>
                <w:color w:val="auto"/>
              </w:rPr>
            </w:pPr>
            <w:r>
              <w:rPr>
                <w:rFonts w:ascii="Courier New" w:cs="Courier New" w:eastAsia="Courier New" w:hAnsi="Courier New"/>
                <w:sz w:val="18"/>
                <w:szCs w:val="18"/>
                <w:color w:val="auto"/>
              </w:rPr>
              <w:t>any</w:t>
            </w:r>
          </w:p>
        </w:tc>
        <w:tc>
          <w:tcPr>
            <w:tcW w:w="1640" w:type="dxa"/>
            <w:vAlign w:val="bottom"/>
            <w:gridSpan w:val="2"/>
          </w:tcPr>
          <w:p>
            <w:pPr>
              <w:spacing w:after="0" w:line="199" w:lineRule="exact"/>
              <w:rPr>
                <w:sz w:val="20"/>
                <w:szCs w:val="20"/>
                <w:color w:val="auto"/>
              </w:rPr>
            </w:pPr>
            <w:r>
              <w:rPr>
                <w:rFonts w:ascii="Courier New" w:cs="Courier New" w:eastAsia="Courier New" w:hAnsi="Courier New"/>
                <w:sz w:val="18"/>
                <w:szCs w:val="18"/>
                <w:color w:val="auto"/>
                <w:w w:val="99"/>
              </w:rPr>
              <w:t>period of COBRA</w:t>
            </w:r>
          </w:p>
        </w:tc>
        <w:tc>
          <w:tcPr>
            <w:tcW w:w="3480" w:type="dxa"/>
            <w:vAlign w:val="bottom"/>
            <w:gridSpan w:val="4"/>
          </w:tcPr>
          <w:p>
            <w:pPr>
              <w:ind w:left="60"/>
              <w:spacing w:after="0" w:line="199" w:lineRule="exact"/>
              <w:rPr>
                <w:sz w:val="20"/>
                <w:szCs w:val="20"/>
                <w:color w:val="auto"/>
              </w:rPr>
            </w:pPr>
            <w:r>
              <w:rPr>
                <w:rFonts w:ascii="Courier New" w:cs="Courier New" w:eastAsia="Courier New" w:hAnsi="Courier New"/>
                <w:sz w:val="18"/>
                <w:szCs w:val="18"/>
                <w:color w:val="auto"/>
                <w:w w:val="98"/>
              </w:rPr>
              <w:t>Continued Care Coverage to which</w:t>
            </w:r>
          </w:p>
        </w:tc>
        <w:tc>
          <w:tcPr>
            <w:tcW w:w="100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rPr>
              <w:t>Executive</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and  his</w:t>
            </w: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eligible</w:t>
            </w:r>
          </w:p>
        </w:tc>
        <w:tc>
          <w:tcPr>
            <w:tcW w:w="1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dependents</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may, at</w:t>
            </w:r>
          </w:p>
        </w:tc>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their sole cost, be entitled by</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reason</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4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Executive's  termination of employment and</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shall</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be in</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addition</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to</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such</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period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COBRA</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Continued  Care</w:t>
            </w:r>
          </w:p>
        </w:tc>
        <w:tc>
          <w:tcPr>
            <w:tcW w:w="16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Coverage.</w:t>
            </w:r>
          </w:p>
        </w:tc>
      </w:tr>
    </w:tbl>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4.3 TERMINATION BY THE COMPANY WITHOUT CAUSE. The Company may, at any time following a Change in Control, terminate Executive's employment Without Cause.</w:t>
      </w:r>
    </w:p>
    <w:p>
      <w:pPr>
        <w:spacing w:after="0" w:line="17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4.3.1 SEVERANCE BENEFITS. Upon the Company's termination of Executive's employment under this Section 4.3, the Company shall provide the following severance benefits: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59" w:name="page60"/>
    <w:bookmarkEnd w:id="59"/>
    <w:p>
      <w:pPr>
        <w:ind w:left="1060" w:hanging="525"/>
        <w:spacing w:after="0"/>
        <w:tabs>
          <w:tab w:leader="none" w:pos="10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receive an immediate lump sum severance</w:t>
      </w:r>
    </w:p>
    <w:p>
      <w:pPr>
        <w:spacing w:after="0" w:line="21"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payment equal to three (3) times his Average Annual Compensation. The payment shall be made within thirty (30) days following the Executive's termination date and shall be subject to the Company's collection of all applicable withholding taxes.</w:t>
      </w:r>
    </w:p>
    <w:p>
      <w:pPr>
        <w:spacing w:after="0" w:line="207" w:lineRule="exact"/>
        <w:rPr>
          <w:sz w:val="20"/>
          <w:szCs w:val="20"/>
          <w:color w:val="auto"/>
        </w:rPr>
      </w:pPr>
    </w:p>
    <w:p>
      <w:pPr>
        <w:jc w:val="both"/>
        <w:ind w:left="1060" w:right="1779" w:hanging="525"/>
        <w:spacing w:after="0" w:line="237" w:lineRule="auto"/>
        <w:tabs>
          <w:tab w:leader="none" w:pos="10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entitled to receive an additional benefit in an amount equal to one (1) times his Average Annual Compensation. This additional benefit shall be paid in equal increments over a twelve (12)-month period in accordance with the Company's normal payroll practices and shall be subject to the Company's collection of all</w:t>
      </w:r>
    </w:p>
    <w:p>
      <w:pPr>
        <w:spacing w:after="0" w:line="6"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applicable withholding taxes. Payment shall commence with the first payday following Executive's termination date.</w:t>
      </w:r>
    </w:p>
    <w:p>
      <w:pPr>
        <w:spacing w:after="0" w:line="208" w:lineRule="exact"/>
        <w:rPr>
          <w:sz w:val="20"/>
          <w:szCs w:val="20"/>
          <w:color w:val="auto"/>
        </w:rPr>
      </w:pPr>
    </w:p>
    <w:p>
      <w:pPr>
        <w:jc w:val="both"/>
        <w:ind w:left="1060" w:right="1779" w:hanging="525"/>
        <w:spacing w:after="0" w:line="268" w:lineRule="auto"/>
        <w:tabs>
          <w:tab w:leader="none" w:pos="10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at its expense, provide Executive and his eligible dependents with continued Health Care Coverage until the earlier of</w:t>
      </w:r>
    </w:p>
    <w:p>
      <w:pPr>
        <w:ind w:left="1580" w:hanging="519"/>
        <w:spacing w:after="0"/>
        <w:tabs>
          <w:tab w:leader="none" w:pos="158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twelve  (12) months after the date of Executive's termination or</w:t>
      </w:r>
    </w:p>
    <w:p>
      <w:pPr>
        <w:spacing w:after="0" w:line="21" w:lineRule="exact"/>
        <w:rPr>
          <w:rFonts w:ascii="Courier New" w:cs="Courier New" w:eastAsia="Courier New" w:hAnsi="Courier New"/>
          <w:sz w:val="16"/>
          <w:szCs w:val="16"/>
          <w:color w:val="auto"/>
        </w:rPr>
      </w:pPr>
    </w:p>
    <w:p>
      <w:pPr>
        <w:jc w:val="both"/>
        <w:ind w:left="1060" w:right="1779" w:firstLine="1"/>
        <w:spacing w:after="0" w:line="271" w:lineRule="auto"/>
        <w:tabs>
          <w:tab w:leader="none" w:pos="1692"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date that such individuals are covered under another employer's health benefit program which provides substantially the same level of benefits without exclusion for pre-existing medical conditions. The period of such Company-paid coverage shall be credited against any period of COBRA Continued Care Coverage to which Executive and his eligible dependents may, at their sole cost, be entitled by reason of Executive's termination of employment and shall not be in addition to such period of COBRA Continued Care Coverage.</w:t>
      </w:r>
    </w:p>
    <w:p>
      <w:pPr>
        <w:spacing w:after="0" w:line="18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4.3.2 COVENANTS. Following the termination of Executive's employment pursuant to this Section 4.3, Executive shall comply with all his covenants and obligations under Sections 3.1 and 3.2.</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4.4 HOSTILE TAKEOVER. Executive may terminate his employment in connection with a Hostile Takeover, provided such termination is, pursuant to written notice delivered to the Company, effected within two (2) years after such Hostile Takeover.</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4.4.1 COVENANTS. Following such termination of employment, Executive shall have no obligation to perform his covenants under Section 3.1.2 or his consulting agreement under Section 3.2.</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4.4.2 SEVERANCE BENEFITS. Upon the termination of Executive's employment in connection with the Hostile Take-Over, the Company shall provide the following severance benefits: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60" w:name="page61"/>
    <w:bookmarkEnd w:id="60"/>
    <w:p>
      <w:pPr>
        <w:ind w:left="1060" w:right="1779" w:hanging="525"/>
        <w:spacing w:after="0" w:line="237" w:lineRule="auto"/>
        <w:tabs>
          <w:tab w:leader="none" w:pos="10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within ten (10) business days following his termination of employment, receive a lump sum payment equal to two (2) times his Average Annual Compensation. Such lump sum payment shall be subject to the Company's collection of all applicable withholding taxes.</w:t>
      </w:r>
    </w:p>
    <w:p>
      <w:pPr>
        <w:spacing w:after="0" w:line="208" w:lineRule="exact"/>
        <w:rPr>
          <w:rFonts w:ascii="Courier New" w:cs="Courier New" w:eastAsia="Courier New" w:hAnsi="Courier New"/>
          <w:sz w:val="18"/>
          <w:szCs w:val="18"/>
          <w:color w:val="auto"/>
        </w:rPr>
      </w:pPr>
    </w:p>
    <w:p>
      <w:pPr>
        <w:jc w:val="both"/>
        <w:ind w:left="1060" w:right="1779" w:hanging="525"/>
        <w:spacing w:after="0" w:line="268" w:lineRule="auto"/>
        <w:tabs>
          <w:tab w:leader="none" w:pos="10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at its expense, provide Executive and his eligible dependents with continued Health Care Coverage until the earlier of</w:t>
      </w:r>
    </w:p>
    <w:p>
      <w:pPr>
        <w:jc w:val="both"/>
        <w:ind w:left="1060" w:right="1779" w:firstLine="1"/>
        <w:spacing w:after="0" w:line="271" w:lineRule="auto"/>
        <w:tabs>
          <w:tab w:leader="none" w:pos="1587"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twelve (12) months after the Executive's termination date or (ii) the first date that such individuals are covered under another employer's health benefit program which provides substantially the same level of benefits without exclusion for pre-existing medical conditions. The period of such Company-paid coverage shall be credited against any period of COBRA Continued Care Coverage to which Executive and his eligible dependents may, at their sole cost, be entitled by reason of Executive's termination of employment and shall not be in addition to such period of COBRA Continued Care Coverage.</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4.4.3 OPTION ACCELERATION. Whether or not Executive terminates his employment pursuant to this Section 4.4, all Options outstanding at the time of the Hostile Takeover shall, subject to the benefit limitations of ARTICLE FIVE, vest and become exercisable for all of the underlying shares of the Company's common stock immediately prior to the effective date of such Hostile Takeover. Executive may exercise his Options for such vested shares at any time until the earlier of (i) the specified expiration date of the option term or (ii) the expiration of the twelve (12)-month period measured from his termination date, and any Options not exercised prior to the applicable expiration date shall lapse.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61" w:name="page62"/>
    <w:bookmarkEnd w:id="61"/>
    <w:p>
      <w:pPr>
        <w:jc w:val="center"/>
        <w:ind w:right="1779"/>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BENEFIT LIMITATION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5.1. LIMITATION ON SEVERANCE BENEFITS. In the event of a Parachute Event, the following limitations shall become applicable to the benefits payable to Executive pursuant to this Agreement: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5.1.1 BENEFIT REDUCTION. If the Parachute Event constitutes a Change in Control, then the dollar amount of the severance benefits to which Executive becomes entitled under ARTICLE FOUR shall be reduced to the extent necessary to assure that the present value of those payments will not, when added to the present value of the Option Parachute Payment and Other Parachute Payments to which Executive may also be entitled upon such Change in Control, exceed 2.99 times Executive's Actual Five-Year Average Compensation (the "Parachute Limit"). Any acceleration of Executive's unvested Options, whether at the time of the Change in Control or upon the subsequent termination of Executive's employment within two (2) years after such Change in Control, shall only be limited to the extent necessary to provide Executive with the maximum after-tax benefit available, after taking into account any parachute excise tax which might otherwise be payable by Executive under Code Section 4999 (and any analogous State income tax provision) with respect to his total benefit package. However, if the Parachute Event constitutes a Hostile Take-Over, then no reduction shall be made to the Executive's severance benefits under ARTICLE FOUR and no limitation shall be imposed upon the acceleration of Executive's outstanding Options, except to the extent (if any) necessary to provide Executive with the maximum after-tax benefit available, after taking into account any parachute excise tax which might otherwise be payable by Executive under Code Section 4999 (and any analogous State income tax provision) with respect to his total benefit package.</w:t>
      </w:r>
    </w:p>
    <w:p>
      <w:pPr>
        <w:spacing w:after="0" w:line="211"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5.1.2 RESOLUTION OF DISPUTES. Should there arise any dispute between Executive and the Company as to whether one or more benefits to which Executive becomes entitled (whether under this Agreement, the Options or otherwise) in connection with a Parachute Event constitute Option Parachute Payments or Other Parachute Payments, such dispute is to be resolved as follows:</w:t>
      </w:r>
    </w:p>
    <w:p>
      <w:pPr>
        <w:spacing w:after="0" w:line="185" w:lineRule="exact"/>
        <w:rPr>
          <w:sz w:val="20"/>
          <w:szCs w:val="20"/>
          <w:color w:val="auto"/>
        </w:rPr>
      </w:pPr>
    </w:p>
    <w:p>
      <w:pPr>
        <w:ind w:left="1060" w:right="1779" w:hanging="525"/>
        <w:spacing w:after="0" w:line="237" w:lineRule="auto"/>
        <w:tabs>
          <w:tab w:leader="none" w:pos="10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temporary, proposed or final Treasury Regulations in effect at the time under Code Section 280G specifically address the status of such benefits or the method for their valuation, the characterization afforded to such benefits by the Regulations, together with the methods prescribed for their valuation, shall be controlling.</w:t>
      </w:r>
    </w:p>
    <w:p>
      <w:pPr>
        <w:spacing w:after="0" w:line="209"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such Regulations do not address the status of the benefits in dispute, the matter shall be submitted for resolution to independent counsel mutually acceptable to Executive and the Company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20" w:right="1440" w:bottom="1440" w:gutter="0" w:footer="0" w:header="0"/>
        </w:sectPr>
      </w:pPr>
    </w:p>
    <w:bookmarkStart w:id="62" w:name="page63"/>
    <w:bookmarkEnd w:id="62"/>
    <w:p>
      <w:pPr>
        <w:ind w:left="1060" w:right="1779"/>
        <w:spacing w:after="0" w:line="237" w:lineRule="auto"/>
        <w:rPr>
          <w:sz w:val="20"/>
          <w:szCs w:val="20"/>
          <w:color w:val="auto"/>
        </w:rPr>
      </w:pPr>
      <w:r>
        <w:rPr>
          <w:rFonts w:ascii="Courier New" w:cs="Courier New" w:eastAsia="Courier New" w:hAnsi="Courier New"/>
          <w:sz w:val="18"/>
          <w:szCs w:val="18"/>
          <w:color w:val="auto"/>
        </w:rPr>
        <w:t>("Independent Counsel"). The resolution reached by Independent Counsel shall be final and controlling. However, should the Independent Counsel determine that the status of the benefits in dispute can be resolved through the obtainment of a private letter ruling from the Internal Revenue Service, a formal and proper request for such ruling shall be prepared and submitted by Independent Counsel, and the determination made by the Internal Revenue Service in the issued ruling shall be controlling. All expenses incurred in connection with the retention of Independent Counsel and (if applicable) the preparation and submission of the ruling request shall be paid by the Company.</w:t>
      </w:r>
    </w:p>
    <w:p>
      <w:pPr>
        <w:spacing w:after="0" w:line="216" w:lineRule="exact"/>
        <w:rPr>
          <w:sz w:val="20"/>
          <w:szCs w:val="20"/>
          <w:color w:val="auto"/>
        </w:rPr>
      </w:pPr>
    </w:p>
    <w:p>
      <w:pPr>
        <w:jc w:val="both"/>
        <w:ind w:left="1060" w:right="1779" w:hanging="525"/>
        <w:spacing w:after="0" w:line="237" w:lineRule="auto"/>
        <w:tabs>
          <w:tab w:leader="none" w:pos="10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present value of each Option Parachute Payment and each of the Other Parachute Payments (including any salary continuation payments and Health Care Coverage under ARTICLE FOUR) shall be determined in accordance with the provisions of Code Section 280G(d)(4) and the Treasury Regulations issued thereunder.</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5.1.3 HOLD-BACK OF BENEFITS. Any severance benefits to which Executive may become entitled under ARTICLE FOUR shall not be paid to Executive until any amounts in dispute under Section 5.1.2 have been resolved in accordance herewith. However, any portion of such severance benefits which would not otherwise exceed the benefit limitation of Section 5.1.1 even if all amounts in dispute under Section 5.1.2 were to be resolved against Executive shall be paid to Executive in accordance with the applicable provisions of ARTICLE FOUR</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5.1.4 OVERRIDING LIMITATION. Executive shall in all events be entitled to receive the full amount of his severance benefits under ARTICLE FOUR, to the extent those benefits, when added to the present value of his Option Parachute Payment and Other Parachute Payments (excluding such severance benefits), will nevertheless qualify as reasonable compensation within the standards established under Code Section 280G(b)(4).</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63" w:name="page64"/>
    <w:bookmarkEnd w:id="63"/>
    <w:p>
      <w:pPr>
        <w:ind w:left="3580"/>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MISCELLANEOUS PROVISIONS</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6.1 TERMINATION OF HEALTH COVERAGE. Any Health Care Coverage to which Executive or his eligible dependents may become entitled pursuant to the provisions of ARTICLE FOUR or any COBRA Continuation Coverage to which such individuals are otherwise entitled by law shall immediately terminate upon the occurrence of any of the following events:</w:t>
      </w:r>
    </w:p>
    <w:p>
      <w:pPr>
        <w:spacing w:after="0" w:line="209" w:lineRule="exact"/>
        <w:rPr>
          <w:sz w:val="20"/>
          <w:szCs w:val="20"/>
          <w:color w:val="auto"/>
        </w:rPr>
      </w:pPr>
    </w:p>
    <w:p>
      <w:pPr>
        <w:jc w:val="both"/>
        <w:ind w:left="1060" w:right="1779" w:hanging="525"/>
        <w:spacing w:after="0" w:line="237" w:lineRule="auto"/>
        <w:tabs>
          <w:tab w:leader="none" w:pos="10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and his eligible dependents become covered under another employer's health benefit program which provides substantially the same level of benefits without exclusion for pre-existing medical conditions;</w:t>
      </w:r>
    </w:p>
    <w:p>
      <w:pPr>
        <w:spacing w:after="0" w:line="207"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 fails to pay the applicable premium for the Health Care</w:t>
      </w:r>
    </w:p>
    <w:p>
      <w:pPr>
        <w:spacing w:after="0" w:line="21"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Coverage prior the expiration of any applicable grace period following the due date for such premium;</w:t>
      </w:r>
    </w:p>
    <w:p>
      <w:pPr>
        <w:spacing w:after="0" w:line="208" w:lineRule="exact"/>
        <w:rPr>
          <w:sz w:val="20"/>
          <w:szCs w:val="20"/>
          <w:color w:val="auto"/>
        </w:rPr>
      </w:pPr>
    </w:p>
    <w:p>
      <w:pPr>
        <w:ind w:left="1060" w:right="1879" w:hanging="525"/>
        <w:spacing w:after="0" w:line="275" w:lineRule="auto"/>
        <w:tabs>
          <w:tab w:leader="none" w:pos="10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Company-paid coverage will immediately terminate should the Executive-fail to perform his obligations under ARTICLE THREE, to the extent those obligations are applicable pursuant to the provisions of ARTICLE FOUR following his termination of employment; or</w:t>
      </w:r>
    </w:p>
    <w:p>
      <w:pPr>
        <w:spacing w:after="0" w:line="182" w:lineRule="exact"/>
        <w:rPr>
          <w:rFonts w:ascii="Courier New" w:cs="Courier New" w:eastAsia="Courier New" w:hAnsi="Courier New"/>
          <w:sz w:val="16"/>
          <w:szCs w:val="16"/>
          <w:color w:val="auto"/>
        </w:rPr>
      </w:pPr>
    </w:p>
    <w:p>
      <w:pPr>
        <w:ind w:left="1060" w:right="1779" w:hanging="525"/>
        <w:spacing w:after="0" w:line="235"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discontinues all health care coverage programs for active employees.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6.2 DESIGNATION OF BENEFICIARY. Executive may designate from time to time the person or persons who are to be his designated Beneficiary under this Agreement. Each such designation shall be evidenced by a written, signed document delivered to the Company's Corporate Secretary, and each new designation shall automatically supersede and revoke the prior existing designation. In the absence of any such designation, the Beneficiary shall be the Executive's estate.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6.3 ENTIRE AGREEMENT. This Agreement, together with the Severance Benefit Agreement (to the extent in effect at the time), contains the entire agreement and understanding between Executive and the Company regarding the severance benefits to which Executive may become entitled upon his cessation of employment and supersedes and replaces all prior contracts, understandings and representations (whether oral or written) regarding the terms and conditions of such severance benefits. Neither this Agreement nor the Severance Benefit Agreement may be modified except by a writing executed by both Executive and the Company.</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0" w:right="1440" w:bottom="1440" w:gutter="0" w:footer="0" w:header="0"/>
        </w:sectPr>
      </w:pPr>
    </w:p>
    <w:bookmarkStart w:id="64" w:name="page65"/>
    <w:bookmarkEnd w:id="64"/>
    <w:p>
      <w:pPr>
        <w:ind w:right="1879" w:firstLine="527"/>
        <w:spacing w:after="0" w:line="237" w:lineRule="auto"/>
        <w:rPr>
          <w:sz w:val="20"/>
          <w:szCs w:val="20"/>
          <w:color w:val="auto"/>
        </w:rPr>
      </w:pPr>
      <w:r>
        <w:rPr>
          <w:rFonts w:ascii="Courier New" w:cs="Courier New" w:eastAsia="Courier New" w:hAnsi="Courier New"/>
          <w:sz w:val="18"/>
          <w:szCs w:val="18"/>
          <w:color w:val="auto"/>
        </w:rPr>
        <w:t>6.4 ASSIGNMENT BY THE COMPANY. This Agreement shall be binding upon and shall inure to the benefit of any successors or assigns of the Company. As used in this Agreement, the term "successor" includes any person or group of persons acting in concert who at any time in any form or manner acquires all or substantially all of the assets or business of the Company or more than thirty (30%) of the outstanding voting securities of the Company. Accordingly, this Agreement, together with the Severance Benefit Agreement (to the extent otherwise in effect at the time), shall continue in full force and effect following any such assignment to the successor entity.</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6.5. GENERAL CREDITOR STATUS. The benefits to which Executive may become entitled under this Agreement (except those attributable to his Options) shall be paid, when due, from the general assets of the Company. The right of the Executive (or his Beneficiary) to receive any such payments shall at all times be that of a general creditor of the Company and will have no priority over the claims of other general creditors of the Company.</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6.6. DEATH. Should Executive die before receipt of all benefits to which he may become entitled under this Agreement, then the payment of such benefits shall be made, on the due date or dates hereunder had Executive survived, to his Beneficiary. Should Executive die before he has exercised all his outstanding vested Options, then each such Option may be exercised, during the applicable exercise period in effect for such Option, by the executors or administrators of Executive's estate or by the Person to whom the Option is transferred pursuant to the Executive's will or in accordance with the laws of inheritance.</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6.7. MISCELLANEOUS. The provisions of this Agreement shall be construed and interpreted under the laws of the State of Arizona. If any provision of this Agreement as applied to any party or to any circumstance should be adjudged by a court of competent jurisdiction to be void or unenforceable for any reason, the invalidity of that provision shall in no way affect (to the maximum extent permissible by law) the application of such provision under circumstances different from those adjudicated by the court, the application of any other provision of this Agreement, or the enforceability or invalidity of this Agreement as a whole.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6.8 ARBITRATION. Any controversy which may arise between Executive and the Company with respect to the construction, interpretation or application of any of the terms, provisions or conditions of this Agreement or any monetary claim arising from or relating to this Agreement shall be submitted to final and binding arbitration in Tucson, Arizona in accordance with the rules of the American Arbitration Association then in effect.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65" w:name="page66"/>
    <w:bookmarkEnd w:id="65"/>
    <w:p>
      <w:pPr>
        <w:ind w:right="1779" w:firstLine="527"/>
        <w:spacing w:after="0" w:line="237" w:lineRule="auto"/>
        <w:rPr>
          <w:sz w:val="20"/>
          <w:szCs w:val="20"/>
          <w:color w:val="auto"/>
        </w:rPr>
      </w:pPr>
      <w:r>
        <w:rPr>
          <w:rFonts w:ascii="Courier New" w:cs="Courier New" w:eastAsia="Courier New" w:hAnsi="Courier New"/>
          <w:sz w:val="18"/>
          <w:szCs w:val="18"/>
          <w:color w:val="auto"/>
        </w:rPr>
        <w:t>6.9 NO EMPLOYMENT OR SERVICE CONTRACT. Nothing in this Agreement shall confer upon Executive any right to continue in the employment of the Company for any period of specific duration or interfere with or otherwise restrict in any way the rights of the Company or Executive, which rights are hereby expressly reserved by each, to terminate Executive's employment at any time for any reason whatsoever, with or without cause.</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6.10 NOTICES. Any notice provided for by this Agreement and any other notice, demand, designation or communication which either party may wish to send to the other ("Notices") shall be in writing and shall be deemed to have been properly given if served by (i) personal delivery, (ii) registered or certified mail, return receipt requested in a sealed envelope, postage and other charges prepaid, or (iii) telegram, telecopy, telex, facsimile or other similar form of transmission followed by delivery pursuant to clause (i) or (ii) in each case addressed to the party for which such Notice is intended as follows:</w:t>
      </w:r>
    </w:p>
    <w:p>
      <w:pPr>
        <w:spacing w:after="0" w:line="180"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If to the Company:</w:t>
      </w:r>
      <w:r>
        <w:rPr>
          <w:sz w:val="20"/>
          <w:szCs w:val="20"/>
          <w:color w:val="auto"/>
        </w:rPr>
        <w:tab/>
      </w:r>
      <w:r>
        <w:rPr>
          <w:rFonts w:ascii="Courier New" w:cs="Courier New" w:eastAsia="Courier New" w:hAnsi="Courier New"/>
          <w:sz w:val="16"/>
          <w:szCs w:val="16"/>
          <w:color w:val="auto"/>
        </w:rPr>
        <w:t>Board of Directors</w:t>
      </w:r>
    </w:p>
    <w:p>
      <w:pPr>
        <w:ind w:left="2120"/>
        <w:spacing w:after="0" w:line="238" w:lineRule="auto"/>
        <w:rPr>
          <w:sz w:val="20"/>
          <w:szCs w:val="20"/>
          <w:color w:val="auto"/>
        </w:rPr>
      </w:pPr>
      <w:r>
        <w:rPr>
          <w:rFonts w:ascii="Courier New" w:cs="Courier New" w:eastAsia="Courier New" w:hAnsi="Courier New"/>
          <w:sz w:val="18"/>
          <w:szCs w:val="18"/>
          <w:color w:val="auto"/>
        </w:rPr>
        <w:t>Burr-Brown Corporation</w:t>
      </w:r>
    </w:p>
    <w:p>
      <w:pPr>
        <w:ind w:left="2120"/>
        <w:spacing w:after="0"/>
        <w:rPr>
          <w:sz w:val="20"/>
          <w:szCs w:val="20"/>
          <w:color w:val="auto"/>
        </w:rPr>
      </w:pPr>
      <w:r>
        <w:rPr>
          <w:rFonts w:ascii="Courier New" w:cs="Courier New" w:eastAsia="Courier New" w:hAnsi="Courier New"/>
          <w:sz w:val="18"/>
          <w:szCs w:val="18"/>
          <w:color w:val="auto"/>
        </w:rPr>
        <w:t>6730 South Tucson Boulevard</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Tucson, AZ</w:t>
      </w:r>
      <w:r>
        <w:rPr>
          <w:sz w:val="20"/>
          <w:szCs w:val="20"/>
          <w:color w:val="auto"/>
        </w:rPr>
        <w:tab/>
      </w:r>
      <w:r>
        <w:rPr>
          <w:rFonts w:ascii="Courier New" w:cs="Courier New" w:eastAsia="Courier New" w:hAnsi="Courier New"/>
          <w:sz w:val="16"/>
          <w:szCs w:val="16"/>
          <w:color w:val="auto"/>
        </w:rPr>
        <w:t>85706</w:t>
      </w:r>
    </w:p>
    <w:p>
      <w:pPr>
        <w:ind w:left="2120"/>
        <w:spacing w:after="0" w:line="238" w:lineRule="auto"/>
        <w:rPr>
          <w:sz w:val="20"/>
          <w:szCs w:val="20"/>
          <w:color w:val="auto"/>
        </w:rPr>
      </w:pPr>
      <w:r>
        <w:rPr>
          <w:rFonts w:ascii="Courier New" w:cs="Courier New" w:eastAsia="Courier New" w:hAnsi="Courier New"/>
          <w:sz w:val="18"/>
          <w:szCs w:val="18"/>
          <w:color w:val="auto"/>
        </w:rPr>
        <w:t>FAX: (520) 746-7752</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If to Executive:</w:t>
      </w:r>
      <w:r>
        <w:rPr>
          <w:sz w:val="20"/>
          <w:szCs w:val="20"/>
          <w:color w:val="auto"/>
        </w:rPr>
        <w:tab/>
      </w:r>
      <w:r>
        <w:rPr>
          <w:rFonts w:ascii="Courier New" w:cs="Courier New" w:eastAsia="Courier New" w:hAnsi="Courier New"/>
          <w:sz w:val="16"/>
          <w:szCs w:val="16"/>
          <w:color w:val="auto"/>
        </w:rPr>
        <w:t>Syrus P. Madavi</w:t>
      </w:r>
    </w:p>
    <w:p>
      <w:pPr>
        <w:ind w:left="2000"/>
        <w:spacing w:after="0" w:line="238" w:lineRule="auto"/>
        <w:rPr>
          <w:sz w:val="20"/>
          <w:szCs w:val="20"/>
          <w:color w:val="auto"/>
        </w:rPr>
      </w:pPr>
      <w:r>
        <w:rPr>
          <w:rFonts w:ascii="Courier New" w:cs="Courier New" w:eastAsia="Courier New" w:hAnsi="Courier New"/>
          <w:sz w:val="18"/>
          <w:szCs w:val="18"/>
          <w:color w:val="auto"/>
        </w:rPr>
        <w:t>_________________</w:t>
      </w:r>
    </w:p>
    <w:p>
      <w:pPr>
        <w:ind w:left="2000"/>
        <w:spacing w:after="0"/>
        <w:rPr>
          <w:sz w:val="20"/>
          <w:szCs w:val="20"/>
          <w:color w:val="auto"/>
        </w:rPr>
      </w:pPr>
      <w:r>
        <w:rPr>
          <w:rFonts w:ascii="Courier New" w:cs="Courier New" w:eastAsia="Courier New" w:hAnsi="Courier New"/>
          <w:sz w:val="18"/>
          <w:szCs w:val="18"/>
          <w:color w:val="auto"/>
        </w:rPr>
        <w:t>_________________</w:t>
      </w:r>
    </w:p>
    <w:p>
      <w:pPr>
        <w:ind w:left="2000"/>
        <w:spacing w:after="0" w:line="237" w:lineRule="auto"/>
        <w:tabs>
          <w:tab w:leader="none" w:pos="2620" w:val="left"/>
        </w:tabs>
        <w:rPr>
          <w:sz w:val="20"/>
          <w:szCs w:val="20"/>
          <w:color w:val="auto"/>
        </w:rPr>
      </w:pPr>
      <w:r>
        <w:rPr>
          <w:rFonts w:ascii="Courier New" w:cs="Courier New" w:eastAsia="Courier New" w:hAnsi="Courier New"/>
          <w:sz w:val="18"/>
          <w:szCs w:val="18"/>
          <w:color w:val="auto"/>
        </w:rPr>
        <w:t>FAX:</w:t>
        <w:tab/>
        <w:t>(520)________</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6.10.1 CHANGE OF ADDRESS. Any address or specified in this Section 6.10 may be changed by a Notice given by the addressee to the other party in accordance with this Section 6.10.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6.10.2 EFFECTIVE DATE OF NOTICE. All Notices shall be given and effective as of the date of personal delivery thereof or the date of receipt set forth on the return receipt. The inability to deliver because of a changed address of which no Notice was given or rejection or other refusal to accept any Notice shall be deemed to be the receipt of the Notice as of the date of such inability to deliver or rejection or refusal to accept.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66" w:name="page67"/>
    <w:bookmarkEnd w:id="66"/>
    <w:p>
      <w:pPr>
        <w:ind w:right="1879" w:firstLine="527"/>
        <w:spacing w:after="0" w:line="235" w:lineRule="auto"/>
        <w:rPr>
          <w:sz w:val="20"/>
          <w:szCs w:val="20"/>
          <w:color w:val="auto"/>
        </w:rPr>
      </w:pPr>
      <w:r>
        <w:rPr>
          <w:rFonts w:ascii="Courier New" w:cs="Courier New" w:eastAsia="Courier New" w:hAnsi="Courier New"/>
          <w:sz w:val="18"/>
          <w:szCs w:val="18"/>
          <w:color w:val="auto"/>
        </w:rPr>
        <w:t>IN WITNESS WHEREOF, this Severance Benefit Agreement has been executed and delivered by the parties as of the date first set forth above.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SYRUS P. MADAVI</w:t>
      </w:r>
    </w:p>
    <w:p>
      <w:pPr>
        <w:ind w:left="220" w:hanging="212"/>
        <w:spacing w:after="0" w:line="238" w:lineRule="auto"/>
        <w:tabs>
          <w:tab w:leader="none" w:pos="2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Syrus P. Madavi, Executive</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BURR-BROWN</w:t>
      </w:r>
      <w:r>
        <w:rPr>
          <w:sz w:val="20"/>
          <w:szCs w:val="20"/>
          <w:color w:val="auto"/>
        </w:rPr>
        <w:tab/>
      </w:r>
      <w:r>
        <w:rPr>
          <w:rFonts w:ascii="Courier New" w:cs="Courier New" w:eastAsia="Courier New" w:hAnsi="Courier New"/>
          <w:sz w:val="16"/>
          <w:szCs w:val="16"/>
          <w:color w:val="auto"/>
        </w:rPr>
        <w:t>CORPORATION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THOMAS R. BROWN, JR.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Chairman of the Board</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5" w:right="1440" w:bottom="1440" w:gutter="0" w:footer="0" w:header="0"/>
        </w:sectPr>
      </w:pPr>
    </w:p>
    <w:bookmarkStart w:id="67" w:name="page68"/>
    <w:bookmarkEnd w:id="67"/>
    <w:p>
      <w:pPr>
        <w:jc w:val="right"/>
        <w:ind w:right="1779"/>
        <w:spacing w:after="0"/>
        <w:rPr>
          <w:sz w:val="20"/>
          <w:szCs w:val="20"/>
          <w:color w:val="auto"/>
        </w:rPr>
      </w:pPr>
      <w:r>
        <w:rPr>
          <w:rFonts w:ascii="Courier New" w:cs="Courier New" w:eastAsia="Courier New" w:hAnsi="Courier New"/>
          <w:sz w:val="18"/>
          <w:szCs w:val="18"/>
          <w:color w:val="auto"/>
        </w:rPr>
        <w:t>Exhibit 10(a)(viii)</w:t>
      </w:r>
    </w:p>
    <w:p>
      <w:pPr>
        <w:spacing w:after="0" w:line="4"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TEXAS INSTRUMENTS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October 24,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Mr. Syrus Madavi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 Letter Agreement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letter confirms our agreement on the following matters with respect to your employment with Texas Instruments Incorporated or any of its Subsidiaries ("Company").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Effective 1/1/01, you shall receive a base salary at an annual rate of $425,000, payable in accordance with the applicable payroll practices and subject to increases at the sole discretion of TI. You will be eligible to participate in employee benefit plans generally provided to similarly situated employees in accordance with the terms thereof from time to time. You will be entitled to and shall abide by all applicable employment and personnel policies in effect from time to time.</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recognition of both your continued employment for one year post-close of the Burr-Brown acquisition, and your agreement to the competitive and non-solicitation restrictions in your existing Change in Control Severance Benefit Agreement dated October 30, 1996, the Company will pay you a Special Payment. The Special Payment ("Special Payment") will be $3.5 million less compensation paid to you or for your benefit (including base salary, profit sharing and retirement plan contributions other than your salary deferral contributions) with respect to the period 1/1/01 through 8/23/01. This Special Payment will be paid to you in four (4) substantially equal installments payable on 11/30/00, 2/28/01, 5/31/01 and 8/31/01. In the event you resign before one of the payment dates listed above, you will not be eligible for the remaining Special Payment(s). In case of Involuntary termination, however, all remaining payments will become due and payable to you on the respective payment dates. The amount of the fourth Special Payment installment may be estimated by the Company in anticipation of your profit sharing entitlement for the period of 1/1 through 8/23 of year 2001. You agree to reimburse the Company for any overpayment of the fourth Special Payment no later than 30 days after you are notified of any such overpayment. The Company agrees to pay you for any underpayment of the Special Payment no later than 3/31/02. The four Special Payment installments will not be considered eligible earnings for purposes of TI profit sharing, 401 (k) and other retirement benefits.</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For the portion of the calendar year after August 24, 2001, you will be entitled to receive a prorated bonus equal to at least 80% of the normal performance bonus paid in cash to respect of such period to TI's 5th highest paid executive officer, as will be reported in TI's 2002 proxy statement. This bonus will be paid during the first quarter of 2002 provided you are employed by the Company on the payment date. For example, if TI's 5th highest executive officer at the end of 2001 earned a normal performance bonus of $100,000 for all of 2001, then you will receive a bonus of at least $28,274 ($100,000 x.8 x 129/365).</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year 2002, you will be entitled to receive a bonus equal to at least 80% of the normal performance bonus paid in crash in respect of such period to TI's 5th highest paid executive officer, as will be reported In TI's 2003 proxy statement. Should you terminate before 8/15/02, you will not be eligible to receive such bonus. Should your employment be terminated after 8/15/02 but before the end of the year, your bonus would be prorated to reflect 2002 calendar days employed. This bonus will be paid during the first quarter of 2003. Beginning 1/1/2003, you will be eligible, during your continued employment, to participate in the Company's normal bonus programs as commensurate with similarly situated employees.</w:t>
      </w:r>
    </w:p>
    <w:p>
      <w:pPr>
        <w:sectPr>
          <w:pgSz w:w="11900" w:h="16838" w:orient="portrait"/>
          <w:cols w:equalWidth="0" w:num="1">
            <w:col w:w="10219"/>
          </w:cols>
          <w:pgMar w:left="240" w:top="919" w:right="1440" w:bottom="1440" w:gutter="0" w:footer="0" w:header="0"/>
        </w:sectPr>
      </w:pPr>
    </w:p>
    <w:bookmarkStart w:id="68" w:name="page69"/>
    <w:bookmarkEnd w:id="68"/>
    <w:p>
      <w:pPr>
        <w:ind w:right="1779"/>
        <w:spacing w:after="0" w:line="269" w:lineRule="auto"/>
        <w:rPr>
          <w:sz w:val="20"/>
          <w:szCs w:val="20"/>
          <w:color w:val="auto"/>
        </w:rPr>
      </w:pPr>
      <w:r>
        <w:rPr>
          <w:rFonts w:ascii="Courier New" w:cs="Courier New" w:eastAsia="Courier New" w:hAnsi="Courier New"/>
          <w:sz w:val="16"/>
          <w:szCs w:val="16"/>
          <w:color w:val="auto"/>
        </w:rPr>
        <w:t>Upon your agreement to the terms of this letter, we will recommend to the Compensation Committee of the Board of Directors of TI that you immediately be awarded a non-qualified option under the Texas Instruments 2000 Long-Term Incentive Plan (the "Plan") to purchase an aggregate of 250,000 shares of common stock of TI, par value of $1.00 ("TI Stock'), at an exercise price equal to the fair market value of TI Stock as of the date of grant. Each stock option shall have a term of ten (10) years and shall vest 50% on 11/01/01 and 50% on 8/01/02, provided you remain employed by the Company on each date. The vested portion of such stock option shall be exercisable for the remainder of the full term regardless of your termination of employment. The Company agrees that your option agreement will not include any provisions requiring a repayment to the company for any profit (spread between Option Price and market price of the TI Stock on the date of exercise) realized from the exercising of such options. The stock options will include a non-competition provision for the same period and with respect to the same companies as set forth in the last paragraph of this letter. The stock options granted pursuant to this paragraph shall be subject to the remainder of the terms of the Plan. The stock options granted pursuant to this paragraph will not fully vest upon your termination of employment as a result of the change of control in connection with the Burr-Brown acquisition.</w:t>
      </w:r>
    </w:p>
    <w:p>
      <w:pPr>
        <w:spacing w:after="0" w:line="39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a condition of continued employment with the Company, you shall promptly execute and deliver to the Company an Employee Trade Secrets Information Acknowledgement, an Assignment of Invention and Company Information Agreement, a Release of Records and such other documents as TI reasonably may require from time to time with respect to its new employees or similarly situated employees, if you have not otherwise done so.</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Effective beginning six months after August 24, 2000, should either you or the Company terminate your employment, such termination will be considered Without Cause for the purpose of severance calculation as outlined in your Change In Control Severance Benefit Agreement. It is agreed that the options granted to you by Burr-Brown, which remain unvested, will vest in full upon such termination, given that such termination occurs on or before August 23, 2002. For purposes of clarification. It is agreed that with regard to the acceleration of vesting of options, any services performed as a consultant will not constitute employment.</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Change In Control Severance Benefit Agreement dated October 30, 1996 Is modified as provided in the immediately preceding paragraph. To the extent there may be a conflict, the terms of this letter will govern. This letter, also, supercedes and voids your June 20, 2000 letter agreement signed by Tom Engibous. In addition to your obligations under the aforesaid severance agreement, you agree not to provide services, directly or indirectly, as an employee or otherwise for a period of one year following your termination of employment to Analog Devices, Incorporated, Linear Technology Corporation &amp; Maxim Integrated Products, Incorporated.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K. TEMPLETON</w:t>
      </w:r>
    </w:p>
    <w:p>
      <w:pPr>
        <w:ind w:left="220" w:hanging="212"/>
        <w:spacing w:after="0" w:line="238" w:lineRule="auto"/>
        <w:tabs>
          <w:tab w:leader="none" w:pos="2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6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Richard K. Templeton Chief Operating Officer Executive Vice President</w:t>
      </w:r>
    </w:p>
    <w:p>
      <w:pPr>
        <w:spacing w:after="0" w:line="37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 agree to the foregoing terms and conditions:</w:t>
      </w:r>
    </w:p>
    <w:p>
      <w:pPr>
        <w:sectPr>
          <w:pgSz w:w="11900" w:h="16838" w:orient="portrait"/>
          <w:cols w:equalWidth="0" w:num="1">
            <w:col w:w="10219"/>
          </w:cols>
          <w:pgMar w:left="240" w:top="925" w:right="1440" w:bottom="1440" w:gutter="0" w:footer="0" w:header="0"/>
        </w:sect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 SYRUS MADAVI</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Syrus</w:t>
      </w:r>
      <w:r>
        <w:rPr>
          <w:sz w:val="20"/>
          <w:szCs w:val="20"/>
          <w:color w:val="auto"/>
        </w:rPr>
        <w:tab/>
      </w:r>
      <w:r>
        <w:rPr>
          <w:rFonts w:ascii="Courier New" w:cs="Courier New" w:eastAsia="Courier New" w:hAnsi="Courier New"/>
          <w:sz w:val="16"/>
          <w:szCs w:val="16"/>
          <w:color w:val="auto"/>
        </w:rPr>
        <w:t>Madavi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10-24-2000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2">
            <w:col w:w="5820" w:space="720"/>
            <w:col w:w="3679"/>
          </w:cols>
          <w:pgMar w:left="240" w:top="925" w:right="1440" w:bottom="1440" w:gutter="0" w:footer="0" w:header="0"/>
          <w:type w:val="continuous"/>
        </w:sectPr>
      </w:pPr>
    </w:p>
    <w:bookmarkStart w:id="69" w:name="page70"/>
    <w:bookmarkEnd w:id="69"/>
    <w:p>
      <w:pPr>
        <w:ind w:left="7380"/>
        <w:spacing w:after="0"/>
        <w:rPr>
          <w:sz w:val="20"/>
          <w:szCs w:val="20"/>
          <w:color w:val="auto"/>
        </w:rPr>
      </w:pPr>
      <w:r>
        <w:rPr>
          <w:rFonts w:ascii="Courier New" w:cs="Courier New" w:eastAsia="Courier New" w:hAnsi="Courier New"/>
          <w:sz w:val="18"/>
          <w:szCs w:val="18"/>
          <w:color w:val="auto"/>
        </w:rPr>
        <w:t>Exhibit 11</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960" w:right="2739" w:firstLine="843"/>
        <w:spacing w:after="0" w:line="268" w:lineRule="auto"/>
        <w:rPr>
          <w:sz w:val="20"/>
          <w:szCs w:val="20"/>
          <w:color w:val="auto"/>
        </w:rPr>
      </w:pPr>
      <w:r>
        <w:rPr>
          <w:rFonts w:ascii="Courier New" w:cs="Courier New" w:eastAsia="Courier New" w:hAnsi="Courier New"/>
          <w:sz w:val="16"/>
          <w:szCs w:val="16"/>
          <w:color w:val="auto"/>
        </w:rPr>
        <w:t>TEXAS INSTRUMENTS INCORPORATED AND SUBSIDIARIES EARNINGS (LOSS) PER COMMON AND DILUTIVE POTENTIAL COMMON SHARE</w:t>
      </w:r>
    </w:p>
    <w:p>
      <w:pPr>
        <w:ind w:left="1800"/>
        <w:spacing w:after="0" w:line="233" w:lineRule="auto"/>
        <w:rPr>
          <w:sz w:val="20"/>
          <w:szCs w:val="20"/>
          <w:color w:val="auto"/>
        </w:rPr>
      </w:pPr>
      <w:r>
        <w:rPr>
          <w:rFonts w:ascii="Courier New" w:cs="Courier New" w:eastAsia="Courier New" w:hAnsi="Courier New"/>
          <w:sz w:val="18"/>
          <w:szCs w:val="18"/>
          <w:color w:val="auto"/>
        </w:rPr>
        <w:t>(Millions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gridSpan w:val="5"/>
          </w:tcPr>
          <w:p>
            <w:pPr>
              <w:jc w:val="right"/>
              <w:ind w:right="332"/>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gridSpan w:val="5"/>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2001</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color w:val="auto"/>
              </w:rPr>
              <w:t>Income (loss) before cumulative effect of an</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accounting change .. . . .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3,087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1,451</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Add:  Interest, net of tax effect, on convertible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debentures assumed converted . . . . . . .</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Adjusted income (loss) before cumulative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effect of an accounting change . . . . . . . . .</w:t>
            </w:r>
          </w:p>
        </w:tc>
        <w:tc>
          <w:tcPr>
            <w:tcW w:w="22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3,093</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1,451</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Cumulative effect of an accounting change. . . . .</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Adjusted net income (loss) .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3,064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1,451</w:t>
            </w:r>
          </w:p>
        </w:tc>
      </w:tr>
      <w:tr>
        <w:trPr>
          <w:trHeight w:val="203"/>
        </w:trPr>
        <w:tc>
          <w:tcPr>
            <w:tcW w:w="538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Diluted earnings (loss) per common and dilutive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potential common share: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 . . . . . . . . . . . . . . . . .</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1,734,506</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1,717,484</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1,680,282</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dilutive potential common</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option and compensation plans. . . . . .</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69,367</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69,377</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Convertible debentures . . . . . . . . . . . .</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4,779</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and dilutive potential</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 shares. . . . . . . . . . . . . . . . . .</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1,734,506</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1,791,630</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1,749,659</w:t>
            </w:r>
          </w:p>
        </w:tc>
      </w:tr>
      <w:tr>
        <w:trPr>
          <w:trHeight w:val="203"/>
        </w:trPr>
        <w:tc>
          <w:tcPr>
            <w:tcW w:w="538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Diluted earnings (loss) per common share: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(loss) before cumulative effect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an accounting change.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Cumulative effect of an accounting change. . . .</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 (loss) .. . . .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538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Basic earnings (loss) per common share: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 . . . . . . . . . . . . . . . . .</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1,734,506</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1,717,484</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1,680,282</w:t>
            </w:r>
          </w:p>
        </w:tc>
      </w:tr>
      <w:tr>
        <w:trPr>
          <w:trHeight w:val="203"/>
        </w:trPr>
        <w:tc>
          <w:tcPr>
            <w:tcW w:w="538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Basic earnings (loss) per common share: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(loss) before cumulative effect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an accounting change.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Cumulative effect of an accounting change. . . .</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 (loss) .. . . .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538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1440" w:gutter="0" w:footer="0" w:header="0"/>
        </w:sectPr>
      </w:pPr>
    </w:p>
    <w:bookmarkStart w:id="70" w:name="page71"/>
    <w:bookmarkEnd w:id="70"/>
    <w:p>
      <w:pPr>
        <w:ind w:left="7180"/>
        <w:spacing w:after="0"/>
        <w:rPr>
          <w:sz w:val="20"/>
          <w:szCs w:val="20"/>
          <w:color w:val="auto"/>
        </w:rPr>
      </w:pPr>
      <w:r>
        <w:rPr>
          <w:rFonts w:ascii="Courier New" w:cs="Courier New" w:eastAsia="Courier New" w:hAnsi="Courier New"/>
          <w:sz w:val="18"/>
          <w:szCs w:val="18"/>
          <w:color w:val="auto"/>
        </w:rPr>
        <w:t>Exhibit 12</w:t>
      </w:r>
    </w:p>
    <w:p>
      <w:pPr>
        <w:ind w:left="71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left="460" w:right="1480"/>
        <w:spacing w:after="0" w:line="236" w:lineRule="auto"/>
        <w:rPr>
          <w:sz w:val="20"/>
          <w:szCs w:val="20"/>
          <w:color w:val="auto"/>
        </w:rPr>
      </w:pPr>
      <w:r>
        <w:rPr>
          <w:rFonts w:ascii="Courier New" w:cs="Courier New" w:eastAsia="Courier New" w:hAnsi="Courier New"/>
          <w:sz w:val="18"/>
          <w:szCs w:val="18"/>
          <w:color w:val="auto"/>
        </w:rPr>
        <w:t>TEXAS INSTRUMENTS INCORPORATED AND SUBSIDIARIES COMPUTATION OF RATIO OF EARNINGS TO FIXED CHARGES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2001</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1998</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444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from continuing operations</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before income taxes plus fixed charges</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amortization of capitalized</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interest less interest capitalized. . . ($316)</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$4,702</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$973</w:t>
            </w:r>
          </w:p>
        </w:tc>
      </w:tr>
      <w:tr>
        <w:trPr>
          <w:trHeight w:val="203"/>
        </w:trPr>
        <w:tc>
          <w:tcPr>
            <w:tcW w:w="444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Fixed charges:</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interest on loans (expensed</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and capitalized). . . . . . . . . .</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attributable to rental</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and lease expense . . . . . . . . .</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444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Fixed charges . . . . . . . . . . . . . .</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444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Ratio of earnings to fixed charges. . . .</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36.2</w:t>
            </w: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19.3</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6.1</w:t>
            </w:r>
          </w:p>
        </w:tc>
      </w:tr>
      <w:tr>
        <w:trPr>
          <w:trHeight w:val="203"/>
        </w:trPr>
        <w:tc>
          <w:tcPr>
            <w:tcW w:w="4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ratio is not meaningful. The coverage deficiency was $423 million in 2001.</w:t>
      </w:r>
    </w:p>
    <w:p>
      <w:pPr>
        <w:sectPr>
          <w:pgSz w:w="11900" w:h="16838" w:orient="portrait"/>
          <w:cols w:equalWidth="0" w:num="1">
            <w:col w:w="10219"/>
          </w:cols>
          <w:pgMar w:left="240" w:top="919" w:right="1440" w:bottom="1440" w:gutter="0" w:footer="0" w:header="0"/>
        </w:sectPr>
      </w:pPr>
    </w:p>
    <w:bookmarkStart w:id="71" w:name="page72"/>
    <w:bookmarkEnd w:id="71"/>
    <w:p>
      <w:pPr>
        <w:jc w:val="right"/>
        <w:ind w:right="1779"/>
        <w:spacing w:after="0"/>
        <w:rPr>
          <w:sz w:val="20"/>
          <w:szCs w:val="20"/>
          <w:color w:val="auto"/>
        </w:rPr>
      </w:pPr>
      <w:r>
        <w:rPr>
          <w:rFonts w:ascii="Courier New" w:cs="Courier New" w:eastAsia="Courier New" w:hAnsi="Courier New"/>
          <w:sz w:val="18"/>
          <w:szCs w:val="18"/>
          <w:color w:val="auto"/>
        </w:rPr>
        <w:t>Exhibit 21</w:t>
      </w:r>
    </w:p>
    <w:p>
      <w:pPr>
        <w:spacing w:after="0" w:line="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TEXAS INSTRUMENTS INCORPORATED AND SUBSIDIARIES</w:t>
      </w:r>
    </w:p>
    <w:p>
      <w:pPr>
        <w:ind w:left="2220"/>
        <w:spacing w:after="0" w:line="238" w:lineRule="auto"/>
        <w:rPr>
          <w:sz w:val="20"/>
          <w:szCs w:val="20"/>
          <w:color w:val="auto"/>
        </w:rPr>
      </w:pPr>
      <w:r>
        <w:rPr>
          <w:rFonts w:ascii="Courier New" w:cs="Courier New" w:eastAsia="Courier New" w:hAnsi="Courier New"/>
          <w:sz w:val="18"/>
          <w:szCs w:val="18"/>
          <w:color w:val="auto"/>
        </w:rPr>
        <w:t>LIST OF SUBSIDIARIES OF THE REGISTRANT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The following are</w:t>
            </w:r>
          </w:p>
        </w:tc>
        <w:tc>
          <w:tcPr>
            <w:tcW w:w="4380" w:type="dxa"/>
            <w:vAlign w:val="bottom"/>
          </w:tcPr>
          <w:p>
            <w:pPr>
              <w:spacing w:after="0"/>
              <w:rPr>
                <w:sz w:val="20"/>
                <w:szCs w:val="20"/>
                <w:color w:val="auto"/>
              </w:rPr>
            </w:pPr>
            <w:r>
              <w:rPr>
                <w:rFonts w:ascii="Courier New" w:cs="Courier New" w:eastAsia="Courier New" w:hAnsi="Courier New"/>
                <w:sz w:val="18"/>
                <w:szCs w:val="18"/>
                <w:color w:val="auto"/>
              </w:rPr>
              <w:t>current subsidiaries of the Registrant.</w:t>
            </w:r>
          </w:p>
        </w:tc>
        <w:tc>
          <w:tcPr>
            <w:tcW w:w="2060" w:type="dxa"/>
            <w:vAlign w:val="bottom"/>
          </w:tcPr>
          <w:p>
            <w:pPr>
              <w:spacing w:after="0"/>
              <w:rPr>
                <w:sz w:val="17"/>
                <w:szCs w:val="17"/>
                <w:color w:val="auto"/>
              </w:rPr>
            </w:pPr>
          </w:p>
        </w:tc>
      </w:tr>
      <w:tr>
        <w:trPr>
          <w:trHeight w:val="405"/>
        </w:trPr>
        <w:tc>
          <w:tcPr>
            <w:tcW w:w="6280" w:type="dxa"/>
            <w:vAlign w:val="bottom"/>
            <w:gridSpan w:val="2"/>
          </w:tcPr>
          <w:p>
            <w:pPr>
              <w:spacing w:after="0"/>
              <w:rPr>
                <w:sz w:val="20"/>
                <w:szCs w:val="20"/>
                <w:color w:val="auto"/>
              </w:rPr>
            </w:pPr>
            <w:r>
              <w:rPr>
                <w:rFonts w:ascii="Courier New" w:cs="Courier New" w:eastAsia="Courier New" w:hAnsi="Courier New"/>
                <w:sz w:val="18"/>
                <w:szCs w:val="18"/>
                <w:color w:val="auto"/>
              </w:rPr>
              <w:t>Subsidiary and Name Under Which Business is Done</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Where Organized</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0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6280" w:type="dxa"/>
            <w:vAlign w:val="bottom"/>
            <w:gridSpan w:val="2"/>
          </w:tcPr>
          <w:p>
            <w:pPr>
              <w:spacing w:after="0"/>
              <w:rPr>
                <w:sz w:val="20"/>
                <w:szCs w:val="20"/>
                <w:color w:val="auto"/>
              </w:rPr>
            </w:pPr>
            <w:r>
              <w:rPr>
                <w:rFonts w:ascii="Courier New" w:cs="Courier New" w:eastAsia="Courier New" w:hAnsi="Courier New"/>
                <w:sz w:val="18"/>
                <w:szCs w:val="18"/>
                <w:color w:val="auto"/>
              </w:rPr>
              <w:t>Auto Circuits, Inc.</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Massachusetts</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Automotive Sensors &amp; Controls Dresden GmbH</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Benchmarq Microelectronics Corporation of South Korea</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Burr-Brown AG</w:t>
            </w:r>
          </w:p>
        </w:tc>
        <w:tc>
          <w:tcPr>
            <w:tcW w:w="4380" w:type="dxa"/>
            <w:vAlign w:val="bottom"/>
          </w:tcPr>
          <w:p>
            <w:pPr>
              <w:spacing w:after="0"/>
              <w:rPr>
                <w:sz w:val="17"/>
                <w:szCs w:val="17"/>
                <w:color w:val="auto"/>
              </w:rPr>
            </w:pP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Switzerland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Burr-Brown Europe</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Burr-Brown Foreign Sales Corporation</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Barbados</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Burr-Brown International Holding Corporation</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Burr-Brown Ltd.</w:t>
            </w:r>
          </w:p>
        </w:tc>
        <w:tc>
          <w:tcPr>
            <w:tcW w:w="4380" w:type="dxa"/>
            <w:vAlign w:val="bottom"/>
          </w:tcPr>
          <w:p>
            <w:pPr>
              <w:spacing w:after="0"/>
              <w:rPr>
                <w:sz w:val="17"/>
                <w:szCs w:val="17"/>
                <w:color w:val="auto"/>
              </w:rPr>
            </w:pP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Cayman Islands</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Burr-Brown Pte Ltd.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Singapore</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Butterfly Communications Inc.</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European Engineering and Technologies S.p.A.</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Italy</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Fast Forward Technologies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ICOT International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I.I.I. Foreign Sales Corporation</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Barbados</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Intelligent Instrumentation GmbH</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Intelligent Instrumentation, Inc.</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Arizona</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Intelligent Instrumentation S.A.</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France</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Intelligent Instrumentation S.R.L.</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Italy</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Silicon Systems (Singapore) Pte Ltd.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Singapore</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Telogy Networks, Inc.</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Texas Instrumentos Eletronicos do Brasil Limitada</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Brazil</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Denmark</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Denmark</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Asia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Australia Pty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Australia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Automotive Sensors and Controls</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San Jose Inc.</w:t>
            </w:r>
          </w:p>
        </w:tc>
        <w:tc>
          <w:tcPr>
            <w:tcW w:w="43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(Bahamas)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Bahamas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Belgium S.A.</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Belgium</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Burlington Incorporated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Expansion GmbH</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Canada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Canada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(China) Company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China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China Incorporated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Copenhagen ApS</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Denmark</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 Mexico, S. de R.L. de C.V.</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Mexico</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Deutschland GmbH</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Electronic Systems Sdn. Bhd.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Malaysia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Espana, S.A.</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Spain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Finance GmbH &amp; Co. KG</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Sales Corporation</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Barbados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 S.A.</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France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Austria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Holland B.V.</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Netherlands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Hong Kong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Hong  Kong</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(India) Private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India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(Bermuda)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Bermuda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Capital Corporation</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(Overseas)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Trade Corporation</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(Ireland)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Ireland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Israel Ltd.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Israel</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Italia S.p.A.</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Italy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Japan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Japan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Korea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Korea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Malaysia Sdn. Bhd.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Malaysia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Oy</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Finland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Palo Alto Incorporated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California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(Philippines) Incorporated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Richardson LLC</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San Diego Incorporated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California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Santa Rosa Incorporated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California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(Shanghai) Co., Ltd.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China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Singapore (Pte) Limited</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Singapore</w:t>
            </w:r>
          </w:p>
        </w:tc>
      </w:tr>
    </w:tbl>
    <w:p>
      <w:pPr>
        <w:sectPr>
          <w:pgSz w:w="11900" w:h="16838" w:orient="portrait"/>
          <w:cols w:equalWidth="0" w:num="1">
            <w:col w:w="10219"/>
          </w:cols>
          <w:pgMar w:left="240" w:top="920" w:right="1440" w:bottom="0"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Texas Instruments Supply Company</w:t>
      </w:r>
    </w:p>
    <w:p>
      <w:pPr>
        <w:spacing w:after="0" w:line="238" w:lineRule="auto"/>
        <w:rPr>
          <w:sz w:val="20"/>
          <w:szCs w:val="20"/>
          <w:color w:val="auto"/>
        </w:rPr>
      </w:pPr>
      <w:r>
        <w:rPr>
          <w:rFonts w:ascii="Courier New" w:cs="Courier New" w:eastAsia="Courier New" w:hAnsi="Courier New"/>
          <w:sz w:val="18"/>
          <w:szCs w:val="18"/>
          <w:color w:val="auto"/>
        </w:rPr>
        <w:t>Texas Instruments Taiwan Limited</w:t>
      </w:r>
    </w:p>
    <w:p>
      <w:pPr>
        <w:spacing w:after="0"/>
        <w:rPr>
          <w:sz w:val="20"/>
          <w:szCs w:val="20"/>
          <w:color w:val="auto"/>
        </w:rPr>
      </w:pPr>
      <w:r>
        <w:rPr>
          <w:rFonts w:ascii="Courier New" w:cs="Courier New" w:eastAsia="Courier New" w:hAnsi="Courier New"/>
          <w:sz w:val="18"/>
          <w:szCs w:val="18"/>
          <w:color w:val="auto"/>
        </w:rPr>
        <w:t>Texas Instruments Trade &amp; Investment Company S.A.</w:t>
      </w:r>
    </w:p>
    <w:p>
      <w:pPr>
        <w:spacing w:after="0" w:line="237" w:lineRule="auto"/>
        <w:rPr>
          <w:sz w:val="20"/>
          <w:szCs w:val="20"/>
          <w:color w:val="auto"/>
        </w:rPr>
      </w:pPr>
      <w:r>
        <w:rPr>
          <w:rFonts w:ascii="Courier New" w:cs="Courier New" w:eastAsia="Courier New" w:hAnsi="Courier New"/>
          <w:sz w:val="18"/>
          <w:szCs w:val="18"/>
          <w:color w:val="auto"/>
        </w:rPr>
        <w:t>Texas Instruments Tucson Corporation</w:t>
      </w:r>
    </w:p>
    <w:p>
      <w:pPr>
        <w:spacing w:after="0" w:line="238" w:lineRule="auto"/>
        <w:rPr>
          <w:sz w:val="20"/>
          <w:szCs w:val="20"/>
          <w:color w:val="auto"/>
        </w:rPr>
      </w:pPr>
      <w:r>
        <w:rPr>
          <w:rFonts w:ascii="Courier New" w:cs="Courier New" w:eastAsia="Courier New" w:hAnsi="Courier New"/>
          <w:sz w:val="18"/>
          <w:szCs w:val="18"/>
          <w:color w:val="auto"/>
        </w:rPr>
        <w:t>TI Europe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 Information Engineering International Incorporated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Mexico Trade, S.A. de C.V.</w:t>
      </w:r>
    </w:p>
    <w:p>
      <w:pPr>
        <w:spacing w:after="0" w:line="238" w:lineRule="auto"/>
        <w:rPr>
          <w:sz w:val="20"/>
          <w:szCs w:val="20"/>
          <w:color w:val="auto"/>
        </w:rPr>
      </w:pPr>
      <w:r>
        <w:rPr>
          <w:rFonts w:ascii="Courier New" w:cs="Courier New" w:eastAsia="Courier New" w:hAnsi="Courier New"/>
          <w:sz w:val="18"/>
          <w:szCs w:val="18"/>
          <w:color w:val="auto"/>
        </w:rPr>
        <w:t>TI (Philippines), Inc.</w:t>
      </w:r>
    </w:p>
    <w:p>
      <w:pPr>
        <w:spacing w:after="0"/>
        <w:rPr>
          <w:sz w:val="20"/>
          <w:szCs w:val="20"/>
          <w:color w:val="auto"/>
        </w:rPr>
      </w:pPr>
      <w:r>
        <w:rPr>
          <w:rFonts w:ascii="Courier New" w:cs="Courier New" w:eastAsia="Courier New" w:hAnsi="Courier New"/>
          <w:sz w:val="18"/>
          <w:szCs w:val="18"/>
          <w:color w:val="auto"/>
        </w:rPr>
        <w:t>Unitrode Corporation</w:t>
      </w:r>
    </w:p>
    <w:p>
      <w:pPr>
        <w:spacing w:after="0" w:line="237" w:lineRule="auto"/>
        <w:rPr>
          <w:sz w:val="20"/>
          <w:szCs w:val="20"/>
          <w:color w:val="auto"/>
        </w:rPr>
      </w:pPr>
      <w:r>
        <w:rPr>
          <w:rFonts w:ascii="Courier New" w:cs="Courier New" w:eastAsia="Courier New" w:hAnsi="Courier New"/>
          <w:sz w:val="18"/>
          <w:szCs w:val="18"/>
          <w:color w:val="auto"/>
        </w:rPr>
        <w:t>Unitrode Electronics Asia Limited</w:t>
      </w:r>
    </w:p>
    <w:p>
      <w:pPr>
        <w:spacing w:after="0" w:line="238" w:lineRule="auto"/>
        <w:rPr>
          <w:sz w:val="20"/>
          <w:szCs w:val="20"/>
          <w:color w:val="auto"/>
        </w:rPr>
      </w:pPr>
      <w:r>
        <w:rPr>
          <w:rFonts w:ascii="Courier New" w:cs="Courier New" w:eastAsia="Courier New" w:hAnsi="Courier New"/>
          <w:sz w:val="18"/>
          <w:szCs w:val="18"/>
          <w:color w:val="auto"/>
        </w:rPr>
        <w:t>Unitrode Electronics GmbH</w:t>
      </w:r>
    </w:p>
    <w:p>
      <w:pPr>
        <w:spacing w:after="0"/>
        <w:rPr>
          <w:sz w:val="20"/>
          <w:szCs w:val="20"/>
          <w:color w:val="auto"/>
        </w:rPr>
      </w:pPr>
      <w:r>
        <w:rPr>
          <w:rFonts w:ascii="Courier New" w:cs="Courier New" w:eastAsia="Courier New" w:hAnsi="Courier New"/>
          <w:sz w:val="18"/>
          <w:szCs w:val="18"/>
          <w:color w:val="auto"/>
        </w:rPr>
        <w:t>Unitrode Electronics (Singapore) Pte Ltd.</w:t>
      </w:r>
    </w:p>
    <w:p>
      <w:pPr>
        <w:spacing w:after="0" w:line="237" w:lineRule="auto"/>
        <w:rPr>
          <w:sz w:val="20"/>
          <w:szCs w:val="20"/>
          <w:color w:val="auto"/>
        </w:rPr>
      </w:pPr>
      <w:r>
        <w:rPr>
          <w:rFonts w:ascii="Courier New" w:cs="Courier New" w:eastAsia="Courier New" w:hAnsi="Courier New"/>
          <w:sz w:val="18"/>
          <w:szCs w:val="18"/>
          <w:color w:val="auto"/>
        </w:rPr>
        <w:t>Unitrode-Maine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Texas</w:t>
      </w:r>
    </w:p>
    <w:p>
      <w:pPr>
        <w:spacing w:after="0" w:line="238" w:lineRule="auto"/>
        <w:rPr>
          <w:sz w:val="20"/>
          <w:szCs w:val="20"/>
          <w:color w:val="auto"/>
        </w:rPr>
      </w:pPr>
      <w:r>
        <w:rPr>
          <w:rFonts w:ascii="Courier New" w:cs="Courier New" w:eastAsia="Courier New" w:hAnsi="Courier New"/>
          <w:sz w:val="18"/>
          <w:szCs w:val="18"/>
          <w:color w:val="auto"/>
        </w:rPr>
        <w:t>Taiwan</w:t>
      </w:r>
    </w:p>
    <w:p>
      <w:pPr>
        <w:spacing w:after="0"/>
        <w:rPr>
          <w:sz w:val="20"/>
          <w:szCs w:val="20"/>
          <w:color w:val="auto"/>
        </w:rPr>
      </w:pPr>
      <w:r>
        <w:rPr>
          <w:rFonts w:ascii="Courier New" w:cs="Courier New" w:eastAsia="Courier New" w:hAnsi="Courier New"/>
          <w:sz w:val="18"/>
          <w:szCs w:val="18"/>
          <w:color w:val="auto"/>
        </w:rPr>
        <w:t>Panama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Mexico</w:t>
      </w:r>
    </w:p>
    <w:p>
      <w:pPr>
        <w:spacing w:after="0"/>
        <w:rPr>
          <w:sz w:val="20"/>
          <w:szCs w:val="20"/>
          <w:color w:val="auto"/>
        </w:rPr>
      </w:pPr>
      <w:r>
        <w:rPr>
          <w:rFonts w:ascii="Courier New" w:cs="Courier New" w:eastAsia="Courier New" w:hAnsi="Courier New"/>
          <w:sz w:val="18"/>
          <w:szCs w:val="18"/>
          <w:color w:val="auto"/>
        </w:rPr>
        <w:t>Philippines</w:t>
      </w:r>
    </w:p>
    <w:p>
      <w:pPr>
        <w:spacing w:after="0" w:line="237" w:lineRule="auto"/>
        <w:rPr>
          <w:sz w:val="20"/>
          <w:szCs w:val="20"/>
          <w:color w:val="auto"/>
        </w:rPr>
      </w:pPr>
      <w:r>
        <w:rPr>
          <w:rFonts w:ascii="Courier New" w:cs="Courier New" w:eastAsia="Courier New" w:hAnsi="Courier New"/>
          <w:sz w:val="18"/>
          <w:szCs w:val="18"/>
          <w:color w:val="auto"/>
        </w:rPr>
        <w:t>Maryland</w:t>
      </w:r>
    </w:p>
    <w:p>
      <w:pPr>
        <w:spacing w:after="0" w:line="238" w:lineRule="auto"/>
        <w:rPr>
          <w:sz w:val="20"/>
          <w:szCs w:val="20"/>
          <w:color w:val="auto"/>
        </w:rPr>
      </w:pPr>
      <w:r>
        <w:rPr>
          <w:rFonts w:ascii="Courier New" w:cs="Courier New" w:eastAsia="Courier New" w:hAnsi="Courier New"/>
          <w:sz w:val="18"/>
          <w:szCs w:val="18"/>
          <w:color w:val="auto"/>
        </w:rPr>
        <w:t>Hong Kong</w:t>
      </w:r>
    </w:p>
    <w:p>
      <w:pPr>
        <w:spacing w:after="0"/>
        <w:rPr>
          <w:sz w:val="20"/>
          <w:szCs w:val="20"/>
          <w:color w:val="auto"/>
        </w:rPr>
      </w:pPr>
      <w:r>
        <w:rPr>
          <w:rFonts w:ascii="Courier New" w:cs="Courier New" w:eastAsia="Courier New" w:hAnsi="Courier New"/>
          <w:sz w:val="18"/>
          <w:szCs w:val="18"/>
          <w:color w:val="auto"/>
        </w:rPr>
        <w:t>Germany</w:t>
      </w:r>
    </w:p>
    <w:p>
      <w:pPr>
        <w:spacing w:after="0" w:line="237" w:lineRule="auto"/>
        <w:rPr>
          <w:sz w:val="20"/>
          <w:szCs w:val="20"/>
          <w:color w:val="auto"/>
        </w:rPr>
      </w:pPr>
      <w:r>
        <w:rPr>
          <w:rFonts w:ascii="Courier New" w:cs="Courier New" w:eastAsia="Courier New" w:hAnsi="Courier New"/>
          <w:sz w:val="18"/>
          <w:szCs w:val="18"/>
          <w:color w:val="auto"/>
        </w:rPr>
        <w:t>Singapore</w:t>
      </w:r>
    </w:p>
    <w:p>
      <w:pPr>
        <w:spacing w:after="0"/>
        <w:rPr>
          <w:sz w:val="20"/>
          <w:szCs w:val="20"/>
          <w:color w:val="auto"/>
        </w:rPr>
      </w:pPr>
      <w:r>
        <w:rPr>
          <w:rFonts w:ascii="Courier New" w:cs="Courier New" w:eastAsia="Courier New" w:hAnsi="Courier New"/>
          <w:sz w:val="18"/>
          <w:szCs w:val="18"/>
          <w:color w:val="auto"/>
        </w:rPr>
        <w:t>Maine</w:t>
      </w:r>
    </w:p>
    <w:p>
      <w:pPr>
        <w:sectPr>
          <w:pgSz w:w="11900" w:h="16838" w:orient="portrait"/>
          <w:cols w:equalWidth="0" w:num="2">
            <w:col w:w="5920" w:space="720"/>
            <w:col w:w="3579"/>
          </w:cols>
          <w:pgMar w:left="240" w:top="136" w:right="1440" w:bottom="1440" w:gutter="0" w:footer="0" w:header="0"/>
        </w:sectPr>
      </w:pPr>
    </w:p>
    <w:bookmarkStart w:id="73" w:name="page74"/>
    <w:bookmarkEnd w:id="73"/>
    <w:p>
      <w:pPr>
        <w:ind w:left="7280"/>
        <w:spacing w:after="0"/>
        <w:rPr>
          <w:sz w:val="20"/>
          <w:szCs w:val="20"/>
          <w:color w:val="auto"/>
        </w:rPr>
      </w:pPr>
      <w:r>
        <w:rPr>
          <w:rFonts w:ascii="Courier New" w:cs="Courier New" w:eastAsia="Courier New" w:hAnsi="Courier New"/>
          <w:sz w:val="18"/>
          <w:szCs w:val="18"/>
          <w:color w:val="auto"/>
        </w:rPr>
        <w:t>Exhibit 23</w:t>
      </w:r>
    </w:p>
    <w:p>
      <w:pPr>
        <w:ind w:left="7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Annual Report on Form 10-K of Texas Instruments Incorporated of our report dated January 28, 2002, included in the proxy statement for the 2002 annual meeting of stockholders of Texas Instruments Incorporated.</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Our audits also included the financial statement schedule of Texas Instruments Incorporated listed in Item 14(a). This schedule is the responsibility of the Registrant's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18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We also consent to the incorporation by reference in the following registration statements, and in the related prospectuses thereto, of our report dated January 28, 2002 with respect to the consolidated financial statements and schedule of Texas Instruments Incorporated, included in or incorporated by reference in this Annual Report on Form 10-K for the year ended December 31, 2001: Registration Statements (Forms S-8) No. 33-61154, No. 33-21407 (as amended), No. 33-42172, No. 33-54615, No. 333-07127 (as amended), No. 333-41913, No. 333-41919, No.</w:t>
      </w:r>
    </w:p>
    <w:p>
      <w:pPr>
        <w:spacing w:after="0" w:line="1"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333-31319, No.333-31321 (as amended), No. 333-31323, No. 333-48389, and No. 333-44662, and Registration Statements (Forms S-3) No. 333-03571,</w:t>
      </w:r>
    </w:p>
    <w:p>
      <w:pPr>
        <w:ind w:right="1999"/>
        <w:spacing w:after="0" w:line="236" w:lineRule="auto"/>
        <w:rPr>
          <w:sz w:val="20"/>
          <w:szCs w:val="20"/>
          <w:color w:val="auto"/>
        </w:rPr>
      </w:pPr>
      <w:r>
        <w:rPr>
          <w:rFonts w:ascii="Courier New" w:cs="Courier New" w:eastAsia="Courier New" w:hAnsi="Courier New"/>
          <w:sz w:val="18"/>
          <w:szCs w:val="18"/>
          <w:color w:val="auto"/>
        </w:rPr>
        <w:t>No. 333-93011, No. 333-37208, and No. 333-44572 (as amended), and Registration Statements (Forms S-4) No. 333-89433, No. 333-89097, No. 333-87199, No. 333-80157, and No. 333-41030 (as amended).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27, 2002</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ERNST &amp; YOUNG LLP</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1."/>
      <w:numFmt w:val="decimal"/>
      <w:start w:val="3"/>
    </w:lvl>
  </w:abstractNum>
  <w:abstractNum w:abstractNumId="11">
    <w:nsid w:val="4B588F54"/>
    <w:multiLevelType w:val="hybridMultilevel"/>
    <w:lvl w:ilvl="0">
      <w:lvlJc w:val="left"/>
      <w:lvlText w:val="2"/>
      <w:numFmt w:val="bullet"/>
      <w:start w:val="1"/>
    </w:lvl>
  </w:abstractNum>
  <w:abstractNum w:abstractNumId="12">
    <w:nsid w:val="542289EC"/>
    <w:multiLevelType w:val="hybridMultilevel"/>
    <w:lvl w:ilvl="0">
      <w:lvlJc w:val="left"/>
      <w:lvlText w:val="%1"/>
      <w:numFmt w:val="decimal"/>
      <w:start w:val="11"/>
    </w:lvl>
  </w:abstractNum>
  <w:abstractNum w:abstractNumId="13">
    <w:nsid w:val="6DE91B18"/>
    <w:multiLevelType w:val="hybridMultilevel"/>
    <w:lvl w:ilvl="0">
      <w:lvlJc w:val="left"/>
      <w:lvlText w:val="%1"/>
      <w:numFmt w:val="decimal"/>
      <w:start w:val="13"/>
    </w:lvl>
  </w:abstractNum>
  <w:abstractNum w:abstractNumId="14">
    <w:nsid w:val="38437FDB"/>
    <w:multiLevelType w:val="hybridMultilevel"/>
    <w:lvl w:ilvl="0">
      <w:lvlJc w:val="left"/>
      <w:lvlText w:val="-"/>
      <w:numFmt w:val="bullet"/>
      <w:start w:val="1"/>
    </w:lvl>
    <w:lvl w:ilvl="1">
      <w:lvlJc w:val="left"/>
      <w:lvlText w:val="%2"/>
      <w:numFmt w:val="decimal"/>
      <w:start w:val="21"/>
    </w:lvl>
  </w:abstractNum>
  <w:abstractNum w:abstractNumId="15">
    <w:nsid w:val="7644A45C"/>
    <w:multiLevelType w:val="hybridMultilevel"/>
    <w:lvl w:ilvl="0">
      <w:lvlJc w:val="left"/>
      <w:lvlText w:val="-"/>
      <w:numFmt w:val="bullet"/>
      <w:start w:val="1"/>
    </w:lvl>
    <w:lvl w:ilvl="1">
      <w:lvlJc w:val="left"/>
      <w:lvlText w:val="%2"/>
      <w:numFmt w:val="decimal"/>
      <w:start w:val="23"/>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1."/>
      <w:numFmt w:val="upperLetter"/>
      <w:start w:val="35"/>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1."/>
      <w:numFmt w:val="decimal"/>
      <w:start w:val="3"/>
    </w:lvl>
  </w:abstractNum>
  <w:abstractNum w:abstractNumId="25">
    <w:nsid w:val="70C6A529"/>
    <w:multiLevelType w:val="hybridMultilevel"/>
    <w:lvl w:ilvl="0">
      <w:lvlJc w:val="left"/>
      <w:lvlText w:val="%1."/>
      <w:numFmt w:val="decimal"/>
      <w:start w:val="4"/>
    </w:lvl>
  </w:abstractNum>
  <w:abstractNum w:abstractNumId="26">
    <w:nsid w:val="520EEDD1"/>
    <w:multiLevelType w:val="hybridMultilevel"/>
    <w:lvl w:ilvl="0">
      <w:lvlJc w:val="left"/>
      <w:lvlText w:val="%1."/>
      <w:numFmt w:val="decimal"/>
      <w:start w:val="5"/>
    </w:lvl>
  </w:abstractNum>
  <w:abstractNum w:abstractNumId="27">
    <w:nsid w:val="374A3FE6"/>
    <w:multiLevelType w:val="hybridMultilevel"/>
    <w:lvl w:ilvl="0">
      <w:lvlJc w:val="left"/>
      <w:lvlText w:val="&quot;"/>
      <w:numFmt w:val="bullet"/>
      <w:start w:val="1"/>
    </w:lvl>
  </w:abstractNum>
  <w:abstractNum w:abstractNumId="28">
    <w:nsid w:val="4F4EF005"/>
    <w:multiLevelType w:val="hybridMultilevel"/>
    <w:lvl w:ilvl="0">
      <w:lvlJc w:val="left"/>
      <w:lvlText w:val="%1."/>
      <w:numFmt w:val="decimal"/>
      <w:start w:val="6"/>
    </w:lvl>
  </w:abstractNum>
  <w:abstractNum w:abstractNumId="29">
    <w:nsid w:val="23F9C13C"/>
    <w:multiLevelType w:val="hybridMultilevel"/>
    <w:lvl w:ilvl="0">
      <w:lvlJc w:val="left"/>
      <w:lvlText w:val="%1."/>
      <w:numFmt w:val="decimal"/>
      <w:start w:val="7"/>
    </w:lvl>
  </w:abstractNum>
  <w:abstractNum w:abstractNumId="30">
    <w:nsid w:val="649BB77C"/>
    <w:multiLevelType w:val="hybridMultilevel"/>
    <w:lvl w:ilvl="0">
      <w:lvlJc w:val="left"/>
      <w:lvlText w:val="%1."/>
      <w:numFmt w:val="decimal"/>
      <w:start w:val="8"/>
    </w:lvl>
  </w:abstractNum>
  <w:abstractNum w:abstractNumId="31">
    <w:nsid w:val="275AC794"/>
    <w:multiLevelType w:val="hybridMultilevel"/>
    <w:lvl w:ilvl="0">
      <w:lvlJc w:val="left"/>
      <w:lvlText w:val="(%1)"/>
      <w:numFmt w:val="lowerRoman"/>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1)"/>
      <w:numFmt w:val="decimal"/>
      <w:start w:val="10"/>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lvl w:ilvl="1">
      <w:lvlJc w:val="left"/>
      <w:lvlText w:val="(%2)"/>
      <w:numFmt w:val="lowerRoman"/>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lvl w:ilvl="1">
      <w:lvlJc w:val="left"/>
      <w:lvlText w:val="(%2)"/>
      <w:numFmt w:val="lowerRoman"/>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lvl w:ilvl="1">
      <w:lvlJc w:val="left"/>
      <w:lvlText w:val="(%2)"/>
      <w:numFmt w:val="lowerRoman"/>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1"/>
      <w:numFmt w:val="lowerRoman"/>
      <w:start w:val="1"/>
    </w:lvl>
    <w:lvl w:ilvl="1">
      <w:lvlJc w:val="left"/>
      <w:lvlText w:val="(%2)"/>
      <w:numFmt w:val="lowerRoman"/>
      <w:start w:val="1"/>
    </w:lvl>
  </w:abstractNum>
  <w:abstractNum w:abstractNumId="52">
    <w:nsid w:val="4AD084E9"/>
    <w:multiLevelType w:val="hybridMultilevel"/>
    <w:lvl w:ilvl="0">
      <w:lvlJc w:val="left"/>
      <w:lvlText w:val="(%1)"/>
      <w:numFmt w:val="lowerRoman"/>
      <w:start w:val="3"/>
    </w:lvl>
    <w:lvl w:ilvl="1">
      <w:lvlJc w:val="left"/>
      <w:lvlText w:val="%2"/>
      <w:numFmt w:val="lowerRoman"/>
      <w:start w:val="1"/>
    </w:lvl>
  </w:abstractNum>
  <w:abstractNum w:abstractNumId="53">
    <w:nsid w:val="1F48EAA1"/>
    <w:multiLevelType w:val="hybridMultilevel"/>
    <w:lvl w:ilvl="0">
      <w:lvlJc w:val="left"/>
      <w:lvlText w:val="(%1)"/>
      <w:numFmt w:val="lowerRoman"/>
      <w:start w:val="1"/>
    </w:lvl>
  </w:abstractNum>
  <w:abstractNum w:abstractNumId="54">
    <w:nsid w:val="1381823A"/>
    <w:multiLevelType w:val="hybridMultilevel"/>
    <w:lvl w:ilvl="0">
      <w:lvlJc w:val="left"/>
      <w:lvlText w:val="(%1)"/>
      <w:numFmt w:val="lowerRoman"/>
      <w:start w:val="3"/>
    </w:lvl>
  </w:abstractNum>
  <w:abstractNum w:abstractNumId="55">
    <w:nsid w:val="5DB70AE5"/>
    <w:multiLevelType w:val="hybridMultilevel"/>
    <w:lvl w:ilvl="0">
      <w:lvlJc w:val="left"/>
      <w:lvlText w:val="(%1)"/>
      <w:numFmt w:val="lowerRoman"/>
      <w:start w:val="1"/>
    </w:lvl>
    <w:lvl w:ilvl="1">
      <w:lvlJc w:val="left"/>
      <w:lvlText w:val="(%2)"/>
      <w:numFmt w:val="lowerRoman"/>
      <w:start w:val="2"/>
    </w:lvl>
  </w:abstractNum>
  <w:abstractNum w:abstractNumId="56">
    <w:nsid w:val="100F8FCA"/>
    <w:multiLevelType w:val="hybridMultilevel"/>
    <w:lvl w:ilvl="0">
      <w:lvlJc w:val="left"/>
      <w:lvlText w:val="(%1)"/>
      <w:numFmt w:val="lowerRoman"/>
      <w:start w:val="3"/>
    </w:lvl>
    <w:lvl w:ilvl="1">
      <w:lvlJc w:val="left"/>
      <w:lvlText w:val="%2"/>
      <w:numFmt w:val="lowerRoman"/>
      <w:start w:val="1"/>
    </w:lvl>
  </w:abstractNum>
  <w:abstractNum w:abstractNumId="57">
    <w:nsid w:val="6590700B"/>
    <w:multiLevelType w:val="hybridMultilevel"/>
    <w:lvl w:ilvl="0">
      <w:lvlJc w:val="left"/>
      <w:lvlText w:val="(%1)"/>
      <w:numFmt w:val="lowerRoman"/>
      <w:start w:val="1"/>
    </w:lvl>
    <w:lvl w:ilvl="1">
      <w:lvlJc w:val="left"/>
      <w:lvlText w:val="(%2)"/>
      <w:numFmt w:val="decimal"/>
      <w:start w:val="24"/>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1)"/>
      <w:numFmt w:val="decimal"/>
      <w:start w:val="10"/>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lvl w:ilvl="1">
      <w:lvlJc w:val="left"/>
      <w:lvlText w:val="(%2)"/>
      <w:numFmt w:val="lowerRoman"/>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lvl w:ilvl="1">
      <w:lvlJc w:val="left"/>
      <w:lvlText w:val="(%2)"/>
      <w:numFmt w:val="lowerRoman"/>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lvl w:ilvl="1">
      <w:lvlJc w:val="left"/>
      <w:lvlText w:val="(%2)"/>
      <w:numFmt w:val="lowerRoman"/>
      <w:start w:val="1"/>
    </w:lvl>
  </w:abstractNum>
  <w:abstractNum w:abstractNumId="73">
    <w:nsid w:val="11447B73"/>
    <w:multiLevelType w:val="hybridMultilevel"/>
    <w:lvl w:ilvl="0">
      <w:lvlJc w:val="left"/>
      <w:lvlText w:val="-"/>
      <w:numFmt w:val="bullet"/>
      <w:start w:val="1"/>
    </w:lvl>
    <w:lvl w:ilvl="1">
      <w:lvlJc w:val="left"/>
      <w:lvlText w:val="(%2)"/>
      <w:numFmt w:val="lowerRoman"/>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2019-12-11T19:28:22Z</dcterms:created>
  <dcterms:modified xsi:type="dcterms:W3CDTF">2019-12-11T19:28:22Z</dcterms:modified>
</cp:coreProperties>
</file>