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365125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DATE OF REPORT (DATE OF EARLIEST EVENT REPORTED): July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401955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00"/>
          </w:cols>
          <w:pgMar w:left="240" w:top="1440" w:right="259" w:bottom="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3160"/>
          </w:cols>
          <w:pgMar w:left="240" w:top="1440"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00"/>
          </w:cols>
          <w:pgMar w:left="240" w:top="1440" w:right="259" w:bottom="0" w:gutter="0" w:footer="0" w:header="0"/>
          <w:type w:val="continuous"/>
        </w:sect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377825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Registrant’s news release dated July 23, 2012, regarding its second-quarter 2012 results of operations and financial condition is attached hereto as Exhibit 99 and is incorporated by reference herein.</w:t>
      </w:r>
    </w:p>
    <w:p>
      <w:pPr>
        <w:sectPr>
          <w:pgSz w:w="11900" w:h="16838" w:orient="portrait"/>
          <w:cols w:equalWidth="0" w:num="1">
            <w:col w:w="11400"/>
          </w:cols>
          <w:pgMar w:left="240" w:top="1440" w:right="259" w:bottom="0" w:gutter="0" w:footer="0" w:header="0"/>
          <w:type w:val="continuous"/>
        </w:sectPr>
      </w:pP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color w:val="auto"/>
        </w:rPr>
        <w:t>ITEM 9.01. Exhibits</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Designation</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18"/>
          <w:szCs w:val="18"/>
          <w:color w:val="auto"/>
        </w:rPr>
        <w:t>of Exhibit</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color w:val="auto"/>
        </w:rPr>
        <w:t>in this</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893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7715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1515" cy="1714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1620" w:space="720"/>
            <w:col w:w="9060"/>
          </w:cols>
          <w:pgMar w:left="240" w:top="1440" w:right="259" w:bottom="0" w:gutter="0" w:footer="0" w:header="0"/>
          <w:type w:val="continuous"/>
        </w:sectPr>
      </w:pPr>
    </w:p>
    <w:p>
      <w:pPr>
        <w:ind w:left="2340" w:hanging="1328"/>
        <w:spacing w:after="0"/>
        <w:tabs>
          <w:tab w:leader="none" w:pos="2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6"/>
          <w:szCs w:val="16"/>
          <w:color w:val="auto"/>
        </w:rPr>
        <w:t>Dated July 23, 2012 (furnished pursuant to Item 2.02)</w:t>
      </w:r>
    </w:p>
    <w:p>
      <w:pPr>
        <w:sectPr>
          <w:pgSz w:w="11900" w:h="16838" w:orient="portrait"/>
          <w:cols w:equalWidth="0" w:num="1">
            <w:col w:w="11400"/>
          </w:cols>
          <w:pgMar w:left="240" w:top="1440"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and consumer electronics;</w:t>
      </w:r>
    </w:p>
    <w:p>
      <w:pPr>
        <w:spacing w:after="0" w:line="23" w:lineRule="exact"/>
        <w:rPr>
          <w:rFonts w:ascii="Arial" w:cs="Arial" w:eastAsia="Arial" w:hAnsi="Arial"/>
          <w:sz w:val="18"/>
          <w:szCs w:val="18"/>
          <w:color w:val="auto"/>
        </w:rPr>
      </w:pPr>
    </w:p>
    <w:p>
      <w:pPr>
        <w:ind w:left="240" w:right="40" w:hanging="110"/>
        <w:spacing w:after="0" w:line="250"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240" w:right="220" w:hanging="110"/>
        <w:spacing w:after="0" w:line="281" w:lineRule="auto"/>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6"/>
          <w:szCs w:val="16"/>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240" w:right="260" w:hanging="110"/>
        <w:spacing w:after="0" w:line="250"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240" w:right="320" w:hanging="110"/>
        <w:spacing w:after="0" w:line="281" w:lineRule="auto"/>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240" w:hanging="110"/>
        <w:spacing w:after="0"/>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240" w:hanging="110"/>
        <w:spacing w:after="0"/>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240" w:right="80" w:hanging="110"/>
        <w:spacing w:after="0" w:line="250"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240" w:hanging="110"/>
        <w:spacing w:after="0" w:line="250"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240" w:hanging="11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July 23,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20"/>
          </w:cols>
          <w:pgMar w:left="240" w:top="368" w:right="339" w:bottom="1440" w:gutter="0" w:footer="0" w:header="0"/>
        </w:sectPr>
      </w:pPr>
    </w:p>
    <w:bookmarkStart w:id="2" w:name="page3"/>
    <w:bookmarkEnd w:id="2"/>
    <w:p>
      <w:pPr>
        <w:spacing w:after="0" w:line="23"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2Q12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DALLAS (July 23, 2012) – Texas Instruments Incorporated (TI) (NASDAQ: TXN) today announced second-quarter revenue of $3.34 billion, net income of $446 million and earnings per share of 38 cents. EPS includes 6 cents of charges associated with the company’s September 2011 acquisition of National Semiconductor and restructuring.</w:t>
      </w:r>
    </w:p>
    <w:p>
      <w:pPr>
        <w:spacing w:after="0" w:line="2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“TI revenue in the second quarter was about as we had expected,” said Rich Templeton, TI’s chairman, president and CEO. “Our Analog and Embedded Processing segments grew sequentially, while our Wireless segment declined.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“Although we believe customers and distributors have low inventory levels, the global economic environment is causing both to become increasingly cautious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placing new orders. Our backlog grew last quarter but orders slowed in the month of June and our backlog coverage for September is lower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normal. As a result of this increased uncertainty, we currently estimate that our revenue in the third quarter will be about even with last quarter and below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seasonal average growth rate. If customer demand increases as the quarter progresses, we are ready to support higher shipments with short product lead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times, a strong inventory position and available manufacturing capacity.</w:t>
      </w:r>
    </w:p>
    <w:p>
      <w:pPr>
        <w:spacing w:after="0" w:line="23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meantime, we remain focused on strengthening our market positions in Analog and Embedded Processing. These areas are complementary and benefit from TI’s extensive and expanding relationships with customers around the world. As we continue to broaden our portfolio of leadership products, especially our standard catalog products, we enhance our ability to serve these customers.”</w:t>
      </w:r>
    </w:p>
    <w:p>
      <w:pPr>
        <w:sectPr>
          <w:pgSz w:w="11900" w:h="16861" w:orient="portrait"/>
          <w:cols w:equalWidth="0" w:num="1">
            <w:col w:w="11420"/>
          </w:cols>
          <w:pgMar w:left="240" w:top="361" w:right="239" w:bottom="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2Q12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are in millions of dollars, except per-share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2Q12</w:t>
            </w:r>
          </w:p>
        </w:tc>
        <w:tc>
          <w:tcPr>
            <w:tcW w:w="240" w:type="dxa"/>
            <w:vAlign w:val="bottom"/>
          </w:tcPr>
          <w:p>
            <w:pPr>
              <w:spacing w:after="0"/>
              <w:rPr>
                <w:sz w:val="20"/>
                <w:szCs w:val="20"/>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542861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861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542861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2861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542861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6"/>
              </w:rPr>
              <w:t>2Q11</w:t>
            </w:r>
          </w:p>
        </w:tc>
        <w:tc>
          <w:tcPr>
            <w:tcW w:w="680" w:type="dxa"/>
            <w:vAlign w:val="bottom"/>
          </w:tcPr>
          <w:p>
            <w:pPr>
              <w:jc w:val="right"/>
              <w:spacing w:after="0"/>
              <w:rPr>
                <w:sz w:val="20"/>
                <w:szCs w:val="20"/>
                <w:color w:val="auto"/>
              </w:rPr>
            </w:pPr>
            <w:r>
              <w:rPr>
                <w:rFonts w:ascii="Arial" w:cs="Arial" w:eastAsia="Arial" w:hAnsi="Arial"/>
                <w:sz w:val="18"/>
                <w:szCs w:val="18"/>
                <w:color w:val="auto"/>
              </w:rPr>
              <w:t>Change</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1Q12</w:t>
            </w: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60" w:type="dxa"/>
            <w:vAlign w:val="bottom"/>
            <w:vMerge w:val="restart"/>
          </w:tcPr>
          <w:p>
            <w:pPr>
              <w:jc w:val="right"/>
              <w:ind w:right="170"/>
              <w:spacing w:after="0"/>
              <w:rPr>
                <w:sz w:val="20"/>
                <w:szCs w:val="20"/>
                <w:color w:val="auto"/>
              </w:rPr>
            </w:pPr>
            <w:r>
              <w:rPr>
                <w:rFonts w:ascii="Arial" w:cs="Arial" w:eastAsia="Arial" w:hAnsi="Arial"/>
                <w:sz w:val="18"/>
                <w:szCs w:val="18"/>
                <w:color w:val="auto"/>
                <w:w w:val="84"/>
              </w:rPr>
              <w:t>3,458</w:t>
            </w:r>
          </w:p>
        </w:tc>
        <w:tc>
          <w:tcPr>
            <w:tcW w:w="680" w:type="dxa"/>
            <w:vAlign w:val="bottom"/>
            <w:shd w:val="clear" w:color="auto" w:fill="000000"/>
          </w:tcPr>
          <w:p>
            <w:pPr>
              <w:spacing w:after="0"/>
              <w:rPr>
                <w:sz w:val="2"/>
                <w:szCs w:val="2"/>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000000"/>
          </w:tcPr>
          <w:p>
            <w:pPr>
              <w:spacing w:after="0"/>
              <w:rPr>
                <w:sz w:val="2"/>
                <w:szCs w:val="2"/>
                <w:color w:val="auto"/>
              </w:rPr>
            </w:pPr>
          </w:p>
        </w:tc>
        <w:tc>
          <w:tcPr>
            <w:tcW w:w="24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60" w:type="dxa"/>
            <w:vAlign w:val="bottom"/>
            <w:vMerge w:val="continue"/>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-4</w:t>
            </w:r>
          </w:p>
        </w:tc>
        <w:tc>
          <w:tcPr>
            <w:tcW w:w="440" w:type="dxa"/>
            <w:vAlign w:val="bottom"/>
            <w:vMerge w:val="continue"/>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3,121</w:t>
            </w:r>
          </w:p>
        </w:tc>
        <w:tc>
          <w:tcPr>
            <w:tcW w:w="240" w:type="dxa"/>
            <w:vAlign w:val="bottom"/>
            <w:vMerge w:val="continue"/>
          </w:tcPr>
          <w:p>
            <w:pPr>
              <w:spacing w:after="0"/>
              <w:rPr>
                <w:sz w:val="17"/>
                <w:szCs w:val="17"/>
                <w:color w:val="auto"/>
              </w:rPr>
            </w:pP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ind w:right="170"/>
              <w:spacing w:after="0"/>
              <w:rPr>
                <w:sz w:val="20"/>
                <w:szCs w:val="20"/>
                <w:color w:val="auto"/>
              </w:rPr>
            </w:pPr>
            <w:r>
              <w:rPr>
                <w:rFonts w:ascii="Arial" w:cs="Arial" w:eastAsia="Arial" w:hAnsi="Arial"/>
                <w:sz w:val="18"/>
                <w:szCs w:val="18"/>
                <w:color w:val="auto"/>
              </w:rPr>
              <w:t>905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-34 %</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ind w:right="170"/>
              <w:spacing w:after="0"/>
              <w:rPr>
                <w:sz w:val="20"/>
                <w:szCs w:val="20"/>
                <w:color w:val="auto"/>
              </w:rPr>
            </w:pPr>
            <w:r>
              <w:rPr>
                <w:rFonts w:ascii="Arial" w:cs="Arial" w:eastAsia="Arial" w:hAnsi="Arial"/>
                <w:sz w:val="18"/>
                <w:szCs w:val="18"/>
                <w:color w:val="auto"/>
              </w:rPr>
              <w:t>672</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-34 %</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-32 %</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ind w:right="170"/>
              <w:spacing w:after="0"/>
              <w:rPr>
                <w:sz w:val="20"/>
                <w:szCs w:val="20"/>
                <w:color w:val="auto"/>
              </w:rPr>
            </w:pPr>
            <w:r>
              <w:rPr>
                <w:rFonts w:ascii="Arial" w:cs="Arial" w:eastAsia="Arial" w:hAnsi="Arial"/>
                <w:sz w:val="18"/>
                <w:szCs w:val="18"/>
                <w:color w:val="auto"/>
              </w:rPr>
              <w:t>629</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7 %</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1" w:orient="portrait"/>
          <w:cols w:equalWidth="0" w:num="2">
            <w:col w:w="4500" w:space="260"/>
            <w:col w:w="6660"/>
          </w:cols>
          <w:pgMar w:left="240" w:top="361" w:right="239" w:bottom="0" w:gutter="0" w:footer="0" w:header="0"/>
          <w:type w:val="continuous"/>
        </w:sectPr>
      </w:pPr>
    </w:p>
    <w:p>
      <w:pPr>
        <w:spacing w:after="0" w:line="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Acquisition charges associated with TI’s acquisition of National Semiconductor (now referred to as Silicon Valley Analog in TI’s Analog segment) are $104 million in the second quarter and include amortization of intangibles, retention bonuses and other items. Results also include $13 million of restructuring charges associated with the planned closings of two older factories announced in January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Compared with a year ago, lower gross profit in the quarter primarily reflects lower revenue and the associated costs from low levels of factory</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utilization. Compared with the first quarter, higher gross profit reflects higher revenue, which more than offset lower insurance proceeds related to the March 2011 earthquake in Japan.</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Operating profit declined from a year ago due about equally to higher acquisition and restructuring charges, lower gross profit and higher operating expenses. The increase in operating expenses was due to the inclusion of Silicon Valley Analog. Compared with the prior quarter, operating profit increased primarily due to higher gross profit. Also contributing to this increase were lower acquisition charges as well as lower operating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2Q12 segment results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3"/>
        </w:trPr>
        <w:tc>
          <w:tcPr>
            <w:tcW w:w="16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2Q12</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2Q11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9"/>
              </w:rPr>
              <w:t>Change</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1Q12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Change</w:t>
            </w:r>
          </w:p>
        </w:tc>
      </w:tr>
      <w:tr>
        <w:trPr>
          <w:trHeight w:val="216"/>
        </w:trPr>
        <w:tc>
          <w:tcPr>
            <w:tcW w:w="332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16"/>
        </w:trPr>
        <w:tc>
          <w:tcPr>
            <w:tcW w:w="3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16"/>
        </w:trPr>
        <w:tc>
          <w:tcPr>
            <w:tcW w:w="3320" w:type="dxa"/>
            <w:vAlign w:val="bottom"/>
            <w:gridSpan w:val="2"/>
          </w:tcPr>
          <w:p>
            <w:pPr>
              <w:ind w:left="68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437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446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-2 %</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16"/>
        </w:trPr>
        <w:tc>
          <w:tcPr>
            <w:tcW w:w="3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Embedded Processing:</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ind w:left="68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509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596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-15 %</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16"/>
        </w:trPr>
        <w:tc>
          <w:tcPr>
            <w:tcW w:w="3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-64 %</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16"/>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Wireless: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-39 %</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16"/>
        </w:trPr>
        <w:tc>
          <w:tcPr>
            <w:tcW w:w="3320" w:type="dxa"/>
            <w:vAlign w:val="bottom"/>
            <w:gridSpan w:val="2"/>
          </w:tcPr>
          <w:p>
            <w:pPr>
              <w:ind w:left="68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16"/>
        </w:trPr>
        <w:tc>
          <w:tcPr>
            <w:tcW w:w="3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ind w:left="68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684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716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-4 %</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16"/>
        </w:trPr>
        <w:tc>
          <w:tcPr>
            <w:tcW w:w="3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-32 %</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acquisition-related and restructuring charges.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7"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6"/>
          <w:szCs w:val="16"/>
          <w:color w:val="auto"/>
        </w:rPr>
        <w:t>Compared with the year-ago quarter, revenue increased due to the inclusion of Silicon Valley Analog revenue. Revenue from High Performance Analog</w:t>
      </w:r>
    </w:p>
    <w:p>
      <w:pPr>
        <w:sectPr>
          <w:pgSz w:w="11900" w:h="16861" w:orient="portrait"/>
          <w:cols w:equalWidth="0" w:num="1">
            <w:col w:w="11420"/>
          </w:cols>
          <w:pgMar w:left="240" w:top="361" w:right="239" w:bottom="0" w:gutter="0" w:footer="0" w:header="0"/>
          <w:type w:val="continuous"/>
        </w:sectPr>
      </w:pPr>
    </w:p>
    <w:bookmarkStart w:id="3" w:name="page4"/>
    <w:bookmarkEnd w:id="3"/>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High Volume Analog &amp; Logic declined while revenue from Power Management was about even.</w:t>
      </w:r>
    </w:p>
    <w:p>
      <w:pPr>
        <w:spacing w:after="0" w:line="23" w:lineRule="exact"/>
        <w:rPr>
          <w:sz w:val="20"/>
          <w:szCs w:val="20"/>
          <w:color w:val="auto"/>
        </w:rPr>
      </w:pPr>
    </w:p>
    <w:p>
      <w:pPr>
        <w:ind w:left="340" w:right="2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the prior quarter, revenue increased primarily due to growth in Power Management. Revenue from High Performance Analog and High Volume Analog &amp; Logic also grew while revenue from Silicon Valley Analog was about even.</w:t>
      </w:r>
    </w:p>
    <w:p>
      <w:pPr>
        <w:ind w:left="340" w:hanging="228"/>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was down slightly from the year-ago quarter as higher gross profit was offset by higher operating expenses. Operating profit increased from the prior quarter due to higher gross profit.</w:t>
      </w:r>
    </w:p>
    <w:p>
      <w:pPr>
        <w:spacing w:after="0" w:line="20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right="2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year-ago quarter, the decline in revenue was due to lower revenue from products sold into communications infrastructure applications and from catalog products. Revenue from products sold into automotive applications increased.</w:t>
      </w:r>
    </w:p>
    <w:p>
      <w:pPr>
        <w:ind w:left="340" w:hanging="228"/>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Compared with the prior quarter, the increase in revenue was primarily due to higher revenue from products sold into communications infrastructure applications. Revenue from catalog products also increased while revenue from products sold into automotive applications declined.</w:t>
      </w:r>
    </w:p>
    <w:p>
      <w:pPr>
        <w:ind w:left="340" w:hanging="228"/>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decreased from a year ago due to lower gross profit. Operating profit increased from the prior quarter primarily due to higher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OMAP</w:t>
      </w:r>
      <w:r>
        <w:rPr>
          <w:rFonts w:ascii="Arial" w:cs="Arial" w:eastAsia="Arial" w:hAnsi="Arial"/>
          <w:sz w:val="25"/>
          <w:szCs w:val="25"/>
          <w:i w:val="1"/>
          <w:i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 processors, connectivity products and baseband products)</w:t>
      </w:r>
    </w:p>
    <w:p>
      <w:pPr>
        <w:ind w:left="340" w:hanging="228"/>
        <w:spacing w:after="0" w:line="24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primarily due to baseband products. Revenue from connectivity products also declined while revenue from OMAP applications processors increased.</w:t>
      </w: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decreased due to OMAP applications processors. Revenue from connectivity products also declined while revenue from baseband products increased.</w:t>
      </w: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decreased from the year-ago and prior quarters due to lower gross profit that more than offset lower operating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w:t>
      </w:r>
    </w:p>
    <w:p>
      <w:pPr>
        <w:ind w:left="340" w:right="20" w:hanging="228"/>
        <w:spacing w:after="0" w:line="264"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Compared with the year-ago quarter, revenue was down due to the expiration of transitional supply agreements associated with previously acquired factories. Royalties and revenue from calculators also declined while revenue from custom ASIC products and DLP products increased.</w:t>
      </w: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prior quarter, revenue was up primarily due to higher revenue from DLP products and the seasonal increase in calculators. This growth more than offset lower insurance proceeds.</w:t>
      </w:r>
    </w:p>
    <w:p>
      <w:pPr>
        <w:ind w:left="340" w:right="20" w:hanging="228"/>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decreased from a year ago due to higher acquisition and restructuring charges. Operating profit increased from the prior quarter due to higher gross profit and lower acquisition charges.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2Q12 additional financial information</w:t>
      </w:r>
    </w:p>
    <w:p>
      <w:pPr>
        <w:spacing w:after="0" w:line="256" w:lineRule="exact"/>
        <w:rPr>
          <w:sz w:val="20"/>
          <w:szCs w:val="20"/>
          <w:color w:val="auto"/>
        </w:rPr>
      </w:pP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Orders were $3.41 billion, down 5 percent from the year-ago quarter and up 5 percent from the prior quarter.</w:t>
      </w:r>
    </w:p>
    <w:p>
      <w:pPr>
        <w:spacing w:after="0" w:line="23" w:lineRule="exact"/>
        <w:rPr>
          <w:rFonts w:ascii="Arial" w:cs="Arial" w:eastAsia="Arial" w:hAnsi="Arial"/>
          <w:sz w:val="18"/>
          <w:szCs w:val="18"/>
          <w:color w:val="auto"/>
        </w:rPr>
      </w:pP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was $1.88 billion at the end of the quarter, up $123 million from a year ago and $32 million from the prior quarter.</w:t>
      </w:r>
    </w:p>
    <w:p>
      <w:pPr>
        <w:spacing w:after="0" w:line="9"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were $146 million in the quarter compared with $276 million a year ago and $103 million in the prior quarter. Capital expenditures in the quarter were primarily for assembly/test manufacturing equipment.</w:t>
      </w:r>
    </w:p>
    <w:p>
      <w:pPr>
        <w:ind w:left="34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repaid $200 million of its commercial paper borrowings in the quarter and $375 million of maturing debt assumed in the acquisition of National Semiconductor.</w:t>
      </w: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used $300 million in the quarter to repurchase 9.6 million shares of its common stock and paid dividends of $195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2012, TI expects:</w:t>
      </w:r>
    </w:p>
    <w:p>
      <w:pPr>
        <w:spacing w:after="0" w:line="252" w:lineRule="exact"/>
        <w:rPr>
          <w:sz w:val="20"/>
          <w:szCs w:val="20"/>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$3.21 – 3.47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$0.34 – 0.42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quarter’s EPS will be negatively affected by about 7 cents from acquisition and restructuring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third-quarter outlook on September 11,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2012,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R&amp;D expense: $1.9 billion, down from the prior expectation of $2.0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$0.7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$1.0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effective tax rate: 26%, down from the prior expectation of 28%</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tax law and does not assume reinstatement of the federal R&amp;D tax credit, which expired at the end of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Mar. 31,</w:t>
            </w:r>
          </w:p>
        </w:tc>
      </w:tr>
      <w:tr>
        <w:trPr>
          <w:trHeight w:val="241"/>
        </w:trPr>
        <w:tc>
          <w:tcPr>
            <w:tcW w:w="73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21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9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2012</w:t>
            </w:r>
          </w:p>
        </w:tc>
      </w:tr>
      <w:tr>
        <w:trPr>
          <w:trHeight w:val="216"/>
        </w:trPr>
        <w:tc>
          <w:tcPr>
            <w:tcW w:w="5580" w:type="dxa"/>
            <w:vAlign w:val="bottom"/>
            <w:tcBorders>
              <w:top w:val="single" w:sz="8" w:color="CCEEFF"/>
              <w:bottom w:val="single" w:sz="8" w:color="CCEEFF"/>
            </w:tcBorders>
          </w:tcPr>
          <w:p>
            <w:pPr>
              <w:spacing w:after="0"/>
              <w:rPr>
                <w:sz w:val="18"/>
                <w:szCs w:val="18"/>
                <w:color w:val="auto"/>
              </w:rPr>
            </w:pPr>
          </w:p>
        </w:tc>
        <w:tc>
          <w:tcPr>
            <w:tcW w:w="174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CCEEFF"/>
              <w:bottom w:val="single" w:sz="8" w:color="CCEEFF"/>
            </w:tcBorders>
          </w:tcPr>
          <w:p>
            <w:pPr>
              <w:spacing w:after="0"/>
              <w:rPr>
                <w:sz w:val="18"/>
                <w:szCs w:val="18"/>
                <w:color w:val="auto"/>
              </w:rPr>
            </w:pPr>
          </w:p>
        </w:tc>
        <w:tc>
          <w:tcPr>
            <w:tcW w:w="166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CCEEFF"/>
              <w:bottom w:val="single" w:sz="8" w:color="CCEEFF"/>
            </w:tcBorders>
          </w:tcPr>
          <w:p>
            <w:pPr>
              <w:spacing w:after="0"/>
              <w:rPr>
                <w:sz w:val="18"/>
                <w:szCs w:val="18"/>
                <w:color w:val="auto"/>
              </w:rPr>
            </w:pPr>
          </w:p>
        </w:tc>
        <w:tc>
          <w:tcPr>
            <w:tcW w:w="1540" w:type="dxa"/>
            <w:vAlign w:val="bottom"/>
            <w:tcBorders>
              <w:top w:val="single" w:sz="8" w:color="auto"/>
              <w:bottom w:val="single" w:sz="8" w:color="CCEEFF"/>
            </w:tcBorders>
          </w:tcPr>
          <w:p>
            <w:pPr>
              <w:spacing w:after="0"/>
              <w:rPr>
                <w:sz w:val="18"/>
                <w:szCs w:val="18"/>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3,335</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3,458</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revenue</w:t>
            </w:r>
          </w:p>
        </w:tc>
        <w:tc>
          <w:tcPr>
            <w:tcW w:w="7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1,684</w:t>
            </w:r>
          </w:p>
        </w:tc>
        <w:tc>
          <w:tcPr>
            <w:tcW w:w="7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1,705</w:t>
            </w:r>
          </w:p>
        </w:tc>
        <w:tc>
          <w:tcPr>
            <w:tcW w:w="5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1,651</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1,753</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7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480</w:t>
            </w:r>
          </w:p>
        </w:tc>
        <w:tc>
          <w:tcPr>
            <w:tcW w:w="7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424</w:t>
            </w:r>
          </w:p>
        </w:tc>
        <w:tc>
          <w:tcPr>
            <w:tcW w:w="5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456</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411</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Restructuring charges</w:t>
            </w:r>
          </w:p>
        </w:tc>
        <w:tc>
          <w:tcPr>
            <w:tcW w:w="7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w:t>
            </w:r>
          </w:p>
        </w:tc>
        <w:tc>
          <w:tcPr>
            <w:tcW w:w="7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104</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profit</w:t>
            </w:r>
          </w:p>
        </w:tc>
        <w:tc>
          <w:tcPr>
            <w:tcW w:w="7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598</w:t>
            </w:r>
          </w:p>
        </w:tc>
        <w:tc>
          <w:tcPr>
            <w:tcW w:w="7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905</w:t>
            </w:r>
          </w:p>
        </w:tc>
        <w:tc>
          <w:tcPr>
            <w:tcW w:w="5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7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w:t>
            </w:r>
          </w:p>
        </w:tc>
        <w:tc>
          <w:tcPr>
            <w:tcW w:w="7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576</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909</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130</w:t>
            </w:r>
          </w:p>
        </w:tc>
        <w:tc>
          <w:tcPr>
            <w:tcW w:w="7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237</w:t>
            </w:r>
          </w:p>
        </w:tc>
        <w:tc>
          <w:tcPr>
            <w:tcW w:w="5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446</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672</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Basic</w:t>
            </w:r>
          </w:p>
        </w:tc>
        <w:tc>
          <w:tcPr>
            <w:tcW w:w="7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.38</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.57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.38</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1,140</w:t>
            </w:r>
          </w:p>
        </w:tc>
        <w:tc>
          <w:tcPr>
            <w:tcW w:w="7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1,156</w:t>
            </w:r>
          </w:p>
        </w:tc>
        <w:tc>
          <w:tcPr>
            <w:tcW w:w="5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1,154</w:t>
            </w:r>
          </w:p>
        </w:tc>
        <w:tc>
          <w:tcPr>
            <w:tcW w:w="7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1,180</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49.5 %</w:t>
            </w:r>
          </w:p>
        </w:tc>
        <w:tc>
          <w:tcPr>
            <w:tcW w:w="7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50.7 %</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14.4 %</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12.3 %</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SG&amp;A</w:t>
            </w:r>
          </w:p>
        </w:tc>
        <w:tc>
          <w:tcPr>
            <w:tcW w:w="7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13.7 %</w:t>
            </w:r>
          </w:p>
        </w:tc>
        <w:tc>
          <w:tcPr>
            <w:tcW w:w="7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11.9 %</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17.9 %</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26.2 %</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$8 million, $10 million and $4 million for the quarters ending June 30, 2012, June 30, 2011, and March 31, 2012, respectively.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June 30,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Mar.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rPr>
              <w:t>Cash and cash</w:t>
            </w:r>
          </w:p>
        </w:tc>
        <w:tc>
          <w:tcPr>
            <w:tcW w:w="400" w:type="dxa"/>
            <w:vAlign w:val="bottom"/>
          </w:tcPr>
          <w:p>
            <w:pPr>
              <w:jc w:val="right"/>
              <w:ind w:right="170"/>
              <w:spacing w:after="0" w:line="201" w:lineRule="exact"/>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jc w:val="right"/>
              <w:ind w:right="440"/>
              <w:spacing w:after="0" w:line="201" w:lineRule="exact"/>
              <w:rPr>
                <w:sz w:val="20"/>
                <w:szCs w:val="20"/>
                <w:color w:val="auto"/>
              </w:rPr>
            </w:pPr>
            <w:r>
              <w:rPr>
                <w:rFonts w:ascii="Arial" w:cs="Arial" w:eastAsia="Arial" w:hAnsi="Arial"/>
                <w:sz w:val="18"/>
                <w:szCs w:val="18"/>
                <w:b w:val="1"/>
                <w:bCs w:val="1"/>
                <w:color w:val="auto"/>
              </w:rPr>
              <w:t>1,192</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4,501</w:t>
            </w:r>
          </w:p>
        </w:tc>
        <w:tc>
          <w:tcPr>
            <w:tcW w:w="3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1,141</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1,899</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($22), ($23) and ($32)</w:t>
            </w:r>
          </w:p>
        </w:tc>
        <w:tc>
          <w:tcPr>
            <w:tcW w:w="4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1,629</w:t>
            </w:r>
          </w:p>
        </w:tc>
        <w:tc>
          <w:tcPr>
            <w:tcW w:w="38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1,672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123</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1,040</w:t>
            </w:r>
          </w:p>
        </w:tc>
        <w:tc>
          <w:tcPr>
            <w:tcW w:w="38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970</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722</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644</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1,885</w:t>
            </w:r>
          </w:p>
        </w:tc>
        <w:tc>
          <w:tcPr>
            <w:tcW w:w="38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1,762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1,155</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793</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351</w:t>
            </w:r>
          </w:p>
        </w:tc>
        <w:tc>
          <w:tcPr>
            <w:tcW w:w="38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7,353</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10,860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Property, plant and equipment at</w:t>
            </w:r>
          </w:p>
        </w:tc>
        <w:tc>
          <w:tcPr>
            <w:tcW w:w="400" w:type="dxa"/>
            <w:vAlign w:val="bottom"/>
          </w:tcPr>
          <w:p>
            <w:pPr>
              <w:spacing w:after="0"/>
              <w:rPr>
                <w:sz w:val="17"/>
                <w:szCs w:val="17"/>
                <w:color w:val="auto"/>
              </w:rPr>
            </w:pPr>
          </w:p>
        </w:tc>
        <w:tc>
          <w:tcPr>
            <w:tcW w:w="1820" w:type="dxa"/>
            <w:vAlign w:val="bottom"/>
            <w:gridSpan w:val="2"/>
          </w:tcPr>
          <w:p>
            <w:pPr>
              <w:jc w:val="right"/>
              <w:ind w:right="440"/>
              <w:spacing w:after="0" w:line="201" w:lineRule="exact"/>
              <w:rPr>
                <w:sz w:val="20"/>
                <w:szCs w:val="20"/>
                <w:color w:val="auto"/>
              </w:rPr>
            </w:pPr>
            <w:r>
              <w:rPr>
                <w:rFonts w:ascii="Arial" w:cs="Arial" w:eastAsia="Arial" w:hAnsi="Arial"/>
                <w:sz w:val="18"/>
                <w:szCs w:val="18"/>
                <w:b w:val="1"/>
                <w:bCs w:val="1"/>
                <w:color w:val="auto"/>
              </w:rPr>
              <w:t>6,840</w:t>
            </w:r>
          </w:p>
        </w:tc>
        <w:tc>
          <w:tcPr>
            <w:tcW w:w="380" w:type="dxa"/>
            <w:vAlign w:val="bottom"/>
          </w:tcPr>
          <w:p>
            <w:pPr>
              <w:spacing w:after="0"/>
              <w:rPr>
                <w:sz w:val="17"/>
                <w:szCs w:val="17"/>
                <w:color w:val="auto"/>
              </w:rPr>
            </w:pPr>
          </w:p>
        </w:tc>
        <w:tc>
          <w:tcPr>
            <w:tcW w:w="16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6,573</w:t>
            </w:r>
          </w:p>
        </w:tc>
        <w:tc>
          <w:tcPr>
            <w:tcW w:w="3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6,840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cost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accumulated</w:t>
            </w:r>
          </w:p>
        </w:tc>
        <w:tc>
          <w:tcPr>
            <w:tcW w:w="4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b w:val="1"/>
                <w:bCs w:val="1"/>
                <w:color w:val="auto"/>
              </w:rPr>
              <w:t>(2,666)</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(2,859)</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rPr>
              <w:t>Property, plant and equipment,</w:t>
            </w:r>
          </w:p>
        </w:tc>
        <w:tc>
          <w:tcPr>
            <w:tcW w:w="400" w:type="dxa"/>
            <w:vAlign w:val="bottom"/>
          </w:tcPr>
          <w:p>
            <w:pPr>
              <w:spacing w:after="0"/>
              <w:rPr>
                <w:sz w:val="17"/>
                <w:szCs w:val="17"/>
                <w:color w:val="auto"/>
              </w:rPr>
            </w:pPr>
          </w:p>
        </w:tc>
        <w:tc>
          <w:tcPr>
            <w:tcW w:w="1820" w:type="dxa"/>
            <w:vAlign w:val="bottom"/>
            <w:gridSpan w:val="2"/>
          </w:tcPr>
          <w:p>
            <w:pPr>
              <w:jc w:val="right"/>
              <w:ind w:right="440"/>
              <w:spacing w:after="0" w:line="201" w:lineRule="exact"/>
              <w:rPr>
                <w:sz w:val="20"/>
                <w:szCs w:val="20"/>
                <w:color w:val="auto"/>
              </w:rPr>
            </w:pPr>
            <w:r>
              <w:rPr>
                <w:rFonts w:ascii="Arial" w:cs="Arial" w:eastAsia="Arial" w:hAnsi="Arial"/>
                <w:sz w:val="18"/>
                <w:szCs w:val="18"/>
                <w:b w:val="1"/>
                <w:bCs w:val="1"/>
                <w:color w:val="auto"/>
              </w:rPr>
              <w:t>4,174</w:t>
            </w:r>
          </w:p>
        </w:tc>
        <w:tc>
          <w:tcPr>
            <w:tcW w:w="380" w:type="dxa"/>
            <w:vAlign w:val="bottom"/>
          </w:tcPr>
          <w:p>
            <w:pPr>
              <w:spacing w:after="0"/>
              <w:rPr>
                <w:sz w:val="17"/>
                <w:szCs w:val="17"/>
                <w:color w:val="auto"/>
              </w:rPr>
            </w:pPr>
          </w:p>
        </w:tc>
        <w:tc>
          <w:tcPr>
            <w:tcW w:w="16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3,714</w:t>
            </w:r>
          </w:p>
        </w:tc>
        <w:tc>
          <w:tcPr>
            <w:tcW w:w="3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4,278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160"/>
              <w:spacing w:after="0" w:line="203" w:lineRule="exact"/>
              <w:rPr>
                <w:sz w:val="20"/>
                <w:szCs w:val="20"/>
                <w:color w:val="auto"/>
              </w:rPr>
            </w:pPr>
            <w:r>
              <w:rPr>
                <w:rFonts w:ascii="Arial" w:cs="Arial" w:eastAsia="Arial" w:hAnsi="Arial"/>
                <w:sz w:val="18"/>
                <w:szCs w:val="18"/>
                <w:color w:val="auto"/>
              </w:rPr>
              <w:t>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218</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4,452</w:t>
            </w:r>
          </w:p>
        </w:tc>
        <w:tc>
          <w:tcPr>
            <w:tcW w:w="38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924</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Acquisition-related intangibles,</w:t>
            </w:r>
          </w:p>
        </w:tc>
        <w:tc>
          <w:tcPr>
            <w:tcW w:w="4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b w:val="1"/>
                <w:bCs w:val="1"/>
                <w:color w:val="auto"/>
              </w:rPr>
              <w:t>2,729</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288</w:t>
            </w:r>
          </w:p>
        </w:tc>
        <w:tc>
          <w:tcPr>
            <w:tcW w:w="38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925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licenses,</w:t>
            </w:r>
          </w:p>
        </w:tc>
        <w:tc>
          <w:tcPr>
            <w:tcW w:w="4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b w:val="1"/>
                <w:bCs w:val="1"/>
                <w:color w:val="auto"/>
              </w:rPr>
              <w:t>182</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Overfunded retirement</w:t>
            </w:r>
          </w:p>
        </w:tc>
        <w:tc>
          <w:tcPr>
            <w:tcW w:w="400" w:type="dxa"/>
            <w:vAlign w:val="bottom"/>
          </w:tcPr>
          <w:p>
            <w:pPr>
              <w:spacing w:after="0"/>
              <w:rPr>
                <w:sz w:val="17"/>
                <w:szCs w:val="17"/>
                <w:color w:val="auto"/>
              </w:rPr>
            </w:pPr>
          </w:p>
        </w:tc>
        <w:tc>
          <w:tcPr>
            <w:tcW w:w="1820" w:type="dxa"/>
            <w:vAlign w:val="bottom"/>
            <w:gridSpan w:val="2"/>
          </w:tcPr>
          <w:p>
            <w:pPr>
              <w:jc w:val="right"/>
              <w:ind w:right="440"/>
              <w:spacing w:after="0" w:line="201" w:lineRule="exact"/>
              <w:rPr>
                <w:sz w:val="20"/>
                <w:szCs w:val="20"/>
                <w:color w:val="auto"/>
              </w:rPr>
            </w:pPr>
            <w:r>
              <w:rPr>
                <w:rFonts w:ascii="Arial" w:cs="Arial" w:eastAsia="Arial" w:hAnsi="Arial"/>
                <w:sz w:val="18"/>
                <w:szCs w:val="18"/>
                <w:b w:val="1"/>
                <w:bCs w:val="1"/>
                <w:color w:val="auto"/>
              </w:rPr>
              <w:t>32</w:t>
            </w:r>
          </w:p>
        </w:tc>
        <w:tc>
          <w:tcPr>
            <w:tcW w:w="380" w:type="dxa"/>
            <w:vAlign w:val="bottom"/>
          </w:tcPr>
          <w:p>
            <w:pPr>
              <w:spacing w:after="0"/>
              <w:rPr>
                <w:sz w:val="17"/>
                <w:szCs w:val="17"/>
                <w:color w:val="auto"/>
              </w:rPr>
            </w:pPr>
          </w:p>
        </w:tc>
        <w:tc>
          <w:tcPr>
            <w:tcW w:w="16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25</w:t>
            </w:r>
          </w:p>
        </w:tc>
        <w:tc>
          <w:tcPr>
            <w:tcW w:w="3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plans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93</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19,521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17,098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4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ind w:left="160"/>
              <w:spacing w:after="0" w:line="201" w:lineRule="exact"/>
              <w:rPr>
                <w:sz w:val="20"/>
                <w:szCs w:val="20"/>
                <w:color w:val="auto"/>
              </w:rPr>
            </w:pPr>
            <w:r>
              <w:rPr>
                <w:rFonts w:ascii="Arial" w:cs="Arial" w:eastAsia="Arial" w:hAnsi="Arial"/>
                <w:sz w:val="18"/>
                <w:szCs w:val="18"/>
                <w:color w:val="auto"/>
              </w:rPr>
              <w:t>Commercial paper</w:t>
            </w:r>
          </w:p>
        </w:tc>
        <w:tc>
          <w:tcPr>
            <w:tcW w:w="1240" w:type="dxa"/>
            <w:vAlign w:val="bottom"/>
            <w:gridSpan w:val="2"/>
          </w:tcPr>
          <w:p>
            <w:pPr>
              <w:jc w:val="right"/>
              <w:ind w:right="170"/>
              <w:spacing w:after="0" w:line="201"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500</w:t>
            </w:r>
          </w:p>
        </w:tc>
        <w:tc>
          <w:tcPr>
            <w:tcW w:w="940" w:type="dxa"/>
            <w:vAlign w:val="bottom"/>
            <w:gridSpan w:val="2"/>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borrowings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Current portion of long-term</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1,500</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w:t>
            </w: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555</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Accrued expenses and other</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711</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637</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liabilities</w:t>
            </w:r>
          </w:p>
        </w:tc>
        <w:tc>
          <w:tcPr>
            <w:tcW w:w="8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left w:val="single" w:sz="8" w:color="CCEEFF"/>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3,821</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1,753</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3,498</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Underfunded retirement</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700</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532</w:t>
            </w:r>
          </w:p>
        </w:tc>
        <w:tc>
          <w:tcPr>
            <w:tcW w:w="3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plans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Deferred credits and other</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543</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320</w:t>
            </w:r>
          </w:p>
        </w:tc>
        <w:tc>
          <w:tcPr>
            <w:tcW w:w="3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line="203" w:lineRule="exact"/>
              <w:rPr>
                <w:sz w:val="20"/>
                <w:szCs w:val="20"/>
                <w:color w:val="auto"/>
              </w:rPr>
            </w:pPr>
            <w:r>
              <w:rPr>
                <w:rFonts w:ascii="Arial" w:cs="Arial" w:eastAsia="Arial" w:hAnsi="Arial"/>
                <w:sz w:val="18"/>
                <w:szCs w:val="18"/>
                <w:color w:val="auto"/>
              </w:rPr>
              <w:t>liabilities</w:t>
            </w:r>
          </w:p>
        </w:tc>
        <w:tc>
          <w:tcPr>
            <w:tcW w:w="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8,363</w:t>
            </w:r>
          </w:p>
        </w:tc>
        <w:tc>
          <w:tcPr>
            <w:tcW w:w="460" w:type="dxa"/>
            <w:vAlign w:val="bottom"/>
            <w:tcBorders>
              <w:lef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6,195</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Preferred stock, $25 par value. Authorized – 10,000,000 shares.</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Participating cumulative preferred. None issued.</w:t>
            </w: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Common stock, $1 par value. Authorized – 2,400,000,000 shares. Shares</w:t>
            </w:r>
          </w:p>
        </w:tc>
        <w:tc>
          <w:tcPr>
            <w:tcW w:w="13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1,741</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1,741</w:t>
            </w:r>
          </w:p>
        </w:tc>
        <w:tc>
          <w:tcPr>
            <w:tcW w:w="3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issued: June 30, 2012 – 1,740,815,939; June 30, 2011 –</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1,740,530,417; Mar. 31, 2012 – 1,740,814,489</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1,164</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1,108</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26,592</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25,726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Less treasury common stock at cost:</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(17,598)</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(16,986)</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(17,385)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June 30, 2012 – 603,058,077; June 30, 2011 –</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585,209,754; Mar. 31, 2012 – 596,461,198</w:t>
            </w: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w w:val="95"/>
              </w:rPr>
              <w:t>Accumulated other comprehensive income (loss), net of taxes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(686)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11,158</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10,903</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840" w:type="dxa"/>
            <w:vAlign w:val="bottom"/>
          </w:tcPr>
          <w:p>
            <w:pPr>
              <w:spacing w:after="0"/>
              <w:rPr>
                <w:sz w:val="18"/>
                <w:szCs w:val="18"/>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19,521</w:t>
            </w:r>
          </w:p>
        </w:tc>
        <w:tc>
          <w:tcPr>
            <w:tcW w:w="460" w:type="dxa"/>
            <w:vAlign w:val="bottom"/>
          </w:tcPr>
          <w:p>
            <w:pPr>
              <w:spacing w:after="0"/>
              <w:rPr>
                <w:sz w:val="18"/>
                <w:szCs w:val="18"/>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17,098</w:t>
            </w:r>
          </w:p>
        </w:tc>
        <w:tc>
          <w:tcPr>
            <w:tcW w:w="440" w:type="dxa"/>
            <w:vAlign w:val="bottom"/>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1"/>
        </w:trPr>
        <w:tc>
          <w:tcPr>
            <w:tcW w:w="20" w:type="dxa"/>
            <w:vAlign w:val="bottom"/>
          </w:tcPr>
          <w:p>
            <w:pPr>
              <w:spacing w:after="0"/>
              <w:rPr>
                <w:sz w:val="24"/>
                <w:szCs w:val="24"/>
                <w:color w:val="auto"/>
              </w:rPr>
            </w:pPr>
          </w:p>
        </w:tc>
        <w:tc>
          <w:tcPr>
            <w:tcW w:w="8400" w:type="dxa"/>
            <w:vAlign w:val="bottom"/>
            <w:gridSpan w:val="6"/>
          </w:tcPr>
          <w:p>
            <w:pPr>
              <w:jc w:val="center"/>
              <w:ind w:left="28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jc w:val="center"/>
              <w:ind w:left="38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60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2"/>
              </w:rPr>
              <w:t>(Millions of dollars)</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8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left w:val="single" w:sz="8" w:color="CCEEFF"/>
              <w:bottom w:val="single" w:sz="8" w:color="auto"/>
            </w:tcBorders>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For Three Months Ended</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90"/>
              <w:spacing w:after="0" w:line="198"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7"/>
                <w:szCs w:val="17"/>
                <w:color w:val="auto"/>
              </w:rPr>
            </w:pPr>
          </w:p>
        </w:tc>
        <w:tc>
          <w:tcPr>
            <w:tcW w:w="110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Mar.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672</w:t>
            </w:r>
          </w:p>
        </w:tc>
        <w:tc>
          <w:tcPr>
            <w:tcW w:w="44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compensation</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675</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629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Proceeds from insurance recovery</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Proceeds from short-term investments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Proceeds from long-term investments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460" w:type="dxa"/>
            <w:vAlign w:val="bottom"/>
            <w:tcBorders>
              <w:lef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(542)</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Proceeds from issuance of debt</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 for long-term debt</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Repayment of debt and commercial paper borrowings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76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(300)</w:t>
            </w:r>
          </w:p>
        </w:tc>
        <w:tc>
          <w:tcPr>
            <w:tcW w:w="6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(452)</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(997)</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3,071</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3,158</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4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1,343</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76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460" w:type="dxa"/>
            <w:vAlign w:val="bottom"/>
          </w:tcPr>
          <w:p>
            <w:pPr>
              <w:spacing w:after="0"/>
              <w:rPr>
                <w:sz w:val="18"/>
                <w:szCs w:val="18"/>
                <w:color w:val="auto"/>
              </w:rPr>
            </w:pP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4,501</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t>
      </w:r>
      <w:r>
        <w:rPr>
          <w:rFonts w:ascii="Arial" w:cs="Arial" w:eastAsia="Arial" w:hAnsi="Arial"/>
          <w:sz w:val="17"/>
          <w:szCs w:val="17"/>
          <w:u w:val="single" w:color="auto"/>
          <w:color w:val="auto"/>
        </w:rPr>
        <w:t>www.ti.com</w:t>
      </w:r>
      <w:r>
        <w:rPr>
          <w:rFonts w:ascii="Arial" w:cs="Arial" w:eastAsia="Arial" w:hAnsi="Arial"/>
          <w:sz w:val="17"/>
          <w:szCs w:val="17"/>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1" w:right="239" w:bottom="58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Ÿ"/>
      <w:numFmt w:val="bullet"/>
      <w:start w:val="1"/>
    </w:lvl>
  </w:abstractNum>
  <w:abstractNum w:abstractNumId="4">
    <w:nsid w:val="7545E146"/>
    <w:multiLevelType w:val="hybridMultilevel"/>
    <w:lvl w:ilvl="0">
      <w:lvlJc w:val="left"/>
      <w:lvlText w:val="Ÿ"/>
      <w:numFmt w:val="bullet"/>
      <w:start w:val="1"/>
    </w:lvl>
  </w:abstractNum>
  <w:abstractNum w:abstractNumId="5">
    <w:nsid w:val="515F007C"/>
    <w:multiLevelType w:val="hybridMultilevel"/>
    <w:lvl w:ilvl="0">
      <w:lvlJc w:val="left"/>
      <w:lvlText w:val="Ÿ"/>
      <w:numFmt w:val="bullet"/>
      <w:start w:val="1"/>
    </w:lvl>
  </w:abstractNum>
  <w:abstractNum w:abstractNumId="6">
    <w:nsid w:val="5BD062C2"/>
    <w:multiLevelType w:val="hybridMultilevel"/>
    <w:lvl w:ilvl="0">
      <w:lvlJc w:val="left"/>
      <w:lvlText w:val="Ÿ"/>
      <w:numFmt w:val="bullet"/>
      <w:start w:val="1"/>
    </w:lvl>
  </w:abstractNum>
  <w:abstractNum w:abstractNumId="7">
    <w:nsid w:val="12200854"/>
    <w:multiLevelType w:val="hybridMultilevel"/>
    <w:lvl w:ilvl="0">
      <w:lvlJc w:val="left"/>
      <w:lvlText w:val="Ÿ"/>
      <w:numFmt w:val="bullet"/>
      <w:start w:val="1"/>
    </w:lvl>
  </w:abstractNum>
  <w:abstractNum w:abstractNumId="8">
    <w:nsid w:val="4DB127F8"/>
    <w:multiLevelType w:val="hybridMultilevel"/>
    <w:lvl w:ilvl="0">
      <w:lvlJc w:val="left"/>
      <w:lvlText w:val="Ÿ"/>
      <w:numFmt w:val="bullet"/>
      <w:start w:val="1"/>
    </w:lvl>
  </w:abstractNum>
  <w:abstractNum w:abstractNumId="9">
    <w:nsid w:val="216231B"/>
    <w:multiLevelType w:val="hybridMultilevel"/>
    <w:lvl w:ilvl="0">
      <w:lvlJc w:val="left"/>
      <w:lvlText w:val="Ÿ"/>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2019-12-09T08:06:42Z</dcterms:created>
  <dcterms:modified xsi:type="dcterms:W3CDTF">2019-12-09T08:06:42Z</dcterms:modified>
</cp:coreProperties>
</file>