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399415</wp:posOffset>
            </wp:positionV>
            <wp:extent cx="471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418465</wp:posOffset>
            </wp:positionV>
            <wp:extent cx="471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640" w:right="2320" w:hanging="632"/>
        <w:spacing w:after="0" w:line="515" w:lineRule="auto"/>
        <w:tabs>
          <w:tab w:leader="none" w:pos="55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2008</w:t>
      </w:r>
    </w:p>
    <w:p>
      <w:pPr>
        <w:spacing w:after="0" w:line="30"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640"/>
        <w:spacing w:after="0"/>
        <w:tabs>
          <w:tab w:leader="none" w:pos="3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1910715</wp:posOffset>
            </wp:positionH>
            <wp:positionV relativeFrom="paragraph">
              <wp:posOffset>-7620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412115</wp:posOffset>
            </wp:positionV>
            <wp:extent cx="471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399415</wp:posOffset>
            </wp:positionV>
            <wp:extent cx="471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5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412115</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4"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1440" w:right="379" w:bottom="0" w:gutter="0" w:footer="0" w:header="0"/>
        </w:sectPr>
      </w:pPr>
    </w:p>
    <w:p>
      <w:pPr>
        <w:spacing w:after="0" w:line="174" w:lineRule="exact"/>
        <w:rPr>
          <w:sz w:val="24"/>
          <w:szCs w:val="24"/>
          <w:color w:val="auto"/>
        </w:rPr>
      </w:pPr>
    </w:p>
    <w:p>
      <w:pPr>
        <w:ind w:right="500"/>
        <w:spacing w:after="0" w:line="234" w:lineRule="exact"/>
        <w:rPr>
          <w:sz w:val="20"/>
          <w:szCs w:val="20"/>
          <w:color w:val="auto"/>
        </w:rPr>
      </w:pPr>
      <w:r>
        <w:rPr>
          <w:rFonts w:ascii="Arial" w:cs="Arial" w:eastAsia="Arial" w:hAnsi="Arial"/>
          <w:sz w:val="16"/>
          <w:szCs w:val="16"/>
          <w:color w:val="auto"/>
        </w:rPr>
        <w:t xml:space="preserve">Large accelerated filer S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3">
            <w:col w:w="2260" w:space="720"/>
            <w:col w:w="3960" w:space="720"/>
            <w:col w:w="3620"/>
          </w:cols>
          <w:pgMar w:left="240" w:top="1440" w:right="379" w:bottom="0" w:gutter="0" w:footer="0" w:header="0"/>
          <w:type w:val="continuous"/>
        </w:sectPr>
      </w:pP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80"/>
          </w:cols>
          <w:pgMar w:left="240" w:top="1440" w:right="379" w:bottom="0" w:gutter="0" w:footer="0" w:header="0"/>
          <w:type w:val="continuous"/>
        </w:sectPr>
      </w:pPr>
    </w:p>
    <w:bookmarkStart w:id="1" w:name="page2"/>
    <w:bookmarkEnd w:id="1"/>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p>
      <w:pPr>
        <w:spacing w:after="0" w:line="200" w:lineRule="exact"/>
        <w:rPr>
          <w:sz w:val="20"/>
          <w:szCs w:val="20"/>
          <w:color w:val="auto"/>
        </w:rPr>
      </w:pPr>
    </w:p>
    <w:p>
      <w:pPr>
        <w:spacing w:after="0" w:line="3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1,310,877,425</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Number of shares of Registrant’s common stock outstanding as of</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492760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3"/>
              </w:rPr>
              <w:t>For Six Months Ended June</w:t>
            </w:r>
          </w:p>
        </w:tc>
      </w:tr>
      <w:tr>
        <w:trPr>
          <w:trHeight w:val="241"/>
        </w:trPr>
        <w:tc>
          <w:tcPr>
            <w:tcW w:w="5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2"/>
              </w:rPr>
              <w:t>For Three Months Ended June 30,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5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3,351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6,623</w:t>
            </w:r>
          </w:p>
        </w:tc>
        <w:tc>
          <w:tcPr>
            <w:tcW w:w="5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6,615</w:t>
            </w: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Cost of revenue (COR)</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1,602</w:t>
            </w: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3,194</w:t>
            </w: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1,749</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3,505</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w:t>
            </w: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Research and development (R&amp;D)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488</w:t>
            </w: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428</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r>
      <w:tr>
        <w:trPr>
          <w:trHeight w:val="27"/>
        </w:trPr>
        <w:tc>
          <w:tcPr>
            <w:tcW w:w="5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833</w:t>
            </w: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7"/>
        </w:trPr>
        <w:tc>
          <w:tcPr>
            <w:tcW w:w="5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850</w:t>
            </w: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1,689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262</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r>
      <w:tr>
        <w:trPr>
          <w:trHeight w:val="27"/>
        </w:trPr>
        <w:tc>
          <w:tcPr>
            <w:tcW w:w="5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588</w:t>
            </w: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taxes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5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1,251</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1"/>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5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0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5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0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Average shares outstanding (millions):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1,320</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1,323</w:t>
            </w:r>
          </w:p>
        </w:tc>
        <w:tc>
          <w:tcPr>
            <w:tcW w:w="220" w:type="dxa"/>
            <w:vAlign w:val="bottom"/>
            <w:tcBorders>
              <w:lef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040" w:type="dxa"/>
            <w:vAlign w:val="bottom"/>
          </w:tcPr>
          <w:p>
            <w:pPr>
              <w:ind w:left="36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1,341</w:t>
            </w: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r>
      <w:tr>
        <w:trPr>
          <w:trHeight w:val="21"/>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Cash dividends declared per share of common stock</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2"/>
              </w:rPr>
              <w:t>For Six Months Ended June</w:t>
            </w:r>
          </w:p>
        </w:tc>
      </w:tr>
      <w:tr>
        <w:trPr>
          <w:trHeight w:val="241"/>
        </w:trPr>
        <w:tc>
          <w:tcPr>
            <w:tcW w:w="5900" w:type="dxa"/>
            <w:vAlign w:val="bottom"/>
          </w:tcPr>
          <w:p>
            <w:pPr>
              <w:spacing w:after="0"/>
              <w:rPr>
                <w:sz w:val="20"/>
                <w:szCs w:val="20"/>
                <w:color w:val="auto"/>
              </w:rPr>
            </w:pPr>
          </w:p>
        </w:tc>
        <w:tc>
          <w:tcPr>
            <w:tcW w:w="29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6"/>
              </w:rPr>
              <w:t>For Three Months Ended June 30,</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588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1,251</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Changes in available-for-sale investments:</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540"/>
              <w:spacing w:after="0"/>
              <w:rPr>
                <w:sz w:val="20"/>
                <w:szCs w:val="20"/>
                <w:color w:val="auto"/>
              </w:rPr>
            </w:pPr>
            <w:r>
              <w:rPr>
                <w:rFonts w:ascii="Arial" w:cs="Arial" w:eastAsia="Arial" w:hAnsi="Arial"/>
                <w:sz w:val="18"/>
                <w:szCs w:val="18"/>
                <w:color w:val="auto"/>
              </w:rPr>
              <w:t>Adjustment, net of taxes</w:t>
            </w: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Reclassification of recognized transactions, net of taxes</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Unrecognized net actuarial loss of defined benefit plans: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Adjustment, net of taxes</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5900" w:type="dxa"/>
            <w:vAlign w:val="bottom"/>
          </w:tcPr>
          <w:p>
            <w:pPr>
              <w:ind w:left="540"/>
              <w:spacing w:after="0"/>
              <w:rPr>
                <w:sz w:val="20"/>
                <w:szCs w:val="20"/>
                <w:color w:val="auto"/>
              </w:rPr>
            </w:pPr>
            <w:r>
              <w:rPr>
                <w:rFonts w:ascii="Arial" w:cs="Arial" w:eastAsia="Arial" w:hAnsi="Arial"/>
                <w:sz w:val="18"/>
                <w:szCs w:val="18"/>
                <w:color w:val="auto"/>
              </w:rPr>
              <w:t>Reclassification of recognized transactions, net of taxes</w:t>
            </w: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9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Unrecognized prior service cost of defined benefit plans:</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540"/>
              <w:spacing w:after="0"/>
              <w:rPr>
                <w:sz w:val="20"/>
                <w:szCs w:val="20"/>
                <w:color w:val="auto"/>
              </w:rPr>
            </w:pPr>
            <w:r>
              <w:rPr>
                <w:rFonts w:ascii="Arial" w:cs="Arial" w:eastAsia="Arial" w:hAnsi="Arial"/>
                <w:sz w:val="18"/>
                <w:szCs w:val="18"/>
                <w:color w:val="auto"/>
              </w:rPr>
              <w:t>Adjustment, net of taxes</w:t>
            </w:r>
          </w:p>
        </w:tc>
        <w:tc>
          <w:tcPr>
            <w:tcW w:w="9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7"/>
        </w:trPr>
        <w:tc>
          <w:tcPr>
            <w:tcW w:w="59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7"/>
        </w:trPr>
        <w:tc>
          <w:tcPr>
            <w:tcW w:w="590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Total from continuing operations</w:t>
            </w: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608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r>
      <w:tr>
        <w:trPr>
          <w:trHeight w:val="216"/>
        </w:trPr>
        <w:tc>
          <w:tcPr>
            <w:tcW w:w="5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taxes</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590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940" w:type="dxa"/>
            <w:vAlign w:val="bottom"/>
          </w:tcPr>
          <w:p>
            <w:pPr>
              <w:jc w:val="right"/>
              <w:ind w:right="77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608</w:t>
            </w:r>
          </w:p>
        </w:tc>
        <w:tc>
          <w:tcPr>
            <w:tcW w:w="24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1,244</w:t>
            </w:r>
          </w:p>
        </w:tc>
        <w:tc>
          <w:tcPr>
            <w:tcW w:w="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r>
      <w:tr>
        <w:trPr>
          <w:trHeight w:val="21"/>
        </w:trPr>
        <w:tc>
          <w:tcPr>
            <w:tcW w:w="5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ind w:left="4040"/>
              <w:spacing w:after="0"/>
              <w:rPr>
                <w:sz w:val="20"/>
                <w:szCs w:val="20"/>
                <w:color w:val="auto"/>
              </w:rPr>
            </w:pPr>
            <w:r>
              <w:rPr>
                <w:rFonts w:ascii="Arial" w:cs="Arial" w:eastAsia="Arial" w:hAnsi="Arial"/>
                <w:sz w:val="18"/>
                <w:szCs w:val="18"/>
                <w:b w:val="1"/>
                <w:bCs w:val="1"/>
                <w:color w:val="auto"/>
              </w:rPr>
              <w:t>(Millions of dollars, except share amounts)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9"/>
        </w:trPr>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allowances of ($24) and ($26)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Acquisition-related intangibles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Capitalized software licenses,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Overfunded retirement plans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12,382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Accrued profit sharing and retirement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Underfunded retirement plans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43"/>
        </w:trPr>
        <w:tc>
          <w:tcPr>
            <w:tcW w:w="85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 issued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June 30, 2008 – 1,739,712,567;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2007 – 1,739,632,601</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20,773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w w:val="94"/>
              </w:rPr>
              <w:t>Less treasury common stock at cost: Shares: June 30, 2008 – 428,835,142; December 31, 2007 – 396,421,798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 net of taxes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12,382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ind w:left="308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180"/>
              <w:spacing w:after="0"/>
              <w:rPr>
                <w:sz w:val="20"/>
                <w:szCs w:val="20"/>
                <w:color w:val="auto"/>
              </w:rPr>
            </w:pPr>
            <w:r>
              <w:rPr>
                <w:rFonts w:ascii="Arial" w:cs="Arial" w:eastAsia="Arial" w:hAnsi="Arial"/>
                <w:sz w:val="18"/>
                <w:szCs w:val="18"/>
                <w:b w:val="1"/>
                <w:bCs w:val="1"/>
                <w:color w:val="auto"/>
              </w:rPr>
              <w:t>Consolidated Statements of Cash Flows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2600" w:type="dxa"/>
            <w:vAlign w:val="bottom"/>
            <w:gridSpan w:val="7"/>
            <w:vMerge w:val="restart"/>
          </w:tcPr>
          <w:p>
            <w:pPr>
              <w:jc w:val="right"/>
              <w:ind w:right="140"/>
              <w:spacing w:after="0"/>
              <w:rPr>
                <w:sz w:val="20"/>
                <w:szCs w:val="20"/>
                <w:color w:val="auto"/>
              </w:rPr>
            </w:pPr>
            <w:r>
              <w:rPr>
                <w:rFonts w:ascii="Arial" w:cs="Arial" w:eastAsia="Arial" w:hAnsi="Arial"/>
                <w:sz w:val="18"/>
                <w:szCs w:val="18"/>
                <w:b w:val="1"/>
                <w:bCs w:val="1"/>
                <w:color w:val="auto"/>
                <w:w w:val="91"/>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1,251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Loss on sale of assets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long-term investments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Payments on long-term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1,317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420" w:right="20" w:hanging="352"/>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about 80,000 customers all over the world buy our products.</w:t>
      </w:r>
    </w:p>
    <w:p>
      <w:pPr>
        <w:spacing w:after="0" w:line="197" w:lineRule="exact"/>
        <w:rPr>
          <w:rFonts w:ascii="Arial" w:cs="Arial" w:eastAsia="Arial" w:hAnsi="Arial"/>
          <w:sz w:val="18"/>
          <w:szCs w:val="18"/>
          <w:color w:val="auto"/>
        </w:rPr>
      </w:pPr>
    </w:p>
    <w:p>
      <w:pPr>
        <w:ind w:left="420" w:right="44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the second quarter of 2008, we made two acquisitions that were integrated into the Semiconductor segment.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2007, we made an asset acquisition that was integrated into the Semiconductor segment.</w:t>
      </w:r>
    </w:p>
    <w:p>
      <w:pPr>
        <w:spacing w:after="0" w:line="19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i w:val="1"/>
          <w:iCs w:val="1"/>
          <w:color w:val="auto"/>
        </w:rPr>
        <w:t xml:space="preserve">Change in Capitalization - - </w:t>
      </w:r>
      <w:r>
        <w:rPr>
          <w:rFonts w:ascii="Arial" w:cs="Arial" w:eastAsia="Arial" w:hAnsi="Arial"/>
          <w:sz w:val="18"/>
          <w:szCs w:val="18"/>
          <w:color w:val="auto"/>
        </w:rPr>
        <w:t>On April 2, 2007, we retired $43 million of 8.75% notes at maturity.</w:t>
      </w:r>
    </w:p>
    <w:p>
      <w:pPr>
        <w:spacing w:after="0" w:line="252" w:lineRule="exact"/>
        <w:rPr>
          <w:rFonts w:ascii="Arial" w:cs="Arial" w:eastAsia="Arial" w:hAnsi="Arial"/>
          <w:sz w:val="18"/>
          <w:szCs w:val="18"/>
          <w:color w:val="auto"/>
        </w:rPr>
      </w:pPr>
    </w:p>
    <w:p>
      <w:pPr>
        <w:ind w:left="420" w:right="2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on the same basis as the audited financial statements included in our annual report on Form 10-K for the year ended December 31, 2007. The consolidated statements of income, statements of comprehensive income and statements of cash flows for the periods ended June 30, 2008 and 2007, and the balance sheet as of June 30, 2008, are not audited but reflect all adjustments that are of a normal recurring nature and are necessary for a fair statement of the results of the periods shown. The consolidated balance sheet as of December 31, 2007,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2007. The results for the six-month period are not necessarily indicative of a full year's results.</w:t>
      </w:r>
    </w:p>
    <w:p>
      <w:pPr>
        <w:spacing w:after="0" w:line="199" w:lineRule="exact"/>
        <w:rPr>
          <w:rFonts w:ascii="Arial" w:cs="Arial" w:eastAsia="Arial" w:hAnsi="Arial"/>
          <w:sz w:val="18"/>
          <w:szCs w:val="18"/>
          <w:color w:val="auto"/>
        </w:rPr>
      </w:pPr>
    </w:p>
    <w:p>
      <w:pPr>
        <w:ind w:left="420" w:right="26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08" w:lineRule="exact"/>
        <w:rPr>
          <w:rFonts w:ascii="Arial" w:cs="Arial" w:eastAsia="Arial" w:hAnsi="Arial"/>
          <w:sz w:val="18"/>
          <w:szCs w:val="18"/>
          <w:color w:val="auto"/>
        </w:rPr>
      </w:pPr>
    </w:p>
    <w:p>
      <w:pPr>
        <w:ind w:left="420" w:right="12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Changes in Accounting Standards – </w:t>
      </w:r>
      <w:r>
        <w:rPr>
          <w:rFonts w:ascii="Arial" w:cs="Arial" w:eastAsia="Arial" w:hAnsi="Arial"/>
          <w:sz w:val="18"/>
          <w:szCs w:val="18"/>
          <w:color w:val="auto"/>
        </w:rPr>
        <w:t>In September 2006, the Financial Accounting Standards Board (FASB) issued Statement of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Standards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which provides guidance on how to measure assets and liabilities that are recorded at fair value. SFAS 157 does not expand the use of fair value to any new circumstances, but does require additional disclosures in both annual and quarterly reports. We adopted SFAS 157 and its related amendments for financial assets and liabilities effective as of January 1, 2008 (see Note 5 below). SFAS 157 is effective for non-financial assets and liabilities in financial statements issued for fiscal years beginning after November 15, 2008. We have evaluated the non-financial assets and liabilities portion of the standard and anticipate it will have no material impact on our financial position or results of operations.</w:t>
      </w:r>
    </w:p>
    <w:p>
      <w:pPr>
        <w:spacing w:after="0" w:line="216" w:lineRule="exact"/>
        <w:rPr>
          <w:rFonts w:ascii="Arial" w:cs="Arial" w:eastAsia="Arial" w:hAnsi="Arial"/>
          <w:sz w:val="18"/>
          <w:szCs w:val="18"/>
          <w:color w:val="auto"/>
        </w:rPr>
      </w:pPr>
    </w:p>
    <w:p>
      <w:pPr>
        <w:ind w:left="420" w:right="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March 2008, the FASB issued SFAS No. 161, </w:t>
      </w:r>
      <w:r>
        <w:rPr>
          <w:rFonts w:ascii="Arial" w:cs="Arial" w:eastAsia="Arial" w:hAnsi="Arial"/>
          <w:sz w:val="18"/>
          <w:szCs w:val="18"/>
          <w:i w:val="1"/>
          <w:iCs w:val="1"/>
          <w:color w:val="auto"/>
        </w:rPr>
        <w:t>“Disclosures about Derivative Instruments and Hedging Activities – An Amendment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133.” </w:t>
      </w:r>
      <w:r>
        <w:rPr>
          <w:rFonts w:ascii="Arial" w:cs="Arial" w:eastAsia="Arial" w:hAnsi="Arial"/>
          <w:sz w:val="18"/>
          <w:szCs w:val="18"/>
          <w:color w:val="auto"/>
        </w:rPr>
        <w:t>This standard applies to derivative instruments, nonderivative instruments that are designated and qualify as hedging instruments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hedged items accounted for under SFAS 133. SFAS 161 does not change the accounting for derivatives and hedging activities, but requires enhanced disclosures concerning the effect on the financial statements from their use. SFAS 161 is effective for financial statements issued for fiscal years and interim periods beginning after November 15, 2008.</w:t>
      </w:r>
    </w:p>
    <w:p>
      <w:pPr>
        <w:spacing w:after="0" w:line="215" w:lineRule="exact"/>
        <w:rPr>
          <w:rFonts w:ascii="Arial" w:cs="Arial" w:eastAsia="Arial" w:hAnsi="Arial"/>
          <w:sz w:val="18"/>
          <w:szCs w:val="18"/>
          <w:color w:val="auto"/>
        </w:rPr>
      </w:pPr>
    </w:p>
    <w:p>
      <w:pPr>
        <w:ind w:left="420" w:right="20"/>
        <w:spacing w:after="0" w:line="254" w:lineRule="auto"/>
        <w:rPr>
          <w:rFonts w:ascii="Arial" w:cs="Arial" w:eastAsia="Arial" w:hAnsi="Arial"/>
          <w:sz w:val="18"/>
          <w:szCs w:val="18"/>
          <w:color w:val="auto"/>
        </w:rPr>
      </w:pPr>
      <w:r>
        <w:rPr>
          <w:rFonts w:ascii="Arial" w:cs="Arial" w:eastAsia="Arial" w:hAnsi="Arial"/>
          <w:sz w:val="18"/>
          <w:szCs w:val="18"/>
          <w:color w:val="auto"/>
        </w:rPr>
        <w:t>In June 2008, the FASB issued FASB Staff Position (FSP) EITF 03-6-1, “</w:t>
      </w:r>
      <w:r>
        <w:rPr>
          <w:rFonts w:ascii="Arial" w:cs="Arial" w:eastAsia="Arial" w:hAnsi="Arial"/>
          <w:sz w:val="18"/>
          <w:szCs w:val="18"/>
          <w:i w:val="1"/>
          <w:iCs w:val="1"/>
          <w:color w:val="auto"/>
        </w:rPr>
        <w:t>Determining Whether Instruments Granted in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Are Participating Securities.” </w:t>
      </w:r>
      <w:r>
        <w:rPr>
          <w:rFonts w:ascii="Arial" w:cs="Arial" w:eastAsia="Arial" w:hAnsi="Arial"/>
          <w:sz w:val="18"/>
          <w:szCs w:val="18"/>
          <w:color w:val="auto"/>
        </w:rPr>
        <w:t>Under the provisions of this standard, unvested awards of share-based payments with rights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dividend equivalents, such as our restricted stock units (RSUs), are considered participating securities for purposes of calculating earnings per share. As a result, these participating securities will be included in the weighted average number of shares outstanding as disclosed on the face of the income statement. This FSP is effective for fiscal years beginning after December 15, 2008, and interim periods within those years. All prior period earnings per share data presented in financial reports after the effective date shall be adjusted retrospectively to conform with the provisions of this FSP. Early application is not permitted. We have evaluated the potential impact of this standard and anticipate it will have no material impact on our previously reported earnings per share amounts.</w:t>
      </w:r>
    </w:p>
    <w:p>
      <w:pPr>
        <w:spacing w:after="0" w:line="219" w:lineRule="exact"/>
        <w:rPr>
          <w:rFonts w:ascii="Arial" w:cs="Arial" w:eastAsia="Arial" w:hAnsi="Arial"/>
          <w:sz w:val="18"/>
          <w:szCs w:val="18"/>
          <w:color w:val="auto"/>
        </w:rPr>
      </w:pPr>
    </w:p>
    <w:p>
      <w:pPr>
        <w:ind w:left="420" w:hanging="35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Computation and reconciliation of earnings per common share from continuing operations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2008</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2007</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Dilutives: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1,341</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1"/>
              </w:rPr>
              <w:t>For Six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1"/>
              </w:rPr>
              <w:t>For Six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2008</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2007</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1,251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Dilutives: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80"/>
          </w:cols>
          <w:pgMar w:left="180" w:top="513" w:right="239" w:bottom="0" w:gutter="0" w:footer="0" w:header="0"/>
        </w:sectPr>
      </w:pPr>
    </w:p>
    <w:bookmarkStart w:id="7" w:name="page8"/>
    <w:bookmarkEnd w:id="7"/>
    <w:p>
      <w:pPr>
        <w:ind w:left="360" w:right="240" w:hanging="352"/>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9 in our 2007 annual report on Form 10-K.</w:t>
      </w:r>
    </w:p>
    <w:p>
      <w:pPr>
        <w:spacing w:after="0" w:line="19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The amounts of stock-based compensation expense recognized in the periods presented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For Three Months Ended June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w:t>
            </w:r>
          </w:p>
        </w:tc>
        <w:tc>
          <w:tcPr>
            <w:tcW w:w="840" w:type="dxa"/>
            <w:vAlign w:val="bottom"/>
            <w:shd w:val="clear" w:color="auto" w:fill="CCEEFF"/>
          </w:tcPr>
          <w:p>
            <w:pPr>
              <w:jc w:val="right"/>
              <w:ind w:right="71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R&amp;D</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SG&amp;A</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710"/>
              <w:spacing w:after="0"/>
              <w:rPr>
                <w:sz w:val="20"/>
                <w:szCs w:val="20"/>
                <w:color w:val="auto"/>
              </w:rPr>
            </w:pPr>
            <w:r>
              <w:rPr>
                <w:rFonts w:ascii="Arial" w:cs="Arial" w:eastAsia="Arial" w:hAnsi="Arial"/>
                <w:sz w:val="10"/>
                <w:szCs w:val="10"/>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60" w:right="340"/>
        <w:spacing w:after="0" w:line="342" w:lineRule="auto"/>
        <w:rPr>
          <w:sz w:val="20"/>
          <w:szCs w:val="20"/>
          <w:color w:val="auto"/>
        </w:rPr>
      </w:pPr>
      <w:r>
        <w:rPr>
          <w:rFonts w:ascii="Arial" w:cs="Arial" w:eastAsia="Arial" w:hAnsi="Arial"/>
          <w:sz w:val="16"/>
          <w:szCs w:val="16"/>
          <w:color w:val="auto"/>
        </w:rPr>
        <w:t>The amounts above include the impact of recognizing compensation expense related to RSUs, non-qualified stock options and stock options offered under the employee stock purchase plan. Stock-based compensation expense has not been allocated between segments, but is reflected in Corporate.</w:t>
      </w:r>
    </w:p>
    <w:p>
      <w:pPr>
        <w:spacing w:after="0" w:line="151" w:lineRule="exact"/>
        <w:rPr>
          <w:sz w:val="20"/>
          <w:szCs w:val="20"/>
          <w:color w:val="auto"/>
        </w:rPr>
      </w:pPr>
    </w:p>
    <w:p>
      <w:pPr>
        <w:ind w:left="420" w:right="20" w:hanging="358"/>
        <w:spacing w:after="0" w:line="286"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Investments in Auction-rate Securities</w:t>
      </w:r>
      <w:r>
        <w:rPr>
          <w:rFonts w:ascii="Arial" w:cs="Arial" w:eastAsia="Arial" w:hAnsi="Arial"/>
          <w:sz w:val="16"/>
          <w:szCs w:val="16"/>
          <w:color w:val="auto"/>
        </w:rPr>
        <w:t>. As of December 31, 2007, we held $1.04 billion of auction-rate securities at par value, which was equal to fair value as of that date. During the first quarter of 2008, we sold $473 million of these auction-rate securities at par through the normal auction process. Beginning in mid-February 2008, liquidity issues in the global credit markets resulted in the failure of auctions representing substantially all of the auction-rate securities we hold, as the amount of securities submitted for sale in those auctions exceeded the amount of bids. For each unsuccessful auction, the interest rate moves to a maximum rate defined for each security, generally reset periodically at a level higher than defined short-term interest benchmarks. To date we have collected all interest payable on all of our auction-rate securities when due and expect to continue to do so in the future. The principal associated with failed auctions will not be accessible until successful auctions occur, a buyer is found outside of the auction process, the issuers establish a different form of financing to replace these securities, issuers repay principal over time from cash flows prior to final maturity, or final payments come due according to contractual maturities ranging from 15 to 40 years. We understand that issuers and financial markets are working on alternatives that may improve liquidity, although it is not yet clear when or to what extent such efforts will be successful. We expect that we will receive the principal associated with these auction-rate securities through one of the means described above. Due to the failed auctions and the uncertainty regarding the liquidity of these securities, beginning in the first quarter of 2008 we reclassified our investments in auction-rate securities with a par value of $571 million from short-term investments to long-term investments.</w:t>
      </w:r>
    </w:p>
    <w:p>
      <w:pPr>
        <w:spacing w:after="0" w:line="202" w:lineRule="exact"/>
        <w:rPr>
          <w:sz w:val="20"/>
          <w:szCs w:val="20"/>
          <w:color w:val="auto"/>
        </w:rPr>
      </w:pPr>
    </w:p>
    <w:p>
      <w:pPr>
        <w:ind w:left="360" w:right="60"/>
        <w:spacing w:after="0" w:line="259" w:lineRule="auto"/>
        <w:rPr>
          <w:sz w:val="20"/>
          <w:szCs w:val="20"/>
          <w:color w:val="auto"/>
        </w:rPr>
      </w:pPr>
      <w:r>
        <w:rPr>
          <w:rFonts w:ascii="Arial" w:cs="Arial" w:eastAsia="Arial" w:hAnsi="Arial"/>
          <w:sz w:val="18"/>
          <w:szCs w:val="18"/>
          <w:color w:val="auto"/>
        </w:rPr>
        <w:t>As of June 30, 2008, we held auction-rate securities with a par value of $568 million. Of this amount, $518 million are backed by pools of student loans guaranteed by the U.S. Department of Education and we continue to believe that the credit quality of these securities is high based on this guarantee. As of June 30, 2008, these securities were all rated AAA/Aaa by the major credit rating agencies. The remaining $50 million of our auction-rate securities are covered by bond insurance and were rated Aa3 by Moody’s as of June 30, 2008.</w:t>
      </w:r>
    </w:p>
    <w:p>
      <w:pPr>
        <w:spacing w:after="0" w:line="214" w:lineRule="exact"/>
        <w:rPr>
          <w:sz w:val="20"/>
          <w:szCs w:val="20"/>
          <w:color w:val="auto"/>
        </w:rPr>
      </w:pPr>
    </w:p>
    <w:p>
      <w:pPr>
        <w:ind w:left="360" w:right="40"/>
        <w:spacing w:after="0" w:line="257" w:lineRule="auto"/>
        <w:rPr>
          <w:sz w:val="20"/>
          <w:szCs w:val="20"/>
          <w:color w:val="auto"/>
        </w:rPr>
      </w:pPr>
      <w:r>
        <w:rPr>
          <w:rFonts w:ascii="Arial" w:cs="Arial" w:eastAsia="Arial" w:hAnsi="Arial"/>
          <w:sz w:val="18"/>
          <w:szCs w:val="18"/>
          <w:color w:val="auto"/>
        </w:rPr>
        <w:t>During the quarter ended June 30, 2008, $3 million of student loan auction-rate securities were redeemed by the issuer at par. During the second quarter, we received formal notice that an additional $15 million covered by bond insurance have been called by the issuer for redemption at par during the third quarter. These securities have been reclassified from long-term investments to short-term investments as of June 30. In addition, subsequent to the end of the second quarter, we received formal notice from another issuer that $11 million classified as long-term investments on the June 30, 2008, balance sheet have been called for redemption at par during the quarter.</w:t>
      </w:r>
    </w:p>
    <w:p>
      <w:pPr>
        <w:spacing w:after="0" w:line="215" w:lineRule="exact"/>
        <w:rPr>
          <w:sz w:val="20"/>
          <w:szCs w:val="20"/>
          <w:color w:val="auto"/>
        </w:rPr>
      </w:pPr>
    </w:p>
    <w:p>
      <w:pPr>
        <w:jc w:val="both"/>
        <w:ind w:left="360" w:right="20"/>
        <w:spacing w:after="0" w:line="264" w:lineRule="auto"/>
        <w:rPr>
          <w:sz w:val="20"/>
          <w:szCs w:val="20"/>
          <w:color w:val="auto"/>
        </w:rPr>
      </w:pPr>
      <w:r>
        <w:rPr>
          <w:rFonts w:ascii="Arial" w:cs="Arial" w:eastAsia="Arial" w:hAnsi="Arial"/>
          <w:sz w:val="18"/>
          <w:szCs w:val="18"/>
          <w:color w:val="auto"/>
        </w:rPr>
        <w:t>Based on the fair value determinations described in Note 5 below, the fair value of our investments in auction-rate securities at June 30, 2008, was $562 million compared with a par value of $568 million. The $6 million difference is considered temporary and is recorded as an unrealized loss, net of taxes, in accumulated other comprehensive income (OCI) on the balance sheet.</w:t>
      </w:r>
    </w:p>
    <w:p>
      <w:pPr>
        <w:spacing w:after="0" w:line="208" w:lineRule="exact"/>
        <w:rPr>
          <w:sz w:val="20"/>
          <w:szCs w:val="20"/>
          <w:color w:val="auto"/>
        </w:rPr>
      </w:pPr>
    </w:p>
    <w:p>
      <w:pPr>
        <w:ind w:left="360" w:right="640"/>
        <w:spacing w:after="0" w:line="342" w:lineRule="auto"/>
        <w:rPr>
          <w:sz w:val="20"/>
          <w:szCs w:val="20"/>
          <w:color w:val="auto"/>
        </w:rPr>
      </w:pPr>
      <w:r>
        <w:rPr>
          <w:rFonts w:ascii="Arial" w:cs="Arial" w:eastAsia="Arial" w:hAnsi="Arial"/>
          <w:sz w:val="16"/>
          <w:szCs w:val="16"/>
          <w:color w:val="auto"/>
        </w:rPr>
        <w:t>While the auction failures will limit our ability to liquidate these investments for some period of time, we do not believe the auction failures will materially impact our ability to fund our working capital needs, capital expenditures, dividend payments or other business requirements.</w:t>
      </w:r>
    </w:p>
    <w:p>
      <w:pPr>
        <w:spacing w:after="0" w:line="151" w:lineRule="exact"/>
        <w:rPr>
          <w:sz w:val="20"/>
          <w:szCs w:val="20"/>
          <w:color w:val="auto"/>
        </w:rPr>
      </w:pPr>
    </w:p>
    <w:p>
      <w:pPr>
        <w:ind w:left="420" w:right="20" w:hanging="358"/>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Fair Value Measurement</w:t>
      </w:r>
      <w:r>
        <w:rPr>
          <w:rFonts w:ascii="Arial" w:cs="Arial" w:eastAsia="Arial" w:hAnsi="Arial"/>
          <w:sz w:val="18"/>
          <w:szCs w:val="18"/>
          <w:color w:val="auto"/>
        </w:rPr>
        <w:t>. As discussed in Note 1, SFAS 157 became effective for measuring and reporting financial assets and liabilities in our financial statements as of January 1, 2008.</w:t>
      </w:r>
    </w:p>
    <w:p>
      <w:pPr>
        <w:spacing w:after="0" w:line="197" w:lineRule="exact"/>
        <w:rPr>
          <w:sz w:val="20"/>
          <w:szCs w:val="20"/>
          <w:color w:val="auto"/>
        </w:rPr>
      </w:pPr>
    </w:p>
    <w:p>
      <w:pPr>
        <w:ind w:left="360" w:right="560"/>
        <w:spacing w:after="0" w:line="308" w:lineRule="auto"/>
        <w:rPr>
          <w:sz w:val="20"/>
          <w:szCs w:val="20"/>
          <w:color w:val="auto"/>
        </w:rPr>
      </w:pPr>
      <w:r>
        <w:rPr>
          <w:rFonts w:ascii="Arial" w:cs="Arial" w:eastAsia="Arial" w:hAnsi="Arial"/>
          <w:sz w:val="17"/>
          <w:szCs w:val="17"/>
          <w:color w:val="auto"/>
        </w:rPr>
        <w:t>SFAS 157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SFAS 157 establishes a three-level hierarchy for disclosure to show the extent and level of judgment used to estimate fair value measurements.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52" w:lineRule="exact"/>
        <w:rPr>
          <w:sz w:val="20"/>
          <w:szCs w:val="20"/>
          <w:color w:val="auto"/>
        </w:rPr>
      </w:pPr>
    </w:p>
    <w:p>
      <w:pPr>
        <w:jc w:val="both"/>
        <w:ind w:left="360" w:right="220"/>
        <w:spacing w:after="0" w:line="279"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3 – Uses inputs that are unobservable and are supported by little or no market activity and reflect the use of significant management</w:t>
      </w:r>
    </w:p>
    <w:p>
      <w:pPr>
        <w:spacing w:after="0" w:line="23" w:lineRule="exact"/>
        <w:rPr>
          <w:sz w:val="20"/>
          <w:szCs w:val="20"/>
          <w:color w:val="auto"/>
        </w:rPr>
      </w:pPr>
    </w:p>
    <w:p>
      <w:pPr>
        <w:ind w:left="360" w:right="120"/>
        <w:spacing w:after="0" w:line="261" w:lineRule="auto"/>
        <w:rPr>
          <w:sz w:val="20"/>
          <w:szCs w:val="20"/>
          <w:color w:val="auto"/>
        </w:rPr>
      </w:pPr>
      <w:r>
        <w:rPr>
          <w:rFonts w:ascii="Arial" w:cs="Arial" w:eastAsia="Arial" w:hAnsi="Arial"/>
          <w:sz w:val="18"/>
          <w:szCs w:val="18"/>
          <w:color w:val="auto"/>
        </w:rPr>
        <w:t>judgment. These values are generally determined using pricing models for which the assumptions utilize management’s estimates of market participant assumptions.</w:t>
      </w:r>
    </w:p>
    <w:p>
      <w:pPr>
        <w:spacing w:after="0" w:line="211" w:lineRule="exact"/>
        <w:rPr>
          <w:sz w:val="20"/>
          <w:szCs w:val="20"/>
          <w:color w:val="auto"/>
        </w:rPr>
      </w:pPr>
    </w:p>
    <w:p>
      <w:pPr>
        <w:jc w:val="both"/>
        <w:ind w:left="360" w:right="220"/>
        <w:spacing w:after="0" w:line="312" w:lineRule="auto"/>
        <w:rPr>
          <w:sz w:val="20"/>
          <w:szCs w:val="20"/>
          <w:color w:val="auto"/>
        </w:rPr>
      </w:pPr>
      <w:r>
        <w:rPr>
          <w:rFonts w:ascii="Arial" w:cs="Arial" w:eastAsia="Arial" w:hAnsi="Arial"/>
          <w:sz w:val="16"/>
          <w:szCs w:val="16"/>
          <w:color w:val="auto"/>
        </w:rPr>
        <w:t>Investments in auction-rate securities are our only Level 3 assets, and in the first quarter of 2008 were transferred from Level 2 because quoted prices from broker-dealers were unavailable due to events described in Note 4. We used a discounted cash flow (DCF) model to determine the estimated fair value of these investments as of March 31, 2008, and June 30, 2008. The assumptions used in preparing the DCF model included estimates for the</w:t>
      </w:r>
    </w:p>
    <w:p>
      <w:pPr>
        <w:sectPr>
          <w:pgSz w:w="11900" w:h="16838" w:orient="portrait"/>
          <w:cols w:equalWidth="0" w:num="1">
            <w:col w:w="11420"/>
          </w:cols>
          <w:pgMar w:left="240" w:top="368" w:right="239" w:bottom="0" w:gutter="0" w:footer="0" w:header="0"/>
        </w:sectPr>
      </w:pPr>
    </w:p>
    <w:bookmarkStart w:id="8" w:name="page9"/>
    <w:bookmarkEnd w:id="8"/>
    <w:p>
      <w:pPr>
        <w:spacing w:after="0" w:line="272" w:lineRule="auto"/>
        <w:rPr>
          <w:sz w:val="20"/>
          <w:szCs w:val="20"/>
          <w:color w:val="auto"/>
        </w:rPr>
      </w:pPr>
      <w:r>
        <w:rPr>
          <w:rFonts w:ascii="Arial" w:cs="Arial" w:eastAsia="Arial" w:hAnsi="Arial"/>
          <w:sz w:val="17"/>
          <w:szCs w:val="17"/>
          <w:color w:val="auto"/>
        </w:rPr>
        <w:t>amount and timing of future interest and principal payments and the rate of return required by investors to own these securities in the current environment. In making these assumptions we considered relevant factors including: the formula applicable to each security which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guarantees by other third parties, and additional credit enhancements provided through other means; and, publicly available pricing data for recently issued student loan asset-backed securities which are not subject to auctions. Our estimate of the rate of return required by investors to own these securities also considers the current reduced liquidity for auction-rate securities.</w:t>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below sets forth, by level, our financial assets and liabilities that were accounted for at fair value as of June 30, 2008. The table does not include cash on hand or assets and liabilities that are measured at historical cost or any basis other than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201295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125" w:right="319" w:bottom="1440" w:gutter="0" w:footer="0" w:header="0"/>
        </w:sectPr>
      </w:pPr>
    </w:p>
    <w:bookmarkStart w:id="9" w:name="page10"/>
    <w:bookmarkEnd w:id="9"/>
    <w:p>
      <w:pPr>
        <w:jc w:val="center"/>
        <w:ind w:left="2240"/>
        <w:spacing w:after="0"/>
        <w:rPr>
          <w:sz w:val="20"/>
          <w:szCs w:val="20"/>
          <w:color w:val="auto"/>
        </w:rPr>
      </w:pPr>
      <w:r>
        <w:rPr>
          <w:rFonts w:ascii="Arial" w:cs="Arial" w:eastAsia="Arial" w:hAnsi="Arial"/>
          <w:sz w:val="18"/>
          <w:szCs w:val="18"/>
          <w:b w:val="1"/>
          <w:bCs w:val="1"/>
          <w:color w:val="auto"/>
        </w:rPr>
        <w:t>Portion of</w:t>
      </w:r>
    </w:p>
    <w:p>
      <w:pPr>
        <w:spacing w:after="0" w:line="27" w:lineRule="exact"/>
        <w:rPr>
          <w:sz w:val="20"/>
          <w:szCs w:val="20"/>
          <w:color w:val="auto"/>
        </w:rPr>
      </w:pPr>
    </w:p>
    <w:p>
      <w:pPr>
        <w:jc w:val="center"/>
        <w:ind w:left="2260"/>
        <w:spacing w:after="0"/>
        <w:rPr>
          <w:sz w:val="20"/>
          <w:szCs w:val="20"/>
          <w:color w:val="auto"/>
        </w:rPr>
      </w:pPr>
      <w:r>
        <w:rPr>
          <w:rFonts w:ascii="Arial" w:cs="Arial" w:eastAsia="Arial" w:hAnsi="Arial"/>
          <w:sz w:val="18"/>
          <w:szCs w:val="18"/>
          <w:b w:val="1"/>
          <w:bCs w:val="1"/>
          <w:color w:val="auto"/>
        </w:rPr>
        <w:t>Carrying</w:t>
      </w:r>
    </w:p>
    <w:p>
      <w:pPr>
        <w:spacing w:after="0" w:line="9" w:lineRule="exact"/>
        <w:rPr>
          <w:sz w:val="20"/>
          <w:szCs w:val="20"/>
          <w:color w:val="auto"/>
        </w:rPr>
      </w:pPr>
    </w:p>
    <w:p>
      <w:pPr>
        <w:jc w:val="center"/>
        <w:ind w:left="2260"/>
        <w:spacing w:after="0"/>
        <w:rPr>
          <w:sz w:val="20"/>
          <w:szCs w:val="20"/>
          <w:color w:val="auto"/>
        </w:rPr>
      </w:pPr>
      <w:r>
        <w:rPr>
          <w:rFonts w:ascii="Arial" w:cs="Arial" w:eastAsia="Arial" w:hAnsi="Arial"/>
          <w:sz w:val="18"/>
          <w:szCs w:val="18"/>
          <w:b w:val="1"/>
          <w:bCs w:val="1"/>
          <w:color w:val="auto"/>
        </w:rPr>
        <w:t>Value</w:t>
      </w:r>
    </w:p>
    <w:p>
      <w:pPr>
        <w:spacing w:after="0" w:line="9" w:lineRule="exact"/>
        <w:rPr>
          <w:sz w:val="20"/>
          <w:szCs w:val="20"/>
          <w:color w:val="auto"/>
        </w:rPr>
      </w:pPr>
    </w:p>
    <w:p>
      <w:pPr>
        <w:jc w:val="center"/>
        <w:ind w:left="2260"/>
        <w:spacing w:after="0"/>
        <w:rPr>
          <w:sz w:val="20"/>
          <w:szCs w:val="20"/>
          <w:color w:val="auto"/>
        </w:rPr>
      </w:pPr>
      <w:r>
        <w:rPr>
          <w:rFonts w:ascii="Arial" w:cs="Arial" w:eastAsia="Arial" w:hAnsi="Arial"/>
          <w:sz w:val="18"/>
          <w:szCs w:val="18"/>
          <w:b w:val="1"/>
          <w:bCs w:val="1"/>
          <w:color w:val="auto"/>
        </w:rPr>
        <w:t>Measured</w:t>
      </w:r>
    </w:p>
    <w:p>
      <w:pPr>
        <w:spacing w:after="0" w:line="9" w:lineRule="exact"/>
        <w:rPr>
          <w:sz w:val="20"/>
          <w:szCs w:val="20"/>
          <w:color w:val="auto"/>
        </w:rPr>
      </w:pPr>
    </w:p>
    <w:p>
      <w:pPr>
        <w:jc w:val="center"/>
        <w:ind w:left="2240"/>
        <w:spacing w:after="0"/>
        <w:rPr>
          <w:sz w:val="20"/>
          <w:szCs w:val="20"/>
          <w:color w:val="auto"/>
        </w:rPr>
      </w:pPr>
      <w:r>
        <w:rPr>
          <w:rFonts w:ascii="Arial" w:cs="Arial" w:eastAsia="Arial" w:hAnsi="Arial"/>
          <w:sz w:val="18"/>
          <w:szCs w:val="18"/>
          <w:b w:val="1"/>
          <w:bCs w:val="1"/>
          <w:color w:val="auto"/>
        </w:rPr>
        <w:t>at Fair Value</w:t>
      </w:r>
    </w:p>
    <w:p>
      <w:pPr>
        <w:spacing w:after="0" w:line="18"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June 30,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measured at fair value on a recurring basis: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Corporate commercial paper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agency securities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3"/>
              </w:rPr>
              <w:t>Mortgage-backed securities – Government Sponsored Enterprise (GSE) guaranteed</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Mortgage-backed securities – senior bonds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Auction-rate securities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Auction-rate securities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fair value during the period (pre-tax):</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Level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 – included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March 31, 2008</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Change in unrealized loss from prior quarter –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OCI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Redemption at par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283"/>
        <w:spacing w:after="0"/>
        <w:rPr>
          <w:sz w:val="20"/>
          <w:szCs w:val="20"/>
          <w:color w:val="auto"/>
        </w:rPr>
      </w:pPr>
      <w:r>
        <w:rPr>
          <w:rFonts w:ascii="Arial" w:cs="Arial" w:eastAsia="Arial" w:hAnsi="Arial"/>
          <w:sz w:val="18"/>
          <w:szCs w:val="18"/>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36" w:lineRule="exact"/>
        <w:rPr>
          <w:sz w:val="20"/>
          <w:szCs w:val="20"/>
          <w:color w:val="auto"/>
        </w:rPr>
      </w:pPr>
    </w:p>
    <w:p>
      <w:pPr>
        <w:ind w:left="1023" w:hanging="1023"/>
        <w:spacing w:after="0"/>
        <w:tabs>
          <w:tab w:leader="none" w:pos="102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863"/>
        <w:spacing w:after="0"/>
        <w:rPr>
          <w:rFonts w:ascii="Arial" w:cs="Arial" w:eastAsia="Arial" w:hAnsi="Arial"/>
          <w:sz w:val="18"/>
          <w:szCs w:val="18"/>
          <w:color w:val="auto"/>
        </w:rPr>
      </w:pPr>
      <w:r>
        <w:rPr>
          <w:rFonts w:ascii="Arial" w:cs="Arial" w:eastAsia="Arial" w:hAnsi="Arial"/>
          <w:sz w:val="18"/>
          <w:szCs w:val="18"/>
          <w:color w:val="auto"/>
        </w:rPr>
        <w:t>556</w:t>
      </w:r>
    </w:p>
    <w:p>
      <w:pPr>
        <w:spacing w:after="0" w:line="9" w:lineRule="exact"/>
        <w:rPr>
          <w:rFonts w:ascii="Arial" w:cs="Arial" w:eastAsia="Arial" w:hAnsi="Arial"/>
          <w:sz w:val="18"/>
          <w:szCs w:val="18"/>
          <w:color w:val="auto"/>
        </w:rPr>
      </w:pPr>
    </w:p>
    <w:p>
      <w:pPr>
        <w:ind w:left="903"/>
        <w:spacing w:after="0"/>
        <w:rPr>
          <w:rFonts w:ascii="Arial" w:cs="Arial" w:eastAsia="Arial" w:hAnsi="Arial"/>
          <w:sz w:val="18"/>
          <w:szCs w:val="18"/>
          <w:color w:val="auto"/>
        </w:rPr>
      </w:pPr>
      <w:r>
        <w:rPr>
          <w:rFonts w:ascii="Arial" w:cs="Arial" w:eastAsia="Arial" w:hAnsi="Arial"/>
          <w:sz w:val="16"/>
          <w:szCs w:val="16"/>
          <w:color w:val="auto"/>
        </w:rPr>
        <w:t>(20)</w:t>
      </w:r>
    </w:p>
    <w:p>
      <w:pPr>
        <w:spacing w:after="0" w:line="45" w:lineRule="exact"/>
        <w:rPr>
          <w:sz w:val="20"/>
          <w:szCs w:val="20"/>
          <w:color w:val="auto"/>
        </w:rPr>
      </w:pPr>
    </w:p>
    <w:p>
      <w:pPr>
        <w:ind w:left="863" w:hanging="863"/>
        <w:spacing w:after="0"/>
        <w:tabs>
          <w:tab w:leader="none" w:pos="863" w:val="left"/>
        </w:tabs>
        <w:numPr>
          <w:ilvl w:val="0"/>
          <w:numId w:val="8"/>
        </w:numPr>
        <w:rPr>
          <w:rFonts w:ascii="Arial" w:cs="Arial" w:eastAsia="Arial" w:hAnsi="Arial"/>
          <w:sz w:val="18"/>
          <w:szCs w:val="18"/>
          <w:color w:val="auto"/>
        </w:rPr>
      </w:pPr>
      <w:r>
        <w:rPr>
          <w:rFonts w:ascii="Arial" w:cs="Arial" w:eastAsia="Arial" w:hAnsi="Arial"/>
          <w:sz w:val="18"/>
          <w:szCs w:val="18"/>
          <w:color w:val="auto"/>
        </w:rPr>
        <w:t>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32" w:lineRule="exact"/>
        <w:rPr>
          <w:sz w:val="20"/>
          <w:szCs w:val="20"/>
          <w:color w:val="auto"/>
        </w:rPr>
      </w:pPr>
    </w:p>
    <w:p>
      <w:pPr>
        <w:ind w:left="963"/>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863" w:hanging="863"/>
        <w:spacing w:after="0"/>
        <w:tabs>
          <w:tab w:leader="none" w:pos="863" w:val="left"/>
        </w:tabs>
        <w:numPr>
          <w:ilvl w:val="0"/>
          <w:numId w:val="9"/>
        </w:numPr>
        <w:rPr>
          <w:rFonts w:ascii="Arial" w:cs="Arial" w:eastAsia="Arial" w:hAnsi="Arial"/>
          <w:sz w:val="18"/>
          <w:szCs w:val="18"/>
          <w:color w:val="auto"/>
        </w:rPr>
      </w:pPr>
      <w:r>
        <w:rPr>
          <w:rFonts w:ascii="Arial" w:cs="Arial" w:eastAsia="Arial" w:hAnsi="Arial"/>
          <w:sz w:val="18"/>
          <w:szCs w:val="18"/>
          <w:color w:val="auto"/>
        </w:rPr>
        <w:t>547</w:t>
      </w:r>
    </w:p>
    <w:p>
      <w:pPr>
        <w:spacing w:after="0" w:line="200" w:lineRule="exact"/>
        <w:rPr>
          <w:sz w:val="20"/>
          <w:szCs w:val="20"/>
          <w:color w:val="auto"/>
        </w:rPr>
      </w:pPr>
    </w:p>
    <w:p>
      <w:pPr>
        <w:sectPr>
          <w:pgSz w:w="11900" w:h="16838" w:orient="portrait"/>
          <w:cols w:equalWidth="0" w:num="2">
            <w:col w:w="9457" w:space="720"/>
            <w:col w:w="1243"/>
          </w:cols>
          <w:pgMar w:left="240" w:top="121" w:right="239" w:bottom="1440" w:gutter="0" w:footer="0" w:header="0"/>
          <w:type w:val="continuous"/>
        </w:sectPr>
      </w:pPr>
    </w:p>
    <w:p>
      <w:pPr>
        <w:spacing w:after="0" w:line="106" w:lineRule="exact"/>
        <w:rPr>
          <w:sz w:val="20"/>
          <w:szCs w:val="20"/>
          <w:color w:val="auto"/>
        </w:rPr>
      </w:pPr>
    </w:p>
    <w:p>
      <w:pPr>
        <w:ind w:left="360" w:right="40"/>
        <w:spacing w:after="0" w:line="255" w:lineRule="auto"/>
        <w:rPr>
          <w:sz w:val="20"/>
          <w:szCs w:val="20"/>
          <w:color w:val="auto"/>
        </w:rPr>
      </w:pPr>
      <w:r>
        <w:rPr>
          <w:rFonts w:ascii="Arial" w:cs="Arial" w:eastAsia="Arial" w:hAnsi="Arial"/>
          <w:sz w:val="18"/>
          <w:szCs w:val="18"/>
          <w:color w:val="auto"/>
        </w:rPr>
        <w:t>All of our financial assets measured at fair value, except for investments in mutual funds, are classified as available-for-sale securities. Adjustments to fair value of these investments are recorded as an increase or decrease, net of taxes, in accumulated other comprehensive income except where losses are considered to be other-than-temporary, in which case the losses are recorded in other income (expense) net. Our investments in mutual funds, which are intended to generate returns that offset changes in certain liabilities related to deferred compensation arrangements, are classified as trading securities. Adjustments to fair value of both the mutual funds and the related deferred compensation liabilities are recorded in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line="4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1"/>
              </w:rPr>
              <w:t>U.S.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Non-U.S.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Defined Benefit</w:t>
            </w:r>
          </w:p>
        </w:tc>
        <w:tc>
          <w:tcPr>
            <w:tcW w:w="240" w:type="dxa"/>
            <w:vAlign w:val="bottom"/>
          </w:tcPr>
          <w:p>
            <w:pPr>
              <w:spacing w:after="0"/>
              <w:rPr>
                <w:sz w:val="20"/>
                <w:szCs w:val="20"/>
                <w:color w:val="auto"/>
              </w:rPr>
            </w:pPr>
          </w:p>
        </w:tc>
        <w:tc>
          <w:tcPr>
            <w:tcW w:w="1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Retiree Health Care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89"/>
              </w:rPr>
              <w:t>Defined Benefit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three months ended June 30,</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1"/>
              </w:rPr>
              <w:t>U.S.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Non-U.S.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Defined Benefit</w:t>
            </w:r>
          </w:p>
        </w:tc>
        <w:tc>
          <w:tcPr>
            <w:tcW w:w="240" w:type="dxa"/>
            <w:vAlign w:val="bottom"/>
          </w:tcPr>
          <w:p>
            <w:pPr>
              <w:spacing w:after="0"/>
              <w:rPr>
                <w:sz w:val="20"/>
                <w:szCs w:val="20"/>
                <w:color w:val="auto"/>
              </w:rPr>
            </w:pPr>
          </w:p>
        </w:tc>
        <w:tc>
          <w:tcPr>
            <w:tcW w:w="1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Retiree Health Care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89"/>
              </w:rPr>
              <w:t>Defined Benefit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six months ended June 30,</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80" w:hanging="352"/>
        <w:spacing w:after="0" w:line="25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As of June 30, 2008, the estimated annual effective tax rate for 2008 is about 31 percent. The estimated annual effective tax rate for 2008 differs from the 35 percent statutory corporate tax rate primarily due to the effects of non-U.S. tax rates. Additionally, during the first quarter of 2008, we recorded a discrete tax benefit of $81 million primarily due to our decision to indefinitely reinvest the accumulated earnings of a non-U.S. subsidiary.</w:t>
      </w:r>
    </w:p>
    <w:p>
      <w:pPr>
        <w:spacing w:after="0" w:line="215" w:lineRule="exact"/>
        <w:rPr>
          <w:rFonts w:ascii="Arial" w:cs="Arial" w:eastAsia="Arial" w:hAnsi="Arial"/>
          <w:sz w:val="18"/>
          <w:szCs w:val="18"/>
          <w:color w:val="auto"/>
        </w:rPr>
      </w:pPr>
    </w:p>
    <w:p>
      <w:pPr>
        <w:ind w:left="360" w:right="240" w:hanging="352"/>
        <w:spacing w:after="0" w:line="264"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08" w:lineRule="exact"/>
        <w:rPr>
          <w:rFonts w:ascii="Arial" w:cs="Arial" w:eastAsia="Arial" w:hAnsi="Arial"/>
          <w:sz w:val="18"/>
          <w:szCs w:val="18"/>
          <w:color w:val="auto"/>
        </w:rPr>
      </w:pPr>
    </w:p>
    <w:p>
      <w:pPr>
        <w:ind w:left="360" w:right="80"/>
        <w:spacing w:after="0" w:line="255"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under these agreements,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220" w:lineRule="exact"/>
        <w:rPr>
          <w:rFonts w:ascii="Arial" w:cs="Arial" w:eastAsia="Arial" w:hAnsi="Arial"/>
          <w:sz w:val="18"/>
          <w:szCs w:val="18"/>
          <w:color w:val="auto"/>
        </w:rPr>
      </w:pPr>
    </w:p>
    <w:p>
      <w:pPr>
        <w:ind w:left="360" w:right="8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73" w:lineRule="exact"/>
        <w:rPr>
          <w:rFonts w:ascii="Arial" w:cs="Arial" w:eastAsia="Arial" w:hAnsi="Arial"/>
          <w:sz w:val="18"/>
          <w:szCs w:val="18"/>
          <w:color w:val="auto"/>
        </w:rPr>
      </w:pPr>
    </w:p>
    <w:p>
      <w:pPr>
        <w:ind w:left="360" w:right="4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Discontinued Operations Indemnity – </w:t>
      </w:r>
      <w:r>
        <w:rPr>
          <w:rFonts w:ascii="Arial" w:cs="Arial" w:eastAsia="Arial" w:hAnsi="Arial"/>
          <w:sz w:val="17"/>
          <w:szCs w:val="17"/>
          <w:color w:val="auto"/>
        </w:rPr>
        <w:t>In connection with the sale of the former Sensors &amp; Controls business to an affiliate of Bain Capital, LLC in 2006,</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agreed to indemnify the former business, renamed Sensata Technologies, Inc., for 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As of June 30, 2008, there were no significant liabilities recorded under these indemnification obligations.</w:t>
      </w:r>
    </w:p>
    <w:p>
      <w:pPr>
        <w:spacing w:after="0" w:line="199"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We have two reportable operating segments: Semiconductor and Education Technology.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For Three Months Ended June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95"/>
              </w:rPr>
              <w:t>30,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Segment Revenue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6,365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Education Technology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6,623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For Three Months Ended June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95"/>
              </w:rPr>
              <w:t>30,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Profit (Loss)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bl>
    <w:p>
      <w:pPr>
        <w:sectPr>
          <w:pgSz w:w="11900" w:h="16884" w:orient="portrait"/>
          <w:cols w:equalWidth="0" w:num="1">
            <w:col w:w="11420"/>
          </w:cols>
          <w:pgMar w:left="240" w:top="517"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color w:val="auto"/>
              </w:rPr>
              <w:t>Education Technology</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profit</w:t>
            </w:r>
          </w:p>
        </w:tc>
        <w:tc>
          <w:tcPr>
            <w:tcW w:w="460" w:type="dxa"/>
            <w:vAlign w:val="bottom"/>
          </w:tcPr>
          <w:p>
            <w:pPr>
              <w:jc w:val="right"/>
              <w:ind w:right="30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833</w:t>
            </w:r>
          </w:p>
        </w:tc>
        <w:tc>
          <w:tcPr>
            <w:tcW w:w="14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809</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1,640</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8"/>
        <w:spacing w:after="0" w:line="264" w:lineRule="auto"/>
        <w:tabs>
          <w:tab w:leader="none" w:pos="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includes restructuring charges of $17 million for the three months ended June 30, 2007, and $31 million for the six months ended June 30, 2007. Of the total restructuring charges, $11 million ($20 million for the six months) is included in cost of revenue and $6 million ($11 million for the six months) is included in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At Texas Instruments, we design and make high-technology components that we sell to customers all over the world. We have two business segments: Semiconductor and Education Technology. Semiconductor is by far the larger of these segments, accounting for 96 percent of our revenue in 2007. This segment sells integrated circuits, or semiconductors, to electronics designers and manufacturers. Our Education Technology segment accounts for the remaining 4 percent of our revenue and sells calculators and related technologies to consumers and educators.</w:t>
      </w:r>
    </w:p>
    <w:p>
      <w:pPr>
        <w:spacing w:after="0" w:line="19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Beginning with this quarterly report, we will describe Semiconductor revenue in four product lines: Analog, Embedded Processing, Wireless and Remaining Semiconductor. We expect that for our 2008 10-K, we will have transitioned to four segments: Analog, Embedded Processing, Wireless and Other. Our Other segment will consist of what is presently Remaining Semiconductor and Education Technology. For a complete description of these changes, please reference the materials from our conference call and webcast, held on July 1, 2008, available at www.ti.com/ir.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details relevant to each segment are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Semiconductor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Semiconductor segment invents and produces a variety of semiconductors, commonly called “chips.” These semiconductors are used to accomplish many different things, such as converting and amplifying signals, interfacing with input and output devices and other semiconductors, managing and distributing power, processing data, canceling noise and improving signal resolution. Our portfolio includes products that are central to almost all electronic equipment.</w:t>
      </w:r>
    </w:p>
    <w:p>
      <w:pPr>
        <w:spacing w:after="0" w:line="21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Semiconductor segment can be affected by cyclical upturns and downturns characteristic of the markets for our products, which sometimes cause wide swings in growth rates from quarter to quarter or year to year. Prices and manufacturing costs of Semiconductor products tend to decline over time.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three major semiconductor product lines: Analog, Embedded Processing and Wireless. We expect Analog and Embedded Processing to be our primary growth engines in the years ahead, and therefore we focus our resources on these product lines.</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Within our semiconductor product lines, there are two general types of products, custom and standard – terms that refer to whom and how the products are sold. A custom product is designed for a specific customer for a specific application and is generally sold directly to the customer. A standard product is designed for use by many customers in many applications and is generally sold through distribution. Standard products include both commodity and proprietary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w:t>
      </w:r>
    </w:p>
    <w:p>
      <w:pPr>
        <w:spacing w:after="0" w:line="256" w:lineRule="exact"/>
        <w:rPr>
          <w:sz w:val="20"/>
          <w:szCs w:val="20"/>
          <w:color w:val="auto"/>
        </w:rPr>
      </w:pPr>
    </w:p>
    <w:p>
      <w:pPr>
        <w:ind w:left="360"/>
        <w:spacing w:after="0" w:line="297"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so the signals can be processed by digital signal processors (DSPs). Analog semiconductors are also used to manage power distribution and consumption. Sales from our analog product line accounted for about 35 percent of our revenue in 2007. The worldwide market for analog semiconductors was about $36 billion in 2007. Our share in this very fragmented market is about 13 percent, and we believe that we are well positioned to increase it over time. We have two categories of analog products: high-performance analog and high-volume analog &amp; logic.</w:t>
      </w:r>
    </w:p>
    <w:p>
      <w:pPr>
        <w:spacing w:after="0" w:line="185" w:lineRule="exact"/>
        <w:rPr>
          <w:sz w:val="20"/>
          <w:szCs w:val="20"/>
          <w:color w:val="auto"/>
        </w:rPr>
      </w:pPr>
    </w:p>
    <w:p>
      <w:pPr>
        <w:ind w:left="360" w:right="120"/>
        <w:spacing w:after="0" w:line="342" w:lineRule="auto"/>
        <w:rPr>
          <w:sz w:val="20"/>
          <w:szCs w:val="20"/>
          <w:color w:val="auto"/>
        </w:rPr>
      </w:pPr>
      <w:r>
        <w:rPr>
          <w:rFonts w:ascii="Arial" w:cs="Arial" w:eastAsia="Arial" w:hAnsi="Arial"/>
          <w:sz w:val="16"/>
          <w:szCs w:val="16"/>
          <w:color w:val="auto"/>
        </w:rPr>
        <w:t>High-performance analog products: These include standard analog semiconductors (our portfolio is about 17,000 products) that we market to many different customers (nearly 80,000) who will use them in many different products. These products generally have long life cycles, often 10 to 20 years.</w:t>
      </w:r>
    </w:p>
    <w:p>
      <w:pPr>
        <w:spacing w:after="0" w:line="151" w:lineRule="exact"/>
        <w:rPr>
          <w:sz w:val="20"/>
          <w:szCs w:val="20"/>
          <w:color w:val="auto"/>
        </w:rPr>
      </w:pPr>
    </w:p>
    <w:p>
      <w:pPr>
        <w:ind w:left="360" w:right="40"/>
        <w:spacing w:after="0" w:line="302" w:lineRule="auto"/>
        <w:rPr>
          <w:sz w:val="20"/>
          <w:szCs w:val="20"/>
          <w:color w:val="auto"/>
        </w:rPr>
      </w:pPr>
      <w:r>
        <w:rPr>
          <w:rFonts w:ascii="Arial" w:cs="Arial" w:eastAsia="Arial" w:hAnsi="Arial"/>
          <w:sz w:val="16"/>
          <w:szCs w:val="16"/>
          <w:color w:val="auto"/>
        </w:rPr>
        <w:t>High-volume analog &amp; logic products: These include two product types. The first, high-volume analog, includes custom products marketed for specific applications. The life cycles of our high-volume analog products are generally shorter than our high-performance analog products. End markets for high-volume analog products include communications equipment, automobiles, computing equipment and many consumer electronics products. The second type of products in this line, standard logic, includes commodity products marketed to many different customers for many different applications.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Embedded Processing</w:t>
      </w:r>
    </w:p>
    <w:p>
      <w:pPr>
        <w:spacing w:after="0" w:line="256" w:lineRule="exact"/>
        <w:rPr>
          <w:sz w:val="20"/>
          <w:szCs w:val="20"/>
          <w:color w:val="auto"/>
        </w:rPr>
      </w:pPr>
    </w:p>
    <w:p>
      <w:pPr>
        <w:ind w:left="360"/>
        <w:spacing w:after="0" w:line="293" w:lineRule="auto"/>
        <w:rPr>
          <w:sz w:val="20"/>
          <w:szCs w:val="20"/>
          <w:color w:val="auto"/>
        </w:rPr>
      </w:pPr>
      <w:r>
        <w:rPr>
          <w:rFonts w:ascii="Arial" w:cs="Arial" w:eastAsia="Arial" w:hAnsi="Arial"/>
          <w:sz w:val="16"/>
          <w:szCs w:val="16"/>
          <w:color w:val="auto"/>
        </w:rPr>
        <w:t>Our embedded processing products are DSPs and microcontrollers. DSPs perform mathematical computations almost instantaneously to process and improve digital data. Microcontrollers are microprocessors that are designed to control a very specific task for electronic equipment. Sales of embedded processing products accounted for about 12 percent of our revenue in 2007. The worldwide market for embedded processors was about $17 billion in 2007 and we have about 10 percent market share. A unique characteristic of embedded processing products is that our customers often invest their own research and development (R&amp;D) to write software that operates only with our products. We make and sell standard products used in many different applications and custom products used in applications that include communications infrastructure equipment and automobiles.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left="360" w:right="220"/>
        <w:spacing w:after="0" w:line="275" w:lineRule="auto"/>
        <w:rPr>
          <w:sz w:val="20"/>
          <w:szCs w:val="20"/>
          <w:color w:val="auto"/>
        </w:rPr>
      </w:pPr>
      <w:r>
        <w:rPr>
          <w:rFonts w:ascii="Arial" w:cs="Arial" w:eastAsia="Arial" w:hAnsi="Arial"/>
          <w:sz w:val="16"/>
          <w:szCs w:val="16"/>
          <w:color w:val="auto"/>
        </w:rPr>
        <w:t>Cell phones require a radio or “baseband” to connect to the wireless carrier’s network. Today’s advanced cell phones also require an applications processor to run the phone’s software and services, and semiconductors to enable connectivity to Bluetooth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devices, WiFi networks or GPS location services. We design, make and sell products to satisfy each of these requirements, often in the same chip. Wireless products are typically sold in high</w:t>
      </w:r>
    </w:p>
    <w:p>
      <w:pPr>
        <w:sectPr>
          <w:pgSz w:w="11900" w:h="16879" w:orient="portrait"/>
          <w:cols w:equalWidth="0" w:num="1">
            <w:col w:w="11400"/>
          </w:cols>
          <w:pgMar w:left="240" w:top="513" w:right="259" w:bottom="0" w:gutter="0" w:footer="0" w:header="0"/>
        </w:sectPr>
      </w:pPr>
    </w:p>
    <w:bookmarkStart w:id="13" w:name="page14"/>
    <w:bookmarkEnd w:id="13"/>
    <w:p>
      <w:pPr>
        <w:ind w:left="360" w:right="580"/>
        <w:spacing w:after="0" w:line="277" w:lineRule="auto"/>
        <w:rPr>
          <w:sz w:val="20"/>
          <w:szCs w:val="20"/>
          <w:color w:val="auto"/>
        </w:rPr>
      </w:pPr>
      <w:r>
        <w:rPr>
          <w:rFonts w:ascii="Arial" w:cs="Arial" w:eastAsia="Arial" w:hAnsi="Arial"/>
          <w:sz w:val="18"/>
          <w:szCs w:val="18"/>
          <w:color w:val="auto"/>
        </w:rPr>
        <w:t>volumes and our wireless portfolio includes both standard and custom products. Sales of wireless products accounted for about 30 percent of our revenue in 2007.</w:t>
      </w:r>
    </w:p>
    <w:p>
      <w:pPr>
        <w:spacing w:after="0" w:line="197" w:lineRule="exact"/>
        <w:rPr>
          <w:sz w:val="20"/>
          <w:szCs w:val="20"/>
          <w:color w:val="auto"/>
        </w:rPr>
      </w:pPr>
    </w:p>
    <w:p>
      <w:pPr>
        <w:ind w:left="360" w:right="100"/>
        <w:spacing w:after="0" w:line="254" w:lineRule="auto"/>
        <w:rPr>
          <w:sz w:val="20"/>
          <w:szCs w:val="20"/>
          <w:color w:val="auto"/>
        </w:rPr>
      </w:pPr>
      <w:r>
        <w:rPr>
          <w:rFonts w:ascii="Arial" w:cs="Arial" w:eastAsia="Arial" w:hAnsi="Arial"/>
          <w:sz w:val="17"/>
          <w:szCs w:val="17"/>
          <w:color w:val="auto"/>
        </w:rPr>
        <w:t>Prompted by increased consumer demand for “smart phones” (which contain email, media and computing capability), major handset manufacturers are shifting their R&amp;D focus from baseband technology to software and services. As a result, we believe customer demand for applications processors is increasing as handset manufacturers integrate such processors to differentiate their products. Our OMAP</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product line has a leading position in the stand-alone applications processor market and is used by most of the top handset manufacturers. Our wireless product line has been shifting focus from baseband chips, a market with shrinking competitive barriers, to applications processors.</w:t>
      </w: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addition to our three major semiconductor product lines, we offer the following (Remaining Semiconductor): DLP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(which are used to create high-definition images for data projectors, televisions and movie projectors), reduced-instruction set computing (RISC) microprocessors (which are designed to provide very fast computing and are often implemented in servers), application-specific integrated circuits (ASICs) (which are custom chips), and radio-frequency identification (RFID) semiconductors (which provide the technology used in, among other things, automatic transportation payments and product tracking). An additional source of semiconductor revenue is royalties received for our patented technology that we license to other electronics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Our inventory practices vary by product type. For standard products, where the risk of obsolescence is low, we generally carry higher levels of inventory. These products usually have many customers and long life cycles, and are often ordered in small quantities. Standard product inventory is sometimes held in unfinished form, giving us greater flexibility to meet final package and test configurations.</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custom products, where the risk of obsolescence is higher, we carry lower levels of inventory when possible. These products usually have a single customer, are sold in high volumes and have shorter life cycles. Life cycles of these products are often determined by end-equipment upgrade cycles and can be as short as 12 to 24 months.</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we’ve become a stronger competitor in the market for high-performance analog products, we’ve increased the inventory levels we carry for these products so that our tens of thousands of customers have access to what they need when they need it. Additionally, consignment programs with our largest customers and the fact that distributors now carry less inventory contribute to the need for us to carry higher levels of inventory.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own and operate semiconductor manufacturing sites in North America, Asia and Europe. These facilities include high-volume wafer fabrication plants and assembly/test sites. Our facilities require substantial investment to construct and are largely fixed-cost assets once in operation. Because we own much of our manufacturing capacity, a significant portion of our operating costs is fixed. In general, these costs do not decline with reductions in customer demand or utilization of capacity, potentially reducing our profit margins. Conversely, as product demand rises and factory utilization increases, the fixed costs are spread over increased output, potentially benefiting our profit margins.</w:t>
      </w:r>
    </w:p>
    <w:p>
      <w:pPr>
        <w:spacing w:after="0" w:line="21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analog semiconductors typically require a lower level of investment in manufacturing processes and equipment than our other semiconductor products, which are based on advanced logic manufacturing processes. While analog chips benefit from unique, proprietary manufacturing processes, these processes can be applied using older, less expensive equipment. In addition, these processes and equipment remain usable for much longer than the manufacturing processes and equipment required for advanced logic manufacturing. Consequently, the level of capital spending needed to support analog semiconductor manufacturing is considerably less than is needed for an equivalent level of advanced logic semiconductor manufacturing.</w:t>
      </w:r>
    </w:p>
    <w:p>
      <w:pPr>
        <w:spacing w:after="0" w:line="18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To supplement our internal advanced logic wafer fabrication capacity, maximize our responsiveness to customer demand and minimize our overall capital expenditures, our manufacturing strategy utilizes the capacity of outside suppliers, commonly known as foundries. Currently, external foundries provide about 50 percent of the fabricated wafers for our advanced logic products. We expect the proportion of our advanced logic wafers provided by foundries will increase over time. We expect to maintain sufficient internal wafer fabrication capacity to meet substantially all our analog production needs.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our internal manufacturing efforts shift to a higher percentage of analog products, an increasing proportion of our capital expenditures is devoted to assembly/test facilities and equipment. This is primarily due to the lower capital needs of analog wafer manufacturing equipment. We also use subcontractors to provide a small portion of our assembly and test needs, either where a product requires unique assembly packaging but we do not sell sufficient volume to justify purchasing the necessary equipment or where we have acquired companies whose products are already assembled and tested by subcontractors.</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Another element of our manufacturing strategy for advanced logic semiconductors involves working collaboratively with our foundry suppliers to develop future generations of wafer fabrication manufacturing processes, a model we transitioned to in 2007. Historically, we had developed these manufacturing processes in-house. This strategic shift will allow us to better serve customers with cost-effective manufacturing processes from our foundry suppliers, while also increasing the efficiency of our own R&amp;D and capital. As we have decreased our R&amp;D spending on advanced logic manufacturing process development, we have increased R&amp;D spending, albeit at lesser amounts, on our analog manufacturing process development, where we remain able to differentiate our products through process technologies.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Education Technology</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Education Technology segment is the world’s leading supplier of handheld graphing calculators. It also designs business and scientific calculators, as well as a wide range of advanced classroom hardware and software that help students and teachers explore math and science interactively. Our products are sold primarily through retailers and instructional dealers. Our Education Technology segment has an annual pattern of revenue that is tied to the U.S. back-to-school season. As a result, revenue is at its highest in the second and third quarters. This segment represented 4 percent of our revenue in 2007. Prices of Education Technology products tend to be stable.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operate in a number of tax jurisdictions and are subject to several types of taxes including those based on income, capital, property and payroll, and sales and other transactional taxes. The timing of the final determination of our tax liabilities varies among the various jurisdictions and their taxing authorities. As</w:t>
      </w:r>
    </w:p>
    <w:p>
      <w:pPr>
        <w:sectPr>
          <w:pgSz w:w="11900" w:h="16838" w:orient="portrait"/>
          <w:cols w:equalWidth="0" w:num="1">
            <w:col w:w="11420"/>
          </w:cols>
          <w:pgMar w:left="240" w:top="125" w:right="239" w:bottom="0" w:gutter="0" w:footer="0" w:header="0"/>
        </w:sectPr>
      </w:pPr>
    </w:p>
    <w:bookmarkStart w:id="14" w:name="page15"/>
    <w:bookmarkEnd w:id="14"/>
    <w:p>
      <w:pPr>
        <w:ind w:right="680"/>
        <w:spacing w:after="0" w:line="277" w:lineRule="auto"/>
        <w:rPr>
          <w:sz w:val="20"/>
          <w:szCs w:val="20"/>
          <w:color w:val="auto"/>
        </w:rPr>
      </w:pPr>
      <w:r>
        <w:rPr>
          <w:rFonts w:ascii="Arial" w:cs="Arial" w:eastAsia="Arial" w:hAnsi="Arial"/>
          <w:sz w:val="18"/>
          <w:szCs w:val="18"/>
          <w:color w:val="auto"/>
        </w:rPr>
        <w:t>a result, during any particular reporting period, we might reflect in our financial statements one or more tax refunds or assessments, or changes to tax liabilities, involving one or more taxing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Second-Quarter 2008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revenue was $3.35 billion, our net income was $588 million and our earnings per share were $0.44.</w:t>
      </w:r>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core areas of Analog and Embedded Processing delivered solid revenue growth this quarter. Each grew sequentially and increased 10 percent from a year ago. These technologies are critical to thousands of different types of electronic equipment, making them some of the most attractive markets in the semiconductor industry. We believe our portfolio combined with our passion to help customers solve critical problems will drive good long-term growth.</w:t>
      </w:r>
    </w:p>
    <w:p>
      <w:pPr>
        <w:spacing w:after="0" w:line="17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total, our revenue in the second quarter was in the lower half of our range of expectations, as were earnings per share. Demand slowed unexpectedly in June primarily because distributors reduced inventory levels and did not replenish them late in the quarter. Additionally, wireless revenue declined in the quarter, continuing its first-quarter weakness.</w:t>
      </w:r>
    </w:p>
    <w:p>
      <w:pPr>
        <w:spacing w:after="0" w:line="20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believe this slower demand was due to a mix of reasons, including a weaker economic environment and greater confidence in our ability to deliver products within short lead times. Our orders were up in the quarter and backlog grew, but we are cautious given the demand environment we just experienced. If demand strengthens as quickly as it slowed, we are well-positioned to meet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June 30, 2008</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June 30, 2007</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Mar. 31, 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3,351</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1,602</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1,640</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1,749</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1,784</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488</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551</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428</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833</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809</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850</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865</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262</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588</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614</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588</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.45</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.45</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.44</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1,320</w:t>
            </w:r>
          </w:p>
        </w:tc>
        <w:tc>
          <w:tcPr>
            <w:tcW w:w="4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1,437</w:t>
            </w:r>
          </w:p>
        </w:tc>
        <w:tc>
          <w:tcPr>
            <w:tcW w:w="4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1,341</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1,469</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52.2%</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14.6%</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12.8%</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24.9%</w:t>
            </w:r>
          </w:p>
        </w:tc>
        <w:tc>
          <w:tcPr>
            <w:tcW w:w="4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4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343"/>
        </w:trPr>
        <w:tc>
          <w:tcPr>
            <w:tcW w:w="2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Revenue for the second quarter of 2008 was $3.35 billion, down $73 million, or 2 percent, from the year-ago quarter, due to decreased shipments resulting from lower demand for our Semiconductor products. (See detailed discussion below.) Compared with the prior quarter, revenue increased $79 million, or 2 percent, due to increased shipments resulting from the seasonal increase in demand for graphing calculator products in our Education Technology segment.</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for the second quarter of 2008 was $1.75 billion, or 52.2 percent of revenue, down 2 percent from the $1.78 billion in the year-ago quarter due to lower Semiconductor revenue. Gross profit was about even sequentially despite higher revenue due to increased manufacturing costs. These costs increased due to the combination of, in decreasing order, expenses incurred as a result of lower utilization, converting one of our manufacturing facilities from advanced logic manufacturing to analog manufacturing, transferring equipment from a manufacturing facility we shuttered to other facilities around the world, higher commodity prices (particularly for gold), and the rate-of-exchange impact on expenses such as labor in regions where we compensate in currencies other than the U.S. dollar.</w:t>
      </w:r>
    </w:p>
    <w:p>
      <w:pPr>
        <w:spacing w:after="0" w:line="22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Operating expenses for the second quarter of 2008 were $488 million for R&amp;D and $428 million for SG&amp;A. R&amp;D expense decreased $63 million, or 11 percent, from a year ago primarily due to the combination of the benefit from our collaborative work with foundries on advanced logic manufacturing technologies and, to a lesser extent, lower compensation-related expenses. R&amp;D expense decreased $26 million from the prior quarter primarily due to lower compensation-related expenses. SG&amp;A expense was about even with the year-ago quarter and decreased $7 million, or 2 percent, from the prior quarter.</w:t>
      </w:r>
    </w:p>
    <w:p>
      <w:pPr>
        <w:spacing w:after="0" w:line="18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Operating profit for the second quarter of 2008 was $833 million, or 24.9 percent of revenue, compared with $809 million, or 23.6 percent of revenue, in the year-ago quarter and $807 million, or 24.7 percent of revenue, in the prior quarter. The increases from each period were due to reductions in R&amp;D expense.</w:t>
      </w:r>
    </w:p>
    <w:p>
      <w:pPr>
        <w:spacing w:after="0" w:line="15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Other income (expense) net for the second quarter of 2008 was $17 million, a decrease of $39 million from the year-ago quarter and a decrease of $16 million from the prior quarter. The decreases from each period were primarily due to lower interest income and lower earnings on investments.</w:t>
      </w:r>
    </w:p>
    <w:p>
      <w:pPr>
        <w:spacing w:after="0" w:line="174"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As of June 30, 2008, the estimated annual effective tax rate for 2008 is expected to be about 31 percent (see Note 7 to the Financial Statements for additional information). The tax rate is based on current tax law and does not assume reinstatement of the federal research tax credit, which expired at the end of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provision for the second quarter of 2008 was $262 million, compared with $251 million in the year ago quarter. The increase was due to the expiration of the federal research tax credit, which was partially offset by lower income before income taxes. Our tax provision in the first quarter of 2008 was $178 million, which included a discrete tax benefit of $81 million primarily resulting from our decision to indefinitely reinvest the accumulated earnings of a non-U.S. subsidiary.</w:t>
      </w:r>
    </w:p>
    <w:p>
      <w:pPr>
        <w:spacing w:after="0" w:line="2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Income from continuing operations was $588 million, a decrease of $26 million from the year-ago quarter and a decrease of $74 million from the prior quarter.</w:t>
      </w:r>
    </w:p>
    <w:p>
      <w:pPr>
        <w:spacing w:after="0" w:line="19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Earnings per share (EPS) for the second quarter were $0.44 per share. Despite lower net income, EPS increased $0.02 from the year-ago quarter due to the effect of a lower number of average shares outstanding as a result of our stock repurchase program. EPS decreased $0.05 compared with the prior quarter, which included a discrete tax benefit of $0.06.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Orders in the second quarter were $3.46 billion, which was even with the year-ago quarter and up 4 percent from the prior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Semiconductor segment revenue was $3.17 billion, a decrease of 3 percent from the year-ago quarter and about even sequentially.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Semiconductor revenue by product line was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2Q08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2Q07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vs. 2Q07</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1Q08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Remaining Semiconductor</w:t>
            </w: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666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Semiconductor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3,175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Analog revenue growth in both comparisons was due to increased shipments resulting from stronger demand for high-performance analog products.</w:t>
      </w:r>
    </w:p>
    <w:p>
      <w:pPr>
        <w:spacing w:after="0" w:line="2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Embedded processing revenue growth in both comparisons was primarily due to increased shipments resulting from stronger demand for standard products as well as communications infrastructure products.</w:t>
      </w:r>
    </w:p>
    <w:p>
      <w:pPr>
        <w:spacing w:after="0" w:line="19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Wireless revenue declined from a year ago despite increased shipments, primarily due to a higher proportion of shipments of lower-priced baseband products and, to a lesser extent, normal price declines. Wireless revenue declined sequentially due to decreased shipments resulting from lower demand for baseband products and, to a lesser extent, normal price declines.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Remaining semiconductor revenue declined from a year ago primarily as a result of the sale of our digital subscriber line (DSL) customer-premises equipment product line in the third quarter of 2007 and, to a lesser extent, lower shipments resulting from decreased demand for RISC microprocessors. Compared with the prior quarter, remaining semiconductor revenue declined due to lower shipments resulting from decreased demand for RISC microprocessors.</w:t>
      </w:r>
    </w:p>
    <w:p>
      <w:pPr>
        <w:spacing w:after="0" w:line="17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Operating profit for the second quarter was $886 million, or 27.9 percent of revenue. This was a decrease of $19 million from the year-ago quarter due to lower revenue, which was partially offset by lower R&amp;D expense. Operating profit decreased $41 million from the prior quarter due to increased manufacturing costs, which were partially offset by lower operating expenses.</w:t>
      </w:r>
    </w:p>
    <w:p>
      <w:pPr>
        <w:sectPr>
          <w:pgSz w:w="11900" w:h="16838"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Education Technology</w:t>
      </w:r>
    </w:p>
    <w:p>
      <w:pPr>
        <w:spacing w:after="0" w:line="25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Education Technology revenue for the second quarter of 2008 was $176 million. This was an increase of $9 million, or 5 percent, from the year-ago quarter due to higher shipments resulting from increased demand for graphing calculators. Compared with the prior quarter, revenue increased $95 million due to higher shipments of calculators as a result of seasonal demand in preparation for the back-to-school season.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profit for the second quarter was $78 million, or 44.1 percent of revenue, an increase of $4 million from the year-ago quarter and an increase of $60 million from the prior quarter due to higher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of 2008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2008, we report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of $6.62 billion was about the same as the year-ago period.</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profit for the first six months of 2008 was $3.50 billion, an increase from $3.42 billion in the year-ago period primarily due to a richer mix of more profitable products. Gross profit margin was 52.9 percent of revenue compared with 51.7 percent in the year-ago period.</w:t>
      </w:r>
    </w:p>
    <w:p>
      <w:pPr>
        <w:spacing w:after="0" w:line="19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R&amp;D expense for the first six months of 2008 of $1.00 billion decreased 9 percent compared with the year-ago period primarily due to the benefit from our collaborative work with foundries on advanced logic manufacturing technologies. R&amp;D expense as a percent of revenue was 15.1 percent, compared with 16.7 percent in the year-ago period.</w:t>
      </w:r>
    </w:p>
    <w:p>
      <w:pPr>
        <w:spacing w:after="0" w:line="20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SG&amp;A expense for the first six months of 2008 was $863 million, an increase of 4 percent from $828 million in the year-ago period, primarily due to higher investments in field sales and customer support, especially for emerging regions of the world. SG&amp;A expense as a percent of revenue was 13.0 percent compared with 12.5 percent in the year-ago period.</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profit for the first six months of 2008 was $1.64 billion, or 24.8 percent of revenue, compared with $1.49 billion, or 22.5 percent of revenue, in the year-ago period. The increase was due to a combination of lower R&amp;D expenses and, to a lesser extent, higher gross profit.</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OI&amp;E for the first six months of 2008 was $49 million. Other income decreased $46 million from the first six months of 2007, primarily due to lower interest income.</w:t>
      </w:r>
    </w:p>
    <w:p>
      <w:pPr>
        <w:spacing w:after="0" w:line="19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tax provision for the first six months of 2008 was $438 million, compared with $454 million in the same period of 2007. The decrease was due to discrete tax benefits, partially offset by higher income before income taxes and the expiration of the federal research tax credit.</w:t>
      </w:r>
    </w:p>
    <w:p>
      <w:pPr>
        <w:spacing w:after="0" w:line="1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from continuing operations for the first six months of 2008 was $1.25 billion compared with $1.13 billion for 2007. Earnings per share from continuing operations were $0.93 per share compared with $0.77 per share in the year-ago period. As a result of our share repurchases, average diluted shares outstanding decreased by 125 million shares from the prior period, increasing earnings per share by $0.08.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first six months of 2008 was $1.25 billion compared with $1.13 billion in the year-ago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Orders of $6.77 billion were up 2 percent from the year-ago period, reflecting higher demand for Semiconductor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Semiconductor revenue in the first six months of 2008 was $6.37 billion, about even with the year-ago period, as higher analog and embedded processing revenue was offset by lower wireless and remaining semiconductor revenue.</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Semiconductor operating profit for the first six months of 2008 was $1.81 billion, or 28.5 percent of revenue, compared with $1.74 billion, or 27.2 percent of revenue, in the year-ago period due to lower R&amp;D expense. Higher gross profit was offset by higher SG&amp;A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Technology</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Education Technology revenue was $258 million for the first six months of 2008 compared with $243 million in the year-ago period, as shipments increased because of higher demand for graphing calculators.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profit for the first six months of 2008 was $96 million, or 37.1 percent of revenue, compared with $89 million, or 36.7 percent of revenue in the year-ago period, primarily due to higher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the end of the second quarter of 2008, total cash (cash and cash equivalents plus short-term investments) was $1.65 billion. This was $1.28 billion lower than the end of 2007, due to cash used for stock repurchases. Additionally, we reclassified our remaining auction-rate securities from short-term to long-term investments at the end of the first quarter (see Note 4 to the Financial Statements). Accounts receivable were $1.81 billion at the end of the quarter. This was an increase of $69 million from the end of 2007. Days sales outstanding were 49 at the end of the quarter compared with 44 at the end of 2007, primarily due to the seasonal increase in accounts receivable from sales of Education Technology products.</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Inventory was $1.65 billion at the end of the quarter. This was $233 million higher than the end of 2007. Days of inventory at the end of the second quarter were 93, up 15 days from the end of 2007. The increase in inventory from the end of 2007 was due to, in decreasing order, a planned build, especially in high-performance analog, to better service our customers, higher manufacturing costs, lower-than-expected revenue in the quarter and a seasonal build of Education Technology inventory to support the upcoming back-to-school season. Inventory increased to above our desired levels, and we plan to reduce inventory in a measured manner over the remainder of 2008.</w:t>
      </w:r>
    </w:p>
    <w:p>
      <w:pPr>
        <w:sectPr>
          <w:pgSz w:w="11900" w:h="16838" w:orient="portrait"/>
          <w:cols w:equalWidth="0" w:num="1">
            <w:col w:w="11420"/>
          </w:cols>
          <w:pgMar w:left="240" w:top="368" w:right="239" w:bottom="0" w:gutter="0" w:footer="0" w:header="0"/>
        </w:sectPr>
      </w:pPr>
    </w:p>
    <w:bookmarkStart w:id="18" w:name="page19"/>
    <w:bookmarkEnd w:id="18"/>
    <w:p>
      <w:pPr>
        <w:ind w:right="40"/>
        <w:spacing w:after="0" w:line="264" w:lineRule="auto"/>
        <w:rPr>
          <w:sz w:val="20"/>
          <w:szCs w:val="20"/>
          <w:color w:val="auto"/>
        </w:rPr>
      </w:pPr>
      <w:r>
        <w:rPr>
          <w:rFonts w:ascii="Arial" w:cs="Arial" w:eastAsia="Arial" w:hAnsi="Arial"/>
          <w:sz w:val="18"/>
          <w:szCs w:val="18"/>
          <w:color w:val="auto"/>
        </w:rPr>
        <w:t>Capital spending in the first six months totaled $489 million. This was an increase of $136 million from a year ago primarily due to higher expenditures for semiconductor assembly/test equipment and facilities, and to a lesser extent, higher expenditures for analog manufacturing facilities. Depreciation in the first six months of 2008 was $487 million, down $21 million from a year ago.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flow from operations for the first six months of 2008 was $1.16 billion, a decrease of $292 million from the year-ago period, due to the increase in cash used for working capital purposes, particularly for inventories.</w:t>
      </w:r>
    </w:p>
    <w:p>
      <w:pPr>
        <w:spacing w:after="0" w:line="19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For the first six months of 2008, net cash provided from investing activities was $210 million, compared with cash used of $171 million in the year-ago period. During the first six months of 2008, we moved a portion of our holdings of short-term investments to cash and cash equivalents.</w:t>
      </w:r>
    </w:p>
    <w:p>
      <w:pPr>
        <w:spacing w:after="0" w:line="17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first six months of 2008, net cash used in financing activities was $1.39 billion, compared with $1.20 billion in the year-ago period. We used $1.31 billion of cash in the first six months of 2008 to repurchase 42.7 million shares of our common stock and paid dividends of $265 million. In the same period last year we used $1.60 billion of cash to repurchase 50 million shares of common stock and paid $173 million in dividends. Dividends were higher due to the increase in the quarterly dividend rate in the second and fourth quarters of 2007. The exercise of stock options by employees for shares of TI stock is also reflected in cash from financing activities. For the first six months of 2008, such exercises provided $165 million compared to $528 million for the same period a year ago. In April 2007, we retired $43 million of outstanding 8.75% notes at maturity.</w:t>
      </w:r>
    </w:p>
    <w:p>
      <w:pPr>
        <w:spacing w:after="0" w:line="2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2008, we expect: an annual effective tax rate of about 31 percent, R&amp;D expense of $2.0 billion, capital expenditures of $0.9 billion and depreciation of $1.0 billion.</w:t>
      </w:r>
    </w:p>
    <w:p>
      <w:pPr>
        <w:spacing w:after="0" w:line="1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concerning market risk is contained on pages 58-59 of Exhibit 13 to our Form 10-K for the year ended December 31, 2007, and is incorporated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in the reports that we file or submit under the Exchange Act is recorded, processed, summarized and reported, within the time periods specified in the Commission’s rules and forms.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financial results and other factors, many of which are beyond our control.</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semiconductor business is our largest business segment and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integrated circuits decreases or if these markets or key end-equipment markets such as communications, consumer electronics and computing grow at a significantly slower pace than management expects.</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are fixed. In general, these costs do not decline with reductions in customer demand or utilization of manufacturing capacity, and can adversely affect profit margins as a result.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The Technology Industry Is Characterized by Rapid Technological Change That Requires Us to Develop New Technologies and Products.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the level of this competition will continue to increase from large competitors and from smaller competitors serving niche markets.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00" w:lineRule="exact"/>
        <w:rPr>
          <w:sz w:val="20"/>
          <w:szCs w:val="20"/>
          <w:color w:val="auto"/>
        </w:rPr>
      </w:pPr>
    </w:p>
    <w:p>
      <w:pPr>
        <w:ind w:left="720" w:right="520"/>
        <w:spacing w:after="0" w:line="277" w:lineRule="auto"/>
        <w:rPr>
          <w:sz w:val="20"/>
          <w:szCs w:val="20"/>
          <w:color w:val="auto"/>
        </w:rPr>
      </w:pPr>
      <w:r>
        <w:rPr>
          <w:rFonts w:ascii="Arial" w:cs="Arial" w:eastAsia="Arial" w:hAnsi="Arial"/>
          <w:sz w:val="18"/>
          <w:szCs w:val="18"/>
          <w:u w:val="single" w:color="auto"/>
          <w:color w:val="auto"/>
        </w:rPr>
        <w:t>Our Performance Depends in Part upon Our Ability to Enforce Our Intellectual Property Rights and to Develop and License New Intellectual Property.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contractually agreed to indemnify them against damages resulting from infringement claims.</w:t>
      </w:r>
    </w:p>
    <w:p>
      <w:pPr>
        <w:spacing w:after="0" w:line="2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the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220" w:lineRule="exact"/>
        <w:rPr>
          <w:sz w:val="20"/>
          <w:szCs w:val="20"/>
          <w:color w:val="auto"/>
        </w:rPr>
      </w:pPr>
    </w:p>
    <w:p>
      <w:pPr>
        <w:ind w:left="720" w:right="700"/>
        <w:spacing w:after="0" w:line="277" w:lineRule="auto"/>
        <w:rPr>
          <w:sz w:val="20"/>
          <w:szCs w:val="20"/>
          <w:color w:val="auto"/>
        </w:rPr>
      </w:pPr>
      <w:r>
        <w:rPr>
          <w:rFonts w:ascii="Arial" w:cs="Arial" w:eastAsia="Arial" w:hAnsi="Arial"/>
          <w:sz w:val="18"/>
          <w:szCs w:val="18"/>
          <w:u w:val="single" w:color="auto"/>
          <w:color w:val="auto"/>
        </w:rPr>
        <w:t>A Decline in Demand in Certain End-User Markets Could Have a Material Adverse Effect on the Demand for Our Products and Results of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 base includes companies in a wide range of industries, but we generate a significant amount of revenue from sales to customers in the communications- and computer-related industries. Within these industries, a large portion of our revenue is generated from sales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ectPr>
          <w:pgSz w:w="11900" w:h="16838" w:orient="portrait"/>
          <w:cols w:equalWidth="0" w:num="1">
            <w:col w:w="11420"/>
          </w:cols>
          <w:pgMar w:left="240" w:top="513" w:right="23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u w:val="single" w:color="auto"/>
          <w:color w:val="auto"/>
        </w:rPr>
        <w:t>Our Global Manufacturing, Design and Sales Activities Subject Us to Risks Associated with Legal, Political, Economic or Other Changes.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facilities in more than 25 countries worldwide, and in 2007 more than 80 percent of our revenue came from sales to locations outside the United States. Operating internationally exposes us to changes in export controls and other laws or policies, as well as political and economic conditions, security risks, health conditions and possible disruptions in transportation networks of the various countries in which we operate. Any of these could result in an adverse effect on our business operations and our financial results. Also, as discussed in more detail on pages 58 and 59 of our 2007 annual report to stockholders, we use forward currency exchange contracts to minimize the adverse earnings impact from the effect of exchange rate fluctuations on our non-U.S. dollar net balance sheet exposures. Nevertheless,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Our Customers or Suppliers Operate.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manufacturing and other operations in locations subject to natural occurrences such as severe weather and geological events that could disrupt operations. In addition, our suppliers and customers also have operations in such locations. A natural disaster that results in a prolonged disruption to our operations, or the operations of our customers or suppliers, may adversely affect our results and financial condition.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Loss of or Significant Curtailment of Purchases by Any of Our Largest Customers Could Adversely Affect Our Results of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98" w:lineRule="exact"/>
        <w:rPr>
          <w:sz w:val="20"/>
          <w:szCs w:val="20"/>
          <w:color w:val="auto"/>
        </w:rPr>
      </w:pPr>
    </w:p>
    <w:p>
      <w:pPr>
        <w:ind w:left="720" w:right="26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digital process technology development. We depend on a limited number of third parties to perform these functions. We do not have long-term contracts with all of these third parties. Reliance on these third parties involves risks, including possible shortages of capacity in periods of high demand, the third parties’ inability to develop and deliver advanced digital process technology in a timely, cost effective and appropriate manner and the possibility of third parties imposing increased costs on us.</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Results of Operations Could be Affected by Changes in Taxation.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facilities in more than 25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21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addition, we are subject to laws and regulations in various locations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bank accounts, multi-year revolving credit agreements, and a portfolio of short-term investments to support the financing needs of the company. Our ability to fund our daily operations, invest in our business, and make strategic acquisitions requires continuous access to our bank and investment accounts, as well as access to our bank credit lines, which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w:t>
      </w:r>
    </w:p>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do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92" w:lineRule="exact"/>
        <w:rPr>
          <w:sz w:val="20"/>
          <w:szCs w:val="20"/>
          <w:color w:val="auto"/>
        </w:rPr>
      </w:pPr>
    </w:p>
    <w:p>
      <w:pPr>
        <w:ind w:left="720" w:right="60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ectPr>
          <w:pgSz w:w="11900" w:h="16838" w:orient="portrait"/>
          <w:cols w:equalWidth="0" w:num="1">
            <w:col w:w="11420"/>
          </w:cols>
          <w:pgMar w:left="240" w:top="125" w:right="239" w:bottom="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Our continued success depends in part on the retention and recruitment of skilled personnel including technical, marketing, management and staff personnel. There can be no assurance that we will be able to successfully retain and recruit the key personnel that we require.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w:t>
            </w:r>
          </w:p>
        </w:tc>
        <w:tc>
          <w:tcPr>
            <w:tcW w:w="18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Purchased as</w:t>
            </w:r>
          </w:p>
        </w:tc>
        <w:tc>
          <w:tcPr>
            <w:tcW w:w="18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Part of</w:t>
            </w:r>
          </w:p>
        </w:tc>
        <w:tc>
          <w:tcPr>
            <w:tcW w:w="180" w:type="dxa"/>
            <w:vAlign w:val="bottom"/>
          </w:tcPr>
          <w:p>
            <w:pPr>
              <w:spacing w:after="0"/>
              <w:rPr>
                <w:sz w:val="18"/>
                <w:szCs w:val="18"/>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Publicly</w:t>
            </w:r>
          </w:p>
        </w:tc>
        <w:tc>
          <w:tcPr>
            <w:tcW w:w="180" w:type="dxa"/>
            <w:vAlign w:val="bottom"/>
          </w:tcPr>
          <w:p>
            <w:pPr>
              <w:spacing w:after="0"/>
              <w:rPr>
                <w:sz w:val="18"/>
                <w:szCs w:val="18"/>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80" w:type="dxa"/>
            <w:vAlign w:val="bottom"/>
          </w:tcPr>
          <w:p>
            <w:pPr>
              <w:spacing w:after="0"/>
              <w:rPr>
                <w:sz w:val="18"/>
                <w:szCs w:val="18"/>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Price Paid</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or</w:t>
            </w:r>
          </w:p>
        </w:tc>
        <w:tc>
          <w:tcPr>
            <w:tcW w:w="180" w:type="dxa"/>
            <w:vAlign w:val="bottom"/>
          </w:tcPr>
          <w:p>
            <w:pPr>
              <w:spacing w:after="0"/>
              <w:rPr>
                <w:sz w:val="18"/>
                <w:szCs w:val="18"/>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80" w:type="dxa"/>
            <w:vAlign w:val="bottom"/>
          </w:tcPr>
          <w:p>
            <w:pPr>
              <w:spacing w:after="0"/>
              <w:rPr>
                <w:sz w:val="22"/>
                <w:szCs w:val="22"/>
                <w:color w:val="auto"/>
              </w:rPr>
            </w:pPr>
          </w:p>
        </w:tc>
        <w:tc>
          <w:tcPr>
            <w:tcW w:w="1300" w:type="dxa"/>
            <w:vAlign w:val="bottom"/>
            <w:tcBorders>
              <w:bottom w:val="single" w:sz="8" w:color="auto"/>
            </w:tcBorders>
          </w:tcPr>
          <w:p>
            <w:pPr>
              <w:jc w:val="center"/>
              <w:ind w:left="70"/>
              <w:spacing w:after="0" w:line="247"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Borders>
              <w:bottom w:val="single" w:sz="8" w:color="auto"/>
            </w:tcBorders>
          </w:tcPr>
          <w:p>
            <w:pPr>
              <w:jc w:val="center"/>
              <w:ind w:left="70"/>
              <w:spacing w:after="0" w:line="247"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2008</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32.96</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4,800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May 1 through May 31, 2008</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7,055,000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30.93</w:t>
            </w:r>
          </w:p>
        </w:tc>
        <w:tc>
          <w:tcPr>
            <w:tcW w:w="1300" w:type="dxa"/>
            <w:vAlign w:val="bottom"/>
          </w:tcPr>
          <w:p>
            <w:pPr>
              <w:jc w:val="right"/>
              <w:spacing w:after="0"/>
              <w:rPr>
                <w:sz w:val="20"/>
                <w:szCs w:val="20"/>
                <w:color w:val="auto"/>
              </w:rPr>
            </w:pPr>
            <w:r>
              <w:rPr>
                <w:rFonts w:ascii="Arial" w:cs="Arial" w:eastAsia="Arial" w:hAnsi="Arial"/>
                <w:sz w:val="18"/>
                <w:szCs w:val="18"/>
                <w:color w:val="auto"/>
              </w:rPr>
              <w:t>7,055,000</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4,580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2008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8,884,200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8,884,200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4,310 million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vMerge w:val="continue"/>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15,994,200</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30.44</w:t>
            </w:r>
          </w:p>
        </w:tc>
        <w:tc>
          <w:tcPr>
            <w:tcW w:w="180" w:type="dxa"/>
            <w:vAlign w:val="bottom"/>
          </w:tcPr>
          <w:p>
            <w:pPr>
              <w:spacing w:after="0"/>
              <w:rPr>
                <w:sz w:val="24"/>
                <w:szCs w:val="24"/>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15,994,200</w:t>
            </w:r>
            <w:r>
              <w:rPr>
                <w:rFonts w:ascii="Arial" w:cs="Arial" w:eastAsia="Arial" w:hAnsi="Arial"/>
                <w:sz w:val="12"/>
                <w:szCs w:val="12"/>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w w:val="95"/>
              </w:rPr>
              <w:t>4,310 million</w:t>
            </w:r>
            <w:r>
              <w:rPr>
                <w:rFonts w:ascii="Arial" w:cs="Arial" w:eastAsia="Arial" w:hAnsi="Arial"/>
                <w:sz w:val="25"/>
                <w:szCs w:val="25"/>
                <w:color w:val="auto"/>
                <w:w w:val="95"/>
                <w:vertAlign w:val="superscript"/>
              </w:rPr>
              <w:t>(3)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0" w:right="20" w:hanging="301"/>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purchases during the quarter were made through open market purchases under an authorization to purchase up to $5 billion of additional shares of TI common stock announced on September 21, 2007. No expiration date has been specified for this authorization.</w:t>
      </w:r>
    </w:p>
    <w:p>
      <w:pPr>
        <w:spacing w:after="0" w:line="197" w:lineRule="exact"/>
        <w:rPr>
          <w:rFonts w:ascii="Arial" w:cs="Arial" w:eastAsia="Arial" w:hAnsi="Arial"/>
          <w:sz w:val="18"/>
          <w:szCs w:val="18"/>
          <w:color w:val="auto"/>
        </w:rPr>
      </w:pPr>
    </w:p>
    <w:p>
      <w:pPr>
        <w:jc w:val="both"/>
        <w:ind w:left="360" w:hanging="301"/>
        <w:spacing w:after="0" w:line="25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purchases were made through open-market purchases except for 55,000 shares that were acquired in April and 25,000 shares that were acquired in May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213" w:lineRule="exact"/>
        <w:rPr>
          <w:rFonts w:ascii="Arial" w:cs="Arial" w:eastAsia="Arial" w:hAnsi="Arial"/>
          <w:sz w:val="18"/>
          <w:szCs w:val="18"/>
          <w:color w:val="auto"/>
        </w:rPr>
      </w:pPr>
    </w:p>
    <w:p>
      <w:pPr>
        <w:ind w:left="360" w:hanging="300"/>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purchase of 1,890,000 shares for which trades were settled in the first three business days of July 2008 for $54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the annual meeting of stockholders held on April 19, 2007, the stockholders elected TI’s Board of Directors and voted upon one Board proposal and one stockholder proposal contained within our Proxy Statement dated March 9,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6"/>
              </w:rPr>
              <w:t>(Other Than</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Broker-Non</w:t>
            </w:r>
          </w:p>
        </w:tc>
        <w:tc>
          <w:tcPr>
            <w:tcW w:w="0" w:type="dxa"/>
            <w:vAlign w:val="bottom"/>
          </w:tcPr>
          <w:p>
            <w:pPr>
              <w:spacing w:after="0"/>
              <w:rPr>
                <w:sz w:val="1"/>
                <w:szCs w:val="1"/>
                <w:color w:val="auto"/>
              </w:rPr>
            </w:pPr>
          </w:p>
        </w:tc>
      </w:tr>
      <w:tr>
        <w:trPr>
          <w:trHeight w:val="234"/>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Nominee</w:t>
            </w:r>
          </w:p>
        </w:tc>
        <w:tc>
          <w:tcPr>
            <w:tcW w:w="2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6"/>
              </w:rPr>
              <w:t>For</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Against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4"/>
              </w:rPr>
              <w:t>Broker Non-</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1"/>
              </w:rPr>
              <w:t>Votes</w:t>
            </w:r>
          </w:p>
        </w:tc>
        <w:tc>
          <w:tcPr>
            <w:tcW w:w="0" w:type="dxa"/>
            <w:vAlign w:val="bottom"/>
          </w:tcPr>
          <w:p>
            <w:pPr>
              <w:spacing w:after="0"/>
              <w:rPr>
                <w:sz w:val="1"/>
                <w:szCs w:val="1"/>
                <w:color w:val="auto"/>
              </w:rPr>
            </w:pPr>
          </w:p>
        </w:tc>
      </w:tr>
      <w:tr>
        <w:trPr>
          <w:trHeight w:val="223"/>
        </w:trPr>
        <w:tc>
          <w:tcPr>
            <w:tcW w:w="3420" w:type="dxa"/>
            <w:vAlign w:val="bottom"/>
            <w:gridSpan w:val="2"/>
            <w:vMerge w:val="continue"/>
          </w:tcPr>
          <w:p>
            <w:pPr>
              <w:spacing w:after="0"/>
              <w:rPr>
                <w:sz w:val="19"/>
                <w:szCs w:val="19"/>
                <w:color w:val="auto"/>
              </w:rPr>
            </w:pPr>
          </w:p>
        </w:tc>
        <w:tc>
          <w:tcPr>
            <w:tcW w:w="2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7"/>
              </w:rPr>
              <w:t>Votes)</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James R. Adams</w:t>
            </w:r>
          </w:p>
        </w:tc>
        <w:tc>
          <w:tcPr>
            <w:tcW w:w="298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8"/>
              </w:rPr>
              <w:t>1,120,318,911</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13,477,284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10,233,388</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David L. Boren</w:t>
            </w:r>
          </w:p>
        </w:tc>
        <w:tc>
          <w:tcPr>
            <w:tcW w:w="2980" w:type="dxa"/>
            <w:vAlign w:val="bottom"/>
          </w:tcPr>
          <w:p>
            <w:pPr>
              <w:jc w:val="center"/>
              <w:ind w:left="1190"/>
              <w:spacing w:after="0"/>
              <w:rPr>
                <w:sz w:val="20"/>
                <w:szCs w:val="20"/>
                <w:color w:val="auto"/>
              </w:rPr>
            </w:pPr>
            <w:r>
              <w:rPr>
                <w:rFonts w:ascii="Arial" w:cs="Arial" w:eastAsia="Arial" w:hAnsi="Arial"/>
                <w:sz w:val="18"/>
                <w:szCs w:val="18"/>
                <w:color w:val="auto"/>
                <w:w w:val="88"/>
              </w:rPr>
              <w:t>1,096,120,995</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36,978,379</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10,234,744</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Daniel A. Carp</w:t>
            </w:r>
          </w:p>
        </w:tc>
        <w:tc>
          <w:tcPr>
            <w:tcW w:w="298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8"/>
              </w:rPr>
              <w:t>1,115,853,558</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17,036,574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10,313,722</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Carrie S. Cox</w:t>
            </w:r>
          </w:p>
        </w:tc>
        <w:tc>
          <w:tcPr>
            <w:tcW w:w="2980" w:type="dxa"/>
            <w:vAlign w:val="bottom"/>
          </w:tcPr>
          <w:p>
            <w:pPr>
              <w:jc w:val="center"/>
              <w:ind w:left="1190"/>
              <w:spacing w:after="0"/>
              <w:rPr>
                <w:sz w:val="20"/>
                <w:szCs w:val="20"/>
                <w:color w:val="auto"/>
              </w:rPr>
            </w:pPr>
            <w:r>
              <w:rPr>
                <w:rFonts w:ascii="Arial" w:cs="Arial" w:eastAsia="Arial" w:hAnsi="Arial"/>
                <w:sz w:val="18"/>
                <w:szCs w:val="18"/>
                <w:color w:val="auto"/>
                <w:w w:val="88"/>
              </w:rPr>
              <w:t>1,128,863,488</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4,533,322</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10,185,008</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David R. Goode</w:t>
            </w:r>
          </w:p>
        </w:tc>
        <w:tc>
          <w:tcPr>
            <w:tcW w:w="298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8"/>
              </w:rPr>
              <w:t>1,116,884,391</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16,291,396</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10,315,454</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Pamela H. Patsley</w:t>
            </w:r>
          </w:p>
        </w:tc>
        <w:tc>
          <w:tcPr>
            <w:tcW w:w="2980" w:type="dxa"/>
            <w:vAlign w:val="bottom"/>
          </w:tcPr>
          <w:p>
            <w:pPr>
              <w:jc w:val="center"/>
              <w:ind w:left="1190"/>
              <w:spacing w:after="0"/>
              <w:rPr>
                <w:sz w:val="20"/>
                <w:szCs w:val="20"/>
                <w:color w:val="auto"/>
              </w:rPr>
            </w:pPr>
            <w:r>
              <w:rPr>
                <w:rFonts w:ascii="Arial" w:cs="Arial" w:eastAsia="Arial" w:hAnsi="Arial"/>
                <w:sz w:val="18"/>
                <w:szCs w:val="18"/>
                <w:color w:val="auto"/>
                <w:w w:val="88"/>
              </w:rPr>
              <w:t>1,128,486,520</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4,671,546</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10,203,103</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Wayne R. Sanders</w:t>
            </w:r>
          </w:p>
        </w:tc>
        <w:tc>
          <w:tcPr>
            <w:tcW w:w="298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8"/>
              </w:rPr>
              <w:t>1,121,505,372</w:t>
            </w:r>
          </w:p>
        </w:tc>
        <w:tc>
          <w:tcPr>
            <w:tcW w:w="1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11,772,644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10,312,866</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Ruth J. Simmons</w:t>
            </w:r>
          </w:p>
        </w:tc>
        <w:tc>
          <w:tcPr>
            <w:tcW w:w="2980" w:type="dxa"/>
            <w:vAlign w:val="bottom"/>
          </w:tcPr>
          <w:p>
            <w:pPr>
              <w:jc w:val="center"/>
              <w:ind w:left="1190"/>
              <w:spacing w:after="0"/>
              <w:rPr>
                <w:sz w:val="20"/>
                <w:szCs w:val="20"/>
                <w:color w:val="auto"/>
              </w:rPr>
            </w:pPr>
            <w:r>
              <w:rPr>
                <w:rFonts w:ascii="Arial" w:cs="Arial" w:eastAsia="Arial" w:hAnsi="Arial"/>
                <w:sz w:val="18"/>
                <w:szCs w:val="18"/>
                <w:color w:val="auto"/>
                <w:w w:val="88"/>
              </w:rPr>
              <w:t>1,126,945,187</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5,328,058</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10,201,927</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Richard K. Templeton</w:t>
            </w:r>
          </w:p>
        </w:tc>
        <w:tc>
          <w:tcPr>
            <w:tcW w:w="298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8"/>
              </w:rPr>
              <w:t>1,119,828,130</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13,352,150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10,097,048</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Christine Todd Whitman</w:t>
            </w:r>
          </w:p>
        </w:tc>
        <w:tc>
          <w:tcPr>
            <w:tcW w:w="2980" w:type="dxa"/>
            <w:vAlign w:val="bottom"/>
          </w:tcPr>
          <w:p>
            <w:pPr>
              <w:jc w:val="center"/>
              <w:ind w:left="1190"/>
              <w:spacing w:after="0"/>
              <w:rPr>
                <w:sz w:val="20"/>
                <w:szCs w:val="20"/>
                <w:color w:val="auto"/>
              </w:rPr>
            </w:pPr>
            <w:r>
              <w:rPr>
                <w:rFonts w:ascii="Arial" w:cs="Arial" w:eastAsia="Arial" w:hAnsi="Arial"/>
                <w:sz w:val="18"/>
                <w:szCs w:val="18"/>
                <w:color w:val="auto"/>
                <w:w w:val="88"/>
              </w:rPr>
              <w:t>1,126,880,529</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5,791,518</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10,231,301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44"/>
        </w:trPr>
        <w:tc>
          <w:tcPr>
            <w:tcW w:w="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Board proposal was approved with the following vote: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Abstentions (Other Than</w:t>
            </w:r>
          </w:p>
        </w:tc>
        <w:tc>
          <w:tcPr>
            <w:tcW w:w="1780" w:type="dxa"/>
            <w:vAlign w:val="bottom"/>
          </w:tcPr>
          <w:p>
            <w:pPr>
              <w:spacing w:after="0"/>
              <w:rPr>
                <w:sz w:val="18"/>
                <w:szCs w:val="18"/>
                <w:color w:val="auto"/>
              </w:rPr>
            </w:pPr>
          </w:p>
        </w:tc>
      </w:tr>
      <w:tr>
        <w:trPr>
          <w:trHeight w:val="24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For</w:t>
            </w:r>
          </w:p>
        </w:tc>
        <w:tc>
          <w:tcPr>
            <w:tcW w:w="1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0"/>
              </w:rPr>
              <w:t>Against</w:t>
            </w:r>
          </w:p>
        </w:tc>
        <w:tc>
          <w:tcPr>
            <w:tcW w:w="2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Broker Non-Votes)</w:t>
            </w:r>
          </w:p>
        </w:tc>
        <w:tc>
          <w:tcPr>
            <w:tcW w:w="1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Broker Non-Votes</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w w:val="98"/>
              </w:rPr>
              <w:t>Board proposal to ratify the appointment of Ernst</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1,123,948,308</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12,191,735</w:t>
            </w:r>
          </w:p>
        </w:tc>
        <w:tc>
          <w:tcPr>
            <w:tcW w:w="2380" w:type="dxa"/>
            <w:vAlign w:val="bottom"/>
          </w:tcPr>
          <w:p>
            <w:pPr>
              <w:jc w:val="center"/>
              <w:ind w:left="50"/>
              <w:spacing w:after="0"/>
              <w:rPr>
                <w:sz w:val="20"/>
                <w:szCs w:val="20"/>
                <w:color w:val="auto"/>
              </w:rPr>
            </w:pPr>
            <w:r>
              <w:rPr>
                <w:rFonts w:ascii="Arial" w:cs="Arial" w:eastAsia="Arial" w:hAnsi="Arial"/>
                <w:sz w:val="18"/>
                <w:szCs w:val="18"/>
                <w:color w:val="auto"/>
                <w:w w:val="89"/>
              </w:rPr>
              <w:t>9,960,582</w:t>
            </w:r>
          </w:p>
        </w:tc>
        <w:tc>
          <w:tcPr>
            <w:tcW w:w="1780" w:type="dxa"/>
            <w:vAlign w:val="bottom"/>
          </w:tcPr>
          <w:p>
            <w:pPr>
              <w:jc w:val="right"/>
              <w:ind w:right="79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&amp; Young LLP as the company's independent</w:t>
            </w: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registered public accounting firm for 2008</w:t>
            </w:r>
          </w:p>
        </w:tc>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stockholder proposal was rejected with the following vote: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Abstentions (Other Than</w:t>
            </w:r>
          </w:p>
        </w:tc>
        <w:tc>
          <w:tcPr>
            <w:tcW w:w="1780" w:type="dxa"/>
            <w:vAlign w:val="bottom"/>
          </w:tcPr>
          <w:p>
            <w:pPr>
              <w:spacing w:after="0"/>
              <w:rPr>
                <w:sz w:val="18"/>
                <w:szCs w:val="18"/>
                <w:color w:val="auto"/>
              </w:rPr>
            </w:pPr>
          </w:p>
        </w:tc>
      </w:tr>
      <w:tr>
        <w:trPr>
          <w:trHeight w:val="24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6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6"/>
              </w:rPr>
              <w:t>For</w:t>
            </w:r>
          </w:p>
        </w:tc>
        <w:tc>
          <w:tcPr>
            <w:tcW w:w="17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0"/>
              </w:rPr>
              <w:t>Against</w:t>
            </w:r>
          </w:p>
        </w:tc>
        <w:tc>
          <w:tcPr>
            <w:tcW w:w="23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Broker Non-Votes)</w:t>
            </w:r>
          </w:p>
        </w:tc>
        <w:tc>
          <w:tcPr>
            <w:tcW w:w="1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Broker Non-Votes</w:t>
            </w: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Stockholder proposal regarding qualifications for</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22,728,779</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907,771,121</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13,435,911</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202,164,814</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director nominees</w:t>
            </w:r>
          </w:p>
        </w:tc>
        <w:tc>
          <w:tcPr>
            <w:tcW w:w="1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702"/>
        </w:trPr>
        <w:tc>
          <w:tcPr>
            <w:tcW w:w="3880" w:type="dxa"/>
            <w:vAlign w:val="bottom"/>
          </w:tcPr>
          <w:p>
            <w:pPr>
              <w:ind w:left="220"/>
              <w:spacing w:after="0"/>
              <w:rPr>
                <w:sz w:val="20"/>
                <w:szCs w:val="20"/>
                <w:color w:val="auto"/>
              </w:rPr>
            </w:pPr>
            <w:r>
              <w:rPr>
                <w:rFonts w:ascii="Arial" w:cs="Arial" w:eastAsia="Arial" w:hAnsi="Arial"/>
                <w:sz w:val="18"/>
                <w:szCs w:val="18"/>
                <w:b w:val="1"/>
                <w:bCs w:val="1"/>
                <w:color w:val="auto"/>
              </w:rPr>
              <w:t>ITEM 6. Exhibits.</w:t>
            </w: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Designation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of Exhibits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This Report</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13a-15(e) or Rule 15d-15(e).</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13a-15(e) or Rule 15d-15(e).</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of Periodic Report Pursuant to 18 U.S.C. Section 1350.</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Report Pursuant to 18 U.S.C. Section 1350.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36" w:lineRule="exact"/>
        <w:rPr>
          <w:rFonts w:ascii="Arial" w:cs="Arial" w:eastAsia="Arial" w:hAnsi="Arial"/>
          <w:sz w:val="18"/>
          <w:szCs w:val="18"/>
          <w:color w:val="auto"/>
        </w:rPr>
      </w:pPr>
    </w:p>
    <w:p>
      <w:pPr>
        <w:ind w:left="460" w:right="460" w:hanging="452"/>
        <w:spacing w:after="0" w:line="232" w:lineRule="auto"/>
        <w:tabs>
          <w:tab w:leader="none" w:pos="626" w:val="left"/>
        </w:tabs>
        <w:numPr>
          <w:ilvl w:val="0"/>
          <w:numId w:val="14"/>
        </w:numPr>
        <w:rPr>
          <w:rFonts w:ascii="Arial" w:cs="Arial" w:eastAsia="Arial" w:hAnsi="Arial"/>
          <w:sz w:val="22"/>
          <w:szCs w:val="22"/>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 w:lineRule="exact"/>
        <w:rPr>
          <w:rFonts w:ascii="Arial" w:cs="Arial" w:eastAsia="Arial" w:hAnsi="Arial"/>
          <w:sz w:val="22"/>
          <w:szCs w:val="22"/>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460" w:right="820" w:hanging="452"/>
        <w:spacing w:after="0" w:line="250" w:lineRule="auto"/>
        <w:tabs>
          <w:tab w:leader="none" w:pos="5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460" w:right="20" w:hanging="452"/>
        <w:spacing w:after="0" w:line="250" w:lineRule="auto"/>
        <w:tabs>
          <w:tab w:leader="none" w:pos="5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560" w:hanging="552"/>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460" w:right="460" w:hanging="452"/>
        <w:spacing w:after="0" w:line="261" w:lineRule="auto"/>
        <w:tabs>
          <w:tab w:leader="none" w:pos="5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ectPr>
          <w:pgSz w:w="11900" w:h="16838" w:orient="portrait"/>
          <w:cols w:equalWidth="0" w:num="1">
            <w:col w:w="11420"/>
          </w:cols>
          <w:pgMar w:left="240" w:top="517" w:right="239" w:bottom="137" w:gutter="0" w:footer="0" w:header="0"/>
        </w:sectPr>
      </w:pPr>
    </w:p>
    <w:bookmarkStart w:id="23" w:name="page24"/>
    <w:bookmarkEnd w:id="23"/>
    <w:p>
      <w:pPr>
        <w:jc w:val="center"/>
        <w:ind w:right="-3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ind w:left="56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670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2008</w:t>
      </w:r>
    </w:p>
    <w:p>
      <w:pPr>
        <w:sectPr>
          <w:pgSz w:w="11900" w:h="16838" w:orient="portrait"/>
          <w:cols w:equalWidth="0" w:num="1">
            <w:col w:w="11320"/>
          </w:cols>
          <w:pgMar w:left="24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640" w:hanging="18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320" w:firstLine="458"/>
        <w:spacing w:after="0" w:line="342" w:lineRule="auto"/>
        <w:tabs>
          <w:tab w:leader="none" w:pos="6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80" w:firstLine="458"/>
        <w:spacing w:after="0" w:line="277" w:lineRule="auto"/>
        <w:tabs>
          <w:tab w:leader="none" w:pos="6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58"/>
        <w:spacing w:after="0" w:line="264" w:lineRule="auto"/>
        <w:tabs>
          <w:tab w:leader="none" w:pos="6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460" w:right="40" w:hanging="2"/>
        <w:spacing w:after="0" w:line="264" w:lineRule="auto"/>
        <w:tabs>
          <w:tab w:leader="none" w:pos="6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460" w:right="40" w:hanging="2"/>
        <w:spacing w:after="0" w:line="26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460" w:right="100" w:hanging="2"/>
        <w:spacing w:after="0" w:line="308" w:lineRule="auto"/>
        <w:tabs>
          <w:tab w:leader="none" w:pos="6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460" w:right="120" w:hanging="2"/>
        <w:spacing w:after="0" w:line="26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firstLine="458"/>
        <w:spacing w:after="0" w:line="277" w:lineRule="auto"/>
        <w:tabs>
          <w:tab w:leader="none" w:pos="6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7" w:lineRule="exact"/>
        <w:rPr>
          <w:sz w:val="20"/>
          <w:szCs w:val="20"/>
          <w:color w:val="auto"/>
        </w:rPr>
      </w:pPr>
    </w:p>
    <w:p>
      <w:pPr>
        <w:ind w:left="460" w:right="20" w:hanging="2"/>
        <w:spacing w:after="0" w:line="277" w:lineRule="auto"/>
        <w:tabs>
          <w:tab w:leader="none" w:pos="6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460" w:right="60" w:hanging="2"/>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2008</w:t>
      </w:r>
    </w:p>
    <w:p>
      <w:pPr>
        <w:spacing w:after="0" w:line="200" w:lineRule="exact"/>
        <w:rPr>
          <w:sz w:val="20"/>
          <w:szCs w:val="20"/>
          <w:color w:val="auto"/>
        </w:rPr>
      </w:pPr>
    </w:p>
    <w:p>
      <w:pPr>
        <w:spacing w:after="0" w:line="32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640" w:hanging="18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320" w:firstLine="458"/>
        <w:spacing w:after="0" w:line="342" w:lineRule="auto"/>
        <w:tabs>
          <w:tab w:leader="none" w:pos="63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80" w:firstLine="458"/>
        <w:spacing w:after="0" w:line="277"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58"/>
        <w:spacing w:after="0" w:line="264"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460" w:right="40" w:hanging="2"/>
        <w:spacing w:after="0" w:line="264" w:lineRule="auto"/>
        <w:tabs>
          <w:tab w:leader="none" w:pos="6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460" w:right="40" w:hanging="2"/>
        <w:spacing w:after="0" w:line="26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460" w:right="100" w:hanging="2"/>
        <w:spacing w:after="0" w:line="308" w:lineRule="auto"/>
        <w:tabs>
          <w:tab w:leader="none" w:pos="6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460" w:right="120" w:hanging="2"/>
        <w:spacing w:after="0" w:line="26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firstLine="458"/>
        <w:spacing w:after="0" w:line="277" w:lineRule="auto"/>
        <w:tabs>
          <w:tab w:leader="none" w:pos="6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7" w:lineRule="exact"/>
        <w:rPr>
          <w:sz w:val="20"/>
          <w:szCs w:val="20"/>
          <w:color w:val="auto"/>
        </w:rPr>
      </w:pPr>
    </w:p>
    <w:p>
      <w:pPr>
        <w:ind w:left="460" w:right="20" w:hanging="2"/>
        <w:spacing w:after="0" w:line="277" w:lineRule="auto"/>
        <w:tabs>
          <w:tab w:leader="none" w:pos="6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460" w:right="60" w:hanging="2"/>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2008</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61" w:lineRule="exact"/>
        <w:rPr>
          <w:sz w:val="20"/>
          <w:szCs w:val="20"/>
          <w:color w:val="auto"/>
        </w:rPr>
      </w:pPr>
    </w:p>
    <w:p>
      <w:pPr>
        <w:ind w:left="460" w:right="140" w:hanging="2"/>
        <w:spacing w:after="0" w:line="342"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2008,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320" w:firstLine="458"/>
        <w:spacing w:after="0" w:line="548" w:lineRule="auto"/>
        <w:tabs>
          <w:tab w:leader="none" w:pos="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30, 2008</w:t>
      </w: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20" w:firstLine="45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51" w:lineRule="exact"/>
        <w:rPr>
          <w:sz w:val="20"/>
          <w:szCs w:val="20"/>
          <w:color w:val="auto"/>
        </w:rPr>
      </w:pPr>
    </w:p>
    <w:p>
      <w:pPr>
        <w:ind w:left="460" w:right="140" w:hanging="2"/>
        <w:spacing w:after="0" w:line="342" w:lineRule="auto"/>
        <w:tabs>
          <w:tab w:leader="none" w:pos="6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2008,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320" w:firstLine="458"/>
        <w:spacing w:after="0" w:line="559" w:lineRule="auto"/>
        <w:tabs>
          <w:tab w:leader="none" w:pos="7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30, 2008</w:t>
      </w:r>
    </w:p>
    <w:p>
      <w:pPr>
        <w:spacing w:after="0" w:line="22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S"/>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4"/>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2019-12-11T13:47:58Z</dcterms:created>
  <dcterms:modified xsi:type="dcterms:W3CDTF">2019-12-11T13:47:58Z</dcterms:modified>
</cp:coreProperties>
</file>