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75-0289970</w:t>
      </w:r>
    </w:p>
    <w:p>
      <w:pPr>
        <w:spacing w:after="0" w:line="12" w:lineRule="exact"/>
        <w:rPr>
          <w:sz w:val="24"/>
          <w:szCs w:val="24"/>
          <w:color w:val="auto"/>
        </w:rPr>
      </w:pPr>
    </w:p>
    <w:p>
      <w:pPr>
        <w:sectPr>
          <w:pgSz w:w="11900" w:h="16838" w:orient="portrait"/>
          <w:cols w:equalWidth="0" w:num="3">
            <w:col w:w="4520" w:space="720"/>
            <w:col w:w="2860" w:space="720"/>
            <w:col w:w="2200"/>
          </w:cols>
          <w:pgMar w:left="440" w:top="362"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80" w:space="720"/>
            <w:col w:w="2300"/>
          </w:cols>
          <w:pgMar w:left="440" w:top="362" w:right="439" w:bottom="1440" w:gutter="0" w:footer="0" w:header="0"/>
          <w:type w:val="continuous"/>
        </w:sectPr>
      </w:pPr>
    </w:p>
    <w:p>
      <w:pPr>
        <w:spacing w:after="0" w:line="2"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12500 TI BOULEVARD</w:t>
      </w:r>
    </w:p>
    <w:p>
      <w:pPr>
        <w:spacing w:after="0" w:line="3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DALLAS, TEXAS 75243</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259080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$750,000,000 of Notes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11, 2019, Texas Instruments Incorporated (“Texas Instruments”) consummated the issuance and sale of $750,000,000 aggregate principal amount of its 3.875% Notes due 2039 (the “Notes”), pursuant to an underwriting agreement filed herewith as Exhibit 1.1 dated March 1, 2019 among Texas Instruments and Barclays Capital Inc., J.P. Morgan Securities LLC and MUFG Securities Americas Inc., as representatives of the several underwriters named therein. The Notes were issued pursuant to an Indenture dated as of May 23, 2011 (the “Indenture”) between Texas Instruments and U.S. Bank National Association, as trustee, and an Officers’ Certificate issued pursuant thereto.</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Notes were offered pursuant to Texas Instruments’ Registration Statement on Form S-3 filed on February 22, 2019 (Reg. No. 333-229797), including the prospectus contained therein (the “Registration Statement”), and a related preliminary prospectus supplement dated March 1, 2019 and a prospectus supplement dated March 1, 2019.</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material terms and conditions of the Notes are set forth in the Indenture filed as Exhibit 4.2 to the Current Report of Texas Instruments on Form 8-K dated May 23, 2011 and the Officers’ Certificate filed herewith as Exhibit 4.1 and incorporated by reference herein.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Exhibit</w:t>
            </w:r>
          </w:p>
        </w:tc>
        <w:tc>
          <w:tcPr>
            <w:tcW w:w="5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416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No.</w:t>
            </w:r>
          </w:p>
        </w:tc>
        <w:tc>
          <w:tcPr>
            <w:tcW w:w="5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4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Pr>
          <w:p>
            <w:pPr>
              <w:spacing w:after="0"/>
              <w:rPr>
                <w:sz w:val="24"/>
                <w:szCs w:val="24"/>
                <w:color w:val="auto"/>
              </w:rPr>
            </w:pPr>
          </w:p>
        </w:tc>
        <w:tc>
          <w:tcPr>
            <w:tcW w:w="95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Underwriting Agreement dated March 1, 2019 among Texas Instruments and Barclays Capital Inc., J.P. Morgan Securities LLC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40" w:type="dxa"/>
            <w:vAlign w:val="bottom"/>
            <w:gridSpan w:val="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MUFG Securities Americas Inc., as representatives of the several underwriters named in Schedule II therein</w:t>
              </w:r>
            </w:hyperlink>
          </w:p>
        </w:tc>
        <w:tc>
          <w:tcPr>
            <w:tcW w:w="0" w:type="dxa"/>
            <w:vAlign w:val="bottom"/>
          </w:tcPr>
          <w:p>
            <w:pPr>
              <w:spacing w:after="0"/>
              <w:rPr>
                <w:sz w:val="1"/>
                <w:szCs w:val="1"/>
                <w:color w:val="auto"/>
              </w:rPr>
            </w:pPr>
          </w:p>
        </w:tc>
      </w:tr>
      <w:tr>
        <w:trPr>
          <w:trHeight w:val="304"/>
        </w:trPr>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tcPr>
          <w:p>
            <w:pPr>
              <w:spacing w:after="0"/>
              <w:rPr>
                <w:sz w:val="24"/>
                <w:szCs w:val="24"/>
                <w:color w:val="auto"/>
              </w:rPr>
            </w:pPr>
          </w:p>
        </w:tc>
        <w:tc>
          <w:tcPr>
            <w:tcW w:w="778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Officers’ Certificate setting forth the terms of the Notes</w:t>
              </w:r>
            </w:hyperlink>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tcPr>
          <w:p>
            <w:pPr>
              <w:spacing w:after="0"/>
              <w:rPr>
                <w:sz w:val="24"/>
                <w:szCs w:val="24"/>
                <w:color w:val="auto"/>
              </w:rPr>
            </w:pPr>
          </w:p>
        </w:tc>
        <w:tc>
          <w:tcPr>
            <w:tcW w:w="292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w:anchor="page53">
              <w:r>
                <w:rPr>
                  <w:rFonts w:ascii="Times New Roman" w:cs="Times New Roman" w:eastAsia="Times New Roman" w:hAnsi="Times New Roman"/>
                  <w:sz w:val="18"/>
                  <w:szCs w:val="18"/>
                  <w:color w:val="0000EE"/>
                  <w:w w:val="98"/>
                </w:rPr>
                <w:t>Opinion of Davis Polk &amp; Wardwell LLP</w:t>
              </w:r>
            </w:hyperlink>
          </w:p>
        </w:tc>
        <w:tc>
          <w:tcPr>
            <w:tcW w:w="1080" w:type="dxa"/>
            <w:vAlign w:val="bottom"/>
            <w:tcBorders>
              <w:top w:val="single" w:sz="8" w:color="0000EE"/>
            </w:tcBorders>
          </w:tcPr>
          <w:p>
            <w:pPr>
              <w:spacing w:after="0"/>
              <w:rPr>
                <w:sz w:val="24"/>
                <w:szCs w:val="24"/>
                <w:color w:val="auto"/>
              </w:rPr>
            </w:pPr>
          </w:p>
        </w:tc>
        <w:tc>
          <w:tcPr>
            <w:tcW w:w="55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w w:val="95"/>
              </w:rPr>
              <w:t>23.1</w:t>
            </w:r>
          </w:p>
        </w:tc>
        <w:tc>
          <w:tcPr>
            <w:tcW w:w="520" w:type="dxa"/>
            <w:vAlign w:val="bottom"/>
          </w:tcPr>
          <w:p>
            <w:pPr>
              <w:spacing w:after="0"/>
              <w:rPr>
                <w:sz w:val="24"/>
                <w:szCs w:val="24"/>
                <w:color w:val="auto"/>
              </w:rPr>
            </w:pPr>
          </w:p>
        </w:tc>
        <w:tc>
          <w:tcPr>
            <w:tcW w:w="48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Consent of Davis Polk &amp; Wardwell LLP (contained in Exhibit 5.1)</w:t>
              </w:r>
            </w:hyperlink>
          </w:p>
        </w:tc>
        <w:tc>
          <w:tcPr>
            <w:tcW w:w="47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440" w:top="266" w:right="9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5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2019</w:t>
            </w:r>
          </w:p>
        </w:tc>
        <w:tc>
          <w:tcPr>
            <w:tcW w:w="752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Rafael R. Lizardi</w:t>
            </w:r>
          </w:p>
        </w:tc>
      </w:tr>
      <w:tr>
        <w:trPr>
          <w:trHeight w:val="191"/>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0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Rafael R. Lizardi</w:t>
            </w:r>
          </w:p>
        </w:tc>
      </w:tr>
      <w:tr>
        <w:trPr>
          <w:trHeight w:val="234"/>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365"/>
        </w:trPr>
        <w:tc>
          <w:tcPr>
            <w:tcW w:w="3520" w:type="dxa"/>
            <w:vAlign w:val="bottom"/>
          </w:tcPr>
          <w:p>
            <w:pPr>
              <w:spacing w:after="0"/>
              <w:rPr>
                <w:sz w:val="24"/>
                <w:szCs w:val="24"/>
                <w:color w:val="auto"/>
              </w:rPr>
            </w:pPr>
          </w:p>
        </w:tc>
        <w:tc>
          <w:tcPr>
            <w:tcW w:w="2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w:t>
            </w:r>
          </w:p>
        </w:tc>
        <w:tc>
          <w:tcPr>
            <w:tcW w:w="5080" w:type="dxa"/>
            <w:vAlign w:val="bottom"/>
          </w:tcPr>
          <w:p>
            <w:pPr>
              <w:spacing w:after="0"/>
              <w:rPr>
                <w:sz w:val="24"/>
                <w:szCs w:val="24"/>
                <w:color w:val="auto"/>
              </w:rPr>
            </w:pPr>
          </w:p>
        </w:tc>
      </w:tr>
    </w:tbl>
    <w:p>
      <w:pPr>
        <w:sectPr>
          <w:pgSz w:w="11900" w:h="16838" w:orient="portrait"/>
          <w:cols w:equalWidth="0" w:num="1">
            <w:col w:w="11040"/>
          </w:cols>
          <w:pgMar w:left="440" w:top="270" w:right="4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8"/>
          <w:szCs w:val="18"/>
          <w:color w:val="auto"/>
        </w:rPr>
        <w:t>March 1,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18"/>
          <w:szCs w:val="18"/>
          <w:color w:val="auto"/>
        </w:rPr>
        <w:t>We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understand that Texas Instruments Incorporated,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$750,000,000 principal amount of the 3.875% Notes due 2039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identified in Schedule I hereto, as more fully described in the Time of Sale Prospectus. The Offered Securities will be issued pursuant to an Indenture dated as of May 23, 2011, between the Company and U.S. Bank National Association, as trustee.</w:t>
      </w:r>
    </w:p>
    <w:p>
      <w:pPr>
        <w:spacing w:after="0" w:line="181" w:lineRule="exact"/>
        <w:rPr>
          <w:sz w:val="20"/>
          <w:szCs w:val="20"/>
          <w:color w:val="auto"/>
        </w:rPr>
      </w:pPr>
    </w:p>
    <w:p>
      <w:pPr>
        <w:jc w:val="both"/>
        <w:ind w:right="80" w:firstLine="441"/>
        <w:spacing w:after="0" w:line="289" w:lineRule="auto"/>
        <w:rPr>
          <w:sz w:val="20"/>
          <w:szCs w:val="20"/>
          <w:color w:val="auto"/>
        </w:rPr>
      </w:pPr>
      <w:r>
        <w:rPr>
          <w:rFonts w:ascii="Times New Roman" w:cs="Times New Roman" w:eastAsia="Times New Roman" w:hAnsi="Times New Roman"/>
          <w:sz w:val="17"/>
          <w:szCs w:val="17"/>
          <w:color w:val="auto"/>
        </w:rPr>
        <w:t>Subject to the terms and conditions set forth herein or incorporated by reference herein, the Company agrees to sell and the Underwriters agree to purchase, severally and not jointly, at the purchase price set forth in Schedule I hereto, the principal amount of the Offered Securities set forth opposite their respective names in Schedule II hereto. For purposes of this Agreement, “</w:t>
      </w:r>
      <w:r>
        <w:rPr>
          <w:rFonts w:ascii="Times New Roman" w:cs="Times New Roman" w:eastAsia="Times New Roman" w:hAnsi="Times New Roman"/>
          <w:sz w:val="17"/>
          <w:szCs w:val="17"/>
          <w:b w:val="1"/>
          <w:bCs w:val="1"/>
          <w:color w:val="auto"/>
        </w:rPr>
        <w:t>Applicable Time</w:t>
      </w:r>
      <w:r>
        <w:rPr>
          <w:rFonts w:ascii="Times New Roman" w:cs="Times New Roman" w:eastAsia="Times New Roman" w:hAnsi="Times New Roman"/>
          <w:sz w:val="17"/>
          <w:szCs w:val="17"/>
          <w:color w:val="auto"/>
        </w:rPr>
        <w:t>” means 3:30 P.M. (New York time) on the date hereof.</w:t>
      </w:r>
    </w:p>
    <w:p>
      <w:pPr>
        <w:spacing w:after="0" w:line="158" w:lineRule="exact"/>
        <w:rPr>
          <w:sz w:val="20"/>
          <w:szCs w:val="20"/>
          <w:color w:val="auto"/>
        </w:rPr>
      </w:pPr>
    </w:p>
    <w:p>
      <w:pPr>
        <w:ind w:right="120" w:firstLine="441"/>
        <w:spacing w:after="0" w:line="258" w:lineRule="auto"/>
        <w:rPr>
          <w:sz w:val="20"/>
          <w:szCs w:val="20"/>
          <w:color w:val="auto"/>
        </w:rPr>
      </w:pPr>
      <w:r>
        <w:rPr>
          <w:rFonts w:ascii="Times New Roman" w:cs="Times New Roman" w:eastAsia="Times New Roman" w:hAnsi="Times New Roman"/>
          <w:sz w:val="18"/>
          <w:szCs w:val="18"/>
          <w:color w:val="auto"/>
        </w:rPr>
        <w:t>Payment of the purchase price for the Offered Securities shall be made to the Company by Federal funds wire transfer against delivery of the Offered Securities in book-entry form to the Manager (as defined below)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10:00 A.M. (New York time) on March 11, 2019, or at such other time, not later than March 15, 2019, as shall be designated by the Manager.</w:t>
      </w:r>
    </w:p>
    <w:p>
      <w:pPr>
        <w:spacing w:after="0" w:line="184"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All the provisions contained in the document entitled Texas Instruments Incorporated Underwriting Agreement Standard Provisions dated February 22, 2019 (the “</w:t>
      </w:r>
      <w:r>
        <w:rPr>
          <w:rFonts w:ascii="Times New Roman" w:cs="Times New Roman" w:eastAsia="Times New Roman" w:hAnsi="Times New Roman"/>
          <w:sz w:val="18"/>
          <w:szCs w:val="18"/>
          <w:b w:val="1"/>
          <w:bCs w:val="1"/>
          <w:color w:val="auto"/>
        </w:rPr>
        <w:t>Standard Provisions</w:t>
      </w:r>
      <w:r>
        <w:rPr>
          <w:rFonts w:ascii="Times New Roman" w:cs="Times New Roman" w:eastAsia="Times New Roman" w:hAnsi="Times New Roman"/>
          <w:sz w:val="18"/>
          <w:szCs w:val="18"/>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w:t>
      </w:r>
    </w:p>
    <w:p>
      <w:pPr>
        <w:sectPr>
          <w:pgSz w:w="11900" w:h="16838" w:orient="portrait"/>
          <w:cols w:equalWidth="0" w:num="1">
            <w:col w:w="11020"/>
          </w:cols>
          <w:pgMar w:left="440" w:top="117" w:right="43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the transactions contemplated hereby shall not be deemed to be a part of this Agreement, (iv) the term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as used therein, shall, for purposes of this Agreement, mean Barclays Capital Inc., J.P. Morgan Securities LLC and MUFG Securities Americas Inc. whose authority hereunder may be exercised by them jointly, (v) Section III(b)(iv)(B) of the Standard Provisions shall be deleted and replaced in its entirety with the following text: “any of the terms, conditions or provisions of any agreement or other instrument binding upon the Company that is filed as an exhibit to the Registration Statement or to any document incorporated by reference into the Time of Sale Prospectus, except, in the case of this clause (B), to the extent that the conflict, default or violation will not have a material adverse effect on the Company and its subsidiaries, considered as a whole.,” (vi) Section III(c)(xiii) of the Standard Provisions shall be deleted and replaced in its entirety with the following text: “(xiii) The execution, delivery and performance by the Company of this Agreement, the Indenture, and the Offered Securities will not contravene any provision of applicable statutory law.” and (vii) Section IV(l) of the Standard Provisions shall be deleted and replaced in its entirety with the following text: “(l)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 The Underwriters shall reimburse the Company for the Company’s expenses in an amount equal to 0.05% of the principal amount of any Offered Securities actually purchased hereunder, each Underwriter to be responsible for a portion of such expense reimbursement in proportion to the Offered Securities to be purchased by such Underwriter.”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6" w:name="page7"/>
    <w:bookmarkEnd w:id="6"/>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On behalf of themselves and the several Underwriters listed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 Schedule II hereto</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 Pete Contrucci III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E. Pete Contrucci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Bottamedi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Richard Testa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Richard Testa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70"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written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Alan C. Boyd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TO UNDERWRITING AGREEMENT</w:t>
      </w:r>
    </w:p>
    <w:p>
      <w:pPr>
        <w:sectPr>
          <w:pgSz w:w="11900" w:h="16838" w:orient="portrait"/>
          <w:cols w:equalWidth="0" w:num="1">
            <w:col w:w="9019"/>
          </w:cols>
          <w:pgMar w:left="1440" w:top="266" w:right="1440"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Times New Roman" w:cs="Times New Roman" w:eastAsia="Times New Roman" w:hAnsi="Times New Roman"/>
          <w:sz w:val="17"/>
          <w:szCs w:val="17"/>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-203835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2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auto"/>
        </w:rPr>
        <w:t>3.875% Notes due 2039</w:t>
      </w:r>
    </w:p>
    <w:p>
      <w:pPr>
        <w:spacing w:after="0" w:line="2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11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$750,000,000</w:t>
      </w:r>
    </w:p>
    <w:p>
      <w:pPr>
        <w:spacing w:after="0" w:line="11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March 15, 2039</w:t>
      </w:r>
    </w:p>
    <w:p>
      <w:pPr>
        <w:spacing w:after="0" w:line="11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3.875%</w:t>
      </w:r>
    </w:p>
    <w:p>
      <w:pPr>
        <w:spacing w:after="0" w:line="11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99.106% of principal amount</w:t>
      </w:r>
    </w:p>
    <w:p>
      <w:pPr>
        <w:spacing w:after="0" w:line="117" w:lineRule="exact"/>
        <w:rPr>
          <w:sz w:val="20"/>
          <w:szCs w:val="20"/>
          <w:color w:val="auto"/>
        </w:rPr>
      </w:pPr>
    </w:p>
    <w:p>
      <w:pPr>
        <w:ind w:left="2080" w:right="20"/>
        <w:spacing w:after="0" w:line="282" w:lineRule="auto"/>
        <w:rPr>
          <w:sz w:val="20"/>
          <w:szCs w:val="20"/>
          <w:color w:val="auto"/>
        </w:rPr>
      </w:pPr>
      <w:r>
        <w:rPr>
          <w:rFonts w:ascii="Times New Roman" w:cs="Times New Roman" w:eastAsia="Times New Roman" w:hAnsi="Times New Roman"/>
          <w:sz w:val="18"/>
          <w:szCs w:val="18"/>
          <w:color w:val="auto"/>
        </w:rPr>
        <w:t>March 15 and September 15, beginning on September 15, 2019, and on the maturity date</w:t>
      </w:r>
    </w:p>
    <w:p>
      <w:pPr>
        <w:spacing w:after="0" w:line="5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30/360</w:t>
      </w:r>
    </w:p>
    <w:p>
      <w:pPr>
        <w:spacing w:after="0" w:line="11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$737,670,000</w:t>
      </w:r>
    </w:p>
    <w:p>
      <w:pPr>
        <w:spacing w:after="0" w:line="11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3.375% due November 15, 2048</w:t>
      </w:r>
    </w:p>
    <w:p>
      <w:pPr>
        <w:spacing w:after="0" w:line="11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82 basis points</w:t>
      </w:r>
    </w:p>
    <w:p>
      <w:pPr>
        <w:spacing w:after="0" w:line="11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3.94%</w:t>
      </w:r>
    </w:p>
    <w:p>
      <w:pPr>
        <w:spacing w:after="0" w:line="11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104-29; 3.12%</w:t>
      </w:r>
    </w:p>
    <w:p>
      <w:pPr>
        <w:spacing w:after="0" w:line="117" w:lineRule="exact"/>
        <w:rPr>
          <w:sz w:val="20"/>
          <w:szCs w:val="20"/>
          <w:color w:val="auto"/>
        </w:rPr>
      </w:pPr>
    </w:p>
    <w:p>
      <w:pPr>
        <w:ind w:left="2080"/>
        <w:spacing w:after="0" w:line="254" w:lineRule="auto"/>
        <w:rPr>
          <w:sz w:val="20"/>
          <w:szCs w:val="20"/>
          <w:color w:val="auto"/>
        </w:rPr>
      </w:pPr>
      <w:r>
        <w:rPr>
          <w:rFonts w:ascii="Times New Roman" w:cs="Times New Roman" w:eastAsia="Times New Roman" w:hAnsi="Times New Roman"/>
          <w:sz w:val="18"/>
          <w:szCs w:val="18"/>
          <w:color w:val="auto"/>
        </w:rPr>
        <w:t>At any time before September 15, 2038 (six months before the maturity date) at the greater of: (i) 100% of the principal amount of the notes being redeemed; and (ii) the sum of the present values of the principal amount of such notes and the scheduled payments of interest thereon (not including any portion of such payments of interest accrued as of the date of redemption) from the date of redemption to September 15, 2038 (six months before the maturity date), in each case discounted to the date of redemption on a semi-annual basis at the rate of Treasury plus 15 basis points</w:t>
      </w:r>
    </w:p>
    <w:p>
      <w:pPr>
        <w:spacing w:after="0" w:line="1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2">
            <w:col w:w="3060" w:space="720"/>
            <w:col w:w="7240"/>
          </w:cols>
          <w:pgMar w:left="440" w:top="266"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At any time on or after September 15, 2038 (six months before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-274955</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 at 100% of the principal amount of notes being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redeemed</w:t>
      </w:r>
    </w:p>
    <w:p>
      <w:pPr>
        <w:spacing w:after="0" w:line="99" w:lineRule="exact"/>
        <w:rPr>
          <w:sz w:val="20"/>
          <w:szCs w:val="20"/>
          <w:color w:val="auto"/>
        </w:rPr>
      </w:pPr>
    </w:p>
    <w:p>
      <w:pPr>
        <w:sectPr>
          <w:pgSz w:w="11900" w:h="16838" w:orient="portrait"/>
          <w:cols w:equalWidth="0" w:num="2">
            <w:col w:w="5140" w:space="720"/>
            <w:col w:w="4780"/>
          </w:cols>
          <w:pgMar w:left="440" w:top="378" w:right="81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March 1, 2019</w:t>
      </w:r>
    </w:p>
    <w:p>
      <w:pPr>
        <w:spacing w:after="0" w:line="128" w:lineRule="exact"/>
        <w:rPr>
          <w:sz w:val="20"/>
          <w:szCs w:val="20"/>
          <w:color w:val="auto"/>
        </w:rPr>
      </w:pPr>
    </w:p>
    <w:p>
      <w:pPr>
        <w:sectPr>
          <w:pgSz w:w="11900" w:h="16838" w:orient="portrait"/>
          <w:cols w:equalWidth="0" w:num="2">
            <w:col w:w="5140" w:space="720"/>
            <w:col w:w="4780"/>
          </w:cols>
          <w:pgMar w:left="440" w:top="378" w:right="8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March 11, 2019 (T+6)</w:t>
      </w:r>
    </w:p>
    <w:p>
      <w:pPr>
        <w:spacing w:after="0" w:line="129" w:lineRule="exact"/>
        <w:rPr>
          <w:sz w:val="20"/>
          <w:szCs w:val="20"/>
          <w:color w:val="auto"/>
        </w:rPr>
      </w:pPr>
    </w:p>
    <w:p>
      <w:pPr>
        <w:sectPr>
          <w:pgSz w:w="11900" w:h="16838" w:orient="portrait"/>
          <w:cols w:equalWidth="0" w:num="2">
            <w:col w:w="5140" w:space="720"/>
            <w:col w:w="4780"/>
          </w:cols>
          <w:pgMar w:left="440" w:top="378" w:right="8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and multiples of $1,000 thereafter</w:t>
      </w:r>
    </w:p>
    <w:p>
      <w:pPr>
        <w:spacing w:after="0" w:line="128" w:lineRule="exact"/>
        <w:rPr>
          <w:sz w:val="20"/>
          <w:szCs w:val="20"/>
          <w:color w:val="auto"/>
        </w:rPr>
      </w:pPr>
    </w:p>
    <w:p>
      <w:pPr>
        <w:sectPr>
          <w:pgSz w:w="11900" w:h="16838" w:orient="portrait"/>
          <w:cols w:equalWidth="0" w:num="2">
            <w:col w:w="5140" w:space="720"/>
            <w:col w:w="4780"/>
          </w:cols>
          <w:pgMar w:left="440" w:top="378" w:right="8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882508 BF0 / US882508BF00</w:t>
      </w:r>
    </w:p>
    <w:p>
      <w:pPr>
        <w:spacing w:after="0" w:line="129" w:lineRule="exact"/>
        <w:rPr>
          <w:sz w:val="20"/>
          <w:szCs w:val="20"/>
          <w:color w:val="auto"/>
        </w:rPr>
      </w:pPr>
    </w:p>
    <w:p>
      <w:pPr>
        <w:sectPr>
          <w:pgSz w:w="11900" w:h="16838" w:orient="portrait"/>
          <w:cols w:equalWidth="0" w:num="2">
            <w:col w:w="5140" w:space="720"/>
            <w:col w:w="4780"/>
          </w:cols>
          <w:pgMar w:left="440" w:top="378" w:right="8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[Intentionally omitted]</w:t>
      </w:r>
    </w:p>
    <w:p>
      <w:pPr>
        <w:spacing w:after="0" w:line="142" w:lineRule="exact"/>
        <w:rPr>
          <w:sz w:val="20"/>
          <w:szCs w:val="20"/>
          <w:color w:val="auto"/>
        </w:rPr>
      </w:pPr>
    </w:p>
    <w:p>
      <w:pPr>
        <w:sectPr>
          <w:pgSz w:w="11900" w:h="16838" w:orient="portrait"/>
          <w:cols w:equalWidth="0" w:num="2">
            <w:col w:w="5140" w:space="720"/>
            <w:col w:w="4780"/>
          </w:cols>
          <w:pgMar w:left="440" w:top="378" w:right="8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Merrill Lynch, Pierce, Fenner &amp; Smith</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112" w:lineRule="exact"/>
        <w:rPr>
          <w:sz w:val="20"/>
          <w:szCs w:val="20"/>
          <w:color w:val="auto"/>
        </w:rPr>
      </w:pPr>
    </w:p>
    <w:p>
      <w:pPr>
        <w:sectPr>
          <w:pgSz w:w="11900" w:h="16838" w:orient="portrait"/>
          <w:cols w:equalWidth="0" w:num="2">
            <w:col w:w="5140" w:space="720"/>
            <w:col w:w="4780"/>
          </w:cols>
          <w:pgMar w:left="440" w:top="378" w:right="8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Williams Capital Group,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153" w:lineRule="exact"/>
        <w:rPr>
          <w:sz w:val="20"/>
          <w:szCs w:val="20"/>
          <w:color w:val="auto"/>
        </w:rPr>
      </w:pPr>
    </w:p>
    <w:p>
      <w:pPr>
        <w:sectPr>
          <w:pgSz w:w="11900" w:h="16838" w:orient="portrait"/>
          <w:cols w:equalWidth="0" w:num="2">
            <w:col w:w="5140" w:space="720"/>
            <w:col w:w="4780"/>
          </w:cols>
          <w:pgMar w:left="440" w:top="378" w:right="819" w:bottom="1440" w:gutter="0" w:footer="0" w:header="0"/>
          <w:type w:val="continuous"/>
        </w:sectPr>
      </w:pPr>
    </w:p>
    <w:p>
      <w:pPr>
        <w:jc w:val="center"/>
        <w:ind w:right="-379"/>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0640"/>
          </w:cols>
          <w:pgMar w:left="440" w:top="378" w:right="81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A securities rating is not a recommendation to buy, sell or hold securities and may be subject to revision or withdrawal at any time.</w:t>
      </w:r>
    </w:p>
    <w:p>
      <w:pPr>
        <w:spacing w:after="0" w:line="2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It is expected that delivery of the notes will be made against payment therefore on or about March 11, 2019, which is the sixth business day following the date hereof (such settlement cycle being referred to as “T+6”).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T+6, to specify an alternative settlement cycle at the time of any such trade to prevent failed settlement. Purchasers of the notes who wish to trade the notes on the date of pricing should consult their own advisors.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Barclays Capital Inc. at (888) 603-5847, J.P. Morgan Securities LLC at (212) 834-4533 and MUFG Securities Americas Inc. at (877) 649-6848.</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1">
            <w:col w:w="10980"/>
          </w:cols>
          <w:pgMar w:left="440" w:top="266" w:right="47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660" w:type="dxa"/>
            <w:vAlign w:val="bottom"/>
            <w:gridSpan w:val="3"/>
          </w:tcPr>
          <w:p>
            <w:pPr>
              <w:jc w:val="right"/>
              <w:ind w:right="3899"/>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60" w:type="dxa"/>
            <w:vAlign w:val="bottom"/>
            <w:gridSpan w:val="3"/>
          </w:tcPr>
          <w:p>
            <w:pPr>
              <w:jc w:val="right"/>
              <w:ind w:right="2979"/>
              <w:spacing w:after="0"/>
              <w:rPr>
                <w:sz w:val="20"/>
                <w:szCs w:val="20"/>
                <w:color w:val="auto"/>
              </w:rPr>
            </w:pPr>
            <w:r>
              <w:rPr>
                <w:rFonts w:ascii="Times New Roman" w:cs="Times New Roman" w:eastAsia="Times New Roman" w:hAnsi="Times New Roman"/>
                <w:sz w:val="18"/>
                <w:szCs w:val="18"/>
                <w:b w:val="1"/>
                <w:bCs w:val="1"/>
                <w:color w:val="auto"/>
              </w:rPr>
              <w:t>TO UNDERWRITING AGREEMENT</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3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3.875% Notes</w:t>
            </w:r>
          </w:p>
        </w:tc>
        <w:tc>
          <w:tcPr>
            <w:tcW w:w="0" w:type="dxa"/>
            <w:vAlign w:val="bottom"/>
          </w:tcPr>
          <w:p>
            <w:pPr>
              <w:spacing w:after="0"/>
              <w:rPr>
                <w:sz w:val="1"/>
                <w:szCs w:val="1"/>
                <w:color w:val="auto"/>
              </w:rPr>
            </w:pPr>
          </w:p>
        </w:tc>
      </w:tr>
      <w:tr>
        <w:trPr>
          <w:trHeight w:val="160"/>
        </w:trPr>
        <w:tc>
          <w:tcPr>
            <w:tcW w:w="3400" w:type="dxa"/>
            <w:vAlign w:val="bottom"/>
            <w:gridSpan w:val="3"/>
            <w:vMerge w:val="continue"/>
          </w:tcPr>
          <w:p>
            <w:pPr>
              <w:spacing w:after="0"/>
              <w:rPr>
                <w:sz w:val="13"/>
                <w:szCs w:val="13"/>
                <w:color w:val="auto"/>
              </w:rPr>
            </w:pPr>
          </w:p>
        </w:tc>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due 2039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Capital Inc.</w:t>
            </w:r>
          </w:p>
        </w:tc>
        <w:tc>
          <w:tcPr>
            <w:tcW w:w="6600" w:type="dxa"/>
            <w:vAlign w:val="bottom"/>
            <w:gridSpan w:val="2"/>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142,500,000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6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6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Incorporated</w:t>
            </w:r>
          </w:p>
        </w:tc>
        <w:tc>
          <w:tcPr>
            <w:tcW w:w="6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6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Williams Capital Group, L.P.</w:t>
            </w:r>
          </w:p>
        </w:tc>
        <w:tc>
          <w:tcPr>
            <w:tcW w:w="6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6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6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750,000,000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40"/>
          </w:cols>
          <w:pgMar w:left="440" w:top="266" w:right="419" w:bottom="1440" w:gutter="0" w:footer="0" w:header="0"/>
        </w:sectPr>
      </w:pPr>
    </w:p>
    <w:bookmarkStart w:id="13" w:name="page14"/>
    <w:bookmarkEnd w:id="13"/>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3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TO UNDERWRITING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Schedule I.</w:t>
      </w:r>
    </w:p>
    <w:p>
      <w:pPr>
        <w:spacing w:after="0" w:line="15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9579"/>
          </w:cols>
          <w:pgMar w:left="880" w:top="266" w:right="1440" w:bottom="1440" w:gutter="0" w:footer="0" w:header="0"/>
        </w:sectPr>
      </w:pPr>
    </w:p>
    <w:bookmarkStart w:id="14" w:name="page15"/>
    <w:bookmarkEnd w:id="1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TO UNDERWRITING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only information that the Underwriters have furnished to the Company in writing expressly for use in the Prospectus Supplement is:</w:t>
      </w:r>
    </w:p>
    <w:p>
      <w:pPr>
        <w:spacing w:after="0" w:line="225" w:lineRule="exact"/>
        <w:rPr>
          <w:sz w:val="20"/>
          <w:szCs w:val="20"/>
          <w:color w:val="auto"/>
        </w:rPr>
      </w:pPr>
    </w:p>
    <w:p>
      <w:pPr>
        <w:ind w:right="60" w:firstLine="428"/>
        <w:spacing w:after="0" w:line="282" w:lineRule="auto"/>
        <w:tabs>
          <w:tab w:leader="none" w:pos="7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paragraph of text under the caption “Underwriting” in the Prospectus Supplement, concerning the terms offered by the Underwriters;</w:t>
      </w:r>
    </w:p>
    <w:p>
      <w:pPr>
        <w:spacing w:after="0" w:line="161" w:lineRule="exact"/>
        <w:rPr>
          <w:rFonts w:ascii="Times New Roman" w:cs="Times New Roman" w:eastAsia="Times New Roman" w:hAnsi="Times New Roman"/>
          <w:sz w:val="18"/>
          <w:szCs w:val="18"/>
          <w:color w:val="auto"/>
        </w:rPr>
      </w:pPr>
    </w:p>
    <w:p>
      <w:pPr>
        <w:ind w:firstLine="428"/>
        <w:spacing w:after="0" w:line="282" w:lineRule="auto"/>
        <w:tabs>
          <w:tab w:leader="none" w:pos="7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sixth and seventh paragraphs of text under the caption “Underwriting” in the Prospectus Supplement, concerning short sales, purchases to cover short positions and stabilizing purchases.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IV-1</w:t>
      </w:r>
    </w:p>
    <w:p>
      <w:pPr>
        <w:sectPr>
          <w:pgSz w:w="11900" w:h="16838" w:orient="portrait"/>
          <w:cols w:equalWidth="0" w:num="1">
            <w:col w:w="10040"/>
          </w:cols>
          <w:pgMar w:left="880" w:top="266" w:right="9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Underwriting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Provisions</w:t>
      </w:r>
    </w:p>
    <w:p>
      <w:pPr>
        <w:spacing w:after="0" w:line="207"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7"/>
          <w:szCs w:val="17"/>
          <w:color w:val="auto"/>
        </w:rPr>
        <w:t>February 22, 2019</w:t>
      </w:r>
    </w:p>
    <w:p>
      <w:pPr>
        <w:spacing w:after="0" w:line="237"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84"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From time to time in one or more offerings on terms determined at the time of sale, the Company proposes to issue and sell (a) its common stock, $1.00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(b) its preferred stock, $25.00 par value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(c) certain of its debt securities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issuable under an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entered into by the Company and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(d) warrants to purchase Common Stock, Preferred Stock or Debt Securities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(e) units consisting of Common Stock, Preferred Stock, Debt Securities or Warrants or any combination thereof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The Common Stock, Preferred Stock, Debt Securities, Warrants and Units are each referred to as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for the purposes of this Agreement.</w:t>
      </w:r>
    </w:p>
    <w:p>
      <w:pPr>
        <w:spacing w:after="0" w:line="18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including a prospectus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the Securities and has filed with, or transmitted for filing to, or shall promptly after the date of this Agreement file with or transmit for filing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Commission a prospectus supplement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specifically relating to the Securities listed on Schedule I hereto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pursuant to Rule 424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the registration statement, including the exhibits thereto and any additional registration statement filed by the Company pursuant to Rule 462,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to the date of the Underwriting Agreement, including the information, if any, deemed to be part of the registration statement at the time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effectiveness pursuant to Rule 430A or Rule 430B under the Securities Act. The term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means the prospectus included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Base Prospectus together with the Prospectus Supplement or supplements specifically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the Offered Securities, as filed with, or transmitted for filing to, the Commission pursuant to Rule 424.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means a preliminary prospectus supplement specifically relating to the Offered Securities, together with the Base Prospectus. The term “</w:t>
      </w:r>
      <w:r>
        <w:rPr>
          <w:rFonts w:ascii="Times New Roman" w:cs="Times New Roman" w:eastAsia="Times New Roman" w:hAnsi="Times New Roman"/>
          <w:sz w:val="18"/>
          <w:szCs w:val="18"/>
          <w:b w:val="1"/>
          <w:bCs w:val="1"/>
          <w:color w:val="auto"/>
        </w:rPr>
        <w:t>free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has the meaning set forth in Rule 405 under the Securities Act. The term “</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has the meaning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433 under the Securities Act. The term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means the Base Prospectus and preliminary prospectus, if any, together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additional documents 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6" w:name="page17"/>
    <w:bookmarkEnd w:id="1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information identified in Schedule III to the Underwriting 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the time and date set forth in the Underwriting Agreement or such other time as agreed in writing by the Company and the Manager.</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9" w:lineRule="exact"/>
        <w:rPr>
          <w:sz w:val="20"/>
          <w:szCs w:val="20"/>
          <w:color w:val="auto"/>
        </w:rPr>
      </w:pPr>
    </w:p>
    <w:p>
      <w:pPr>
        <w:jc w:val="both"/>
        <w:ind w:right="500" w:firstLine="441"/>
        <w:spacing w:after="0" w:line="266" w:lineRule="auto"/>
        <w:rPr>
          <w:sz w:val="20"/>
          <w:szCs w:val="20"/>
          <w:color w:val="auto"/>
        </w:rPr>
      </w:pPr>
      <w:r>
        <w:rPr>
          <w:rFonts w:ascii="Times New Roman" w:cs="Times New Roman" w:eastAsia="Times New Roman" w:hAnsi="Times New Roman"/>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several obligations of the Underwriters hereunder are subject to the following conditions:</w:t>
      </w:r>
    </w:p>
    <w:p>
      <w:pPr>
        <w:spacing w:after="0" w:line="225" w:lineRule="exact"/>
        <w:rPr>
          <w:sz w:val="20"/>
          <w:szCs w:val="20"/>
          <w:color w:val="auto"/>
        </w:rPr>
      </w:pPr>
    </w:p>
    <w:p>
      <w:pPr>
        <w:ind w:left="440" w:right="40" w:firstLine="428"/>
        <w:spacing w:after="0" w:line="255" w:lineRule="auto"/>
        <w:tabs>
          <w:tab w:leader="none" w:pos="12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7" w:name="page18"/>
    <w:bookmarkEnd w:id="17"/>
    <w:p>
      <w:pPr>
        <w:ind w:right="420" w:firstLine="428"/>
        <w:spacing w:after="0" w:line="282" w:lineRule="auto"/>
        <w:tabs>
          <w:tab w:leader="none" w:pos="8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the general counsel of the Company (or another lawyer of the Company reasonably satisfactory to the Underwriters), dated the Closing Date, to the effect (as applicable) that:</w:t>
      </w:r>
    </w:p>
    <w:p>
      <w:pPr>
        <w:spacing w:after="0" w:line="161" w:lineRule="exact"/>
        <w:rPr>
          <w:rFonts w:ascii="Times New Roman" w:cs="Times New Roman" w:eastAsia="Times New Roman" w:hAnsi="Times New Roman"/>
          <w:sz w:val="18"/>
          <w:szCs w:val="18"/>
          <w:color w:val="auto"/>
        </w:rPr>
      </w:pPr>
    </w:p>
    <w:p>
      <w:pPr>
        <w:ind w:left="1200" w:hanging="349"/>
        <w:spacing w:after="0"/>
        <w:tabs>
          <w:tab w:leader="none" w:pos="12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and is validly existing as a corporation in good standing under the laws of the State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06" w:lineRule="exact"/>
        <w:rPr>
          <w:rFonts w:ascii="Times New Roman" w:cs="Times New Roman" w:eastAsia="Times New Roman" w:hAnsi="Times New Roman"/>
          <w:sz w:val="18"/>
          <w:szCs w:val="18"/>
          <w:color w:val="auto"/>
        </w:rPr>
      </w:pPr>
    </w:p>
    <w:p>
      <w:pPr>
        <w:ind w:left="440" w:right="80" w:firstLine="411"/>
        <w:spacing w:after="0" w:line="266" w:lineRule="auto"/>
        <w:tabs>
          <w:tab w:leader="none" w:pos="124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qualified to transact business and in good standing in each other state of the United States wherein it owns or leases property or conducts business, which requires such qualification, except to the extent that the failure to be so qualified or in good standing would not have a material adverse effect on the Company and its subsidiaries, considered as a whole.</w:t>
      </w:r>
    </w:p>
    <w:p>
      <w:pPr>
        <w:spacing w:after="0" w:line="176" w:lineRule="exact"/>
        <w:rPr>
          <w:rFonts w:ascii="Times New Roman" w:cs="Times New Roman" w:eastAsia="Times New Roman" w:hAnsi="Times New Roman"/>
          <w:sz w:val="18"/>
          <w:szCs w:val="18"/>
          <w:color w:val="auto"/>
        </w:rPr>
      </w:pPr>
    </w:p>
    <w:p>
      <w:pPr>
        <w:ind w:left="440" w:right="140" w:firstLine="411"/>
        <w:spacing w:after="0" w:line="282" w:lineRule="auto"/>
        <w:tabs>
          <w:tab w:leader="none" w:pos="12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counsel’s knowledge, no proceedings for a stop order are pending or threatened by the Commission with respect to the Registration Statement.</w:t>
      </w:r>
    </w:p>
    <w:p>
      <w:pPr>
        <w:spacing w:after="0" w:line="161" w:lineRule="exact"/>
        <w:rPr>
          <w:rFonts w:ascii="Times New Roman" w:cs="Times New Roman" w:eastAsia="Times New Roman" w:hAnsi="Times New Roman"/>
          <w:sz w:val="18"/>
          <w:szCs w:val="18"/>
          <w:color w:val="auto"/>
        </w:rPr>
      </w:pPr>
    </w:p>
    <w:p>
      <w:pPr>
        <w:ind w:left="440" w:right="300" w:firstLine="411"/>
        <w:spacing w:after="0" w:line="266" w:lineRule="auto"/>
        <w:tabs>
          <w:tab w:leader="none" w:pos="128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this Agreement and, as applicable, the Indenture, the Offered Securities, the Warrant Agreement and the Unit Agreement (each, a “</w:t>
      </w:r>
      <w:r>
        <w:rPr>
          <w:rFonts w:ascii="Times New Roman" w:cs="Times New Roman" w:eastAsia="Times New Roman" w:hAnsi="Times New Roman"/>
          <w:sz w:val="18"/>
          <w:szCs w:val="18"/>
          <w:b w:val="1"/>
          <w:bCs w:val="1"/>
          <w:color w:val="auto"/>
        </w:rPr>
        <w:t>Transaction Document</w:t>
      </w:r>
      <w:r>
        <w:rPr>
          <w:rFonts w:ascii="Times New Roman" w:cs="Times New Roman" w:eastAsia="Times New Roman" w:hAnsi="Times New Roman"/>
          <w:sz w:val="18"/>
          <w:szCs w:val="18"/>
          <w:color w:val="auto"/>
        </w:rPr>
        <w:t>”) and the performance by the Company of its obligations thereunder will not conflict with, constitute a default under or violate:</w:t>
      </w:r>
    </w:p>
    <w:p>
      <w:pPr>
        <w:spacing w:after="0" w:line="176" w:lineRule="exact"/>
        <w:rPr>
          <w:rFonts w:ascii="Times New Roman" w:cs="Times New Roman" w:eastAsia="Times New Roman" w:hAnsi="Times New Roman"/>
          <w:sz w:val="18"/>
          <w:szCs w:val="18"/>
          <w:color w:val="auto"/>
        </w:rPr>
      </w:pPr>
    </w:p>
    <w:p>
      <w:pPr>
        <w:ind w:left="1800" w:hanging="420"/>
        <w:spacing w:after="0"/>
        <w:tabs>
          <w:tab w:leader="none" w:pos="18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conditions or provisions of the Certificate of Incorporation or by-laws of the Company; or</w:t>
      </w:r>
    </w:p>
    <w:p>
      <w:pPr>
        <w:spacing w:after="0" w:line="225" w:lineRule="exact"/>
        <w:rPr>
          <w:rFonts w:ascii="Times New Roman" w:cs="Times New Roman" w:eastAsia="Times New Roman" w:hAnsi="Times New Roman"/>
          <w:sz w:val="18"/>
          <w:szCs w:val="18"/>
          <w:color w:val="auto"/>
        </w:rPr>
      </w:pPr>
    </w:p>
    <w:p>
      <w:pPr>
        <w:jc w:val="both"/>
        <w:ind w:left="1000" w:firstLine="380"/>
        <w:spacing w:after="0" w:line="261" w:lineRule="auto"/>
        <w:tabs>
          <w:tab w:leader="none" w:pos="1803"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spacing w:after="0" w:line="180" w:lineRule="exact"/>
        <w:rPr>
          <w:rFonts w:ascii="Times New Roman" w:cs="Times New Roman" w:eastAsia="Times New Roman" w:hAnsi="Times New Roman"/>
          <w:sz w:val="18"/>
          <w:szCs w:val="18"/>
          <w:color w:val="auto"/>
        </w:rPr>
      </w:pPr>
    </w:p>
    <w:p>
      <w:pPr>
        <w:ind w:left="440" w:right="40" w:firstLine="411"/>
        <w:spacing w:after="0" w:line="261" w:lineRule="auto"/>
        <w:tabs>
          <w:tab w:leader="none" w:pos="123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counsel’s knowledge, no consent, approval or authorization of or filing with any governmental body or agency is required for the 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pacing w:after="0" w:line="180" w:lineRule="exact"/>
        <w:rPr>
          <w:rFonts w:ascii="Times New Roman" w:cs="Times New Roman" w:eastAsia="Times New Roman" w:hAnsi="Times New Roman"/>
          <w:sz w:val="18"/>
          <w:szCs w:val="18"/>
          <w:color w:val="auto"/>
        </w:rPr>
      </w:pPr>
    </w:p>
    <w:p>
      <w:pPr>
        <w:ind w:left="440" w:right="60" w:firstLine="411"/>
        <w:spacing w:after="0" w:line="282" w:lineRule="auto"/>
        <w:tabs>
          <w:tab w:leader="none" w:pos="128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counsel’s knowledge, there is no action, suit or formal proceeding pending or threatened against the Company or any of its subsidiaries before any court or arbitrator or any governmental body or</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880" w:top="270" w:right="439" w:bottom="1440" w:gutter="0" w:footer="0" w:header="0"/>
        </w:sectPr>
      </w:pPr>
    </w:p>
    <w:bookmarkStart w:id="18" w:name="page19"/>
    <w:bookmarkEnd w:id="18"/>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180" w:lineRule="exact"/>
        <w:rPr>
          <w:sz w:val="20"/>
          <w:szCs w:val="20"/>
          <w:color w:val="auto"/>
        </w:rPr>
      </w:pPr>
    </w:p>
    <w:p>
      <w:pPr>
        <w:ind w:firstLine="411"/>
        <w:spacing w:after="0" w:line="261"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180" w:lineRule="exact"/>
        <w:rPr>
          <w:rFonts w:ascii="Times New Roman" w:cs="Times New Roman" w:eastAsia="Times New Roman" w:hAnsi="Times New Roman"/>
          <w:sz w:val="18"/>
          <w:szCs w:val="18"/>
          <w:color w:val="auto"/>
        </w:rPr>
      </w:pPr>
    </w:p>
    <w:p>
      <w:pPr>
        <w:ind w:right="40" w:firstLine="411"/>
        <w:spacing w:after="0" w:line="282" w:lineRule="auto"/>
        <w:tabs>
          <w:tab w:leader="none" w:pos="9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the attention of such counsel that causes such counsel to believe that, insofar as relevant to the offering of the Offered Securities:</w:t>
      </w:r>
    </w:p>
    <w:p>
      <w:pPr>
        <w:spacing w:after="0" w:line="161" w:lineRule="exact"/>
        <w:rPr>
          <w:rFonts w:ascii="Times New Roman" w:cs="Times New Roman" w:eastAsia="Times New Roman" w:hAnsi="Times New Roman"/>
          <w:sz w:val="18"/>
          <w:szCs w:val="18"/>
          <w:color w:val="auto"/>
        </w:rPr>
      </w:pPr>
    </w:p>
    <w:p>
      <w:pPr>
        <w:ind w:left="560" w:right="20" w:firstLine="380"/>
        <w:spacing w:after="0" w:line="256" w:lineRule="auto"/>
        <w:tabs>
          <w:tab w:leader="none" w:pos="137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187" w:lineRule="exact"/>
        <w:rPr>
          <w:rFonts w:ascii="Times New Roman" w:cs="Times New Roman" w:eastAsia="Times New Roman" w:hAnsi="Times New Roman"/>
          <w:sz w:val="18"/>
          <w:szCs w:val="18"/>
          <w:color w:val="auto"/>
        </w:rPr>
      </w:pPr>
    </w:p>
    <w:p>
      <w:pPr>
        <w:ind w:left="560" w:right="320" w:firstLine="380"/>
        <w:spacing w:after="0" w:line="261" w:lineRule="auto"/>
        <w:tabs>
          <w:tab w:leader="none" w:pos="136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or any amendment thereto (except for the financial statements and financial schedules and other financial and statistical data included therein and except for that part of the Registration Statement that constitutes the</w:t>
      </w:r>
    </w:p>
    <w:p>
      <w:pPr>
        <w:ind w:left="5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T-1, as to which such counsel need not express any belief) as of the date of this Agreement contained any untrue statement of a material fact or omitted to state a material fact required to be stated therein or necessary to make the statements therein not misleading;</w:t>
      </w:r>
    </w:p>
    <w:p>
      <w:pPr>
        <w:spacing w:after="0" w:line="186" w:lineRule="exact"/>
        <w:rPr>
          <w:rFonts w:ascii="Times New Roman" w:cs="Times New Roman" w:eastAsia="Times New Roman" w:hAnsi="Times New Roman"/>
          <w:sz w:val="18"/>
          <w:szCs w:val="18"/>
          <w:color w:val="auto"/>
        </w:rPr>
      </w:pPr>
    </w:p>
    <w:p>
      <w:pPr>
        <w:ind w:left="560" w:right="20" w:firstLine="380"/>
        <w:spacing w:after="0" w:line="282" w:lineRule="auto"/>
        <w:tabs>
          <w:tab w:leader="none" w:pos="136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Sale Prospectus (except for the financial statements and financial schedules and other financial and statistical data included therein, as to which such counsel</w:t>
      </w:r>
    </w:p>
    <w:p>
      <w:pPr>
        <w:spacing w:after="0" w:line="9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20"/>
          </w:cols>
          <w:pgMar w:left="1320" w:top="270" w:right="459" w:bottom="1440" w:gutter="0" w:footer="0" w:header="0"/>
        </w:sectPr>
      </w:pPr>
    </w:p>
    <w:bookmarkStart w:id="19" w:name="page20"/>
    <w:bookmarkEnd w:id="19"/>
    <w:p>
      <w:pPr>
        <w:ind w:left="1000"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176" w:lineRule="exact"/>
        <w:rPr>
          <w:sz w:val="20"/>
          <w:szCs w:val="20"/>
          <w:color w:val="auto"/>
        </w:rPr>
      </w:pPr>
    </w:p>
    <w:p>
      <w:pPr>
        <w:ind w:left="1000" w:right="140" w:firstLine="380"/>
        <w:spacing w:after="0" w:line="281" w:lineRule="auto"/>
        <w:tabs>
          <w:tab w:leader="none" w:pos="1813"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164" w:lineRule="exact"/>
        <w:rPr>
          <w:rFonts w:ascii="Times New Roman" w:cs="Times New Roman" w:eastAsia="Times New Roman" w:hAnsi="Times New Roman"/>
          <w:sz w:val="17"/>
          <w:szCs w:val="17"/>
          <w:color w:val="auto"/>
        </w:rPr>
      </w:pPr>
    </w:p>
    <w:p>
      <w:pPr>
        <w:ind w:right="560" w:firstLine="428"/>
        <w:spacing w:after="0" w:line="282" w:lineRule="auto"/>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received on the Closing Date an opinion of Davis Polk &amp; Wardwell LLP, special outside counsel to the Company, dated the Closing Date, to the effect (as applicable) that:</w:t>
      </w:r>
    </w:p>
    <w:p>
      <w:pPr>
        <w:spacing w:after="0" w:line="161" w:lineRule="exact"/>
        <w:rPr>
          <w:rFonts w:ascii="Times New Roman" w:cs="Times New Roman" w:eastAsia="Times New Roman" w:hAnsi="Times New Roman"/>
          <w:sz w:val="18"/>
          <w:szCs w:val="18"/>
          <w:color w:val="auto"/>
        </w:rPr>
      </w:pPr>
    </w:p>
    <w:p>
      <w:pPr>
        <w:ind w:left="440" w:firstLine="411"/>
        <w:spacing w:after="0" w:line="266" w:lineRule="auto"/>
        <w:tabs>
          <w:tab w:leader="none" w:pos="11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176" w:lineRule="exact"/>
        <w:rPr>
          <w:rFonts w:ascii="Times New Roman" w:cs="Times New Roman" w:eastAsia="Times New Roman" w:hAnsi="Times New Roman"/>
          <w:sz w:val="18"/>
          <w:szCs w:val="18"/>
          <w:color w:val="auto"/>
        </w:rPr>
      </w:pPr>
    </w:p>
    <w:p>
      <w:pPr>
        <w:ind w:left="1260" w:hanging="409"/>
        <w:spacing w:after="0"/>
        <w:tabs>
          <w:tab w:leader="none" w:pos="12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Debt Securities are Offered Securities:</w:t>
      </w:r>
    </w:p>
    <w:p>
      <w:pPr>
        <w:spacing w:after="0" w:line="225" w:lineRule="exact"/>
        <w:rPr>
          <w:rFonts w:ascii="Times New Roman" w:cs="Times New Roman" w:eastAsia="Times New Roman" w:hAnsi="Times New Roman"/>
          <w:sz w:val="18"/>
          <w:szCs w:val="18"/>
          <w:color w:val="auto"/>
        </w:rPr>
      </w:pPr>
    </w:p>
    <w:p>
      <w:pPr>
        <w:ind w:left="1000" w:right="60" w:firstLine="380"/>
        <w:spacing w:after="0" w:line="255" w:lineRule="auto"/>
        <w:tabs>
          <w:tab w:leader="none" w:pos="1813"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provided that such counsel need not express any opinion as to the validity, legally binding effect or enforceability of any provision that permits holders to collect any portion of stated principal amount upon acceleration of such securities to the extent determined to constitute unearned interest;</w:t>
      </w:r>
    </w:p>
    <w:p>
      <w:pPr>
        <w:spacing w:after="0" w:line="189" w:lineRule="exact"/>
        <w:rPr>
          <w:rFonts w:ascii="Times New Roman" w:cs="Times New Roman" w:eastAsia="Times New Roman" w:hAnsi="Times New Roman"/>
          <w:sz w:val="18"/>
          <w:szCs w:val="18"/>
          <w:color w:val="auto"/>
        </w:rPr>
      </w:pPr>
    </w:p>
    <w:p>
      <w:pPr>
        <w:ind w:left="1000" w:right="80" w:firstLine="380"/>
        <w:spacing w:after="0" w:line="282" w:lineRule="auto"/>
        <w:tabs>
          <w:tab w:leader="none" w:pos="1803"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executed and delivered by the Company and is a valid and binding agreement of the Company enforceable in accordance with its terms, subject to the Enforceability Exceptions; and</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70" w:right="479" w:bottom="1440" w:gutter="0" w:footer="0" w:header="0"/>
        </w:sectPr>
      </w:pPr>
    </w:p>
    <w:bookmarkStart w:id="20" w:name="page21"/>
    <w:bookmarkEnd w:id="20"/>
    <w:p>
      <w:pPr>
        <w:ind w:left="1240" w:hanging="420"/>
        <w:spacing w:after="0"/>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Indenture has been duly qualified under the Trust Indenture Act of 1939.</w:t>
      </w:r>
    </w:p>
    <w:p>
      <w:pPr>
        <w:spacing w:after="0" w:line="225" w:lineRule="exact"/>
        <w:rPr>
          <w:rFonts w:ascii="Times New Roman" w:cs="Times New Roman" w:eastAsia="Times New Roman" w:hAnsi="Times New Roman"/>
          <w:sz w:val="18"/>
          <w:szCs w:val="18"/>
          <w:color w:val="auto"/>
        </w:rPr>
      </w:pPr>
    </w:p>
    <w:p>
      <w:pPr>
        <w:ind w:left="740" w:hanging="449"/>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Warrants are Offered Securities:</w:t>
      </w:r>
    </w:p>
    <w:p>
      <w:pPr>
        <w:spacing w:after="0" w:line="225" w:lineRule="exact"/>
        <w:rPr>
          <w:rFonts w:ascii="Times New Roman" w:cs="Times New Roman" w:eastAsia="Times New Roman" w:hAnsi="Times New Roman"/>
          <w:sz w:val="18"/>
          <w:szCs w:val="18"/>
          <w:color w:val="auto"/>
        </w:rPr>
      </w:pPr>
    </w:p>
    <w:p>
      <w:pPr>
        <w:ind w:left="440" w:right="400" w:firstLine="380"/>
        <w:spacing w:after="0" w:line="261" w:lineRule="auto"/>
        <w:tabs>
          <w:tab w:leader="none" w:pos="125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180" w:lineRule="exact"/>
        <w:rPr>
          <w:rFonts w:ascii="Times New Roman" w:cs="Times New Roman" w:eastAsia="Times New Roman" w:hAnsi="Times New Roman"/>
          <w:sz w:val="18"/>
          <w:szCs w:val="18"/>
          <w:color w:val="auto"/>
        </w:rPr>
      </w:pPr>
    </w:p>
    <w:p>
      <w:pPr>
        <w:ind w:left="440" w:right="40" w:firstLine="380"/>
        <w:spacing w:after="0" w:line="282" w:lineRule="auto"/>
        <w:tabs>
          <w:tab w:leader="none" w:pos="124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Agreement has been duly authorized, executed and delivered by, and is a valid and binding agreement of, the Company, enforceable in accordance with its terms, subject to the Enforceability Exceptions.</w:t>
      </w:r>
    </w:p>
    <w:p>
      <w:pPr>
        <w:spacing w:after="0" w:line="161" w:lineRule="exact"/>
        <w:rPr>
          <w:rFonts w:ascii="Times New Roman" w:cs="Times New Roman" w:eastAsia="Times New Roman" w:hAnsi="Times New Roman"/>
          <w:sz w:val="18"/>
          <w:szCs w:val="18"/>
          <w:color w:val="auto"/>
        </w:rPr>
      </w:pPr>
    </w:p>
    <w:p>
      <w:pPr>
        <w:ind w:left="740" w:hanging="449"/>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Units are Offered Securities:</w:t>
      </w:r>
    </w:p>
    <w:p>
      <w:pPr>
        <w:spacing w:after="0" w:line="225" w:lineRule="exact"/>
        <w:rPr>
          <w:rFonts w:ascii="Times New Roman" w:cs="Times New Roman" w:eastAsia="Times New Roman" w:hAnsi="Times New Roman"/>
          <w:sz w:val="18"/>
          <w:szCs w:val="18"/>
          <w:color w:val="auto"/>
        </w:rPr>
      </w:pPr>
    </w:p>
    <w:p>
      <w:pPr>
        <w:jc w:val="both"/>
        <w:ind w:left="440" w:right="120" w:firstLine="380"/>
        <w:spacing w:after="0" w:line="261" w:lineRule="auto"/>
        <w:tabs>
          <w:tab w:leader="none" w:pos="125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180" w:lineRule="exact"/>
        <w:rPr>
          <w:rFonts w:ascii="Times New Roman" w:cs="Times New Roman" w:eastAsia="Times New Roman" w:hAnsi="Times New Roman"/>
          <w:sz w:val="18"/>
          <w:szCs w:val="18"/>
          <w:color w:val="auto"/>
        </w:rPr>
      </w:pPr>
    </w:p>
    <w:p>
      <w:pPr>
        <w:ind w:left="440" w:right="300" w:firstLine="380"/>
        <w:spacing w:after="0" w:line="282" w:lineRule="auto"/>
        <w:tabs>
          <w:tab w:leader="none" w:pos="124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161" w:lineRule="exact"/>
        <w:rPr>
          <w:rFonts w:ascii="Times New Roman" w:cs="Times New Roman" w:eastAsia="Times New Roman" w:hAnsi="Times New Roman"/>
          <w:sz w:val="18"/>
          <w:szCs w:val="18"/>
          <w:color w:val="auto"/>
        </w:rPr>
      </w:pPr>
    </w:p>
    <w:p>
      <w:pPr>
        <w:ind w:left="680" w:hanging="389"/>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left="-120" w:firstLine="411"/>
        <w:spacing w:after="0" w:line="266" w:lineRule="auto"/>
        <w:tabs>
          <w:tab w:leader="none" w:pos="7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176" w:lineRule="exact"/>
        <w:rPr>
          <w:rFonts w:ascii="Times New Roman" w:cs="Times New Roman" w:eastAsia="Times New Roman" w:hAnsi="Times New Roman"/>
          <w:sz w:val="18"/>
          <w:szCs w:val="18"/>
          <w:color w:val="auto"/>
        </w:rPr>
      </w:pPr>
    </w:p>
    <w:p>
      <w:pPr>
        <w:ind w:left="-120" w:right="220" w:firstLine="411"/>
        <w:spacing w:after="0" w:line="282" w:lineRule="auto"/>
        <w:tabs>
          <w:tab w:leader="none" w:pos="7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included in the Time of Sale Prospectus and the Prospectus under the captions “Material U.S. Federal Income Tax Consequences” and “Underwriting” relating to legal matters fairly summarize such matters in all material respects.</w:t>
      </w:r>
    </w:p>
    <w:p>
      <w:pPr>
        <w:spacing w:after="0" w:line="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20"/>
          </w:cols>
          <w:pgMar w:left="1440" w:top="270" w:right="439" w:bottom="1440" w:gutter="0" w:footer="0" w:header="0"/>
        </w:sectPr>
      </w:pPr>
    </w:p>
    <w:bookmarkStart w:id="21" w:name="page22"/>
    <w:bookmarkEnd w:id="21"/>
    <w:p>
      <w:pPr>
        <w:ind w:left="-120" w:right="80" w:firstLine="411"/>
        <w:spacing w:after="0" w:line="286" w:lineRule="auto"/>
        <w:tabs>
          <w:tab w:leader="none" w:pos="8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Offered Securities that are convertible into or exercisable or exchangeable for other Securities (the “</w:t>
      </w:r>
      <w:r>
        <w:rPr>
          <w:rFonts w:ascii="Times New Roman" w:cs="Times New Roman" w:eastAsia="Times New Roman" w:hAnsi="Times New Roman"/>
          <w:sz w:val="18"/>
          <w:szCs w:val="18"/>
          <w:b w:val="1"/>
          <w:bCs w:val="1"/>
          <w:color w:val="auto"/>
        </w:rPr>
        <w:t>Underlying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Underlying Securities have been duly authorized and reserved for issuance.</w:t>
      </w:r>
    </w:p>
    <w:p>
      <w:pPr>
        <w:spacing w:after="0" w:line="158" w:lineRule="exact"/>
        <w:rPr>
          <w:rFonts w:ascii="Times New Roman" w:cs="Times New Roman" w:eastAsia="Times New Roman" w:hAnsi="Times New Roman"/>
          <w:sz w:val="18"/>
          <w:szCs w:val="18"/>
          <w:color w:val="auto"/>
        </w:rPr>
      </w:pPr>
    </w:p>
    <w:p>
      <w:pPr>
        <w:ind w:left="-120" w:right="140" w:firstLine="411"/>
        <w:spacing w:after="0" w:line="266" w:lineRule="auto"/>
        <w:tabs>
          <w:tab w:leader="none" w:pos="7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176" w:lineRule="exact"/>
        <w:rPr>
          <w:rFonts w:ascii="Times New Roman" w:cs="Times New Roman" w:eastAsia="Times New Roman" w:hAnsi="Times New Roman"/>
          <w:sz w:val="18"/>
          <w:szCs w:val="18"/>
          <w:color w:val="auto"/>
        </w:rPr>
      </w:pPr>
    </w:p>
    <w:p>
      <w:pPr>
        <w:jc w:val="both"/>
        <w:ind w:left="-120" w:right="100" w:firstLine="411"/>
        <w:spacing w:after="0" w:line="266" w:lineRule="auto"/>
        <w:tabs>
          <w:tab w:leader="none" w:pos="6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176" w:lineRule="exact"/>
        <w:rPr>
          <w:rFonts w:ascii="Times New Roman" w:cs="Times New Roman" w:eastAsia="Times New Roman" w:hAnsi="Times New Roman"/>
          <w:sz w:val="18"/>
          <w:szCs w:val="18"/>
          <w:color w:val="auto"/>
        </w:rPr>
      </w:pPr>
    </w:p>
    <w:p>
      <w:pPr>
        <w:jc w:val="both"/>
        <w:ind w:left="-120" w:firstLine="411"/>
        <w:spacing w:after="0" w:line="261" w:lineRule="auto"/>
        <w:tabs>
          <w:tab w:leader="none" w:pos="7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w:t>
      </w:r>
    </w:p>
    <w:p>
      <w:pPr>
        <w:spacing w:after="0" w:line="180" w:lineRule="exact"/>
        <w:rPr>
          <w:rFonts w:ascii="Times New Roman" w:cs="Times New Roman" w:eastAsia="Times New Roman" w:hAnsi="Times New Roman"/>
          <w:sz w:val="18"/>
          <w:szCs w:val="18"/>
          <w:color w:val="auto"/>
        </w:rPr>
      </w:pPr>
    </w:p>
    <w:p>
      <w:pPr>
        <w:ind w:left="-120" w:right="80" w:firstLine="411"/>
        <w:spacing w:after="0" w:line="282" w:lineRule="auto"/>
        <w:tabs>
          <w:tab w:leader="none" w:pos="7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the attention of such counsel that causes such counsel to believe that, insofar as relevant to the offering of the Offered Securities:</w:t>
      </w:r>
    </w:p>
    <w:p>
      <w:pPr>
        <w:spacing w:after="0" w:line="161" w:lineRule="exact"/>
        <w:rPr>
          <w:rFonts w:ascii="Times New Roman" w:cs="Times New Roman" w:eastAsia="Times New Roman" w:hAnsi="Times New Roman"/>
          <w:sz w:val="18"/>
          <w:szCs w:val="18"/>
          <w:color w:val="auto"/>
        </w:rPr>
      </w:pPr>
    </w:p>
    <w:p>
      <w:pPr>
        <w:ind w:left="440" w:right="20" w:firstLine="380"/>
        <w:spacing w:after="0" w:line="256" w:lineRule="auto"/>
        <w:tabs>
          <w:tab w:leader="none" w:pos="125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187" w:lineRule="exact"/>
        <w:rPr>
          <w:rFonts w:ascii="Times New Roman" w:cs="Times New Roman" w:eastAsia="Times New Roman" w:hAnsi="Times New Roman"/>
          <w:sz w:val="18"/>
          <w:szCs w:val="18"/>
          <w:color w:val="auto"/>
        </w:rPr>
      </w:pPr>
    </w:p>
    <w:p>
      <w:pPr>
        <w:ind w:left="1240" w:hanging="420"/>
        <w:spacing w:after="0"/>
        <w:tabs>
          <w:tab w:leader="none" w:pos="12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Sale Prospectus (except for the financial statements and financial schedules and other financial</w:t>
      </w:r>
    </w:p>
    <w:p>
      <w:pPr>
        <w:spacing w:after="0" w:line="1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00"/>
          </w:cols>
          <w:pgMar w:left="1440" w:top="266" w:right="459" w:bottom="1440" w:gutter="0" w:footer="0" w:header="0"/>
        </w:sectPr>
      </w:pPr>
    </w:p>
    <w:bookmarkStart w:id="22" w:name="page23"/>
    <w:bookmarkEnd w:id="22"/>
    <w:p>
      <w:pPr>
        <w:ind w:left="144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176" w:lineRule="exact"/>
        <w:rPr>
          <w:sz w:val="20"/>
          <w:szCs w:val="20"/>
          <w:color w:val="auto"/>
        </w:rPr>
      </w:pPr>
    </w:p>
    <w:p>
      <w:pPr>
        <w:ind w:left="1440" w:firstLine="380"/>
        <w:spacing w:after="0" w:line="281" w:lineRule="auto"/>
        <w:tabs>
          <w:tab w:leader="none" w:pos="2243"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164" w:lineRule="exact"/>
        <w:rPr>
          <w:rFonts w:ascii="Times New Roman" w:cs="Times New Roman" w:eastAsia="Times New Roman" w:hAnsi="Times New Roman"/>
          <w:sz w:val="17"/>
          <w:szCs w:val="17"/>
          <w:color w:val="auto"/>
        </w:rPr>
      </w:pPr>
    </w:p>
    <w:p>
      <w:pPr>
        <w:ind w:left="880" w:right="40" w:firstLine="411"/>
        <w:spacing w:after="0" w:line="282" w:lineRule="auto"/>
        <w:tabs>
          <w:tab w:leader="none" w:pos="182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the Indenture, and the Offered Securities will not contravene any provision of applicable law.</w:t>
      </w:r>
    </w:p>
    <w:p>
      <w:pPr>
        <w:spacing w:after="0" w:line="161" w:lineRule="exact"/>
        <w:rPr>
          <w:rFonts w:ascii="Times New Roman" w:cs="Times New Roman" w:eastAsia="Times New Roman" w:hAnsi="Times New Roman"/>
          <w:sz w:val="18"/>
          <w:szCs w:val="18"/>
          <w:color w:val="auto"/>
        </w:rPr>
      </w:pPr>
    </w:p>
    <w:p>
      <w:pPr>
        <w:ind w:left="440" w:right="300" w:firstLine="428"/>
        <w:spacing w:after="0" w:line="282" w:lineRule="auto"/>
        <w:tabs>
          <w:tab w:leader="none" w:pos="12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received on the Closing Date an opinion of its own counsel, in a form acceptable to the Manager, dated the Closing Date.</w:t>
      </w:r>
    </w:p>
    <w:p>
      <w:pPr>
        <w:spacing w:after="0" w:line="162"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It is understood that the general counsel of the Company may rely as to all matters relating to the laws of the State of New York upon the opinion of Davis Polk &amp; Wardwell LLP.</w:t>
      </w:r>
    </w:p>
    <w:p>
      <w:pPr>
        <w:spacing w:after="0" w:line="162"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With respect to the matters set forth in (b)(vii), (b)(viii), (c)(xi) and (c)(xii)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184" w:lineRule="exact"/>
        <w:rPr>
          <w:sz w:val="20"/>
          <w:szCs w:val="20"/>
          <w:color w:val="auto"/>
        </w:rPr>
      </w:pPr>
    </w:p>
    <w:p>
      <w:pPr>
        <w:ind w:left="440" w:right="20" w:firstLine="428"/>
        <w:spacing w:after="0" w:line="261"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180" w:lineRule="exact"/>
        <w:rPr>
          <w:rFonts w:ascii="Times New Roman" w:cs="Times New Roman" w:eastAsia="Times New Roman" w:hAnsi="Times New Roman"/>
          <w:sz w:val="18"/>
          <w:szCs w:val="18"/>
          <w:color w:val="auto"/>
        </w:rPr>
      </w:pPr>
    </w:p>
    <w:p>
      <w:pPr>
        <w:ind w:left="1220" w:hanging="352"/>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Applicable Time and prior to the Closing Date, there shall not have occurred any downgrading, nor shall any notice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23" w:name="page24"/>
    <w:bookmarkEnd w:id="23"/>
    <w:p>
      <w:pPr>
        <w:ind w:left="440"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pacing w:after="0" w:line="176" w:lineRule="exact"/>
        <w:rPr>
          <w:sz w:val="20"/>
          <w:szCs w:val="20"/>
          <w:color w:val="auto"/>
        </w:rPr>
      </w:pPr>
    </w:p>
    <w:p>
      <w:pPr>
        <w:ind w:left="440" w:right="60" w:firstLine="428"/>
        <w:spacing w:after="0" w:line="261" w:lineRule="auto"/>
        <w:tabs>
          <w:tab w:leader="none" w:pos="12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 consideration of the agreements of the Underwriters contained in this Agreement, the Company covenants as follows:</w:t>
      </w:r>
    </w:p>
    <w:p>
      <w:pPr>
        <w:spacing w:after="0" w:line="225" w:lineRule="exact"/>
        <w:rPr>
          <w:sz w:val="20"/>
          <w:szCs w:val="20"/>
          <w:color w:val="auto"/>
        </w:rPr>
      </w:pPr>
    </w:p>
    <w:p>
      <w:pPr>
        <w:ind w:left="440" w:firstLine="428"/>
        <w:spacing w:after="0" w:line="266"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176" w:lineRule="exact"/>
        <w:rPr>
          <w:rFonts w:ascii="Times New Roman" w:cs="Times New Roman" w:eastAsia="Times New Roman" w:hAnsi="Times New Roman"/>
          <w:sz w:val="18"/>
          <w:szCs w:val="18"/>
          <w:color w:val="auto"/>
        </w:rPr>
      </w:pPr>
    </w:p>
    <w:p>
      <w:pPr>
        <w:ind w:left="440" w:firstLine="428"/>
        <w:spacing w:after="0" w:line="261" w:lineRule="auto"/>
        <w:tabs>
          <w:tab w:leader="none" w:pos="12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180" w:lineRule="exact"/>
        <w:rPr>
          <w:rFonts w:ascii="Times New Roman" w:cs="Times New Roman" w:eastAsia="Times New Roman" w:hAnsi="Times New Roman"/>
          <w:sz w:val="18"/>
          <w:szCs w:val="18"/>
          <w:color w:val="auto"/>
        </w:rPr>
      </w:pPr>
    </w:p>
    <w:p>
      <w:pPr>
        <w:ind w:left="440" w:firstLine="428"/>
        <w:spacing w:after="0" w:line="282" w:lineRule="auto"/>
        <w:tabs>
          <w:tab w:leader="none" w:pos="12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filing, using or referring to any free writing prospectus relating to the Offered Securities, to furnish the Manager a copy of each such free writing prospectus.</w:t>
      </w:r>
    </w:p>
    <w:p>
      <w:pPr>
        <w:spacing w:after="0" w:line="161" w:lineRule="exact"/>
        <w:rPr>
          <w:rFonts w:ascii="Times New Roman" w:cs="Times New Roman" w:eastAsia="Times New Roman" w:hAnsi="Times New Roman"/>
          <w:sz w:val="18"/>
          <w:szCs w:val="18"/>
          <w:color w:val="auto"/>
        </w:rPr>
      </w:pPr>
    </w:p>
    <w:p>
      <w:pPr>
        <w:ind w:left="440" w:right="160" w:firstLine="428"/>
        <w:spacing w:after="0" w:line="266" w:lineRule="auto"/>
        <w:tabs>
          <w:tab w:leader="none" w:pos="12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176" w:lineRule="exact"/>
        <w:rPr>
          <w:rFonts w:ascii="Times New Roman" w:cs="Times New Roman" w:eastAsia="Times New Roman" w:hAnsi="Times New Roman"/>
          <w:sz w:val="18"/>
          <w:szCs w:val="18"/>
          <w:color w:val="auto"/>
        </w:rPr>
      </w:pPr>
    </w:p>
    <w:p>
      <w:pPr>
        <w:ind w:left="440" w:right="380" w:firstLine="428"/>
        <w:spacing w:after="0" w:line="266" w:lineRule="auto"/>
        <w:tabs>
          <w:tab w:leader="none" w:pos="12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70" w:right="519" w:bottom="1440" w:gutter="0" w:footer="0" w:header="0"/>
        </w:sectPr>
      </w:pPr>
    </w:p>
    <w:bookmarkStart w:id="24" w:name="page25"/>
    <w:bookmarkEnd w:id="24"/>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189" w:lineRule="exact"/>
        <w:rPr>
          <w:sz w:val="20"/>
          <w:szCs w:val="20"/>
          <w:color w:val="auto"/>
        </w:rPr>
      </w:pPr>
    </w:p>
    <w:p>
      <w:pPr>
        <w:ind w:firstLine="428"/>
        <w:spacing w:after="0" w:line="253" w:lineRule="auto"/>
        <w:tabs>
          <w:tab w:leader="none" w:pos="7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192" w:lineRule="exact"/>
        <w:rPr>
          <w:rFonts w:ascii="Times New Roman" w:cs="Times New Roman" w:eastAsia="Times New Roman" w:hAnsi="Times New Roman"/>
          <w:sz w:val="18"/>
          <w:szCs w:val="18"/>
          <w:color w:val="auto"/>
        </w:rPr>
      </w:pPr>
    </w:p>
    <w:p>
      <w:pPr>
        <w:ind w:right="320" w:firstLine="428"/>
        <w:spacing w:after="0" w:line="282" w:lineRule="auto"/>
        <w:tabs>
          <w:tab w:leader="none" w:pos="8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161" w:lineRule="exact"/>
        <w:rPr>
          <w:rFonts w:ascii="Times New Roman" w:cs="Times New Roman" w:eastAsia="Times New Roman" w:hAnsi="Times New Roman"/>
          <w:sz w:val="18"/>
          <w:szCs w:val="18"/>
          <w:color w:val="auto"/>
        </w:rPr>
      </w:pPr>
    </w:p>
    <w:p>
      <w:pPr>
        <w:ind w:right="40" w:firstLine="428"/>
        <w:spacing w:after="0" w:line="261" w:lineRule="auto"/>
        <w:tabs>
          <w:tab w:leader="none" w:pos="8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1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25" w:name="page26"/>
    <w:bookmarkEnd w:id="25"/>
    <w:p>
      <w:pPr>
        <w:ind w:right="40" w:firstLine="428"/>
        <w:spacing w:after="0" w:line="261" w:lineRule="auto"/>
        <w:tabs>
          <w:tab w:leader="none" w:pos="7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180" w:lineRule="exact"/>
        <w:rPr>
          <w:rFonts w:ascii="Times New Roman" w:cs="Times New Roman" w:eastAsia="Times New Roman" w:hAnsi="Times New Roman"/>
          <w:sz w:val="18"/>
          <w:szCs w:val="18"/>
          <w:color w:val="auto"/>
        </w:rPr>
      </w:pPr>
    </w:p>
    <w:p>
      <w:pPr>
        <w:ind w:right="260" w:firstLine="428"/>
        <w:spacing w:after="0" w:line="261" w:lineRule="auto"/>
        <w:tabs>
          <w:tab w:leader="none" w:pos="7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180" w:lineRule="exact"/>
        <w:rPr>
          <w:rFonts w:ascii="Times New Roman" w:cs="Times New Roman" w:eastAsia="Times New Roman" w:hAnsi="Times New Roman"/>
          <w:sz w:val="18"/>
          <w:szCs w:val="18"/>
          <w:color w:val="auto"/>
        </w:rPr>
      </w:pPr>
    </w:p>
    <w:p>
      <w:pPr>
        <w:ind w:right="400" w:firstLine="428"/>
        <w:spacing w:after="0" w:line="282" w:lineRule="auto"/>
        <w:tabs>
          <w:tab w:leader="none" w:pos="8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161" w:lineRule="exact"/>
        <w:rPr>
          <w:rFonts w:ascii="Times New Roman" w:cs="Times New Roman" w:eastAsia="Times New Roman" w:hAnsi="Times New Roman"/>
          <w:sz w:val="18"/>
          <w:szCs w:val="18"/>
          <w:color w:val="auto"/>
        </w:rPr>
      </w:pPr>
    </w:p>
    <w:p>
      <w:pPr>
        <w:ind w:firstLine="428"/>
        <w:spacing w:after="0" w:line="253" w:lineRule="auto"/>
        <w:tabs>
          <w:tab w:leader="none" w:pos="7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188" w:lineRule="exact"/>
        <w:rPr>
          <w:rFonts w:ascii="Times New Roman" w:cs="Times New Roman" w:eastAsia="Times New Roman" w:hAnsi="Times New Roman"/>
          <w:sz w:val="18"/>
          <w:szCs w:val="18"/>
          <w:color w:val="auto"/>
        </w:rPr>
      </w:pPr>
    </w:p>
    <w:p>
      <w:pPr>
        <w:ind w:right="40" w:firstLine="428"/>
        <w:spacing w:after="0" w:line="258" w:lineRule="auto"/>
        <w:tabs>
          <w:tab w:leader="none" w:pos="8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880" w:top="270" w:right="439" w:bottom="1440" w:gutter="0" w:footer="0" w:header="0"/>
        </w:sectPr>
      </w:pPr>
    </w:p>
    <w:bookmarkStart w:id="26" w:name="page27"/>
    <w:bookmarkEnd w:id="26"/>
    <w:p>
      <w:pPr>
        <w:ind w:right="60" w:firstLine="428"/>
        <w:spacing w:after="0" w:line="254" w:lineRule="auto"/>
        <w:tabs>
          <w:tab w:leader="none" w:pos="81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w:t>
      </w:r>
    </w:p>
    <w:p>
      <w:pPr>
        <w:ind w:right="40" w:firstLine="4"/>
        <w:spacing w:after="0" w:line="251"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29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represents and warrants to each Underwriter as of the date of the Underwriting Agreement that:</w:t>
      </w:r>
    </w:p>
    <w:p>
      <w:pPr>
        <w:spacing w:after="0" w:line="225" w:lineRule="exact"/>
        <w:rPr>
          <w:sz w:val="20"/>
          <w:szCs w:val="20"/>
          <w:color w:val="auto"/>
        </w:rPr>
      </w:pPr>
    </w:p>
    <w:p>
      <w:pPr>
        <w:ind w:firstLine="428"/>
        <w:spacing w:after="0" w:line="261" w:lineRule="auto"/>
        <w:tabs>
          <w:tab w:leader="none" w:pos="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1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880" w:top="270" w:right="439" w:bottom="1440" w:gutter="0" w:footer="0" w:header="0"/>
        </w:sectPr>
      </w:pPr>
    </w:p>
    <w:bookmarkStart w:id="27" w:name="page28"/>
    <w:bookmarkEnd w:id="27"/>
    <w:p>
      <w:pPr>
        <w:ind w:firstLine="428"/>
        <w:spacing w:after="0" w:line="252" w:lineRule="auto"/>
        <w:tabs>
          <w:tab w:leader="none" w:pos="8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191" w:lineRule="exact"/>
        <w:rPr>
          <w:rFonts w:ascii="Times New Roman" w:cs="Times New Roman" w:eastAsia="Times New Roman" w:hAnsi="Times New Roman"/>
          <w:sz w:val="18"/>
          <w:szCs w:val="18"/>
          <w:color w:val="auto"/>
        </w:rPr>
      </w:pPr>
    </w:p>
    <w:p>
      <w:pPr>
        <w:ind w:right="60" w:firstLine="428"/>
        <w:spacing w:after="0" w:line="258" w:lineRule="auto"/>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880" w:top="270" w:right="439" w:bottom="1440" w:gutter="0" w:footer="0" w:header="0"/>
        </w:sectPr>
      </w:pPr>
    </w:p>
    <w:bookmarkStart w:id="28" w:name="page29"/>
    <w:bookmarkEnd w:id="28"/>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180" w:lineRule="exact"/>
        <w:rPr>
          <w:sz w:val="20"/>
          <w:szCs w:val="20"/>
          <w:color w:val="auto"/>
        </w:rPr>
      </w:pPr>
    </w:p>
    <w:p>
      <w:pPr>
        <w:ind w:firstLine="428"/>
        <w:spacing w:after="0" w:line="258" w:lineRule="auto"/>
        <w:tabs>
          <w:tab w:leader="none" w:pos="8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83" w:lineRule="exact"/>
        <w:rPr>
          <w:rFonts w:ascii="Times New Roman" w:cs="Times New Roman" w:eastAsia="Times New Roman" w:hAnsi="Times New Roman"/>
          <w:sz w:val="18"/>
          <w:szCs w:val="18"/>
          <w:color w:val="auto"/>
        </w:rPr>
      </w:pPr>
    </w:p>
    <w:p>
      <w:pPr>
        <w:ind w:right="260" w:firstLine="428"/>
        <w:spacing w:after="0" w:line="266" w:lineRule="auto"/>
        <w:tabs>
          <w:tab w:leader="none" w:pos="8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176" w:lineRule="exact"/>
        <w:rPr>
          <w:rFonts w:ascii="Times New Roman" w:cs="Times New Roman" w:eastAsia="Times New Roman" w:hAnsi="Times New Roman"/>
          <w:sz w:val="18"/>
          <w:szCs w:val="18"/>
          <w:color w:val="auto"/>
        </w:rPr>
      </w:pPr>
    </w:p>
    <w:p>
      <w:pPr>
        <w:ind w:right="120" w:firstLine="428"/>
        <w:spacing w:after="0" w:line="256" w:lineRule="auto"/>
        <w:tabs>
          <w:tab w:leader="none" w:pos="7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187" w:lineRule="exact"/>
        <w:rPr>
          <w:rFonts w:ascii="Times New Roman" w:cs="Times New Roman" w:eastAsia="Times New Roman" w:hAnsi="Times New Roman"/>
          <w:sz w:val="18"/>
          <w:szCs w:val="18"/>
          <w:color w:val="auto"/>
        </w:rPr>
      </w:pPr>
    </w:p>
    <w:p>
      <w:pPr>
        <w:ind w:right="140" w:firstLine="428"/>
        <w:spacing w:after="0" w:line="258" w:lineRule="auto"/>
        <w:tabs>
          <w:tab w:leader="none" w:pos="81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183" w:lineRule="exact"/>
        <w:rPr>
          <w:rFonts w:ascii="Times New Roman" w:cs="Times New Roman" w:eastAsia="Times New Roman" w:hAnsi="Times New Roman"/>
          <w:sz w:val="18"/>
          <w:szCs w:val="18"/>
          <w:color w:val="auto"/>
        </w:rPr>
      </w:pPr>
    </w:p>
    <w:p>
      <w:pPr>
        <w:ind w:right="400" w:firstLine="428"/>
        <w:spacing w:after="0" w:line="282" w:lineRule="auto"/>
        <w:tabs>
          <w:tab w:leader="none" w:pos="81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Units are Offered Securities, (i) such Units have been duly authorized and, when executed and delivered in accordance with the provisions of the Unit Agreement and delivered to and paid for by the Underwriters in</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29" w:name="page30"/>
    <w:bookmarkEnd w:id="29"/>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 terms of this Agreement, such Units will be valid and binding obligations of the 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176" w:lineRule="exact"/>
        <w:rPr>
          <w:sz w:val="20"/>
          <w:szCs w:val="20"/>
          <w:color w:val="auto"/>
        </w:rPr>
      </w:pPr>
    </w:p>
    <w:p>
      <w:pPr>
        <w:ind w:left="780" w:hanging="352"/>
        <w:spacing w:after="0"/>
        <w:tabs>
          <w:tab w:leader="none" w:pos="7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firstLine="428"/>
        <w:spacing w:after="0" w:line="254" w:lineRule="auto"/>
        <w:tabs>
          <w:tab w:leader="none" w:pos="77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w:t>
      </w:r>
    </w:p>
    <w:p>
      <w:pPr>
        <w:spacing w:after="0" w:line="3" w:lineRule="exact"/>
        <w:rPr>
          <w:rFonts w:ascii="Times New Roman" w:cs="Times New Roman" w:eastAsia="Times New Roman" w:hAnsi="Times New Roman"/>
          <w:sz w:val="18"/>
          <w:szCs w:val="18"/>
          <w:color w:val="auto"/>
        </w:rPr>
      </w:pPr>
    </w:p>
    <w:p>
      <w:pPr>
        <w:ind w:right="360" w:firstLine="4"/>
        <w:spacing w:after="0" w:line="261" w:lineRule="auto"/>
        <w:tabs>
          <w:tab w:leader="none" w:pos="2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for any such default or violation that would not, individually or in the aggregate, reasonably be expected to have a material adverse effect on the Company and its subsidiaries, taken as a whole.</w:t>
      </w:r>
    </w:p>
    <w:p>
      <w:pPr>
        <w:spacing w:after="0" w:line="179" w:lineRule="exact"/>
        <w:rPr>
          <w:rFonts w:ascii="Times New Roman" w:cs="Times New Roman" w:eastAsia="Times New Roman" w:hAnsi="Times New Roman"/>
          <w:sz w:val="18"/>
          <w:szCs w:val="18"/>
          <w:color w:val="auto"/>
        </w:rPr>
      </w:pPr>
    </w:p>
    <w:p>
      <w:pPr>
        <w:ind w:firstLine="428"/>
        <w:spacing w:after="0" w:line="256" w:lineRule="auto"/>
        <w:tabs>
          <w:tab w:leader="none" w:pos="81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187" w:lineRule="exact"/>
        <w:rPr>
          <w:rFonts w:ascii="Times New Roman" w:cs="Times New Roman" w:eastAsia="Times New Roman" w:hAnsi="Times New Roman"/>
          <w:sz w:val="18"/>
          <w:szCs w:val="18"/>
          <w:color w:val="auto"/>
        </w:rPr>
      </w:pPr>
    </w:p>
    <w:p>
      <w:pPr>
        <w:ind w:right="40" w:firstLine="428"/>
        <w:spacing w:after="0" w:line="266" w:lineRule="auto"/>
        <w:tabs>
          <w:tab w:leader="none" w:pos="77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176" w:lineRule="exact"/>
        <w:rPr>
          <w:rFonts w:ascii="Times New Roman" w:cs="Times New Roman" w:eastAsia="Times New Roman" w:hAnsi="Times New Roman"/>
          <w:sz w:val="18"/>
          <w:szCs w:val="18"/>
          <w:color w:val="auto"/>
        </w:rPr>
      </w:pPr>
    </w:p>
    <w:p>
      <w:pPr>
        <w:ind w:right="300" w:firstLine="428"/>
        <w:spacing w:after="0" w:line="266" w:lineRule="auto"/>
        <w:tabs>
          <w:tab w:leader="none" w:pos="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0"/>
          </w:cols>
          <w:pgMar w:left="880" w:top="270" w:right="439" w:bottom="1440" w:gutter="0" w:footer="0" w:header="0"/>
        </w:sectPr>
      </w:pPr>
    </w:p>
    <w:bookmarkStart w:id="30" w:name="page31"/>
    <w:bookmarkEnd w:id="30"/>
    <w:p>
      <w:pPr>
        <w:ind w:left="440" w:right="20" w:firstLine="428"/>
        <w:spacing w:after="0" w:line="258" w:lineRule="auto"/>
        <w:tabs>
          <w:tab w:leader="none" w:pos="12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183" w:lineRule="exact"/>
        <w:rPr>
          <w:rFonts w:ascii="Times New Roman" w:cs="Times New Roman" w:eastAsia="Times New Roman" w:hAnsi="Times New Roman"/>
          <w:sz w:val="18"/>
          <w:szCs w:val="18"/>
          <w:color w:val="auto"/>
        </w:rPr>
      </w:pPr>
    </w:p>
    <w:p>
      <w:pPr>
        <w:ind w:left="440" w:right="60" w:firstLine="428"/>
        <w:spacing w:after="0" w:line="266" w:lineRule="auto"/>
        <w:tabs>
          <w:tab w:leader="none" w:pos="12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76" w:lineRule="exact"/>
        <w:rPr>
          <w:rFonts w:ascii="Times New Roman" w:cs="Times New Roman" w:eastAsia="Times New Roman" w:hAnsi="Times New Roman"/>
          <w:sz w:val="18"/>
          <w:szCs w:val="18"/>
          <w:color w:val="auto"/>
        </w:rPr>
      </w:pPr>
    </w:p>
    <w:p>
      <w:pPr>
        <w:ind w:left="440" w:right="320" w:firstLine="428"/>
        <w:spacing w:after="0" w:line="266" w:lineRule="auto"/>
        <w:tabs>
          <w:tab w:leader="none" w:pos="12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86"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31" w:name="page32"/>
    <w:bookmarkEnd w:id="31"/>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prospectus, the 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76"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either of the two preceding paragraphs,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94"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above is not permitted by applicable law, such proportion as is appropriate to reflect not only the relative benefits referred to in clause (i) above but also the relative fault of the Company on the one hand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2" w:name="page33"/>
    <w:bookmarkEnd w:id="3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5"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93"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further consideration of the agreements of the Company herein contained, each Underwriter severally covenants as follows:</w:t>
      </w:r>
    </w:p>
    <w:p>
      <w:pPr>
        <w:spacing w:after="0" w:line="225" w:lineRule="exact"/>
        <w:rPr>
          <w:sz w:val="20"/>
          <w:szCs w:val="20"/>
          <w:color w:val="auto"/>
        </w:rPr>
      </w:pPr>
    </w:p>
    <w:p>
      <w:pPr>
        <w:jc w:val="both"/>
        <w:ind w:left="440" w:right="160" w:firstLine="428"/>
        <w:spacing w:after="0" w:line="266" w:lineRule="auto"/>
        <w:tabs>
          <w:tab w:leader="none" w:pos="124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76" w:lineRule="exact"/>
        <w:rPr>
          <w:rFonts w:ascii="Times New Roman" w:cs="Times New Roman" w:eastAsia="Times New Roman" w:hAnsi="Times New Roman"/>
          <w:sz w:val="18"/>
          <w:szCs w:val="18"/>
          <w:color w:val="auto"/>
        </w:rPr>
      </w:pPr>
    </w:p>
    <w:p>
      <w:pPr>
        <w:ind w:left="440" w:right="40" w:firstLine="428"/>
        <w:spacing w:after="0" w:line="255" w:lineRule="auto"/>
        <w:tabs>
          <w:tab w:leader="none" w:pos="12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VIII.</w:t>
      </w:r>
    </w:p>
    <w:p>
      <w:pPr>
        <w:spacing w:after="0" w:line="22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IX.</w:t>
      </w:r>
    </w:p>
    <w:p>
      <w:pPr>
        <w:spacing w:after="0" w:line="229"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66" w:right="439" w:bottom="1440" w:gutter="0" w:footer="0" w:header="0"/>
        </w:sectPr>
      </w:pPr>
    </w:p>
    <w:bookmarkStart w:id="34" w:name="page35"/>
    <w:bookmarkEnd w:id="34"/>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85"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35" w:name="page36"/>
    <w:bookmarkEnd w:id="35"/>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Resolution Regime if this Agreement, and any such interest and obligation, were governed by the laws of the United States or a state of the United States.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As used in this paragraph:</w:t>
      </w:r>
    </w:p>
    <w:p>
      <w:pPr>
        <w:spacing w:after="0" w:line="184" w:lineRule="exact"/>
        <w:rPr>
          <w:sz w:val="20"/>
          <w:szCs w:val="20"/>
          <w:color w:val="auto"/>
        </w:rPr>
      </w:pPr>
    </w:p>
    <w:p>
      <w:pPr>
        <w:ind w:left="1240" w:hanging="372"/>
        <w:spacing w:after="0"/>
        <w:tabs>
          <w:tab w:leader="none" w:pos="12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w:t>
      </w:r>
    </w:p>
    <w:p>
      <w:pPr>
        <w:spacing w:after="0" w:line="27" w:lineRule="exact"/>
        <w:rPr>
          <w:rFonts w:ascii="Times New Roman" w:cs="Times New Roman" w:eastAsia="Times New Roman" w:hAnsi="Times New Roman"/>
          <w:sz w:val="18"/>
          <w:szCs w:val="18"/>
          <w:color w:val="auto"/>
        </w:rPr>
      </w:pPr>
    </w:p>
    <w:p>
      <w:pPr>
        <w:ind w:left="580" w:hanging="136"/>
        <w:spacing w:after="0"/>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1841(k);</w:t>
      </w:r>
    </w:p>
    <w:p>
      <w:pPr>
        <w:spacing w:after="0" w:line="206" w:lineRule="exact"/>
        <w:rPr>
          <w:rFonts w:ascii="Times New Roman" w:cs="Times New Roman" w:eastAsia="Times New Roman" w:hAnsi="Times New Roman"/>
          <w:sz w:val="18"/>
          <w:szCs w:val="18"/>
          <w:color w:val="auto"/>
        </w:rPr>
      </w:pPr>
    </w:p>
    <w:p>
      <w:pPr>
        <w:ind w:left="1260" w:hanging="392"/>
        <w:spacing w:after="0"/>
        <w:tabs>
          <w:tab w:leader="none" w:pos="12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Entity” means any of the following: (i) a “covered entity” as that term is defined in, and interpreted in accordance with,</w:t>
      </w:r>
    </w:p>
    <w:p>
      <w:pPr>
        <w:spacing w:after="0" w:line="27" w:lineRule="exact"/>
        <w:rPr>
          <w:sz w:val="20"/>
          <w:szCs w:val="20"/>
          <w:color w:val="auto"/>
        </w:rPr>
      </w:pPr>
    </w:p>
    <w:p>
      <w:pPr>
        <w:ind w:left="440" w:right="140"/>
        <w:spacing w:after="0" w:line="261" w:lineRule="auto"/>
        <w:rPr>
          <w:sz w:val="20"/>
          <w:szCs w:val="20"/>
          <w:color w:val="auto"/>
        </w:rPr>
      </w:pPr>
      <w:r>
        <w:rPr>
          <w:rFonts w:ascii="Times New Roman" w:cs="Times New Roman" w:eastAsia="Times New Roman" w:hAnsi="Times New Roman"/>
          <w:sz w:val="18"/>
          <w:szCs w:val="18"/>
          <w:color w:val="auto"/>
        </w:rPr>
        <w:t>12 C.F.R. § 252.82(b); (ii) a “covered bank” as that term is defined in, and interpreted in accordance with, 12 C.F.R. § 47.3(b); or (iii) a “covered FSI” as that term is defined in, and interpreted in accordance with, 12 C.F.R. § 382.2(b);</w:t>
      </w:r>
    </w:p>
    <w:p>
      <w:pPr>
        <w:spacing w:after="0" w:line="180" w:lineRule="exact"/>
        <w:rPr>
          <w:sz w:val="20"/>
          <w:szCs w:val="20"/>
          <w:color w:val="auto"/>
        </w:rPr>
      </w:pPr>
    </w:p>
    <w:p>
      <w:pPr>
        <w:ind w:left="440" w:right="360" w:firstLine="428"/>
        <w:spacing w:after="0" w:line="282" w:lineRule="auto"/>
        <w:tabs>
          <w:tab w:leader="none" w:pos="124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 and</w:t>
      </w:r>
    </w:p>
    <w:p>
      <w:pPr>
        <w:spacing w:after="0" w:line="161" w:lineRule="exact"/>
        <w:rPr>
          <w:rFonts w:ascii="Times New Roman" w:cs="Times New Roman" w:eastAsia="Times New Roman" w:hAnsi="Times New Roman"/>
          <w:sz w:val="18"/>
          <w:szCs w:val="18"/>
          <w:color w:val="auto"/>
        </w:rPr>
      </w:pPr>
    </w:p>
    <w:p>
      <w:pPr>
        <w:ind w:left="1260" w:hanging="392"/>
        <w:spacing w:after="0"/>
        <w:tabs>
          <w:tab w:leader="none" w:pos="12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Special Resolution Regime” means each of (i) the Federal Deposit Insurance Act and the regulations promulgated thereunder and</w:t>
      </w:r>
    </w:p>
    <w:p>
      <w:pPr>
        <w:spacing w:after="0" w:line="38" w:lineRule="exact"/>
        <w:rPr>
          <w:rFonts w:ascii="Times New Roman" w:cs="Times New Roman" w:eastAsia="Times New Roman" w:hAnsi="Times New Roman"/>
          <w:sz w:val="17"/>
          <w:szCs w:val="17"/>
          <w:color w:val="auto"/>
        </w:rPr>
      </w:pPr>
    </w:p>
    <w:p>
      <w:pPr>
        <w:ind w:left="700" w:hanging="256"/>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207" w:lineRule="exact"/>
        <w:rPr>
          <w:sz w:val="20"/>
          <w:szCs w:val="20"/>
          <w:color w:val="auto"/>
        </w:rPr>
      </w:pPr>
    </w:p>
    <w:p>
      <w:pPr>
        <w:ind w:right="220" w:firstLine="441"/>
        <w:spacing w:after="0" w:line="281" w:lineRule="auto"/>
        <w:rPr>
          <w:sz w:val="20"/>
          <w:szCs w:val="20"/>
          <w:color w:val="auto"/>
        </w:rPr>
      </w:pPr>
      <w:r>
        <w:rPr>
          <w:rFonts w:ascii="Times New Roman" w:cs="Times New Roman" w:eastAsia="Times New Roman" w:hAnsi="Times New Roman"/>
          <w:sz w:val="17"/>
          <w:szCs w:val="17"/>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65"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0"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This Agreement may be signed in any number of counterparts, each of which shall be an original, with the same effect as if the signatures thereto and hereto were upon the same instrument.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36" w:name="page37"/>
    <w:bookmarkEnd w:id="36"/>
    <w:p>
      <w:pPr>
        <w:ind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SHALL BE GOVERNED BY AND CONSTRUED IN ACCORDANCE WITH THE LAWS OF THE STATE OF NEW YORK.</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40"/>
          </w:cols>
          <w:pgMar w:left="440" w:top="270" w:right="7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11, 2019</w:t>
      </w:r>
    </w:p>
    <w:p>
      <w:pPr>
        <w:spacing w:after="0" w:line="225" w:lineRule="exact"/>
        <w:rPr>
          <w:sz w:val="20"/>
          <w:szCs w:val="20"/>
          <w:color w:val="auto"/>
        </w:rPr>
      </w:pPr>
    </w:p>
    <w:p>
      <w:pPr>
        <w:ind w:right="80" w:firstLine="441"/>
        <w:spacing w:after="0" w:line="259" w:lineRule="auto"/>
        <w:rPr>
          <w:sz w:val="20"/>
          <w:szCs w:val="20"/>
          <w:color w:val="auto"/>
        </w:rPr>
      </w:pPr>
      <w:r>
        <w:rPr>
          <w:rFonts w:ascii="Times New Roman" w:cs="Times New Roman" w:eastAsia="Times New Roman" w:hAnsi="Times New Roman"/>
          <w:sz w:val="18"/>
          <w:szCs w:val="18"/>
          <w:color w:val="auto"/>
        </w:rPr>
        <w:t>Reference is made to the Indenture dated as of May 23, 2011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between Texas Instruments Incorporated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and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The Trustee is the trustee for any and all securities issued under the Indenture. Pursuant to Section 2.04(c) of the Indenture, the undersigned officers do hereby certify, in connection with the issuance of $750,000,000 aggregate principal amount of 3.875% Notes due 2039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that (i) the form and terms of the Notes have been established pursuant to Section 2.01 and Section 2.03 of the Indenture and comply with the Indenture, and (ii) the terms of the Notes are as follows: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shall have the meanings specified in the Indenture.</w:t>
      </w:r>
    </w:p>
    <w:p>
      <w:pPr>
        <w:sectPr>
          <w:pgSz w:w="11900" w:h="16838" w:orient="portrait"/>
          <w:cols w:equalWidth="0" w:num="1">
            <w:col w:w="11020"/>
          </w:cols>
          <w:pgMar w:left="440" w:top="117" w:right="4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w:t>
      </w:r>
    </w:p>
    <w:p>
      <w:pPr>
        <w:spacing w:after="0" w:line="11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Trustee, Registrar, Transfer Agent, Authenticating Agent, and Paying Agent: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Principal Amount at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Payment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 from which Interest will Accrue: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Payment Dates: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3.875% Notes due 2039.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2039.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3.875% per annum.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and September 15, commencing on September 15, 2019.</w:t>
      </w:r>
    </w:p>
    <w:p>
      <w:pPr>
        <w:sectPr>
          <w:pgSz w:w="11900" w:h="16838" w:orient="portrait"/>
          <w:cols w:equalWidth="0" w:num="2">
            <w:col w:w="3600" w:space="720"/>
            <w:col w:w="6700"/>
          </w:cols>
          <w:pgMar w:left="440" w:top="117" w:right="4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0" w:lineRule="exact"/>
        <w:rPr>
          <w:sz w:val="20"/>
          <w:szCs w:val="20"/>
          <w:color w:val="auto"/>
        </w:rPr>
      </w:pPr>
      <w:r>
        <w:rPr>
          <w:sz w:val="20"/>
          <w:szCs w:val="20"/>
          <w:color w:val="auto"/>
        </w:rPr>
        <w:br w:type="column"/>
      </w:r>
    </w:p>
    <w:p>
      <w:pPr>
        <w:ind w:right="220"/>
        <w:spacing w:after="0" w:line="258" w:lineRule="auto"/>
        <w:rPr>
          <w:sz w:val="20"/>
          <w:szCs w:val="20"/>
          <w:color w:val="auto"/>
        </w:rPr>
      </w:pPr>
      <w:r>
        <w:rPr>
          <w:rFonts w:ascii="Times New Roman" w:cs="Times New Roman" w:eastAsia="Times New Roman" w:hAnsi="Times New Roman"/>
          <w:sz w:val="18"/>
          <w:szCs w:val="18"/>
          <w:color w:val="auto"/>
        </w:rPr>
        <w:t>Prior to September 15, 2038 (the date that is six months prior to the maturity date of the Notes), the Issuer may at its option redeem the Notes, in whole or in part at any time, or from time to time, on at least 30 days but not more than 60 days prior notice mailed to the registered address of each holder of the Notes, at a redemption price, calculated by the Issuer, equal to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-857250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3600" w:space="720"/>
            <w:col w:w="6680"/>
          </w:cols>
          <w:pgMar w:left="440" w:top="376" w:right="459" w:bottom="1440" w:gutter="0" w:footer="0" w:header="0"/>
        </w:sectPr>
      </w:pPr>
    </w:p>
    <w:p>
      <w:pPr>
        <w:ind w:left="4320"/>
        <w:spacing w:after="0"/>
        <w:rPr>
          <w:sz w:val="20"/>
          <w:szCs w:val="20"/>
          <w:color w:val="auto"/>
        </w:rPr>
      </w:pPr>
      <w:r>
        <w:rPr>
          <w:rFonts w:ascii="Times New Roman" w:cs="Times New Roman" w:eastAsia="Times New Roman" w:hAnsi="Times New Roman"/>
          <w:sz w:val="18"/>
          <w:szCs w:val="18"/>
          <w:color w:val="auto"/>
        </w:rPr>
        <w:t>(i) 100% of the principal amount of the Notes to be redeemed; and</w:t>
      </w:r>
    </w:p>
    <w:p>
      <w:pPr>
        <w:spacing w:after="0" w:line="131" w:lineRule="exact"/>
        <w:rPr>
          <w:sz w:val="20"/>
          <w:szCs w:val="20"/>
          <w:color w:val="auto"/>
        </w:rPr>
      </w:pPr>
    </w:p>
    <w:p>
      <w:pPr>
        <w:ind w:left="4320" w:right="20"/>
        <w:spacing w:after="0" w:line="256" w:lineRule="auto"/>
        <w:rPr>
          <w:sz w:val="20"/>
          <w:szCs w:val="20"/>
          <w:color w:val="auto"/>
        </w:rPr>
      </w:pPr>
      <w:r>
        <w:rPr>
          <w:rFonts w:ascii="Times New Roman" w:cs="Times New Roman" w:eastAsia="Times New Roman" w:hAnsi="Times New Roman"/>
          <w:sz w:val="18"/>
          <w:szCs w:val="18"/>
          <w:color w:val="auto"/>
        </w:rPr>
        <w:t>(ii) the sum of the present values of the principal amount of such Notes and the scheduled payments of interest thereon (not including any portion of such payments of interest accrued as of the date of redemption) from the date of redemption to September 15, 2038 (the date that is six months prior to the maturity date of the Notes), in each case discounted to the date of redemption on a semi-annual basis (assuming a 360-day year consisting of twelve 30-day months) at the Treasury Rate (as defined in the Notes), plus 15 basis points;</w:t>
      </w:r>
    </w:p>
    <w:p>
      <w:pPr>
        <w:spacing w:after="0" w:line="9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plus, in each case, accrued interest thereon to the date of redemption.</w:t>
      </w:r>
    </w:p>
    <w:p>
      <w:pPr>
        <w:spacing w:after="0" w:line="131" w:lineRule="exact"/>
        <w:rPr>
          <w:sz w:val="20"/>
          <w:szCs w:val="20"/>
          <w:color w:val="auto"/>
        </w:rPr>
      </w:pPr>
    </w:p>
    <w:p>
      <w:pPr>
        <w:ind w:left="4320"/>
        <w:spacing w:after="0" w:line="256" w:lineRule="auto"/>
        <w:rPr>
          <w:sz w:val="20"/>
          <w:szCs w:val="20"/>
          <w:color w:val="auto"/>
        </w:rPr>
      </w:pPr>
      <w:r>
        <w:rPr>
          <w:rFonts w:ascii="Times New Roman" w:cs="Times New Roman" w:eastAsia="Times New Roman" w:hAnsi="Times New Roman"/>
          <w:sz w:val="18"/>
          <w:szCs w:val="18"/>
          <w:color w:val="auto"/>
        </w:rPr>
        <w:t>At any time on or after September 15, 2038 (the date that is six months prior to the maturity date of the Notes), the Issuer may at its option redeem the Notes, in whole or in part at any time and from time to time, on at least 30 days but not more than 60 days prior notice mailed to the registered address of each holder of the Notes, at a redemption price equal to 100% of the principal amount of the Notes to be redeemed plus accrued interest thereon to the date of redemption.</w:t>
      </w:r>
    </w:p>
    <w:p>
      <w:pPr>
        <w:sectPr>
          <w:pgSz w:w="11900" w:h="16838" w:orient="portrait"/>
          <w:cols w:equalWidth="0" w:num="1">
            <w:col w:w="11000"/>
          </w:cols>
          <w:pgMar w:left="440" w:top="376" w:right="459"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26" w:lineRule="exact"/>
        <w:rPr>
          <w:sz w:val="20"/>
          <w:szCs w:val="20"/>
          <w:color w:val="auto"/>
        </w:rPr>
      </w:pPr>
    </w:p>
    <w:p>
      <w:pPr>
        <w:sectPr>
          <w:pgSz w:w="11900" w:h="16838" w:orient="portrait"/>
          <w:cols w:equalWidth="0" w:num="2">
            <w:col w:w="3600" w:space="720"/>
            <w:col w:w="6680"/>
          </w:cols>
          <w:pgMar w:left="440" w:top="37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27" w:lineRule="exact"/>
        <w:rPr>
          <w:sz w:val="20"/>
          <w:szCs w:val="20"/>
          <w:color w:val="auto"/>
        </w:rPr>
      </w:pPr>
    </w:p>
    <w:p>
      <w:pPr>
        <w:sectPr>
          <w:pgSz w:w="11900" w:h="16838" w:orient="portrait"/>
          <w:cols w:equalWidth="0" w:num="2">
            <w:col w:w="3600" w:space="720"/>
            <w:col w:w="6680"/>
          </w:cols>
          <w:pgMar w:left="440" w:top="37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Denominations:</w:t>
      </w:r>
    </w:p>
    <w:p>
      <w:pPr>
        <w:spacing w:after="0" w:line="20" w:lineRule="exact"/>
        <w:rPr>
          <w:sz w:val="20"/>
          <w:szCs w:val="20"/>
          <w:color w:val="auto"/>
        </w:rPr>
      </w:pPr>
      <w:r>
        <w:rPr>
          <w:sz w:val="20"/>
          <w:szCs w:val="20"/>
          <w:color w:val="auto"/>
        </w:rPr>
        <w:br w:type="column"/>
      </w:r>
    </w:p>
    <w:p>
      <w:pPr>
        <w:jc w:val="center"/>
        <w:ind w:right="3140"/>
        <w:spacing w:after="0"/>
        <w:rPr>
          <w:sz w:val="20"/>
          <w:szCs w:val="20"/>
          <w:color w:val="auto"/>
        </w:rPr>
      </w:pPr>
      <w:r>
        <w:rPr>
          <w:rFonts w:ascii="Times New Roman" w:cs="Times New Roman" w:eastAsia="Times New Roman" w:hAnsi="Times New Roman"/>
          <w:sz w:val="17"/>
          <w:szCs w:val="17"/>
          <w:color w:val="auto"/>
        </w:rPr>
        <w:t>$2,000 and multiples of $1,000 in excess thereof.</w:t>
      </w:r>
    </w:p>
    <w:p>
      <w:pPr>
        <w:spacing w:after="0" w:line="126" w:lineRule="exact"/>
        <w:rPr>
          <w:sz w:val="20"/>
          <w:szCs w:val="20"/>
          <w:color w:val="auto"/>
        </w:rPr>
      </w:pPr>
    </w:p>
    <w:p>
      <w:pPr>
        <w:sectPr>
          <w:pgSz w:w="11900" w:h="16838" w:orient="portrait"/>
          <w:cols w:equalWidth="0" w:num="2">
            <w:col w:w="3600" w:space="720"/>
            <w:col w:w="6680"/>
          </w:cols>
          <w:pgMar w:left="440" w:top="37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20" w:lineRule="exact"/>
        <w:rPr>
          <w:sz w:val="20"/>
          <w:szCs w:val="20"/>
          <w:color w:val="auto"/>
        </w:rPr>
      </w:pPr>
      <w:r>
        <w:rPr>
          <w:sz w:val="20"/>
          <w:szCs w:val="20"/>
          <w:color w:val="auto"/>
        </w:rPr>
        <w:br w:type="column"/>
      </w: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The terms of the Notes shall include such other terms as are set forth in the form of Notes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and in the Indenture.</w:t>
      </w:r>
    </w:p>
    <w:p>
      <w:pPr>
        <w:spacing w:after="0" w:line="162" w:lineRule="exact"/>
        <w:rPr>
          <w:sz w:val="20"/>
          <w:szCs w:val="20"/>
          <w:color w:val="auto"/>
        </w:rPr>
      </w:pPr>
    </w:p>
    <w:p>
      <w:pPr>
        <w:sectPr>
          <w:pgSz w:w="11900" w:h="16838" w:orient="portrait"/>
          <w:cols w:equalWidth="0" w:num="2">
            <w:col w:w="3600" w:space="720"/>
            <w:col w:w="6680"/>
          </w:cols>
          <w:pgMar w:left="440" w:top="376" w:right="459" w:bottom="1440" w:gutter="0" w:footer="0" w:header="0"/>
          <w:type w:val="continuous"/>
        </w:sect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with identical terms as the Notes other than with respect to the date of issuance, the issue price and interest accrued prior to the issue date of the additional notes (together, the “</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xml:space="preserve">”). The Additional Notes will have the same CUSIP number as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Additional Notes that are not fungible with the Notes for U.S. federal income tax purposes will be issued under a separate CUSIP number. Any Additional Notes will be issued in accordance with Section 2.03 of the Indenture.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376" w:right="459" w:bottom="1440" w:gutter="0" w:footer="0" w:header="0"/>
          <w:type w:val="continuous"/>
        </w:sectPr>
      </w:pPr>
    </w:p>
    <w:bookmarkStart w:id="39" w:name="page40"/>
    <w:bookmarkEnd w:id="39"/>
    <w:p>
      <w:pPr>
        <w:ind w:firstLine="44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Issuer have duly executed this certificate as of the date first set forth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Rafael R. Lizardi</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-130810</wp:posOffset>
            </wp:positionV>
            <wp:extent cx="26244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jc w:val="right"/>
        <w:spacing w:after="0"/>
        <w:tabs>
          <w:tab w:leader="none" w:pos="3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Chief Financial</w:t>
      </w:r>
    </w:p>
    <w:p>
      <w:pPr>
        <w:spacing w:after="0" w:line="9"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Officer</w:t>
      </w:r>
    </w:p>
    <w:p>
      <w:pPr>
        <w:spacing w:after="0" w:line="2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Alan C. Boyd</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-130810</wp:posOffset>
            </wp:positionV>
            <wp:extent cx="26244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6500"/>
        <w:spacing w:after="0"/>
        <w:tabs>
          <w:tab w:leader="none" w:pos="7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Officers’ Certificate Pursuant to the Indenture</w:t>
      </w:r>
      <w:r>
        <w:rPr>
          <w:rFonts w:ascii="Times New Roman" w:cs="Times New Roman" w:eastAsia="Times New Roman" w:hAnsi="Times New Roman"/>
          <w:sz w:val="18"/>
          <w:szCs w:val="18"/>
          <w:color w:val="auto"/>
        </w:rPr>
        <w:t>]</w:t>
      </w:r>
    </w:p>
    <w:p>
      <w:pPr>
        <w:sectPr>
          <w:pgSz w:w="11900" w:h="16838" w:orient="portrait"/>
          <w:cols w:equalWidth="0" w:num="1">
            <w:col w:w="10100"/>
          </w:cols>
          <w:pgMar w:left="880" w:top="270" w:right="9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NOTES DUE 2039]</w:t>
      </w:r>
    </w:p>
    <w:p>
      <w:pPr>
        <w:spacing w:after="0" w:line="225" w:lineRule="exact"/>
        <w:rPr>
          <w:sz w:val="20"/>
          <w:szCs w:val="20"/>
          <w:color w:val="auto"/>
        </w:rPr>
      </w:pPr>
    </w:p>
    <w:p>
      <w:pPr>
        <w:ind w:right="160" w:firstLine="441"/>
        <w:spacing w:after="0" w:line="255" w:lineRule="auto"/>
        <w:rPr>
          <w:sz w:val="20"/>
          <w:szCs w:val="20"/>
          <w:color w:val="auto"/>
        </w:rPr>
      </w:pPr>
      <w:r>
        <w:rPr>
          <w:rFonts w:ascii="Times New Roman" w:cs="Times New Roman" w:eastAsia="Times New Roman" w:hAnsi="Times New Roman"/>
          <w:sz w:val="18"/>
          <w:szCs w:val="18"/>
          <w:color w:val="auto"/>
        </w:rPr>
        <w:t>UNLESS THIS NOTE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89"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80" w:lineRule="exact"/>
        <w:rPr>
          <w:sz w:val="20"/>
          <w:szCs w:val="20"/>
          <w:color w:val="auto"/>
        </w:rPr>
      </w:pPr>
    </w:p>
    <w:p>
      <w:pPr>
        <w:jc w:val="both"/>
        <w:ind w:right="42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3.875% Notes due 2039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 [1]</w:t>
            </w:r>
          </w:p>
        </w:tc>
        <w:tc>
          <w:tcPr>
            <w:tcW w:w="6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CUSIP No.: 882508 BF0</w:t>
            </w:r>
          </w:p>
        </w:tc>
      </w:tr>
      <w:tr>
        <w:trPr>
          <w:trHeight w:val="258"/>
        </w:trPr>
        <w:tc>
          <w:tcPr>
            <w:tcW w:w="4720" w:type="dxa"/>
            <w:vAlign w:val="bottom"/>
          </w:tcPr>
          <w:p>
            <w:pPr>
              <w:spacing w:after="0"/>
              <w:rPr>
                <w:sz w:val="22"/>
                <w:szCs w:val="22"/>
                <w:color w:val="auto"/>
              </w:rPr>
            </w:pPr>
          </w:p>
        </w:tc>
        <w:tc>
          <w:tcPr>
            <w:tcW w:w="6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ISIN No.: US882508BF00</w:t>
            </w:r>
          </w:p>
        </w:tc>
      </w:tr>
      <w:tr>
        <w:trPr>
          <w:trHeight w:val="399"/>
        </w:trPr>
        <w:tc>
          <w:tcPr>
            <w:tcW w:w="4720" w:type="dxa"/>
            <w:vAlign w:val="bottom"/>
          </w:tcPr>
          <w:p>
            <w:pPr>
              <w:spacing w:after="0"/>
              <w:rPr>
                <w:sz w:val="24"/>
                <w:szCs w:val="24"/>
                <w:color w:val="auto"/>
              </w:rPr>
            </w:pPr>
          </w:p>
        </w:tc>
        <w:tc>
          <w:tcPr>
            <w:tcW w:w="5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47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TEXAS INSTRUMENTS INCORPORATED,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for value received promises to pay to CEDE &amp; CO. or</w:t>
      </w:r>
    </w:p>
    <w:p>
      <w:pPr>
        <w:spacing w:after="0" w:line="31"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registered assigns the principal sum of $[</w:t>
      </w:r>
      <w:r>
        <w:rPr>
          <w:sz w:val="20"/>
          <w:szCs w:val="20"/>
          <w:color w:val="auto"/>
        </w:rPr>
        <w:tab/>
      </w:r>
      <w:r>
        <w:rPr>
          <w:rFonts w:ascii="Times New Roman" w:cs="Times New Roman" w:eastAsia="Times New Roman" w:hAnsi="Times New Roman"/>
          <w:sz w:val="17"/>
          <w:szCs w:val="17"/>
          <w:color w:val="auto"/>
        </w:rPr>
        <w:t>] on March 15, 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1881505</wp:posOffset>
            </wp:positionH>
            <wp:positionV relativeFrom="paragraph">
              <wp:posOffset>-19050</wp:posOffset>
            </wp:positionV>
            <wp:extent cx="6858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Dates: March 15 and September 15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September 15, 2019.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March 1 and September 1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20"/>
          </w:cols>
          <w:pgMar w:left="440" w:top="266" w:right="439" w:bottom="1440" w:gutter="0" w:footer="0" w:header="0"/>
        </w:sectPr>
      </w:pPr>
    </w:p>
    <w:bookmarkStart w:id="43" w:name="page44"/>
    <w:bookmarkEnd w:id="43"/>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-130810</wp:posOffset>
            </wp:positionV>
            <wp:extent cx="26244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6940"/>
        <w:spacing w:after="0"/>
        <w:tabs>
          <w:tab w:leader="none" w:pos="7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and Chief Financial</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Officer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-130810</wp:posOffset>
            </wp:positionV>
            <wp:extent cx="26244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6940"/>
        <w:spacing w:after="0"/>
        <w:tabs>
          <w:tab w:leader="none" w:pos="7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Texas Instruments Incorporated]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Muriel C. McFarling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Assistant Secretary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20"/>
          </w:cols>
          <w:pgMar w:left="440" w:top="270" w:right="439"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11, 2019</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U.S. BANK NATIONAL ASSOCIATION</w:t>
      </w:r>
      <w:r>
        <w:rPr>
          <w:rFonts w:ascii="Times New Roman" w:cs="Times New Roman" w:eastAsia="Times New Roman" w:hAnsi="Times New Roman"/>
          <w:sz w:val="17"/>
          <w:szCs w:val="17"/>
          <w:color w:val="auto"/>
        </w:rPr>
        <w:t>, as Trustee</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 Michael K. Herberger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-130810</wp:posOffset>
            </wp:positionV>
            <wp:extent cx="26244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6940"/>
        <w:spacing w:after="0"/>
        <w:tabs>
          <w:tab w:leader="none" w:pos="7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13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620"/>
          </w:cols>
          <w:pgMar w:left="440" w:top="270" w:right="8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3.875% Notes due 2039</w:t>
      </w:r>
    </w:p>
    <w:p>
      <w:pPr>
        <w:spacing w:after="0" w:line="225"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Interest.</w:t>
      </w:r>
    </w:p>
    <w:p>
      <w:pPr>
        <w:spacing w:after="0" w:line="221"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color w:val="auto"/>
        </w:rPr>
        <w:t>Texas Instruments Incorporated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March 11, 2019. Interest on this Note will be paid to but excluding the relevant Interest Payment Date. The Issuer will pay interest semi-annually in arrears on each Interest Payment Date, commencing September 15, 2019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87" w:lineRule="exact"/>
        <w:rPr>
          <w:sz w:val="20"/>
          <w:szCs w:val="20"/>
          <w:color w:val="auto"/>
        </w:rPr>
      </w:pPr>
    </w:p>
    <w:p>
      <w:pPr>
        <w:ind w:right="440" w:firstLine="441"/>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62"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Paying Agent.</w:t>
      </w:r>
    </w:p>
    <w:p>
      <w:pPr>
        <w:spacing w:after="0" w:line="221" w:lineRule="exact"/>
        <w:rPr>
          <w:sz w:val="20"/>
          <w:szCs w:val="20"/>
          <w:color w:val="auto"/>
        </w:rPr>
      </w:pPr>
    </w:p>
    <w:p>
      <w:pPr>
        <w:ind w:right="160" w:firstLine="441"/>
        <w:spacing w:after="0" w:line="286" w:lineRule="auto"/>
        <w:rPr>
          <w:sz w:val="20"/>
          <w:szCs w:val="20"/>
          <w:color w:val="auto"/>
        </w:rPr>
      </w:pPr>
      <w:r>
        <w:rPr>
          <w:rFonts w:ascii="Times New Roman" w:cs="Times New Roman" w:eastAsia="Times New Roman" w:hAnsi="Times New Roman"/>
          <w:sz w:val="18"/>
          <w:szCs w:val="18"/>
          <w:color w:val="auto"/>
        </w:rPr>
        <w:t>Initially, U.S. Bank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will act as paying agent. The Issuer may change any paying agent without notice to the holders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Indenture; Defined Terms.</w:t>
      </w:r>
    </w:p>
    <w:p>
      <w:pPr>
        <w:spacing w:after="0" w:line="221" w:lineRule="exact"/>
        <w:rPr>
          <w:sz w:val="20"/>
          <w:szCs w:val="20"/>
          <w:color w:val="auto"/>
        </w:rPr>
      </w:pPr>
    </w:p>
    <w:p>
      <w:pPr>
        <w:ind w:right="80" w:firstLine="441"/>
        <w:spacing w:after="0" w:line="268" w:lineRule="auto"/>
        <w:rPr>
          <w:sz w:val="20"/>
          <w:szCs w:val="20"/>
          <w:color w:val="auto"/>
        </w:rPr>
      </w:pPr>
      <w:r>
        <w:rPr>
          <w:rFonts w:ascii="Times New Roman" w:cs="Times New Roman" w:eastAsia="Times New Roman" w:hAnsi="Times New Roman"/>
          <w:sz w:val="18"/>
          <w:szCs w:val="18"/>
          <w:color w:val="auto"/>
        </w:rPr>
        <w:t>This Note is one of the 3.875% Notes due 2039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under an indenture dated as of May 23, 2011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between the Issuer and the Trustee, and established pursuant to an Officers’ Certificate dated March 11, 2019, issued pursuant to Section 2.01 and Section 2.03 thereof (together,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This Note is a “Security” and the Notes are “Securities” under the Indenture.</w:t>
      </w:r>
    </w:p>
    <w:p>
      <w:pPr>
        <w:spacing w:after="0" w:line="175"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on which the Indenture was qualified under the TIA; including, without limitation, the defeasance provision set forth in Section 10.01(b) of the Base Indenture; provided that Section 10.01(b)(C) of the Base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20"/>
          </w:cols>
          <w:pgMar w:left="440" w:top="270" w:right="439" w:bottom="1440" w:gutter="0" w:footer="0" w:header="0"/>
        </w:sectPr>
      </w:pPr>
    </w:p>
    <w:bookmarkStart w:id="46" w:name="page47"/>
    <w:bookmarkEnd w:id="4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is amended and restated as set forth below for purposes of this Note. 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pacing w:after="0" w:line="184" w:lineRule="exact"/>
        <w:rPr>
          <w:sz w:val="20"/>
          <w:szCs w:val="20"/>
          <w:color w:val="auto"/>
        </w:rPr>
      </w:pPr>
    </w:p>
    <w:p>
      <w:pPr>
        <w:ind w:left="440" w:right="40" w:firstLine="423"/>
        <w:spacing w:after="0" w:line="256" w:lineRule="auto"/>
        <w:rPr>
          <w:sz w:val="20"/>
          <w:szCs w:val="20"/>
          <w:color w:val="auto"/>
        </w:rPr>
      </w:pPr>
      <w:r>
        <w:rPr>
          <w:rFonts w:ascii="Times New Roman" w:cs="Times New Roman" w:eastAsia="Times New Roman" w:hAnsi="Times New Roman"/>
          <w:sz w:val="18"/>
          <w:szCs w:val="18"/>
          <w:color w:val="auto"/>
        </w:rPr>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88"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Denominations; Transfer; Exchange.</w:t>
      </w:r>
    </w:p>
    <w:p>
      <w:pPr>
        <w:spacing w:after="0" w:line="225"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88" w:lineRule="exact"/>
        <w:rPr>
          <w:sz w:val="20"/>
          <w:szCs w:val="20"/>
          <w:color w:val="auto"/>
        </w:rPr>
      </w:pPr>
    </w:p>
    <w:p>
      <w:pPr>
        <w:ind w:left="440"/>
        <w:spacing w:after="0"/>
        <w:tabs>
          <w:tab w:leader="none" w:pos="72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7"/>
          <w:szCs w:val="17"/>
          <w:color w:val="auto"/>
        </w:rPr>
        <w:t>Amendment; Supplement; Waiver.</w:t>
      </w:r>
    </w:p>
    <w:p>
      <w:pPr>
        <w:spacing w:after="0" w:line="22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20"/>
          </w:cols>
          <w:pgMar w:left="440" w:top="270" w:right="439" w:bottom="1440" w:gutter="0" w:footer="0" w:header="0"/>
        </w:sectPr>
      </w:pPr>
    </w:p>
    <w:bookmarkStart w:id="47" w:name="page48"/>
    <w:bookmarkEnd w:id="47"/>
    <w:p>
      <w:pPr>
        <w:ind w:left="440"/>
        <w:spacing w:after="0"/>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w:t>
      </w:r>
      <w:r>
        <w:rPr>
          <w:sz w:val="20"/>
          <w:szCs w:val="20"/>
          <w:color w:val="auto"/>
        </w:rPr>
        <w:tab/>
      </w:r>
      <w:r>
        <w:rPr>
          <w:rFonts w:ascii="Times New Roman" w:cs="Times New Roman" w:eastAsia="Times New Roman" w:hAnsi="Times New Roman"/>
          <w:sz w:val="17"/>
          <w:szCs w:val="17"/>
          <w:color w:val="auto"/>
        </w:rPr>
        <w:t>Redemption.</w:t>
      </w:r>
    </w:p>
    <w:p>
      <w:pPr>
        <w:spacing w:after="0" w:line="225" w:lineRule="exact"/>
        <w:rPr>
          <w:sz w:val="20"/>
          <w:szCs w:val="20"/>
          <w:color w:val="auto"/>
        </w:rPr>
      </w:pPr>
    </w:p>
    <w:p>
      <w:pPr>
        <w:ind w:right="100" w:firstLine="444"/>
        <w:spacing w:after="0" w:line="266"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September 15, 2038 (the date that is six months prior to the maturity date of the Notes), the Issuer may at its option redeem the Notes, in whole or in part at any time, or from time to time, on at least 30 days but not more than 60 days prior notice, at a redemption price calculated by the Issuer equal to the greater of:</w:t>
      </w:r>
    </w:p>
    <w:p>
      <w:pPr>
        <w:spacing w:after="0" w:line="176" w:lineRule="exact"/>
        <w:rPr>
          <w:sz w:val="20"/>
          <w:szCs w:val="20"/>
          <w:color w:val="auto"/>
        </w:rPr>
      </w:pPr>
    </w:p>
    <w:p>
      <w:pPr>
        <w:ind w:left="800" w:hanging="356"/>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 and</w:t>
      </w:r>
    </w:p>
    <w:p>
      <w:pPr>
        <w:spacing w:after="0" w:line="225" w:lineRule="exact"/>
        <w:rPr>
          <w:rFonts w:ascii="Times New Roman" w:cs="Times New Roman" w:eastAsia="Times New Roman" w:hAnsi="Times New Roman"/>
          <w:sz w:val="18"/>
          <w:szCs w:val="18"/>
          <w:color w:val="auto"/>
        </w:rPr>
      </w:pPr>
    </w:p>
    <w:p>
      <w:pPr>
        <w:jc w:val="both"/>
        <w:ind w:right="440" w:firstLine="444"/>
        <w:spacing w:after="0" w:line="261" w:lineRule="auto"/>
        <w:tabs>
          <w:tab w:leader="none" w:pos="84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principal amount of such Notes and the scheduled payments of interest thereon (not including any portion of such payments of interest accrued as of the date of redemption) from the date of redemption to September 15, 2038 (the date that is six months prior to the maturity date of the Notes), in each case discounted to the date of redemption on a semi-annual basis (assuming a 360-day year consisting of twelve 30-day months) at the Treasury Rate (as defined below), plus 15 basis points,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each case accrued interest thereon to the date of redemption.</w:t>
      </w:r>
    </w:p>
    <w:p>
      <w:pPr>
        <w:spacing w:after="0" w:line="225" w:lineRule="exact"/>
        <w:rPr>
          <w:sz w:val="20"/>
          <w:szCs w:val="20"/>
          <w:color w:val="auto"/>
        </w:rPr>
      </w:pPr>
    </w:p>
    <w:p>
      <w:pPr>
        <w:ind w:right="40" w:firstLine="444"/>
        <w:spacing w:after="0" w:line="266" w:lineRule="auto"/>
        <w:tabs>
          <w:tab w:leader="none" w:pos="6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after September 15, 2038 (the date that is six months prior to the maturity date of the Notes), the Issuer may at its option redeem the Notes, in whole or in part at any time and from time to time, on at least 30 days but not more than 60 days prior notice, at a redemption price equal to 100% of the principal amount of the Notes to be redeemed plus accrued interest thereon to the date of redemption.</w:t>
      </w:r>
    </w:p>
    <w:p>
      <w:pPr>
        <w:spacing w:after="0" w:line="176"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2"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Issue</w:t>
      </w:r>
      <w:r>
        <w:rPr>
          <w:rFonts w:ascii="Times New Roman" w:cs="Times New Roman" w:eastAsia="Times New Roman" w:hAnsi="Times New Roman"/>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1" w:lineRule="exact"/>
        <w:rPr>
          <w:sz w:val="20"/>
          <w:szCs w:val="20"/>
          <w:color w:val="auto"/>
        </w:rPr>
      </w:pPr>
    </w:p>
    <w:p>
      <w:pPr>
        <w:jc w:val="both"/>
        <w:ind w:right="28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Price</w:t>
      </w:r>
      <w:r>
        <w:rPr>
          <w:rFonts w:ascii="Times New Roman" w:cs="Times New Roman" w:eastAsia="Times New Roman" w:hAnsi="Times New Roman"/>
          <w:sz w:val="18"/>
          <w:szCs w:val="18"/>
          <w:color w:val="auto"/>
        </w:rPr>
        <w:t>”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20"/>
          </w:cols>
          <w:pgMar w:left="440" w:top="270" w:right="439" w:bottom="1440" w:gutter="0" w:footer="0" w:header="0"/>
        </w:sectPr>
      </w:pPr>
    </w:p>
    <w:bookmarkStart w:id="48" w:name="page49"/>
    <w:bookmarkEnd w:id="4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Quotation Agent</w:t>
      </w:r>
      <w:r>
        <w:rPr>
          <w:rFonts w:ascii="Times New Roman" w:cs="Times New Roman" w:eastAsia="Times New Roman" w:hAnsi="Times New Roman"/>
          <w:sz w:val="18"/>
          <w:szCs w:val="18"/>
          <w:color w:val="auto"/>
        </w:rPr>
        <w:t>” means the Reference Treasury Dealer appointed by the Issuer.</w:t>
      </w:r>
    </w:p>
    <w:p>
      <w:pPr>
        <w:spacing w:after="0" w:line="225" w:lineRule="exact"/>
        <w:rPr>
          <w:sz w:val="20"/>
          <w:szCs w:val="20"/>
          <w:color w:val="auto"/>
        </w:rPr>
      </w:pPr>
    </w:p>
    <w:p>
      <w:pPr>
        <w:ind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w:t>
      </w:r>
      <w:r>
        <w:rPr>
          <w:rFonts w:ascii="Times New Roman" w:cs="Times New Roman" w:eastAsia="Times New Roman" w:hAnsi="Times New Roman"/>
          <w:sz w:val="18"/>
          <w:szCs w:val="18"/>
          <w:color w:val="auto"/>
        </w:rPr>
        <w:t xml:space="preserve">” means (i) Barclays Capital Inc., J.P. Morgan Securities LLC (or their respective affiliates that are Primary Treasury Dealers) and a Primary Treasury Dealer selected by MUFG Securities Americas Inc. and their respective successors;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77" w:lineRule="exact"/>
        <w:rPr>
          <w:sz w:val="20"/>
          <w:szCs w:val="20"/>
          <w:color w:val="auto"/>
        </w:rPr>
      </w:pPr>
    </w:p>
    <w:p>
      <w:pPr>
        <w:ind w:right="10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77" w:lineRule="exact"/>
        <w:rPr>
          <w:sz w:val="20"/>
          <w:szCs w:val="20"/>
          <w:color w:val="auto"/>
        </w:rPr>
      </w:pPr>
    </w:p>
    <w:p>
      <w:pPr>
        <w:ind w:right="360" w:firstLine="441"/>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75"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84"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8"/>
          <w:szCs w:val="18"/>
          <w:color w:val="auto"/>
        </w:rPr>
        <w:t>7.</w:t>
        <w:tab/>
        <w:t>Defaults and Remedies.</w:t>
      </w:r>
    </w:p>
    <w:p>
      <w:pPr>
        <w:spacing w:after="0" w:line="225"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980"/>
          </w:cols>
          <w:pgMar w:left="440" w:top="266" w:right="479" w:bottom="1440" w:gutter="0" w:footer="0" w:header="0"/>
        </w:sectPr>
      </w:pPr>
    </w:p>
    <w:bookmarkStart w:id="49" w:name="page50"/>
    <w:bookmarkEnd w:id="49"/>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84" w:lineRule="exact"/>
        <w:rPr>
          <w:sz w:val="20"/>
          <w:szCs w:val="20"/>
          <w:color w:val="auto"/>
        </w:rPr>
      </w:pPr>
    </w:p>
    <w:p>
      <w:pPr>
        <w:ind w:left="440"/>
        <w:spacing w:after="0"/>
        <w:tabs>
          <w:tab w:leader="none" w:pos="720" w:val="left"/>
        </w:tabs>
        <w:rPr>
          <w:sz w:val="20"/>
          <w:szCs w:val="20"/>
          <w:color w:val="auto"/>
        </w:rPr>
      </w:pPr>
      <w:r>
        <w:rPr>
          <w:rFonts w:ascii="Times New Roman" w:cs="Times New Roman" w:eastAsia="Times New Roman" w:hAnsi="Times New Roman"/>
          <w:sz w:val="18"/>
          <w:szCs w:val="18"/>
          <w:color w:val="auto"/>
        </w:rPr>
        <w:t>8.</w:t>
        <w:tab/>
        <w:t>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Note shall not be valid until the Trustee manually signs the certificate of authentication on this Note.</w:t>
      </w:r>
    </w:p>
    <w:p>
      <w:pPr>
        <w:spacing w:after="0" w:line="225" w:lineRule="exact"/>
        <w:rPr>
          <w:sz w:val="20"/>
          <w:szCs w:val="20"/>
          <w:color w:val="auto"/>
        </w:rPr>
      </w:pPr>
    </w:p>
    <w:p>
      <w:pPr>
        <w:ind w:left="440"/>
        <w:spacing w:after="0"/>
        <w:tabs>
          <w:tab w:leader="none" w:pos="720" w:val="left"/>
        </w:tabs>
        <w:rPr>
          <w:sz w:val="20"/>
          <w:szCs w:val="20"/>
          <w:color w:val="auto"/>
        </w:rPr>
      </w:pPr>
      <w:r>
        <w:rPr>
          <w:rFonts w:ascii="Times New Roman" w:cs="Times New Roman" w:eastAsia="Times New Roman" w:hAnsi="Times New Roman"/>
          <w:sz w:val="18"/>
          <w:szCs w:val="18"/>
          <w:color w:val="auto"/>
        </w:rPr>
        <w:t>9.</w:t>
        <w:tab/>
        <w:t>Abbreviations and Defined Terms.</w:t>
      </w:r>
    </w:p>
    <w:p>
      <w:pPr>
        <w:spacing w:after="0" w:line="225"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7"/>
          <w:szCs w:val="17"/>
          <w:color w:val="auto"/>
        </w:rPr>
        <w:t>CUSIP Numbers.</w:t>
      </w:r>
    </w:p>
    <w:p>
      <w:pPr>
        <w:spacing w:after="0" w:line="225" w:lineRule="exact"/>
        <w:rPr>
          <w:sz w:val="20"/>
          <w:szCs w:val="20"/>
          <w:color w:val="auto"/>
        </w:rPr>
      </w:pPr>
    </w:p>
    <w:p>
      <w:pPr>
        <w:jc w:val="both"/>
        <w:ind w:right="440" w:firstLine="441"/>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76" w:lineRule="exact"/>
        <w:rPr>
          <w:sz w:val="20"/>
          <w:szCs w:val="20"/>
          <w:color w:val="auto"/>
        </w:rPr>
      </w:pPr>
    </w:p>
    <w:p>
      <w:pPr>
        <w:ind w:left="440"/>
        <w:spacing w:after="0"/>
        <w:tabs>
          <w:tab w:leader="none" w:pos="8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Governing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 thereof.</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960"/>
          </w:cols>
          <w:pgMar w:left="440" w:top="270" w:right="499" w:bottom="1440" w:gutter="0" w:footer="0" w:header="0"/>
        </w:sectPr>
      </w:pPr>
    </w:p>
    <w:bookmarkStart w:id="50" w:name="page51"/>
    <w:bookmarkEnd w:id="50"/>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irrevocably appoint</w:t>
            </w:r>
          </w:p>
        </w:tc>
        <w:tc>
          <w:tcPr>
            <w:tcW w:w="79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agent to transfer this Note on the books of the Issuer. The agent may substitute another to act for him.</w:t>
            </w:r>
          </w:p>
        </w:tc>
        <w:tc>
          <w:tcPr>
            <w:tcW w:w="1000" w:type="dxa"/>
            <w:vAlign w:val="bottom"/>
          </w:tcPr>
          <w:p>
            <w:pPr>
              <w:spacing w:after="0"/>
              <w:rPr>
                <w:sz w:val="20"/>
                <w:szCs w:val="20"/>
                <w:color w:val="auto"/>
              </w:rPr>
            </w:pPr>
          </w:p>
        </w:tc>
      </w:tr>
      <w:tr>
        <w:trPr>
          <w:trHeight w:val="459"/>
        </w:trPr>
        <w:tc>
          <w:tcPr>
            <w:tcW w:w="2120" w:type="dxa"/>
            <w:vAlign w:val="bottom"/>
            <w:tcBorders>
              <w:bottom w:val="single" w:sz="8" w:color="auto"/>
            </w:tcBorders>
            <w:gridSpan w:val="2"/>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gridSpan w:val="2"/>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4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Your Signature:</w:t>
            </w:r>
          </w:p>
        </w:tc>
        <w:tc>
          <w:tcPr>
            <w:tcW w:w="594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6997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-127635</wp:posOffset>
            </wp:positionV>
            <wp:extent cx="29330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0" w:lineRule="exact"/>
        <w:rPr>
          <w:sz w:val="20"/>
          <w:szCs w:val="20"/>
          <w:color w:val="auto"/>
        </w:rPr>
      </w:pPr>
    </w:p>
    <w:p>
      <w:pPr>
        <w:spacing w:after="0" w:line="255" w:lineRule="exact"/>
        <w:rPr>
          <w:sz w:val="20"/>
          <w:szCs w:val="20"/>
          <w:color w:val="auto"/>
        </w:rPr>
      </w:pPr>
    </w:p>
    <w:p>
      <w:pPr>
        <w:spacing w:after="0"/>
        <w:tabs>
          <w:tab w:leader="none" w:pos="6500" w:val="left"/>
        </w:tabs>
        <w:rPr>
          <w:sz w:val="20"/>
          <w:szCs w:val="20"/>
          <w:color w:val="auto"/>
        </w:rPr>
      </w:pPr>
      <w:r>
        <w:rPr>
          <w:rFonts w:ascii="Times New Roman" w:cs="Times New Roman" w:eastAsia="Times New Roman" w:hAnsi="Times New Roman"/>
          <w:sz w:val="18"/>
          <w:szCs w:val="18"/>
          <w:color w:val="auto"/>
        </w:rPr>
        <w:t>Signature must be guaranteed</w:t>
      </w:r>
      <w:r>
        <w:rPr>
          <w:sz w:val="20"/>
          <w:szCs w:val="20"/>
          <w:color w:val="auto"/>
        </w:rPr>
        <w:tab/>
      </w: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6997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6997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040"/>
          </w:cols>
          <w:pgMar w:left="440" w:top="270" w:right="419" w:bottom="1440" w:gutter="0" w:footer="0" w:header="0"/>
        </w:sectPr>
      </w:pPr>
    </w:p>
    <w:bookmarkStart w:id="51" w:name="page52"/>
    <w:bookmarkEnd w:id="51"/>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Physical Notes or a part of another Global Note have been made:</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decrease in</w:t>
            </w:r>
          </w:p>
        </w:tc>
        <w:tc>
          <w:tcPr>
            <w:tcW w:w="2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w:t>
            </w:r>
          </w:p>
        </w:tc>
        <w:tc>
          <w:tcPr>
            <w:tcW w:w="0" w:type="dxa"/>
            <w:vAlign w:val="bottom"/>
          </w:tcPr>
          <w:p>
            <w:pPr>
              <w:spacing w:after="0"/>
              <w:rPr>
                <w:sz w:val="1"/>
                <w:szCs w:val="1"/>
                <w:color w:val="auto"/>
              </w:rPr>
            </w:pPr>
          </w:p>
        </w:tc>
      </w:tr>
      <w:tr>
        <w:trPr>
          <w:trHeight w:val="149"/>
        </w:trPr>
        <w:tc>
          <w:tcPr>
            <w:tcW w:w="23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220" w:type="dxa"/>
            <w:vAlign w:val="bottom"/>
            <w:vMerge w:val="restart"/>
          </w:tcPr>
          <w:p>
            <w:pPr>
              <w:spacing w:after="0"/>
              <w:rPr>
                <w:sz w:val="12"/>
                <w:szCs w:val="12"/>
                <w:color w:val="auto"/>
              </w:rPr>
            </w:pPr>
          </w:p>
        </w:tc>
        <w:tc>
          <w:tcPr>
            <w:tcW w:w="2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Global Note following such</w:t>
            </w: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3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24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22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decrease (or increase)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officer of Trustee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40"/>
          </w:cols>
          <w:pgMar w:left="440" w:top="270" w:right="419" w:bottom="1440" w:gutter="0" w:footer="0" w:header="0"/>
        </w:sectPr>
      </w:pPr>
    </w:p>
    <w:bookmarkStart w:id="52" w:name="page53"/>
    <w:bookmarkEnd w:id="52"/>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70" w:lineRule="exact"/>
        <w:rPr>
          <w:sz w:val="20"/>
          <w:szCs w:val="20"/>
          <w:color w:val="auto"/>
        </w:rPr>
      </w:pPr>
    </w:p>
    <w:p>
      <w:pPr>
        <w:ind w:left="8500"/>
        <w:spacing w:after="0"/>
        <w:tabs>
          <w:tab w:leader="none" w:pos="10120" w:val="left"/>
        </w:tabs>
        <w:rPr>
          <w:sz w:val="20"/>
          <w:szCs w:val="20"/>
          <w:color w:val="auto"/>
        </w:rPr>
      </w:pPr>
      <w:r>
        <w:rPr>
          <w:rFonts w:ascii="Times New Roman" w:cs="Times New Roman" w:eastAsia="Times New Roman" w:hAnsi="Times New Roman"/>
          <w:sz w:val="16"/>
          <w:szCs w:val="16"/>
          <w:b w:val="1"/>
          <w:bCs w:val="1"/>
          <w:color w:val="auto"/>
        </w:rPr>
        <w:t>New York</w:t>
      </w:r>
      <w:r>
        <w:rPr>
          <w:sz w:val="20"/>
          <w:szCs w:val="20"/>
          <w:color w:val="auto"/>
        </w:rPr>
        <w:tab/>
      </w:r>
      <w:r>
        <w:rPr>
          <w:rFonts w:ascii="Times New Roman" w:cs="Times New Roman" w:eastAsia="Times New Roman" w:hAnsi="Times New Roman"/>
          <w:sz w:val="16"/>
          <w:szCs w:val="16"/>
          <w:b w:val="1"/>
          <w:bCs w:val="1"/>
          <w:color w:val="auto"/>
        </w:rPr>
        <w:t>Paris</w:t>
      </w:r>
    </w:p>
    <w:p>
      <w:pPr>
        <w:spacing w:after="0" w:line="28" w:lineRule="exact"/>
        <w:rPr>
          <w:sz w:val="20"/>
          <w:szCs w:val="20"/>
          <w:color w:val="auto"/>
        </w:rPr>
      </w:pPr>
    </w:p>
    <w:p>
      <w:pPr>
        <w:ind w:left="8500"/>
        <w:spacing w:after="0"/>
        <w:tabs>
          <w:tab w:leader="none" w:pos="10120" w:val="left"/>
        </w:tabs>
        <w:rPr>
          <w:sz w:val="20"/>
          <w:szCs w:val="20"/>
          <w:color w:val="auto"/>
        </w:rPr>
      </w:pPr>
      <w:r>
        <w:rPr>
          <w:rFonts w:ascii="Times New Roman" w:cs="Times New Roman" w:eastAsia="Times New Roman" w:hAnsi="Times New Roman"/>
          <w:sz w:val="16"/>
          <w:szCs w:val="16"/>
          <w:b w:val="1"/>
          <w:bCs w:val="1"/>
          <w:color w:val="auto"/>
        </w:rPr>
        <w:t>Northern California</w:t>
        <w:tab/>
        <w:t>Madrid</w:t>
      </w:r>
    </w:p>
    <w:p>
      <w:pPr>
        <w:spacing w:after="0" w:line="19" w:lineRule="exact"/>
        <w:rPr>
          <w:sz w:val="20"/>
          <w:szCs w:val="20"/>
          <w:color w:val="auto"/>
        </w:rPr>
      </w:pPr>
    </w:p>
    <w:p>
      <w:pPr>
        <w:ind w:left="8500"/>
        <w:spacing w:after="0"/>
        <w:tabs>
          <w:tab w:leader="none" w:pos="10120" w:val="left"/>
        </w:tabs>
        <w:rPr>
          <w:sz w:val="20"/>
          <w:szCs w:val="20"/>
          <w:color w:val="auto"/>
        </w:rPr>
      </w:pPr>
      <w:r>
        <w:rPr>
          <w:rFonts w:ascii="Times New Roman" w:cs="Times New Roman" w:eastAsia="Times New Roman" w:hAnsi="Times New Roman"/>
          <w:sz w:val="16"/>
          <w:szCs w:val="16"/>
          <w:b w:val="1"/>
          <w:bCs w:val="1"/>
          <w:color w:val="auto"/>
        </w:rPr>
        <w:t>Washington DC</w:t>
      </w:r>
      <w:r>
        <w:rPr>
          <w:sz w:val="20"/>
          <w:szCs w:val="20"/>
          <w:color w:val="auto"/>
        </w:rPr>
        <w:tab/>
      </w:r>
      <w:r>
        <w:rPr>
          <w:rFonts w:ascii="Times New Roman" w:cs="Times New Roman" w:eastAsia="Times New Roman" w:hAnsi="Times New Roman"/>
          <w:sz w:val="16"/>
          <w:szCs w:val="16"/>
          <w:b w:val="1"/>
          <w:bCs w:val="1"/>
          <w:color w:val="auto"/>
        </w:rPr>
        <w:t>Tokyo</w:t>
      </w:r>
    </w:p>
    <w:p>
      <w:pPr>
        <w:spacing w:after="0" w:line="19" w:lineRule="exact"/>
        <w:rPr>
          <w:sz w:val="20"/>
          <w:szCs w:val="20"/>
          <w:color w:val="auto"/>
        </w:rPr>
      </w:pPr>
    </w:p>
    <w:p>
      <w:pPr>
        <w:ind w:left="8500"/>
        <w:spacing w:after="0"/>
        <w:tabs>
          <w:tab w:leader="none" w:pos="10120" w:val="left"/>
        </w:tabs>
        <w:rPr>
          <w:sz w:val="20"/>
          <w:szCs w:val="20"/>
          <w:color w:val="auto"/>
        </w:rPr>
      </w:pPr>
      <w:r>
        <w:rPr>
          <w:rFonts w:ascii="Times New Roman" w:cs="Times New Roman" w:eastAsia="Times New Roman" w:hAnsi="Times New Roman"/>
          <w:sz w:val="16"/>
          <w:szCs w:val="16"/>
          <w:b w:val="1"/>
          <w:bCs w:val="1"/>
          <w:color w:val="auto"/>
        </w:rPr>
        <w:t>São Paulo</w:t>
      </w:r>
      <w:r>
        <w:rPr>
          <w:sz w:val="20"/>
          <w:szCs w:val="20"/>
          <w:color w:val="auto"/>
        </w:rPr>
        <w:tab/>
      </w:r>
      <w:r>
        <w:rPr>
          <w:rFonts w:ascii="Times New Roman" w:cs="Times New Roman" w:eastAsia="Times New Roman" w:hAnsi="Times New Roman"/>
          <w:sz w:val="16"/>
          <w:szCs w:val="16"/>
          <w:b w:val="1"/>
          <w:bCs w:val="1"/>
          <w:color w:val="auto"/>
        </w:rPr>
        <w:t>Beijing</w:t>
      </w:r>
    </w:p>
    <w:p>
      <w:pPr>
        <w:spacing w:after="0" w:line="19" w:lineRule="exact"/>
        <w:rPr>
          <w:sz w:val="20"/>
          <w:szCs w:val="20"/>
          <w:color w:val="auto"/>
        </w:rPr>
      </w:pPr>
    </w:p>
    <w:p>
      <w:pPr>
        <w:ind w:left="8500"/>
        <w:spacing w:after="0"/>
        <w:tabs>
          <w:tab w:leader="none" w:pos="10120" w:val="left"/>
        </w:tabs>
        <w:rPr>
          <w:sz w:val="20"/>
          <w:szCs w:val="20"/>
          <w:color w:val="auto"/>
        </w:rPr>
      </w:pPr>
      <w:r>
        <w:rPr>
          <w:rFonts w:ascii="Times New Roman" w:cs="Times New Roman" w:eastAsia="Times New Roman" w:hAnsi="Times New Roman"/>
          <w:sz w:val="16"/>
          <w:szCs w:val="16"/>
          <w:b w:val="1"/>
          <w:bCs w:val="1"/>
          <w:color w:val="auto"/>
        </w:rPr>
        <w:t>London</w:t>
      </w:r>
      <w:r>
        <w:rPr>
          <w:sz w:val="20"/>
          <w:szCs w:val="20"/>
          <w:color w:val="auto"/>
        </w:rPr>
        <w:tab/>
      </w:r>
      <w:r>
        <w:rPr>
          <w:rFonts w:ascii="Times New Roman" w:cs="Times New Roman" w:eastAsia="Times New Roman" w:hAnsi="Times New Roman"/>
          <w:sz w:val="16"/>
          <w:szCs w:val="16"/>
          <w:b w:val="1"/>
          <w:bCs w:val="1"/>
          <w:color w:val="auto"/>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1346200" cy="3860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462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Davis Polk &amp; Wardwell </w:t>
            </w:r>
            <w:r>
              <w:rPr>
                <w:rFonts w:ascii="Times New Roman" w:cs="Times New Roman" w:eastAsia="Times New Roman" w:hAnsi="Times New Roman"/>
                <w:sz w:val="13"/>
                <w:szCs w:val="13"/>
                <w:b w:val="1"/>
                <w:bCs w:val="1"/>
                <w:color w:val="auto"/>
              </w:rPr>
              <w:t>LLP</w:t>
            </w:r>
          </w:p>
        </w:tc>
        <w:tc>
          <w:tcPr>
            <w:tcW w:w="12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650 752 2000 tel</w:t>
            </w:r>
          </w:p>
        </w:tc>
      </w:tr>
      <w:tr>
        <w:trPr>
          <w:trHeight w:val="203"/>
        </w:trPr>
        <w:tc>
          <w:tcPr>
            <w:tcW w:w="2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1600 El Camino Real</w:t>
            </w:r>
          </w:p>
        </w:tc>
        <w:tc>
          <w:tcPr>
            <w:tcW w:w="12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w w:val="97"/>
              </w:rPr>
              <w:t>650 752 2111 fax</w:t>
            </w:r>
          </w:p>
        </w:tc>
      </w:tr>
      <w:tr>
        <w:trPr>
          <w:trHeight w:val="212"/>
        </w:trPr>
        <w:tc>
          <w:tcPr>
            <w:tcW w:w="2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Menlo Park, CA 94025</w:t>
            </w:r>
          </w:p>
        </w:tc>
        <w:tc>
          <w:tcPr>
            <w:tcW w:w="1280" w:type="dxa"/>
            <w:vAlign w:val="bottom"/>
          </w:tcPr>
          <w:p>
            <w:pPr>
              <w:spacing w:after="0"/>
              <w:rPr>
                <w:sz w:val="18"/>
                <w:szCs w:val="18"/>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acted as special counsel for Texas Instruments Incorporated,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Company’s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of $750,000,000 aggregate principal amount of 3.875% Notes due 2039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an underwritten public offering pursuant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agreement dated March 1, 2019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among the Company and Barclays Capital Inc., J.P. Morgan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and MUFG Securities Americas Inc.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as representatives of the several underwriters listed in Schedule II thereto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The Notes are to be issued pursuant to an Indenture dated as of May 23, 2011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between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National Association, as Trustee, and an Officers’ Certificate to be issued pursuant thereto on or about March 11, 2019. The Company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the Securities and Exchange Commission a Registration Statement on Form S-3 (File No. 333-229797,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 of registering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offer and sale of certain securities, including the Notes.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8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w:t>
      </w:r>
    </w:p>
    <w:p>
      <w:pPr>
        <w:sectPr>
          <w:pgSz w:w="11900" w:h="16838" w:orient="portrait"/>
          <w:cols w:equalWidth="0" w:num="1">
            <w:col w:w="11020"/>
          </w:cols>
          <w:pgMar w:left="440" w:top="117" w:right="439" w:bottom="1440" w:gutter="0" w:footer="0" w:header="0"/>
        </w:sectPr>
      </w:pPr>
    </w:p>
    <w:bookmarkStart w:id="53" w:name="page54"/>
    <w:bookmarkEnd w:id="53"/>
    <w:p>
      <w:pPr>
        <w:spacing w:after="0"/>
        <w:tabs>
          <w:tab w:leader="none" w:pos="5680" w:val="left"/>
          <w:tab w:leader="none" w:pos="9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Instruments Incorporated</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March 11, 2019</w:t>
      </w:r>
    </w:p>
    <w:p>
      <w:pPr>
        <w:spacing w:after="0" w:line="15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provisions of the Indenture and delivered to and paid for by the Underwriters in accordance with 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8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connection with the opinion expressed above, we have assumed that at or prior to the time of the delivery of the Notes, the Indenture and the Notes (the “</w:t>
      </w:r>
      <w:r>
        <w:rPr>
          <w:rFonts w:ascii="Times New Roman" w:cs="Times New Roman" w:eastAsia="Times New Roman" w:hAnsi="Times New Roman"/>
          <w:sz w:val="17"/>
          <w:szCs w:val="17"/>
          <w:b w:val="1"/>
          <w:bCs w:val="1"/>
          <w:color w:val="auto"/>
        </w:rPr>
        <w:t>Documents</w:t>
      </w:r>
      <w:r>
        <w:rPr>
          <w:rFonts w:ascii="Times New Roman" w:cs="Times New Roman" w:eastAsia="Times New Roman" w:hAnsi="Times New Roman"/>
          <w:sz w:val="17"/>
          <w:szCs w:val="17"/>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report on Form 8-K to be filed by the Company on the date hereof and its incorporation by reference in the Registration Statement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
    <w:nsid w:val="257130A3"/>
    <w:multiLevelType w:val="hybridMultilevel"/>
    <w:lvl w:ilvl="0">
      <w:lvlJc w:val="left"/>
      <w:lvlText w:val="(%1)"/>
      <w:numFmt w:val="lowerRoman"/>
      <w:start w:val="7"/>
    </w:lvl>
    <w:lvl w:ilvl="1">
      <w:lvlJc w:val="left"/>
      <w:lvlText w:val="(%2)"/>
      <w:numFmt w:val="upperLetter"/>
      <w:start w:val="1"/>
    </w:lvl>
  </w:abstractNum>
  <w:abstractNum w:abstractNumId="5">
    <w:nsid w:val="62BBD95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6">
    <w:nsid w:val="436C612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
    <w:nsid w:val="628C895D"/>
    <w:multiLevelType w:val="hybridMultilevel"/>
    <w:lvl w:ilvl="0">
      <w:lvlJc w:val="left"/>
      <w:lvlText w:val="%1"/>
      <w:numFmt w:val="lowerRoman"/>
      <w:start w:val="1"/>
    </w:lvl>
    <w:lvl w:ilvl="1">
      <w:lvlJc w:val="left"/>
      <w:lvlText w:val="(%2)"/>
      <w:numFmt w:val="upperLetter"/>
      <w:start w:val="3"/>
    </w:lvl>
  </w:abstractNum>
  <w:abstractNum w:abstractNumId="8">
    <w:nsid w:val="333AB105"/>
    <w:multiLevelType w:val="hybridMultilevel"/>
    <w:lvl w:ilvl="0">
      <w:lvlJc w:val="left"/>
      <w:lvlText w:val="(%1)"/>
      <w:numFmt w:val="lowerRoman"/>
      <w:start w:val="3"/>
    </w:lvl>
    <w:lvl w:ilvl="1">
      <w:lvlJc w:val="left"/>
      <w:lvlText w:val="(%2)"/>
      <w:numFmt w:val="upperLetter"/>
      <w:start w:val="1"/>
    </w:lvl>
  </w:abstractNum>
  <w:abstractNum w:abstractNumId="9">
    <w:nsid w:val="721DA317"/>
    <w:multiLevelType w:val="hybridMultilevel"/>
    <w:lvl w:ilvl="0">
      <w:lvlJc w:val="left"/>
      <w:lvlText w:val="(%1)"/>
      <w:numFmt w:val="lowerRoman"/>
      <w:start w:val="8"/>
    </w:lvl>
    <w:lvl w:ilvl="1">
      <w:lvlJc w:val="left"/>
      <w:lvlText w:val="(%2)"/>
      <w:numFmt w:val="upperLetter"/>
      <w:start w:val="1"/>
    </w:lvl>
  </w:abstractNum>
  <w:abstractNum w:abstractNumId="10">
    <w:nsid w:val="2443A85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1">
    <w:nsid w:val="2D1D5AE9"/>
    <w:multiLevelType w:val="hybridMultilevel"/>
    <w:lvl w:ilvl="0">
      <w:lvlJc w:val="left"/>
      <w:lvlText w:val="%1"/>
      <w:numFmt w:val="lowerLetter"/>
      <w:start w:val="1"/>
    </w:lvl>
    <w:lvl w:ilvl="1">
      <w:lvlJc w:val="left"/>
      <w:lvlText w:val="(%2)"/>
      <w:numFmt w:val="lowerRoman"/>
      <w:start w:val="13"/>
    </w:lvl>
    <w:lvl w:ilvl="2">
      <w:lvlJc w:val="left"/>
      <w:lvlText w:val="%3"/>
      <w:numFmt w:val="upperLetter"/>
      <w:start w:val="1"/>
    </w:lvl>
  </w:abstractNum>
  <w:abstractNum w:abstractNumId="12">
    <w:nsid w:val="6763845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3">
    <w:nsid w:val="75A2A8D4"/>
    <w:multiLevelType w:val="hybridMultilevel"/>
    <w:lvl w:ilvl="0">
      <w:lvlJc w:val="left"/>
      <w:lvlText w:val="(%1)"/>
      <w:numFmt w:val="lowerLetter"/>
      <w:start w:val="5"/>
    </w:lvl>
  </w:abstractNum>
  <w:abstractNum w:abstractNumId="14">
    <w:nsid w:val="8EDBDAB"/>
    <w:multiLevelType w:val="hybridMultilevel"/>
    <w:lvl w:ilvl="0">
      <w:lvlJc w:val="left"/>
      <w:lvlText w:val="(%1)"/>
      <w:numFmt w:val="lowerLetter"/>
      <w:start w:val="7"/>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6"/>
    </w:lvl>
  </w:abstractNum>
  <w:abstractNum w:abstractNumId="17">
    <w:nsid w:val="B03E0C6"/>
    <w:multiLevelType w:val="hybridMultilevel"/>
    <w:lvl w:ilvl="0">
      <w:lvlJc w:val="left"/>
      <w:lvlText w:val="(%1)"/>
      <w:numFmt w:val="lowerLetter"/>
      <w:start w:val="9"/>
    </w:lvl>
  </w:abstractNum>
  <w:abstractNum w:abstractNumId="18">
    <w:nsid w:val="189A769B"/>
    <w:multiLevelType w:val="hybridMultilevel"/>
    <w:lvl w:ilvl="0">
      <w:lvlJc w:val="left"/>
      <w:lvlText w:val="%1"/>
      <w:numFmt w:val="lowerLetter"/>
      <w:start w:val="1"/>
    </w:lvl>
    <w:lvl w:ilvl="1">
      <w:lvlJc w:val="left"/>
      <w:lvlText w:val="(%2)"/>
      <w:numFmt w:val="lowerLetter"/>
      <w:start w:val="14"/>
    </w:lvl>
  </w:abstractNum>
  <w:abstractNum w:abstractNumId="19">
    <w:nsid w:val="54E49EB4"/>
    <w:multiLevelType w:val="hybridMultilevel"/>
    <w:lvl w:ilvl="0">
      <w:lvlJc w:val="left"/>
      <w:lvlText w:val="(%1)"/>
      <w:numFmt w:val="lowerLetter"/>
      <w:start w:val="22"/>
    </w:lvl>
    <w:lvl w:ilvl="1">
      <w:lvlJc w:val="left"/>
      <w:lvlText w:val="%2"/>
      <w:numFmt w:val="lowerLetter"/>
      <w:start w:val="1"/>
    </w:lvl>
  </w:abstractNum>
  <w:abstractNum w:abstractNumId="20">
    <w:nsid w:val="71F32454"/>
    <w:multiLevelType w:val="hybridMultilevel"/>
    <w:lvl w:ilvl="0">
      <w:lvlJc w:val="left"/>
      <w:lvlText w:val="(%1)"/>
      <w:numFmt w:val="lowerLetter"/>
      <w:start w:val="1"/>
    </w:lvl>
  </w:abstractNum>
  <w:abstractNum w:abstractNumId="21">
    <w:nsid w:val="2CA88611"/>
    <w:multiLevelType w:val="hybridMultilevel"/>
    <w:lvl w:ilvl="0">
      <w:lvlJc w:val="left"/>
      <w:lvlText w:val="(%1)"/>
      <w:numFmt w:val="lowerLetter"/>
      <w:start w:val="2"/>
    </w:lvl>
  </w:abstractNum>
  <w:abstractNum w:abstractNumId="22">
    <w:nsid w:val="836C40E"/>
    <w:multiLevelType w:val="hybridMultilevel"/>
    <w:lvl w:ilvl="0">
      <w:lvlJc w:val="left"/>
      <w:lvlText w:val="(%1)"/>
      <w:numFmt w:val="lowerLetter"/>
      <w:start w:val="4"/>
    </w:lvl>
  </w:abstractNum>
  <w:abstractNum w:abstractNumId="23">
    <w:nsid w:val="2901D82"/>
    <w:multiLevelType w:val="hybridMultilevel"/>
    <w:lvl w:ilvl="0">
      <w:lvlJc w:val="left"/>
      <w:lvlText w:val="%1"/>
      <w:numFmt w:val="decimal"/>
      <w:start w:val="1"/>
    </w:lvl>
    <w:lvl w:ilvl="1">
      <w:lvlJc w:val="left"/>
      <w:lvlText w:val="(%2)"/>
      <w:numFmt w:val="lowerLetter"/>
      <w:start w:val="9"/>
    </w:lvl>
  </w:abstractNum>
  <w:abstractNum w:abstractNumId="24">
    <w:nsid w:val="3A95F874"/>
    <w:multiLevelType w:val="hybridMultilevel"/>
    <w:lvl w:ilvl="0">
      <w:lvlJc w:val="left"/>
      <w:lvlText w:val="(%1)"/>
      <w:numFmt w:val="decimal"/>
      <w:start w:val="2"/>
    </w:lvl>
    <w:lvl w:ilvl="1">
      <w:lvlJc w:val="left"/>
      <w:lvlText w:val="(%2)"/>
      <w:numFmt w:val="lowerLetter"/>
      <w:start w:val="11"/>
    </w:lvl>
  </w:abstractNum>
  <w:abstractNum w:abstractNumId="25">
    <w:nsid w:val="8138641"/>
    <w:multiLevelType w:val="hybridMultilevel"/>
    <w:lvl w:ilvl="0">
      <w:lvlJc w:val="left"/>
      <w:lvlText w:val="(%1)"/>
      <w:numFmt w:val="lowerLetter"/>
      <w:start w:val="14"/>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
      <w:numFmt w:val="bullet"/>
      <w:start w:val="1"/>
    </w:lvl>
    <w:lvl w:ilvl="1">
      <w:lvlJc w:val="left"/>
      <w:lvlText w:val="(%2)"/>
      <w:numFmt w:val="lowerLetter"/>
      <w:start w:val="1"/>
    </w:lvl>
  </w:abstractNum>
  <w:abstractNum w:abstractNumId="28">
    <w:nsid w:val="737B8DDC"/>
    <w:multiLevelType w:val="hybridMultilevel"/>
    <w:lvl w:ilvl="0">
      <w:lvlJc w:val="left"/>
      <w:lvlText w:val="§"/>
      <w:numFmt w:val="bullet"/>
      <w:start w:val="1"/>
    </w:lvl>
    <w:lvl w:ilvl="1">
      <w:lvlJc w:val="left"/>
      <w:lvlText w:val="(%2)"/>
      <w:numFmt w:val="lowerLetter"/>
      <w:start w:val="2"/>
    </w:lvl>
  </w:abstractNum>
  <w:abstractNum w:abstractNumId="29">
    <w:nsid w:val="6CEAF087"/>
    <w:multiLevelType w:val="hybridMultilevel"/>
    <w:lvl w:ilvl="0">
      <w:lvlJc w:val="left"/>
      <w:lvlText w:val="%1"/>
      <w:numFmt w:val="lowerLetter"/>
      <w:start w:val="1"/>
    </w:lvl>
    <w:lvl w:ilvl="1">
      <w:lvlJc w:val="left"/>
      <w:lvlText w:val="(%2)"/>
      <w:numFmt w:val="lowerLetter"/>
      <w:start w:val="3"/>
    </w:lvl>
  </w:abstractNum>
  <w:abstractNum w:abstractNumId="30">
    <w:nsid w:val="22221A70"/>
    <w:multiLevelType w:val="hybridMultilevel"/>
    <w:lvl w:ilvl="0">
      <w:lvlJc w:val="left"/>
      <w:lvlText w:val="(%1)"/>
      <w:numFmt w:val="lowerLetter"/>
      <w:start w:val="35"/>
    </w:lvl>
    <w:lvl w:ilvl="1">
      <w:lvlJc w:val="left"/>
      <w:lvlText w:val="%2"/>
      <w:numFmt w:val="lowerLetter"/>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Roman"/>
      <w:start w:val="1"/>
    </w:lvl>
  </w:abstractNum>
  <w:abstractNum w:abstractNumId="33">
    <w:nsid w:val="614FD4A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2019-12-28T15:18:32Z</dcterms:created>
  <dcterms:modified xsi:type="dcterms:W3CDTF">2019-12-28T15:18:32Z</dcterms:modified>
</cp:coreProperties>
</file>