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Arial" w:cs="Arial" w:eastAsia="Arial" w:hAnsi="Arial"/>
          <w:sz w:val="16"/>
          <w:szCs w:val="16"/>
          <w:color w:val="auto"/>
        </w:rPr>
        <w:t>Amendments to Articles of Incorporation or Bylaws; Change in Fiscal Year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20, 2022, the Board of Directors of Texas Instruments Incorporated (the “Company”) approved By-Law amendments to add a new provision allowing net long owners of 25% or more of the Company’s outstanding common stock to call a special meeting of stockholders, subject to the terms and provisions contained or referenced in the amended Section 2 of Article II of the By-laws. The amendments also make conforming changes in Sections 9 and 10 of Article II.</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description of the Company’s By-Laws is qualified in all respects by reference to the text of the By-Laws, which are attached hereto as Exhibit 3 and incorporated herein 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rPr>
              <w:t>Exhibits.</w:t>
            </w:r>
          </w:p>
        </w:tc>
      </w:tr>
      <w:tr>
        <w:trPr>
          <w:trHeight w:val="373"/>
        </w:trPr>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Designation</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48"/>
        </w:trPr>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of Exhibit</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9"/>
        </w:trPr>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in this</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Report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Description of Exhibit</w:t>
            </w:r>
          </w:p>
        </w:tc>
      </w:tr>
    </w:tbl>
    <w:p>
      <w:pPr>
        <w:spacing w:after="0" w:line="94" w:lineRule="exact"/>
        <w:rPr>
          <w:sz w:val="20"/>
          <w:szCs w:val="20"/>
          <w:color w:val="auto"/>
        </w:rPr>
      </w:pPr>
    </w:p>
    <w:p>
      <w:pPr>
        <w:ind w:left="1440" w:hanging="1138"/>
        <w:spacing w:after="0"/>
        <w:tabs>
          <w:tab w:leader="none" w:pos="14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Texas Instruments Incorporated By-Laws, as amended on January 20, 2022</w:t>
        </w:r>
      </w:hyperlink>
    </w:p>
    <w:p>
      <w:pPr>
        <w:spacing w:after="0" w:line="117"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Inline XBRL document)</w:t>
      </w:r>
    </w:p>
    <w:p>
      <w:pPr>
        <w:sectPr>
          <w:pgSz w:w="11900" w:h="16838" w:orient="portrait"/>
          <w:cols w:equalWidth="0" w:num="1">
            <w:col w:w="11000"/>
          </w:cols>
          <w:pgMar w:left="440" w:top="301" w:right="45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Secretary and General Counsel</w:t>
      </w:r>
    </w:p>
    <w:p>
      <w:pPr>
        <w:sectPr>
          <w:pgSz w:w="11900" w:h="16838" w:orient="portrait"/>
          <w:cols w:equalWidth="0" w:num="1">
            <w:col w:w="10320"/>
          </w:cols>
          <w:pgMar w:left="440" w:top="301"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Exhibit 3</w:t>
            </w:r>
          </w:p>
        </w:tc>
      </w:tr>
      <w:tr>
        <w:trPr>
          <w:trHeight w:val="418"/>
        </w:trPr>
        <w:tc>
          <w:tcPr>
            <w:tcW w:w="1640" w:type="dxa"/>
            <w:vAlign w:val="bottom"/>
          </w:tcPr>
          <w:p>
            <w:pPr>
              <w:spacing w:after="0"/>
              <w:rPr>
                <w:sz w:val="24"/>
                <w:szCs w:val="24"/>
                <w:color w:val="auto"/>
              </w:rPr>
            </w:pPr>
          </w:p>
        </w:tc>
        <w:tc>
          <w:tcPr>
            <w:tcW w:w="7100" w:type="dxa"/>
            <w:vAlign w:val="bottom"/>
          </w:tcPr>
          <w:p>
            <w:pPr>
              <w:jc w:val="center"/>
              <w:ind w:left="550"/>
              <w:spacing w:after="0"/>
              <w:rPr>
                <w:sz w:val="20"/>
                <w:szCs w:val="20"/>
                <w:color w:val="auto"/>
              </w:rPr>
            </w:pPr>
            <w:r>
              <w:rPr>
                <w:rFonts w:ascii="Arial" w:cs="Arial" w:eastAsia="Arial" w:hAnsi="Arial"/>
                <w:sz w:val="18"/>
                <w:szCs w:val="18"/>
                <w:color w:val="auto"/>
                <w:w w:val="95"/>
              </w:rPr>
              <w:t>TEXAS INSTRUMENTS INCORPORATED</w:t>
            </w:r>
          </w:p>
        </w:tc>
        <w:tc>
          <w:tcPr>
            <w:tcW w:w="2280" w:type="dxa"/>
            <w:vAlign w:val="bottom"/>
          </w:tcPr>
          <w:p>
            <w:pPr>
              <w:spacing w:after="0"/>
              <w:rPr>
                <w:sz w:val="24"/>
                <w:szCs w:val="24"/>
                <w:color w:val="auto"/>
              </w:rPr>
            </w:pPr>
          </w:p>
        </w:tc>
      </w:tr>
      <w:tr>
        <w:trPr>
          <w:trHeight w:val="230"/>
        </w:trPr>
        <w:tc>
          <w:tcPr>
            <w:tcW w:w="1640" w:type="dxa"/>
            <w:vAlign w:val="bottom"/>
          </w:tcPr>
          <w:p>
            <w:pPr>
              <w:spacing w:after="0"/>
              <w:rPr>
                <w:sz w:val="20"/>
                <w:szCs w:val="20"/>
                <w:color w:val="auto"/>
              </w:rPr>
            </w:pPr>
          </w:p>
        </w:tc>
        <w:tc>
          <w:tcPr>
            <w:tcW w:w="7100" w:type="dxa"/>
            <w:vAlign w:val="bottom"/>
          </w:tcPr>
          <w:p>
            <w:pPr>
              <w:jc w:val="center"/>
              <w:ind w:left="550"/>
              <w:spacing w:after="0"/>
              <w:rPr>
                <w:sz w:val="20"/>
                <w:szCs w:val="20"/>
                <w:color w:val="auto"/>
              </w:rPr>
            </w:pPr>
            <w:r>
              <w:rPr>
                <w:rFonts w:ascii="Arial" w:cs="Arial" w:eastAsia="Arial" w:hAnsi="Arial"/>
                <w:sz w:val="18"/>
                <w:szCs w:val="18"/>
                <w:color w:val="auto"/>
                <w:w w:val="96"/>
              </w:rPr>
              <w:t>BY-LAWS</w:t>
            </w:r>
          </w:p>
        </w:tc>
        <w:tc>
          <w:tcPr>
            <w:tcW w:w="2280" w:type="dxa"/>
            <w:vAlign w:val="bottom"/>
          </w:tcPr>
          <w:p>
            <w:pPr>
              <w:spacing w:after="0"/>
              <w:rPr>
                <w:sz w:val="20"/>
                <w:szCs w:val="20"/>
                <w:color w:val="auto"/>
              </w:rPr>
            </w:pPr>
          </w:p>
        </w:tc>
      </w:tr>
      <w:tr>
        <w:trPr>
          <w:trHeight w:val="432"/>
        </w:trPr>
        <w:tc>
          <w:tcPr>
            <w:tcW w:w="1640" w:type="dxa"/>
            <w:vAlign w:val="bottom"/>
          </w:tcPr>
          <w:p>
            <w:pPr>
              <w:spacing w:after="0"/>
              <w:rPr>
                <w:sz w:val="24"/>
                <w:szCs w:val="24"/>
                <w:color w:val="auto"/>
              </w:rPr>
            </w:pPr>
          </w:p>
        </w:tc>
        <w:tc>
          <w:tcPr>
            <w:tcW w:w="7100" w:type="dxa"/>
            <w:vAlign w:val="bottom"/>
          </w:tcPr>
          <w:p>
            <w:pPr>
              <w:jc w:val="center"/>
              <w:ind w:left="530"/>
              <w:spacing w:after="0"/>
              <w:rPr>
                <w:sz w:val="20"/>
                <w:szCs w:val="20"/>
                <w:color w:val="auto"/>
              </w:rPr>
            </w:pPr>
            <w:r>
              <w:rPr>
                <w:rFonts w:ascii="Arial" w:cs="Arial" w:eastAsia="Arial" w:hAnsi="Arial"/>
                <w:sz w:val="18"/>
                <w:szCs w:val="18"/>
                <w:color w:val="auto"/>
                <w:w w:val="90"/>
              </w:rPr>
              <w:t>(As Amended Through January 20, 2022)</w:t>
            </w:r>
          </w:p>
        </w:tc>
        <w:tc>
          <w:tcPr>
            <w:tcW w:w="2280" w:type="dxa"/>
            <w:vAlign w:val="bottom"/>
          </w:tcPr>
          <w:p>
            <w:pPr>
              <w:spacing w:after="0"/>
              <w:rPr>
                <w:sz w:val="24"/>
                <w:szCs w:val="24"/>
                <w:color w:val="auto"/>
              </w:rPr>
            </w:pPr>
          </w:p>
        </w:tc>
      </w:tr>
      <w:tr>
        <w:trPr>
          <w:trHeight w:val="432"/>
        </w:trPr>
        <w:tc>
          <w:tcPr>
            <w:tcW w:w="1640" w:type="dxa"/>
            <w:vAlign w:val="bottom"/>
          </w:tcPr>
          <w:p>
            <w:pPr>
              <w:spacing w:after="0"/>
              <w:rPr>
                <w:sz w:val="24"/>
                <w:szCs w:val="24"/>
                <w:color w:val="auto"/>
              </w:rPr>
            </w:pPr>
          </w:p>
        </w:tc>
        <w:tc>
          <w:tcPr>
            <w:tcW w:w="7100" w:type="dxa"/>
            <w:vAlign w:val="bottom"/>
          </w:tcPr>
          <w:p>
            <w:pPr>
              <w:jc w:val="center"/>
              <w:ind w:left="550"/>
              <w:spacing w:after="0"/>
              <w:rPr>
                <w:sz w:val="20"/>
                <w:szCs w:val="20"/>
                <w:color w:val="auto"/>
              </w:rPr>
            </w:pPr>
            <w:r>
              <w:rPr>
                <w:rFonts w:ascii="Arial" w:cs="Arial" w:eastAsia="Arial" w:hAnsi="Arial"/>
                <w:sz w:val="18"/>
                <w:szCs w:val="18"/>
                <w:color w:val="auto"/>
                <w:w w:val="97"/>
              </w:rPr>
              <w:t>Index*</w:t>
            </w:r>
          </w:p>
        </w:tc>
        <w:tc>
          <w:tcPr>
            <w:tcW w:w="2280" w:type="dxa"/>
            <w:vAlign w:val="bottom"/>
          </w:tcPr>
          <w:p>
            <w:pPr>
              <w:spacing w:after="0"/>
              <w:rPr>
                <w:sz w:val="24"/>
                <w:szCs w:val="24"/>
                <w:color w:val="auto"/>
              </w:rPr>
            </w:pP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ARTICLE I Offices</w:t>
            </w:r>
          </w:p>
        </w:tc>
        <w:tc>
          <w:tcPr>
            <w:tcW w:w="7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0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00" w:type="dxa"/>
            <w:vAlign w:val="bottom"/>
          </w:tcPr>
          <w:p>
            <w:pPr>
              <w:ind w:left="100"/>
              <w:spacing w:after="0"/>
              <w:rPr>
                <w:sz w:val="20"/>
                <w:szCs w:val="20"/>
                <w:color w:val="auto"/>
              </w:rPr>
            </w:pPr>
            <w:r>
              <w:rPr>
                <w:rFonts w:ascii="Arial" w:cs="Arial" w:eastAsia="Arial" w:hAnsi="Arial"/>
                <w:sz w:val="18"/>
                <w:szCs w:val="18"/>
                <w:color w:val="auto"/>
              </w:rPr>
              <w:t>Other Offices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00" w:type="dxa"/>
            <w:vAlign w:val="bottom"/>
          </w:tcPr>
          <w:p>
            <w:pPr>
              <w:ind w:left="100"/>
              <w:spacing w:after="0"/>
              <w:rPr>
                <w:sz w:val="20"/>
                <w:szCs w:val="20"/>
                <w:color w:val="auto"/>
              </w:rPr>
            </w:pPr>
            <w:r>
              <w:rPr>
                <w:rFonts w:ascii="Arial" w:cs="Arial" w:eastAsia="Arial" w:hAnsi="Arial"/>
                <w:sz w:val="18"/>
                <w:szCs w:val="18"/>
                <w:color w:val="auto"/>
              </w:rPr>
              <w:t>Annual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0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00" w:type="dxa"/>
            <w:vAlign w:val="bottom"/>
          </w:tcPr>
          <w:p>
            <w:pPr>
              <w:ind w:left="100"/>
              <w:spacing w:after="0"/>
              <w:rPr>
                <w:sz w:val="20"/>
                <w:szCs w:val="20"/>
                <w:color w:val="auto"/>
              </w:rPr>
            </w:pPr>
            <w:r>
              <w:rPr>
                <w:rFonts w:ascii="Arial" w:cs="Arial" w:eastAsia="Arial" w:hAnsi="Arial"/>
                <w:sz w:val="18"/>
                <w:szCs w:val="18"/>
                <w:color w:val="auto"/>
              </w:rPr>
              <w:t>Place of Meeting</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100" w:type="dxa"/>
            <w:vAlign w:val="bottom"/>
          </w:tcPr>
          <w:p>
            <w:pPr>
              <w:ind w:left="100"/>
              <w:spacing w:after="0"/>
              <w:rPr>
                <w:sz w:val="20"/>
                <w:szCs w:val="20"/>
                <w:color w:val="auto"/>
              </w:rPr>
            </w:pPr>
            <w:r>
              <w:rPr>
                <w:rFonts w:ascii="Arial" w:cs="Arial" w:eastAsia="Arial" w:hAnsi="Arial"/>
                <w:sz w:val="18"/>
                <w:szCs w:val="18"/>
                <w:color w:val="auto"/>
              </w:rPr>
              <w:t>Notice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100" w:type="dxa"/>
            <w:vAlign w:val="bottom"/>
          </w:tcPr>
          <w:p>
            <w:pPr>
              <w:ind w:left="100"/>
              <w:spacing w:after="0"/>
              <w:rPr>
                <w:sz w:val="20"/>
                <w:szCs w:val="20"/>
                <w:color w:val="auto"/>
              </w:rPr>
            </w:pPr>
            <w:r>
              <w:rPr>
                <w:rFonts w:ascii="Arial" w:cs="Arial" w:eastAsia="Arial" w:hAnsi="Arial"/>
                <w:sz w:val="18"/>
                <w:szCs w:val="18"/>
                <w:color w:val="auto"/>
              </w:rPr>
              <w:t>Quorum, Adjournment and Conduct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100" w:type="dxa"/>
            <w:vAlign w:val="bottom"/>
          </w:tcPr>
          <w:p>
            <w:pPr>
              <w:ind w:left="100"/>
              <w:spacing w:after="0"/>
              <w:rPr>
                <w:sz w:val="20"/>
                <w:szCs w:val="20"/>
                <w:color w:val="auto"/>
              </w:rPr>
            </w:pPr>
            <w:r>
              <w:rPr>
                <w:rFonts w:ascii="Arial" w:cs="Arial" w:eastAsia="Arial" w:hAnsi="Arial"/>
                <w:sz w:val="18"/>
                <w:szCs w:val="18"/>
                <w:color w:val="auto"/>
              </w:rPr>
              <w:t>Voting</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100" w:type="dxa"/>
            <w:vAlign w:val="bottom"/>
          </w:tcPr>
          <w:p>
            <w:pPr>
              <w:ind w:left="100"/>
              <w:spacing w:after="0"/>
              <w:rPr>
                <w:sz w:val="20"/>
                <w:szCs w:val="20"/>
                <w:color w:val="auto"/>
              </w:rPr>
            </w:pPr>
            <w:r>
              <w:rPr>
                <w:rFonts w:ascii="Arial" w:cs="Arial" w:eastAsia="Arial" w:hAnsi="Arial"/>
                <w:sz w:val="18"/>
                <w:szCs w:val="18"/>
                <w:color w:val="auto"/>
              </w:rPr>
              <w:t>List of Stockholders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100" w:type="dxa"/>
            <w:vAlign w:val="bottom"/>
          </w:tcPr>
          <w:p>
            <w:pPr>
              <w:ind w:left="100"/>
              <w:spacing w:after="0"/>
              <w:rPr>
                <w:sz w:val="20"/>
                <w:szCs w:val="20"/>
                <w:color w:val="auto"/>
              </w:rPr>
            </w:pPr>
            <w:r>
              <w:rPr>
                <w:rFonts w:ascii="Arial" w:cs="Arial" w:eastAsia="Arial" w:hAnsi="Arial"/>
                <w:sz w:val="18"/>
                <w:szCs w:val="18"/>
                <w:color w:val="auto"/>
              </w:rPr>
              <w:t>Inspectors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100" w:type="dxa"/>
            <w:vAlign w:val="bottom"/>
          </w:tcPr>
          <w:p>
            <w:pPr>
              <w:ind w:left="100"/>
              <w:spacing w:after="0"/>
              <w:rPr>
                <w:sz w:val="20"/>
                <w:szCs w:val="20"/>
                <w:color w:val="auto"/>
              </w:rPr>
            </w:pPr>
            <w:r>
              <w:rPr>
                <w:rFonts w:ascii="Arial" w:cs="Arial" w:eastAsia="Arial" w:hAnsi="Arial"/>
                <w:sz w:val="18"/>
                <w:szCs w:val="18"/>
                <w:color w:val="auto"/>
              </w:rPr>
              <w:t>Nomination of Directors; Notice of Stockholder Nominees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100" w:type="dxa"/>
            <w:vAlign w:val="bottom"/>
          </w:tcPr>
          <w:p>
            <w:pPr>
              <w:ind w:left="100"/>
              <w:spacing w:after="0"/>
              <w:rPr>
                <w:sz w:val="20"/>
                <w:szCs w:val="20"/>
                <w:color w:val="auto"/>
              </w:rPr>
            </w:pPr>
            <w:r>
              <w:rPr>
                <w:rFonts w:ascii="Arial" w:cs="Arial" w:eastAsia="Arial" w:hAnsi="Arial"/>
                <w:sz w:val="18"/>
                <w:szCs w:val="18"/>
                <w:color w:val="auto"/>
              </w:rPr>
              <w:t>Business at Annual or Special Meeting; Notice of Stockholder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III Board of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00" w:type="dxa"/>
            <w:vAlign w:val="bottom"/>
          </w:tcPr>
          <w:p>
            <w:pPr>
              <w:ind w:left="100"/>
              <w:spacing w:after="0"/>
              <w:rPr>
                <w:sz w:val="20"/>
                <w:szCs w:val="20"/>
                <w:color w:val="auto"/>
              </w:rPr>
            </w:pPr>
            <w:r>
              <w:rPr>
                <w:rFonts w:ascii="Arial" w:cs="Arial" w:eastAsia="Arial" w:hAnsi="Arial"/>
                <w:sz w:val="18"/>
                <w:szCs w:val="18"/>
                <w:color w:val="auto"/>
              </w:rPr>
              <w:t>General Powers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00" w:type="dxa"/>
            <w:vAlign w:val="bottom"/>
          </w:tcPr>
          <w:p>
            <w:pPr>
              <w:ind w:left="100"/>
              <w:spacing w:after="0"/>
              <w:rPr>
                <w:sz w:val="20"/>
                <w:szCs w:val="20"/>
                <w:color w:val="auto"/>
              </w:rPr>
            </w:pPr>
            <w:r>
              <w:rPr>
                <w:rFonts w:ascii="Arial" w:cs="Arial" w:eastAsia="Arial" w:hAnsi="Arial"/>
                <w:sz w:val="18"/>
                <w:szCs w:val="18"/>
                <w:color w:val="auto"/>
              </w:rPr>
              <w:t>Number, Term of Office and Qualifications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00" w:type="dxa"/>
            <w:vAlign w:val="bottom"/>
          </w:tcPr>
          <w:p>
            <w:pPr>
              <w:ind w:left="100"/>
              <w:spacing w:after="0"/>
              <w:rPr>
                <w:sz w:val="20"/>
                <w:szCs w:val="20"/>
                <w:color w:val="auto"/>
              </w:rPr>
            </w:pPr>
            <w:r>
              <w:rPr>
                <w:rFonts w:ascii="Arial" w:cs="Arial" w:eastAsia="Arial" w:hAnsi="Arial"/>
                <w:sz w:val="18"/>
                <w:szCs w:val="18"/>
                <w:color w:val="auto"/>
              </w:rPr>
              <w:t>Election of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100" w:type="dxa"/>
            <w:vAlign w:val="bottom"/>
          </w:tcPr>
          <w:p>
            <w:pPr>
              <w:ind w:left="100"/>
              <w:spacing w:after="0"/>
              <w:rPr>
                <w:sz w:val="20"/>
                <w:szCs w:val="20"/>
                <w:color w:val="auto"/>
              </w:rPr>
            </w:pPr>
            <w:r>
              <w:rPr>
                <w:rFonts w:ascii="Arial" w:cs="Arial" w:eastAsia="Arial" w:hAnsi="Arial"/>
                <w:sz w:val="18"/>
                <w:szCs w:val="18"/>
                <w:color w:val="auto"/>
              </w:rPr>
              <w:t>Organization and Order of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100" w:type="dxa"/>
            <w:vAlign w:val="bottom"/>
          </w:tcPr>
          <w:p>
            <w:pPr>
              <w:ind w:left="100"/>
              <w:spacing w:after="0"/>
              <w:rPr>
                <w:sz w:val="20"/>
                <w:szCs w:val="20"/>
                <w:color w:val="auto"/>
              </w:rPr>
            </w:pPr>
            <w:r>
              <w:rPr>
                <w:rFonts w:ascii="Arial" w:cs="Arial" w:eastAsia="Arial" w:hAnsi="Arial"/>
                <w:sz w:val="18"/>
                <w:szCs w:val="18"/>
                <w:color w:val="auto"/>
              </w:rPr>
              <w:t>Resignations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100" w:type="dxa"/>
            <w:vAlign w:val="bottom"/>
          </w:tcPr>
          <w:p>
            <w:pPr>
              <w:ind w:left="100"/>
              <w:spacing w:after="0"/>
              <w:rPr>
                <w:sz w:val="20"/>
                <w:szCs w:val="20"/>
                <w:color w:val="auto"/>
              </w:rPr>
            </w:pPr>
            <w:r>
              <w:rPr>
                <w:rFonts w:ascii="Arial" w:cs="Arial" w:eastAsia="Arial" w:hAnsi="Arial"/>
                <w:sz w:val="18"/>
                <w:szCs w:val="18"/>
                <w:color w:val="auto"/>
              </w:rPr>
              <w:t>Vacancies and Increases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100" w:type="dxa"/>
            <w:vAlign w:val="bottom"/>
          </w:tcPr>
          <w:p>
            <w:pPr>
              <w:ind w:left="100"/>
              <w:spacing w:after="0"/>
              <w:rPr>
                <w:sz w:val="20"/>
                <w:szCs w:val="20"/>
                <w:color w:val="auto"/>
              </w:rPr>
            </w:pPr>
            <w:r>
              <w:rPr>
                <w:rFonts w:ascii="Arial" w:cs="Arial" w:eastAsia="Arial" w:hAnsi="Arial"/>
                <w:sz w:val="18"/>
                <w:szCs w:val="18"/>
                <w:color w:val="auto"/>
              </w:rPr>
              <w:t>Emergency By-Laws and Other Powers in Emergency</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100" w:type="dxa"/>
            <w:vAlign w:val="bottom"/>
          </w:tcPr>
          <w:p>
            <w:pPr>
              <w:ind w:left="100"/>
              <w:spacing w:after="0"/>
              <w:rPr>
                <w:sz w:val="20"/>
                <w:szCs w:val="20"/>
                <w:color w:val="auto"/>
              </w:rPr>
            </w:pPr>
            <w:r>
              <w:rPr>
                <w:rFonts w:ascii="Arial" w:cs="Arial" w:eastAsia="Arial" w:hAnsi="Arial"/>
                <w:sz w:val="18"/>
                <w:szCs w:val="18"/>
                <w:color w:val="auto"/>
              </w:rPr>
              <w:t>Place of Meeting</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10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100" w:type="dxa"/>
            <w:vAlign w:val="bottom"/>
          </w:tcPr>
          <w:p>
            <w:pPr>
              <w:ind w:left="100"/>
              <w:spacing w:after="0"/>
              <w:rPr>
                <w:sz w:val="20"/>
                <w:szCs w:val="20"/>
                <w:color w:val="auto"/>
              </w:rPr>
            </w:pPr>
            <w:r>
              <w:rPr>
                <w:rFonts w:ascii="Arial" w:cs="Arial" w:eastAsia="Arial" w:hAnsi="Arial"/>
                <w:sz w:val="18"/>
                <w:szCs w:val="18"/>
                <w:color w:val="auto"/>
              </w:rPr>
              <w:t>Special Meetings; Notice</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100" w:type="dxa"/>
            <w:vAlign w:val="bottom"/>
          </w:tcPr>
          <w:p>
            <w:pPr>
              <w:ind w:left="100"/>
              <w:spacing w:after="0"/>
              <w:rPr>
                <w:sz w:val="20"/>
                <w:szCs w:val="20"/>
                <w:color w:val="auto"/>
              </w:rPr>
            </w:pPr>
            <w:r>
              <w:rPr>
                <w:rFonts w:ascii="Arial" w:cs="Arial" w:eastAsia="Arial" w:hAnsi="Arial"/>
                <w:sz w:val="18"/>
                <w:szCs w:val="18"/>
                <w:color w:val="auto"/>
              </w:rPr>
              <w:t>Quorum and Manner of Acting</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10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IV Committees of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00" w:type="dxa"/>
            <w:vAlign w:val="bottom"/>
          </w:tcPr>
          <w:p>
            <w:pPr>
              <w:ind w:left="100"/>
              <w:spacing w:after="0"/>
              <w:rPr>
                <w:sz w:val="20"/>
                <w:szCs w:val="20"/>
                <w:color w:val="auto"/>
              </w:rPr>
            </w:pPr>
            <w:r>
              <w:rPr>
                <w:rFonts w:ascii="Arial" w:cs="Arial" w:eastAsia="Arial" w:hAnsi="Arial"/>
                <w:sz w:val="18"/>
                <w:szCs w:val="18"/>
                <w:color w:val="auto"/>
              </w:rPr>
              <w:t>Appointment of Committees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00" w:type="dxa"/>
            <w:vAlign w:val="bottom"/>
          </w:tcPr>
          <w:p>
            <w:pPr>
              <w:ind w:left="100"/>
              <w:spacing w:after="0"/>
              <w:rPr>
                <w:sz w:val="20"/>
                <w:szCs w:val="20"/>
                <w:color w:val="auto"/>
              </w:rPr>
            </w:pPr>
            <w:r>
              <w:rPr>
                <w:rFonts w:ascii="Arial" w:cs="Arial" w:eastAsia="Arial" w:hAnsi="Arial"/>
                <w:sz w:val="18"/>
                <w:szCs w:val="18"/>
                <w:color w:val="auto"/>
              </w:rPr>
              <w:t>Procedure</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00" w:type="dxa"/>
            <w:vAlign w:val="bottom"/>
          </w:tcPr>
          <w:p>
            <w:pPr>
              <w:ind w:left="100"/>
              <w:spacing w:after="0"/>
              <w:rPr>
                <w:sz w:val="20"/>
                <w:szCs w:val="20"/>
                <w:color w:val="auto"/>
              </w:rPr>
            </w:pPr>
            <w:r>
              <w:rPr>
                <w:rFonts w:ascii="Arial" w:cs="Arial" w:eastAsia="Arial" w:hAnsi="Arial"/>
                <w:sz w:val="18"/>
                <w:szCs w:val="18"/>
                <w:color w:val="auto"/>
              </w:rPr>
              <w:t>Minutes of Committee Proceedings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640" w:type="dxa"/>
            <w:vAlign w:val="bottom"/>
          </w:tcPr>
          <w:p>
            <w:pPr>
              <w:spacing w:after="0"/>
              <w:rPr>
                <w:sz w:val="20"/>
                <w:szCs w:val="20"/>
                <w:color w:val="auto"/>
              </w:rPr>
            </w:pPr>
            <w:r>
              <w:rPr>
                <w:rFonts w:ascii="Arial" w:cs="Arial" w:eastAsia="Arial" w:hAnsi="Arial"/>
                <w:sz w:val="18"/>
                <w:szCs w:val="18"/>
                <w:color w:val="auto"/>
              </w:rPr>
              <w:t>ARTICLE V Officers</w:t>
            </w:r>
          </w:p>
        </w:tc>
        <w:tc>
          <w:tcPr>
            <w:tcW w:w="7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00" w:type="dxa"/>
            <w:vAlign w:val="bottom"/>
          </w:tcPr>
          <w:p>
            <w:pPr>
              <w:ind w:left="100"/>
              <w:spacing w:after="0"/>
              <w:rPr>
                <w:sz w:val="20"/>
                <w:szCs w:val="20"/>
                <w:color w:val="auto"/>
              </w:rPr>
            </w:pPr>
            <w:r>
              <w:rPr>
                <w:rFonts w:ascii="Arial" w:cs="Arial" w:eastAsia="Arial" w:hAnsi="Arial"/>
                <w:sz w:val="18"/>
                <w:szCs w:val="18"/>
                <w:color w:val="auto"/>
              </w:rPr>
              <w:t>Officers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00" w:type="dxa"/>
            <w:vAlign w:val="bottom"/>
          </w:tcPr>
          <w:p>
            <w:pPr>
              <w:ind w:left="100"/>
              <w:spacing w:after="0"/>
              <w:rPr>
                <w:sz w:val="20"/>
                <w:szCs w:val="20"/>
                <w:color w:val="auto"/>
              </w:rPr>
            </w:pPr>
            <w:r>
              <w:rPr>
                <w:rFonts w:ascii="Arial" w:cs="Arial" w:eastAsia="Arial" w:hAnsi="Arial"/>
                <w:sz w:val="18"/>
                <w:szCs w:val="18"/>
                <w:color w:val="auto"/>
              </w:rPr>
              <w:t>Election and Term of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00" w:type="dxa"/>
            <w:vAlign w:val="bottom"/>
          </w:tcPr>
          <w:p>
            <w:pPr>
              <w:ind w:left="100"/>
              <w:spacing w:after="0"/>
              <w:rPr>
                <w:sz w:val="20"/>
                <w:szCs w:val="20"/>
                <w:color w:val="auto"/>
              </w:rPr>
            </w:pPr>
            <w:r>
              <w:rPr>
                <w:rFonts w:ascii="Arial" w:cs="Arial" w:eastAsia="Arial" w:hAnsi="Arial"/>
                <w:sz w:val="18"/>
                <w:szCs w:val="18"/>
                <w:color w:val="auto"/>
              </w:rPr>
              <w:t>Election by Board Committee or Officer</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80" w:type="dxa"/>
            <w:vAlign w:val="bottom"/>
          </w:tcPr>
          <w:p>
            <w:pPr>
              <w:ind w:left="240"/>
              <w:spacing w:after="0"/>
              <w:rPr>
                <w:sz w:val="20"/>
                <w:szCs w:val="20"/>
                <w:color w:val="auto"/>
              </w:rPr>
            </w:pPr>
            <w:r>
              <w:rPr>
                <w:rFonts w:ascii="Arial" w:cs="Arial" w:eastAsia="Arial" w:hAnsi="Arial"/>
                <w:sz w:val="18"/>
                <w:szCs w:val="18"/>
                <w:color w:val="auto"/>
              </w:rPr>
              <w:t>Removal</w:t>
            </w: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8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8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80" w:type="dxa"/>
            <w:vAlign w:val="bottom"/>
          </w:tcPr>
          <w:p>
            <w:pPr>
              <w:ind w:left="240"/>
              <w:spacing w:after="0"/>
              <w:rPr>
                <w:sz w:val="20"/>
                <w:szCs w:val="20"/>
                <w:color w:val="auto"/>
              </w:rPr>
            </w:pPr>
            <w:r>
              <w:rPr>
                <w:rFonts w:ascii="Arial" w:cs="Arial" w:eastAsia="Arial" w:hAnsi="Arial"/>
                <w:sz w:val="18"/>
                <w:szCs w:val="18"/>
                <w:color w:val="auto"/>
              </w:rPr>
              <w:t>Chairman of the Board of Directors</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80" w:type="dxa"/>
            <w:vAlign w:val="bottom"/>
          </w:tcPr>
          <w:p>
            <w:pPr>
              <w:ind w:left="240"/>
              <w:spacing w:after="0"/>
              <w:rPr>
                <w:sz w:val="20"/>
                <w:szCs w:val="20"/>
                <w:color w:val="auto"/>
              </w:rPr>
            </w:pPr>
            <w:r>
              <w:rPr>
                <w:rFonts w:ascii="Arial" w:cs="Arial" w:eastAsia="Arial" w:hAnsi="Arial"/>
                <w:sz w:val="18"/>
                <w:szCs w:val="18"/>
                <w:color w:val="auto"/>
              </w:rPr>
              <w:t>President</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80" w:type="dxa"/>
            <w:vAlign w:val="bottom"/>
          </w:tcPr>
          <w:p>
            <w:pPr>
              <w:ind w:left="240"/>
              <w:spacing w:after="0"/>
              <w:rPr>
                <w:sz w:val="20"/>
                <w:szCs w:val="20"/>
                <w:color w:val="auto"/>
              </w:rPr>
            </w:pPr>
            <w:r>
              <w:rPr>
                <w:rFonts w:ascii="Arial" w:cs="Arial" w:eastAsia="Arial" w:hAnsi="Arial"/>
                <w:sz w:val="18"/>
                <w:szCs w:val="18"/>
                <w:color w:val="auto"/>
              </w:rPr>
              <w:t>Inability of Chairman of the Board and President to Act</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680" w:type="dxa"/>
            <w:vAlign w:val="bottom"/>
          </w:tcPr>
          <w:p>
            <w:pPr>
              <w:ind w:left="240"/>
              <w:spacing w:after="0"/>
              <w:rPr>
                <w:sz w:val="20"/>
                <w:szCs w:val="20"/>
                <w:color w:val="auto"/>
              </w:rPr>
            </w:pPr>
            <w:r>
              <w:rPr>
                <w:rFonts w:ascii="Arial" w:cs="Arial" w:eastAsia="Arial" w:hAnsi="Arial"/>
                <w:sz w:val="18"/>
                <w:szCs w:val="18"/>
                <w:color w:val="auto"/>
              </w:rPr>
              <w:t>Executive Vice Presidents, Senior Vice Presidents and Vice Presidents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680" w:type="dxa"/>
            <w:vAlign w:val="bottom"/>
          </w:tcPr>
          <w:p>
            <w:pPr>
              <w:ind w:left="240"/>
              <w:spacing w:after="0"/>
              <w:rPr>
                <w:sz w:val="20"/>
                <w:szCs w:val="20"/>
                <w:color w:val="auto"/>
              </w:rPr>
            </w:pPr>
            <w:r>
              <w:rPr>
                <w:rFonts w:ascii="Arial" w:cs="Arial" w:eastAsia="Arial" w:hAnsi="Arial"/>
                <w:sz w:val="18"/>
                <w:szCs w:val="18"/>
                <w:color w:val="auto"/>
              </w:rPr>
              <w:t>The Secretary</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680" w:type="dxa"/>
            <w:vAlign w:val="bottom"/>
          </w:tcPr>
          <w:p>
            <w:pPr>
              <w:ind w:left="240"/>
              <w:spacing w:after="0"/>
              <w:rPr>
                <w:sz w:val="20"/>
                <w:szCs w:val="20"/>
                <w:color w:val="auto"/>
              </w:rPr>
            </w:pPr>
            <w:r>
              <w:rPr>
                <w:rFonts w:ascii="Arial" w:cs="Arial" w:eastAsia="Arial" w:hAnsi="Arial"/>
                <w:sz w:val="18"/>
                <w:szCs w:val="18"/>
                <w:color w:val="auto"/>
              </w:rPr>
              <w:t>The Assistant Secretary</w:t>
            </w: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680" w:type="dxa"/>
            <w:vAlign w:val="bottom"/>
          </w:tcPr>
          <w:p>
            <w:pPr>
              <w:ind w:left="240"/>
              <w:spacing w:after="0"/>
              <w:rPr>
                <w:sz w:val="20"/>
                <w:szCs w:val="20"/>
                <w:color w:val="auto"/>
              </w:rPr>
            </w:pPr>
            <w:r>
              <w:rPr>
                <w:rFonts w:ascii="Arial" w:cs="Arial" w:eastAsia="Arial" w:hAnsi="Arial"/>
                <w:sz w:val="18"/>
                <w:szCs w:val="18"/>
                <w:color w:val="auto"/>
              </w:rPr>
              <w:t>The Treasurer</w:t>
            </w: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680" w:type="dxa"/>
            <w:vAlign w:val="bottom"/>
          </w:tcPr>
          <w:p>
            <w:pPr>
              <w:ind w:left="240"/>
              <w:spacing w:after="0"/>
              <w:rPr>
                <w:sz w:val="20"/>
                <w:szCs w:val="20"/>
                <w:color w:val="auto"/>
              </w:rPr>
            </w:pPr>
            <w:r>
              <w:rPr>
                <w:rFonts w:ascii="Arial" w:cs="Arial" w:eastAsia="Arial" w:hAnsi="Arial"/>
                <w:sz w:val="18"/>
                <w:szCs w:val="18"/>
                <w:color w:val="auto"/>
              </w:rPr>
              <w:t>The Assistant Treasurer</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680" w:type="dxa"/>
            <w:vAlign w:val="bottom"/>
          </w:tcPr>
          <w:p>
            <w:pPr>
              <w:ind w:left="240"/>
              <w:spacing w:after="0"/>
              <w:rPr>
                <w:sz w:val="20"/>
                <w:szCs w:val="20"/>
                <w:color w:val="auto"/>
              </w:rPr>
            </w:pPr>
            <w:r>
              <w:rPr>
                <w:rFonts w:ascii="Arial" w:cs="Arial" w:eastAsia="Arial" w:hAnsi="Arial"/>
                <w:sz w:val="18"/>
                <w:szCs w:val="18"/>
                <w:color w:val="auto"/>
              </w:rPr>
              <w:t>Salaries</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 Indemnification of Directors, Officers and Employees of the Corporation</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 Contracts, Checks, Drafts, Bank Accounts, Books and Records, etc.</w:t>
            </w: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240"/>
              <w:spacing w:after="0"/>
              <w:rPr>
                <w:sz w:val="20"/>
                <w:szCs w:val="20"/>
                <w:color w:val="auto"/>
              </w:rPr>
            </w:pPr>
            <w:r>
              <w:rPr>
                <w:rFonts w:ascii="Arial" w:cs="Arial" w:eastAsia="Arial" w:hAnsi="Arial"/>
                <w:sz w:val="18"/>
                <w:szCs w:val="18"/>
                <w:color w:val="auto"/>
              </w:rPr>
              <w:t>Execution of Contracts</w:t>
            </w: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240"/>
              <w:spacing w:after="0"/>
              <w:rPr>
                <w:sz w:val="20"/>
                <w:szCs w:val="20"/>
                <w:color w:val="auto"/>
              </w:rPr>
            </w:pPr>
            <w:r>
              <w:rPr>
                <w:rFonts w:ascii="Arial" w:cs="Arial" w:eastAsia="Arial" w:hAnsi="Arial"/>
                <w:sz w:val="18"/>
                <w:szCs w:val="18"/>
                <w:color w:val="auto"/>
              </w:rPr>
              <w:t>Loans</w:t>
            </w:r>
          </w:p>
        </w:tc>
        <w:tc>
          <w:tcPr>
            <w:tcW w:w="1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80" w:type="dxa"/>
            <w:vAlign w:val="bottom"/>
          </w:tcPr>
          <w:p>
            <w:pPr>
              <w:ind w:left="240"/>
              <w:spacing w:after="0"/>
              <w:rPr>
                <w:sz w:val="20"/>
                <w:szCs w:val="20"/>
                <w:color w:val="auto"/>
              </w:rPr>
            </w:pPr>
            <w:r>
              <w:rPr>
                <w:rFonts w:ascii="Arial" w:cs="Arial" w:eastAsia="Arial" w:hAnsi="Arial"/>
                <w:sz w:val="18"/>
                <w:szCs w:val="18"/>
                <w:color w:val="auto"/>
              </w:rPr>
              <w:t>Checks, Drafts, etc.</w:t>
            </w:r>
          </w:p>
        </w:tc>
        <w:tc>
          <w:tcPr>
            <w:tcW w:w="1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80" w:type="dxa"/>
            <w:vAlign w:val="bottom"/>
          </w:tcPr>
          <w:p>
            <w:pPr>
              <w:ind w:left="240"/>
              <w:spacing w:after="0"/>
              <w:rPr>
                <w:sz w:val="20"/>
                <w:szCs w:val="20"/>
                <w:color w:val="auto"/>
              </w:rPr>
            </w:pPr>
            <w:r>
              <w:rPr>
                <w:rFonts w:ascii="Arial" w:cs="Arial" w:eastAsia="Arial" w:hAnsi="Arial"/>
                <w:sz w:val="18"/>
                <w:szCs w:val="18"/>
                <w:color w:val="auto"/>
              </w:rPr>
              <w:t>Deposits</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80" w:type="dxa"/>
            <w:vAlign w:val="bottom"/>
          </w:tcPr>
          <w:p>
            <w:pPr>
              <w:ind w:left="240"/>
              <w:spacing w:after="0"/>
              <w:rPr>
                <w:sz w:val="20"/>
                <w:szCs w:val="20"/>
                <w:color w:val="auto"/>
              </w:rPr>
            </w:pPr>
            <w:r>
              <w:rPr>
                <w:rFonts w:ascii="Arial" w:cs="Arial" w:eastAsia="Arial" w:hAnsi="Arial"/>
                <w:sz w:val="18"/>
                <w:szCs w:val="18"/>
                <w:color w:val="auto"/>
              </w:rPr>
              <w:t>General and Special Bank Accounts</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80" w:type="dxa"/>
            <w:vAlign w:val="bottom"/>
          </w:tcPr>
          <w:p>
            <w:pPr>
              <w:ind w:left="240"/>
              <w:spacing w:after="0"/>
              <w:rPr>
                <w:sz w:val="20"/>
                <w:szCs w:val="20"/>
                <w:color w:val="auto"/>
              </w:rPr>
            </w:pPr>
            <w:r>
              <w:rPr>
                <w:rFonts w:ascii="Arial" w:cs="Arial" w:eastAsia="Arial" w:hAnsi="Arial"/>
                <w:sz w:val="18"/>
                <w:szCs w:val="18"/>
                <w:color w:val="auto"/>
              </w:rPr>
              <w:t>Proxies in Respect of Stock or Other Securities of Other Corporations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VIII Books and Records</w:t>
            </w:r>
          </w:p>
        </w:tc>
        <w:tc>
          <w:tcPr>
            <w:tcW w:w="1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9180" w:type="dxa"/>
            <w:vAlign w:val="bottom"/>
            <w:gridSpan w:val="2"/>
          </w:tcPr>
          <w:p>
            <w:pPr>
              <w:spacing w:after="0"/>
              <w:rPr>
                <w:sz w:val="20"/>
                <w:szCs w:val="20"/>
                <w:color w:val="auto"/>
              </w:rPr>
            </w:pPr>
            <w:r>
              <w:rPr>
                <w:rFonts w:ascii="Arial" w:cs="Arial" w:eastAsia="Arial" w:hAnsi="Arial"/>
                <w:sz w:val="18"/>
                <w:szCs w:val="18"/>
                <w:color w:val="auto"/>
              </w:rPr>
              <w:t>ARTICLE IX Shares and Their Transfer; Examination of Books</w:t>
            </w:r>
          </w:p>
        </w:tc>
        <w:tc>
          <w:tcPr>
            <w:tcW w:w="1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240"/>
              <w:spacing w:after="0"/>
              <w:rPr>
                <w:sz w:val="20"/>
                <w:szCs w:val="20"/>
                <w:color w:val="auto"/>
              </w:rPr>
            </w:pPr>
            <w:r>
              <w:rPr>
                <w:rFonts w:ascii="Arial" w:cs="Arial" w:eastAsia="Arial" w:hAnsi="Arial"/>
                <w:sz w:val="18"/>
                <w:szCs w:val="18"/>
                <w:color w:val="auto"/>
              </w:rPr>
              <w:t>Certificates for Stock</w:t>
            </w:r>
          </w:p>
        </w:tc>
        <w:tc>
          <w:tcPr>
            <w:tcW w:w="1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240"/>
              <w:spacing w:after="0"/>
              <w:rPr>
                <w:sz w:val="20"/>
                <w:szCs w:val="20"/>
                <w:color w:val="auto"/>
              </w:rPr>
            </w:pPr>
            <w:r>
              <w:rPr>
                <w:rFonts w:ascii="Arial" w:cs="Arial" w:eastAsia="Arial" w:hAnsi="Arial"/>
                <w:sz w:val="18"/>
                <w:szCs w:val="18"/>
                <w:color w:val="auto"/>
              </w:rPr>
              <w:t>Transfers of Stock</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80" w:type="dxa"/>
            <w:vAlign w:val="bottom"/>
          </w:tcPr>
          <w:p>
            <w:pPr>
              <w:ind w:left="240"/>
              <w:spacing w:after="0"/>
              <w:rPr>
                <w:sz w:val="20"/>
                <w:szCs w:val="20"/>
                <w:color w:val="auto"/>
              </w:rPr>
            </w:pPr>
            <w:r>
              <w:rPr>
                <w:rFonts w:ascii="Arial" w:cs="Arial" w:eastAsia="Arial" w:hAnsi="Arial"/>
                <w:sz w:val="18"/>
                <w:szCs w:val="18"/>
                <w:color w:val="auto"/>
              </w:rPr>
              <w:t>Regulations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80" w:type="dxa"/>
            <w:vAlign w:val="bottom"/>
          </w:tcPr>
          <w:p>
            <w:pPr>
              <w:ind w:left="240"/>
              <w:spacing w:after="0"/>
              <w:rPr>
                <w:sz w:val="20"/>
                <w:szCs w:val="20"/>
                <w:color w:val="auto"/>
              </w:rPr>
            </w:pPr>
            <w:r>
              <w:rPr>
                <w:rFonts w:ascii="Arial" w:cs="Arial" w:eastAsia="Arial" w:hAnsi="Arial"/>
                <w:sz w:val="18"/>
                <w:szCs w:val="18"/>
                <w:color w:val="auto"/>
              </w:rPr>
              <w:t>Lost, Destroyed, Stolen, and Mutilated Certificates</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80" w:type="dxa"/>
            <w:vAlign w:val="bottom"/>
          </w:tcPr>
          <w:p>
            <w:pPr>
              <w:ind w:left="240"/>
              <w:spacing w:after="0"/>
              <w:rPr>
                <w:sz w:val="20"/>
                <w:szCs w:val="20"/>
                <w:color w:val="auto"/>
              </w:rPr>
            </w:pPr>
            <w:r>
              <w:rPr>
                <w:rFonts w:ascii="Arial" w:cs="Arial" w:eastAsia="Arial" w:hAnsi="Arial"/>
                <w:sz w:val="18"/>
                <w:szCs w:val="18"/>
                <w:color w:val="auto"/>
              </w:rPr>
              <w:t>Fixing Record Date</w:t>
            </w:r>
          </w:p>
        </w:tc>
        <w:tc>
          <w:tcPr>
            <w:tcW w:w="1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X Seal</w:t>
            </w:r>
          </w:p>
        </w:tc>
        <w:tc>
          <w:tcPr>
            <w:tcW w:w="76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XI Fiscal Year</w:t>
            </w:r>
          </w:p>
        </w:tc>
        <w:tc>
          <w:tcPr>
            <w:tcW w:w="1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XII Notices and Waivers Thereof</w:t>
            </w:r>
          </w:p>
        </w:tc>
        <w:tc>
          <w:tcPr>
            <w:tcW w:w="1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1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XIV Definitions and Interpretations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500" w:type="dxa"/>
            <w:vAlign w:val="bottom"/>
          </w:tcPr>
          <w:p>
            <w:pPr>
              <w:spacing w:after="0"/>
              <w:rPr>
                <w:sz w:val="24"/>
                <w:szCs w:val="24"/>
                <w:color w:val="auto"/>
              </w:rPr>
            </w:pPr>
          </w:p>
        </w:tc>
        <w:tc>
          <w:tcPr>
            <w:tcW w:w="7680" w:type="dxa"/>
            <w:vAlign w:val="bottom"/>
          </w:tcPr>
          <w:p>
            <w:pPr>
              <w:ind w:left="1920"/>
              <w:spacing w:after="0"/>
              <w:rPr>
                <w:sz w:val="20"/>
                <w:szCs w:val="20"/>
                <w:color w:val="auto"/>
              </w:rPr>
            </w:pPr>
            <w:r>
              <w:rPr>
                <w:rFonts w:ascii="Arial" w:cs="Arial" w:eastAsia="Arial" w:hAnsi="Arial"/>
                <w:sz w:val="18"/>
                <w:szCs w:val="18"/>
                <w:color w:val="auto"/>
              </w:rPr>
              <w:t>*This Index is not part of the official text of the By-Laws.</w:t>
            </w:r>
          </w:p>
        </w:tc>
        <w:tc>
          <w:tcPr>
            <w:tcW w:w="1780" w:type="dxa"/>
            <w:vAlign w:val="bottom"/>
          </w:tcPr>
          <w:p>
            <w:pPr>
              <w:spacing w:after="0"/>
              <w:rPr>
                <w:sz w:val="24"/>
                <w:szCs w:val="24"/>
                <w:color w:val="auto"/>
              </w:rPr>
            </w:pPr>
          </w:p>
        </w:tc>
      </w:tr>
      <w:tr>
        <w:trPr>
          <w:trHeight w:val="365"/>
        </w:trPr>
        <w:tc>
          <w:tcPr>
            <w:tcW w:w="1500" w:type="dxa"/>
            <w:vAlign w:val="bottom"/>
          </w:tcPr>
          <w:p>
            <w:pPr>
              <w:spacing w:after="0"/>
              <w:rPr>
                <w:sz w:val="24"/>
                <w:szCs w:val="24"/>
                <w:color w:val="auto"/>
              </w:rPr>
            </w:pPr>
          </w:p>
        </w:tc>
        <w:tc>
          <w:tcPr>
            <w:tcW w:w="7680" w:type="dxa"/>
            <w:vAlign w:val="bottom"/>
          </w:tcPr>
          <w:p>
            <w:pPr>
              <w:ind w:left="396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Y - L A W 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TEXAS INSTRUMENTS INCORPORATED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of the Corporation in the State of Delaware and the name of the registered agent of the Corporation shall be set forth in the Corporation’s Certificate of Incorporation.</w:t>
      </w:r>
    </w:p>
    <w:p>
      <w:pPr>
        <w:spacing w:after="0" w:line="162"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Other Offices.</w:t>
      </w:r>
      <w:r>
        <w:rPr>
          <w:rFonts w:ascii="Arial" w:cs="Arial" w:eastAsia="Arial" w:hAnsi="Arial"/>
          <w:sz w:val="18"/>
          <w:szCs w:val="18"/>
          <w:color w:val="auto"/>
        </w:rPr>
        <w:t xml:space="preserve">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5"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Annual Meetings.</w:t>
      </w:r>
      <w:r>
        <w:rPr>
          <w:rFonts w:ascii="Arial" w:cs="Arial" w:eastAsia="Arial" w:hAnsi="Arial"/>
          <w:sz w:val="16"/>
          <w:szCs w:val="16"/>
          <w:color w:val="auto"/>
        </w:rPr>
        <w:t xml:space="preserve"> An annual meeting of the stockholders of the Corporation shall be held on a date fixed from time to time by the Board of Directors, for the purpose of electing directors and for the transaction of such other business as may properly be brought before such meeting.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Special Meetings.</w:t>
      </w:r>
    </w:p>
    <w:p>
      <w:pPr>
        <w:spacing w:after="0" w:line="121" w:lineRule="exact"/>
        <w:rPr>
          <w:sz w:val="20"/>
          <w:szCs w:val="20"/>
          <w:color w:val="auto"/>
        </w:rPr>
      </w:pPr>
    </w:p>
    <w:p>
      <w:pPr>
        <w:ind w:firstLine="436"/>
        <w:spacing w:after="0" w:line="259"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Special meetings of the stockholders, for any purpose or purposes, may be called at any time by the Chairman of the Board, President, or the Board of Directors, and shall be called by the Chairman of the Board, President or the Secretary (i) at the request in writing of a majority of the Board of Directors, or (ii) in accordance with Section 2(b), except as otherwise provided by law or in the Certificate of Incorporation or any amendment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firstLine="436"/>
        <w:spacing w:after="0" w:line="269" w:lineRule="auto"/>
        <w:tabs>
          <w:tab w:leader="none" w:pos="69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Stockholder-Requested Special Meeting</w:t>
      </w:r>
      <w:r>
        <w:rPr>
          <w:rFonts w:ascii="Arial" w:cs="Arial" w:eastAsia="Arial" w:hAnsi="Arial"/>
          <w:sz w:val="17"/>
          <w:szCs w:val="17"/>
          <w:color w:val="auto"/>
        </w:rPr>
        <w:t>. Subject to the provisions of these By-Laws, if the Corporation timely receives valid Special Meeting Requests (as defined below) from one or more stockholders Owning at least the Requisite Percentage, the Board of Directors will call a special meeting requested by stockholders (a “Stockholder-Requested Special Meeting”). Any Stockholder-Requested Special Meeting will be held at a date, time, and place within or without the State of Delaware as determined by the Board of Directors. In fixing a date and time for a Stockholder-Requested Special Meeting, the Board of Directors may consider factors it deems relevant in the exercise of business judgment, including the nature of the matters to be considered, the facts and circumstances surrounding the request for the special meeting, and any plan of the Board of Directors to call an annual or special meeting. The business conducted at a Stockholder-Requested Special Meeting is limited to the purpose or purposes set forth in the notice of special meeting delivered by the Board of Directors in accordance with Article II, Section 10; provided, however, that nothing herein prohibits the Board of Directors from submitting additional matters to stockholders at a special meeting. The Secretary will determine in good faith whether the requirements in these By-Laws have been satisfied, and that determination will be binding on the Corporation and its stockholders. For purposes of this Section 2, “Own” is defined in Article II, Section 9(c)(4).</w:t>
      </w:r>
    </w:p>
    <w:p>
      <w:pPr>
        <w:spacing w:after="0" w:line="73" w:lineRule="exact"/>
        <w:rPr>
          <w:rFonts w:ascii="Arial" w:cs="Arial" w:eastAsia="Arial" w:hAnsi="Arial"/>
          <w:sz w:val="17"/>
          <w:szCs w:val="17"/>
          <w:color w:val="auto"/>
        </w:rPr>
      </w:pPr>
    </w:p>
    <w:p>
      <w:pPr>
        <w:ind w:left="440" w:right="60" w:firstLine="419"/>
        <w:spacing w:after="0" w:line="277" w:lineRule="auto"/>
        <w:tabs>
          <w:tab w:leader="none" w:pos="1118"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Requesting stockholders</w:t>
      </w:r>
      <w:r>
        <w:rPr>
          <w:rFonts w:ascii="Arial" w:cs="Arial" w:eastAsia="Arial" w:hAnsi="Arial"/>
          <w:sz w:val="18"/>
          <w:szCs w:val="18"/>
          <w:color w:val="auto"/>
        </w:rPr>
        <w:t>. In order to submit a valid Special Meeting Request, a stockholder must Own common stock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 “Requesting Stockholder”).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20" w:firstLine="419"/>
        <w:spacing w:after="0" w:line="263"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Requisite percentage</w:t>
      </w:r>
      <w:r>
        <w:rPr>
          <w:rFonts w:ascii="Arial" w:cs="Arial" w:eastAsia="Arial" w:hAnsi="Arial"/>
          <w:sz w:val="18"/>
          <w:szCs w:val="18"/>
          <w:color w:val="auto"/>
        </w:rPr>
        <w:t>. The Board of Directors is not required to call or hold a Stockholder-Requested Special Meeting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receives valid Special Meeting Requests from Requesting Stockholders Owning, individually or in the aggregate, at least 25% of the outstanding common stock of the Corporation (the “Requisite Percentage”).</w:t>
      </w:r>
    </w:p>
    <w:p>
      <w:pPr>
        <w:spacing w:after="0" w:line="75" w:lineRule="exact"/>
        <w:rPr>
          <w:rFonts w:ascii="Arial" w:cs="Arial" w:eastAsia="Arial" w:hAnsi="Arial"/>
          <w:sz w:val="18"/>
          <w:szCs w:val="18"/>
          <w:color w:val="auto"/>
        </w:rPr>
      </w:pPr>
    </w:p>
    <w:p>
      <w:pPr>
        <w:ind w:firstLine="419"/>
        <w:spacing w:after="0" w:line="259"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Special meeting requests</w:t>
      </w:r>
      <w:r>
        <w:rPr>
          <w:rFonts w:ascii="Arial" w:cs="Arial" w:eastAsia="Arial" w:hAnsi="Arial"/>
          <w:sz w:val="18"/>
          <w:szCs w:val="18"/>
          <w:color w:val="auto"/>
        </w:rPr>
        <w:t>. To be valid, a written request from a stockholder to call a special meeting (a “Special Meeting Request”)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signed and dated by the Requesting Stockholder or a Qualified Representative of the Requesting Stockholder; must be addressed to the Secretary and received at the principal executive offices of the Corporation by registered mail, return receipt requested, or other delivery service with tracking capabilities; and must include:</w:t>
      </w:r>
    </w:p>
    <w:p>
      <w:pPr>
        <w:spacing w:after="0" w:line="78" w:lineRule="exact"/>
        <w:rPr>
          <w:rFonts w:ascii="Arial" w:cs="Arial" w:eastAsia="Arial" w:hAnsi="Arial"/>
          <w:sz w:val="18"/>
          <w:szCs w:val="18"/>
          <w:color w:val="auto"/>
        </w:rPr>
      </w:pPr>
    </w:p>
    <w:p>
      <w:pPr>
        <w:ind w:left="540" w:right="320" w:firstLine="408"/>
        <w:spacing w:after="0" w:line="308" w:lineRule="auto"/>
        <w:tabs>
          <w:tab w:leader="none" w:pos="1236"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name and address, as they appear on the Corporation’s books, of the Requesting Stockholder, or in the case of beneficial ownership, a written statement from the record holder demonstrating the Requesting Stockholder’s ownership;</w:t>
      </w:r>
    </w:p>
    <w:p>
      <w:pPr>
        <w:spacing w:after="0" w:line="38" w:lineRule="exact"/>
        <w:rPr>
          <w:rFonts w:ascii="Arial" w:cs="Arial" w:eastAsia="Arial" w:hAnsi="Arial"/>
          <w:sz w:val="17"/>
          <w:szCs w:val="17"/>
          <w:color w:val="auto"/>
        </w:rPr>
      </w:pPr>
    </w:p>
    <w:p>
      <w:pPr>
        <w:ind w:left="540" w:right="360" w:firstLine="408"/>
        <w:spacing w:after="0" w:line="263" w:lineRule="auto"/>
        <w:tabs>
          <w:tab w:leader="none" w:pos="1226" w:val="left"/>
        </w:tabs>
        <w:numPr>
          <w:ilvl w:val="1"/>
          <w:numId w:val="5"/>
        </w:numPr>
        <w:rPr>
          <w:rFonts w:ascii="Arial" w:cs="Arial" w:eastAsia="Arial" w:hAnsi="Arial"/>
          <w:sz w:val="18"/>
          <w:szCs w:val="18"/>
          <w:color w:val="auto"/>
        </w:rPr>
      </w:pPr>
      <w:r>
        <w:rPr>
          <w:rFonts w:ascii="Arial" w:cs="Arial" w:eastAsia="Arial" w:hAnsi="Arial"/>
          <w:sz w:val="18"/>
          <w:szCs w:val="18"/>
          <w:color w:val="auto"/>
        </w:rPr>
        <w:t>documentary evidence from the Requesting Stockholder sufficient to satisfy the requirements of 17 CFR 240.14a-8(b)(2) specifying the number of shares of common stock of the Corporation that the Requesting Stockholder Owns as of the day the Special Meeting Request is submitted (“Request Date”);</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880" w:top="274" w:right="539" w:bottom="1440" w:gutter="0" w:footer="0" w:header="0"/>
        </w:sectPr>
      </w:pPr>
    </w:p>
    <w:bookmarkStart w:id="8" w:name="page9"/>
    <w:bookmarkEnd w:id="8"/>
    <w:p>
      <w:pPr>
        <w:ind w:left="-20" w:right="120" w:firstLine="408"/>
        <w:spacing w:after="0" w:line="29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acknowledgement by the Requesting Stockholder that (i) a disposition of shares of common stock Owned as of the Request Date made at any time prior to the date of the Stockholder-Requested Special Meeting will constitute a revocation of the Special Meeting Request with respect to the disposed shares; and (ii) if the Requesting Stockholder or a Qualified Representative of the stockholder does not appear or designate a representative to appear at the special meeting to present business, the proposed business will not be transacted, notwithstanding that proxies in respect of the vote might have already been received by the Corporation; and</w:t>
      </w:r>
    </w:p>
    <w:p>
      <w:pPr>
        <w:spacing w:after="0" w:line="53" w:lineRule="exact"/>
        <w:rPr>
          <w:rFonts w:ascii="Arial" w:cs="Arial" w:eastAsia="Arial" w:hAnsi="Arial"/>
          <w:sz w:val="16"/>
          <w:szCs w:val="16"/>
          <w:color w:val="auto"/>
        </w:rPr>
      </w:pPr>
    </w:p>
    <w:p>
      <w:pPr>
        <w:ind w:left="-20" w:right="80" w:firstLine="408"/>
        <w:spacing w:after="0" w:line="263" w:lineRule="auto"/>
        <w:tabs>
          <w:tab w:leader="none" w:pos="67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of the specific purpose or purposes of the special meeting, any material interest of the Requesting Stockholder in the specific purpose or purposes of the special meeting, and the business proposed to be conducted at the meeting in accordance with Article II, Section 10;</w:t>
      </w:r>
    </w:p>
    <w:p>
      <w:pPr>
        <w:spacing w:after="0" w:line="75" w:lineRule="exact"/>
        <w:rPr>
          <w:rFonts w:ascii="Arial" w:cs="Arial" w:eastAsia="Arial" w:hAnsi="Arial"/>
          <w:sz w:val="18"/>
          <w:szCs w:val="18"/>
          <w:color w:val="auto"/>
        </w:rPr>
      </w:pPr>
    </w:p>
    <w:p>
      <w:pPr>
        <w:ind w:left="-20" w:right="420" w:firstLine="408"/>
        <w:spacing w:after="0" w:line="27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representation as to whether the Requesting Stockholder intends to or is part of a group that intends to solicit proxies from stockholders in support of the proposed business;</w:t>
      </w:r>
    </w:p>
    <w:p>
      <w:pPr>
        <w:spacing w:after="0" w:line="62" w:lineRule="exact"/>
        <w:rPr>
          <w:rFonts w:ascii="Arial" w:cs="Arial" w:eastAsia="Arial" w:hAnsi="Arial"/>
          <w:sz w:val="18"/>
          <w:szCs w:val="18"/>
          <w:color w:val="auto"/>
        </w:rPr>
      </w:pPr>
    </w:p>
    <w:p>
      <w:pPr>
        <w:ind w:left="-20" w:firstLine="408"/>
        <w:spacing w:after="0" w:line="293" w:lineRule="auto"/>
        <w:tabs>
          <w:tab w:leader="none" w:pos="6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undertaking that (i) the Requesting Stockholder will continue to Own at least the number of shares reflected in the Special Meeting Request through date of the Stockholder-Requested Special Meeting; (ii) the Requesting Stockholder will promptly notify the Secretary at the principal executive offices of the Corporation upon any decrease in Ownership occurring between the Request Date and the date of the Stockholder-Requested Special Meeting; and (iii) the facts, statements and other information in all communications with the Corporation and its stockholders are and will be true and correct in all material respects and will not omit a fact necessary in order to make the communications made, in light of the circumstances under which they were made, not misleading.</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9" w:name="page10"/>
    <w:bookmarkEnd w:id="9"/>
    <w:p>
      <w:pPr>
        <w:ind w:left="4" w:right="20" w:firstLine="419"/>
        <w:spacing w:after="0" w:line="291" w:lineRule="auto"/>
        <w:tabs>
          <w:tab w:leader="none" w:pos="681"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Aggregation</w:t>
      </w:r>
      <w:r>
        <w:rPr>
          <w:rFonts w:ascii="Arial" w:cs="Arial" w:eastAsia="Arial" w:hAnsi="Arial"/>
          <w:sz w:val="16"/>
          <w:szCs w:val="16"/>
          <w:color w:val="auto"/>
        </w:rPr>
        <w:t>. In determining whether a Stockholder-Requested Special Meeting has been properly requested by stockholders who Own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aggregate at least the Requisite Percentage, multiple Special Meeting Requests delivered to the Secretary will be considered together only if</w:t>
      </w:r>
    </w:p>
    <w:p>
      <w:pPr>
        <w:ind w:left="4" w:hanging="4"/>
        <w:spacing w:after="0" w:line="255"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Special Meeting Request identifies substantially the same matters proposed to be acted on at such meeting (as determined in good faith by the Secretary), and (ii) the Special Meeting Requests have been delivered to the Secretary within sixty (60) days of the date of the earliest dated Special Meeting Request.</w:t>
      </w:r>
    </w:p>
    <w:p>
      <w:pPr>
        <w:spacing w:after="0" w:line="81" w:lineRule="exact"/>
        <w:rPr>
          <w:rFonts w:ascii="Arial" w:cs="Arial" w:eastAsia="Arial" w:hAnsi="Arial"/>
          <w:sz w:val="18"/>
          <w:szCs w:val="18"/>
          <w:color w:val="auto"/>
        </w:rPr>
      </w:pPr>
    </w:p>
    <w:p>
      <w:pPr>
        <w:ind w:left="4" w:right="120" w:firstLine="419"/>
        <w:spacing w:after="0" w:line="271" w:lineRule="auto"/>
        <w:tabs>
          <w:tab w:leader="none" w:pos="681"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Revocation</w:t>
      </w:r>
      <w:r>
        <w:rPr>
          <w:rFonts w:ascii="Arial" w:cs="Arial" w:eastAsia="Arial" w:hAnsi="Arial"/>
          <w:sz w:val="17"/>
          <w:szCs w:val="17"/>
          <w:color w:val="auto"/>
        </w:rPr>
        <w:t>. A Requesting Stockholder may revoke a Special Meeting Request at any time by delivering a written revocation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the Corporation. A Special Meeting Request will be deemed revoked (i) with respect to any shares of common stock that the Requesting Stockholder ceases to Own at any time prior to the Stockholder-Requested Special Meeting, and (ii) if the Corporation does not receive Special Meeting Requests from the Requisite Percentage within sixty (60) days of the date of the earliest dated Special Meeting Request. Deemed revocation will be determined in good faith by the Board of Directors, and the determination will be conclusive and binding on the Company and stockholders. The Board of Directors may in its sole discretion cancel a previously called Stockholder-Requested Special Meeting if, at any time after such meeting has been called but before such meeting occurs, all valid and unrevoked Special Meeting Requests are from stockholders Owning less than the Requisite Percentage.</w:t>
      </w:r>
    </w:p>
    <w:p>
      <w:pPr>
        <w:spacing w:after="0" w:line="70" w:lineRule="exact"/>
        <w:rPr>
          <w:rFonts w:ascii="Arial" w:cs="Arial" w:eastAsia="Arial" w:hAnsi="Arial"/>
          <w:sz w:val="17"/>
          <w:szCs w:val="17"/>
          <w:color w:val="auto"/>
        </w:rPr>
      </w:pPr>
    </w:p>
    <w:p>
      <w:pPr>
        <w:ind w:left="684" w:hanging="261"/>
        <w:spacing w:after="0"/>
        <w:tabs>
          <w:tab w:leader="none" w:pos="684"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Exceptions</w:t>
      </w:r>
      <w:r>
        <w:rPr>
          <w:rFonts w:ascii="Arial" w:cs="Arial" w:eastAsia="Arial" w:hAnsi="Arial"/>
          <w:sz w:val="16"/>
          <w:szCs w:val="16"/>
          <w:color w:val="auto"/>
        </w:rPr>
        <w:t>. Notwithstanding the foregoing, the Board of Directors will not be required to call a Stockholder-Requested Special Meeting</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102" w:lineRule="exact"/>
        <w:rPr>
          <w:rFonts w:ascii="Arial" w:cs="Arial" w:eastAsia="Arial" w:hAnsi="Arial"/>
          <w:sz w:val="16"/>
          <w:szCs w:val="16"/>
          <w:color w:val="auto"/>
        </w:rPr>
      </w:pPr>
    </w:p>
    <w:p>
      <w:pPr>
        <w:ind w:left="1244" w:hanging="292"/>
        <w:spacing w:after="0"/>
        <w:tabs>
          <w:tab w:leader="none" w:pos="1244"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Corporation does not receive valid, timely Special Meeting Requests from stockholders Owning the Requisite Percentage;</w:t>
      </w:r>
    </w:p>
    <w:p>
      <w:pPr>
        <w:spacing w:after="0" w:line="181"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4"/>
          </w:cols>
          <w:pgMar w:left="876" w:top="274" w:right="479" w:bottom="1440" w:gutter="0" w:footer="0" w:header="0"/>
        </w:sectPr>
      </w:pPr>
    </w:p>
    <w:bookmarkStart w:id="10" w:name="page11"/>
    <w:bookmarkEnd w:id="10"/>
    <w:p>
      <w:pPr>
        <w:ind w:left="-20" w:right="60" w:firstLine="408"/>
        <w:spacing w:after="0" w:line="263"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the Chairman of the Board or the President has called or calls an annual or special meeting of stockholders to be held not later than ninety (90) days after the date the Corporation receives Special Meeting Requests from stockholders Owning the Requisite Percentage (the “Delivery Date”);</w:t>
      </w:r>
    </w:p>
    <w:p>
      <w:pPr>
        <w:spacing w:after="0" w:line="75" w:lineRule="exact"/>
        <w:rPr>
          <w:rFonts w:ascii="Arial" w:cs="Arial" w:eastAsia="Arial" w:hAnsi="Arial"/>
          <w:sz w:val="18"/>
          <w:szCs w:val="18"/>
          <w:color w:val="auto"/>
        </w:rPr>
      </w:pPr>
    </w:p>
    <w:p>
      <w:pPr>
        <w:ind w:left="-20" w:right="120" w:firstLine="408"/>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Delivery Date is during the period commencing ninety (90) days prior to the first anniversary of the date of the immediately preceding annual meeting and ending on the date of the next annual meeting;</w:t>
      </w:r>
    </w:p>
    <w:p>
      <w:pPr>
        <w:spacing w:after="0" w:line="62" w:lineRule="exact"/>
        <w:rPr>
          <w:rFonts w:ascii="Arial" w:cs="Arial" w:eastAsia="Arial" w:hAnsi="Arial"/>
          <w:sz w:val="18"/>
          <w:szCs w:val="18"/>
          <w:color w:val="auto"/>
        </w:rPr>
      </w:pPr>
    </w:p>
    <w:p>
      <w:pPr>
        <w:ind w:left="-20" w:firstLine="408"/>
        <w:spacing w:after="0" w:line="259" w:lineRule="auto"/>
        <w:tabs>
          <w:tab w:leader="none" w:pos="6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Special Meeting Request contains an identical or substantially similar business item to a business item that was presented at any meeting of stockholders held within one hundred and twenty (120) days prior to the Delivery Date (for purposes of this clause (D), the election of directors is deemed substantially similar with respect to all items of business involving the election or removal of directors or the size of the Board of Directors);</w:t>
      </w:r>
    </w:p>
    <w:p>
      <w:pPr>
        <w:spacing w:after="0" w:line="78" w:lineRule="exact"/>
        <w:rPr>
          <w:rFonts w:ascii="Arial" w:cs="Arial" w:eastAsia="Arial" w:hAnsi="Arial"/>
          <w:sz w:val="18"/>
          <w:szCs w:val="18"/>
          <w:color w:val="auto"/>
        </w:rPr>
      </w:pPr>
    </w:p>
    <w:p>
      <w:pPr>
        <w:ind w:left="-20" w:right="540" w:firstLine="408"/>
        <w:spacing w:after="0" w:line="308" w:lineRule="auto"/>
        <w:tabs>
          <w:tab w:leader="none" w:pos="65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Special Meeting Request relates to an item of business that is not a proper subject for action by the stockholders of the Corporation, including under the Corporation’s Certificate of Incorporation, these By-Laws or applicable law; or</w:t>
      </w:r>
    </w:p>
    <w:p>
      <w:pPr>
        <w:spacing w:after="0" w:line="38" w:lineRule="exact"/>
        <w:rPr>
          <w:rFonts w:ascii="Arial" w:cs="Arial" w:eastAsia="Arial" w:hAnsi="Arial"/>
          <w:sz w:val="17"/>
          <w:szCs w:val="17"/>
          <w:color w:val="auto"/>
        </w:rPr>
      </w:pPr>
    </w:p>
    <w:p>
      <w:pPr>
        <w:ind w:left="-20" w:right="160" w:firstLine="408"/>
        <w:spacing w:after="0" w:line="277" w:lineRule="auto"/>
        <w:tabs>
          <w:tab w:leader="none" w:pos="6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request was made in a manner that involved a violation of applicable law, including any regulation promulgated by the U.S. Securities and Exchange Commission.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80"/>
          </w:cols>
          <w:pgMar w:left="1440" w:top="274" w:right="479" w:bottom="1440" w:gutter="0" w:footer="0" w:header="0"/>
        </w:sectPr>
      </w:pPr>
    </w:p>
    <w:bookmarkStart w:id="11" w:name="page12"/>
    <w:bookmarkEnd w:id="11"/>
    <w:p>
      <w:pPr>
        <w:ind w:right="3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b w:val="1"/>
          <w:bCs w:val="1"/>
          <w:color w:val="auto"/>
        </w:rPr>
        <w:t>Place of Meeting.</w:t>
      </w:r>
      <w:r>
        <w:rPr>
          <w:rFonts w:ascii="Arial" w:cs="Arial" w:eastAsia="Arial" w:hAnsi="Arial"/>
          <w:sz w:val="18"/>
          <w:szCs w:val="18"/>
          <w:color w:val="auto"/>
        </w:rPr>
        <w:t xml:space="preserve"> Meetings of the stockholders shall be held as permitted by the Delaware General Corporation Law as fixed from time to time by the Board of Directors.</w:t>
      </w:r>
    </w:p>
    <w:p>
      <w:pPr>
        <w:spacing w:after="0" w:line="16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b w:val="1"/>
          <w:bCs w:val="1"/>
          <w:color w:val="auto"/>
        </w:rPr>
        <w:t>Notice of Meetings.</w:t>
      </w:r>
      <w:r>
        <w:rPr>
          <w:rFonts w:ascii="Arial" w:cs="Arial" w:eastAsia="Arial" w:hAnsi="Arial"/>
          <w:sz w:val="17"/>
          <w:szCs w:val="17"/>
          <w:color w:val="auto"/>
        </w:rPr>
        <w:t xml:space="preserve">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notice thereof to the stockholder of record or by depositing notice in the United States mail postage prepaid, directed to the record holder’s address as it appears upon the records of the Corporation. The notice shall state the place, date and hour of the meeting and, if the meeting be special, briefly, the purpose or purposes thereof. Except when expressly required by law or these By-Laws, no publication of any notice of a meeting of the stockholders shall be required, and no notice of any adjourned meeting of the stockholders need be given. Except as otherwise expressly provided by law, any previously scheduled meeting of the stockholders may be postponed, rescheduled or cancelled by the Board of Directors or Chairman of the meeting.</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Quorum, Adjournment and Conduct of Meetings.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w:t>
      </w:r>
    </w:p>
    <w:p>
      <w:pPr>
        <w:spacing w:after="0" w:line="76" w:lineRule="exact"/>
        <w:rPr>
          <w:sz w:val="20"/>
          <w:szCs w:val="20"/>
          <w:color w:val="auto"/>
        </w:rPr>
      </w:pPr>
    </w:p>
    <w:p>
      <w:pPr>
        <w:jc w:val="both"/>
        <w:ind w:right="300" w:firstLine="436"/>
        <w:spacing w:after="0" w:line="311"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Adjournment</w:t>
      </w:r>
      <w:r>
        <w:rPr>
          <w:rFonts w:ascii="Arial" w:cs="Arial" w:eastAsia="Arial" w:hAnsi="Arial"/>
          <w:sz w:val="16"/>
          <w:szCs w:val="16"/>
          <w:color w:val="auto"/>
        </w:rPr>
        <w:t>. The Chairman of the meeting may adjourn or recess any meeting of stockholders for any reason, whether or not a quorum is present. In the absence of a quorum at any stockholder meeting or any adjournment or recess thereof, a majority in voting interest of those present in person or by proxy and voting thereon may adjourn such meeting until a quorum is present. When a meeting is adjourned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recessed to another place, date or time, notice need not be given other than at the meeting at which adjournment or recess is taken, except that if the adjournment is for more than thirty (30) days, or if after the adjournment a new record date is fixed for the adjourned meeting, a notice of the adjourned meeting shall be given to each stockholder of record of the Corporation entitled to vote at the meeting. At any adjourned or recessed meeting at which a quorum is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57" w:lineRule="exact"/>
        <w:rPr>
          <w:sz w:val="20"/>
          <w:szCs w:val="20"/>
          <w:color w:val="auto"/>
        </w:rPr>
      </w:pPr>
    </w:p>
    <w:p>
      <w:pPr>
        <w:ind w:left="4" w:right="60" w:firstLine="436"/>
        <w:spacing w:after="0" w:line="291" w:lineRule="auto"/>
        <w:tabs>
          <w:tab w:leader="none" w:pos="68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of Directors or the Chairman of any meeting may: prescribe rules or procedures appropriate and take actions that are appropriate or convenient for the proper conduct of the meeting, including to establish: (1) an agenda or order of business for the meeting;</w:t>
      </w:r>
    </w:p>
    <w:p>
      <w:pPr>
        <w:ind w:left="4" w:hanging="4"/>
        <w:spacing w:after="0" w:line="270"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rules and procedures to maintain order and security and ensure efficient conduct of business, including with respect to the manner of voting and the timing and appropriateness of questions and comments at the meeting, and to preserve the safety of those present; (3) requirements that attendance at and participation in the meeting involve only stockholders of record of the Corporation and their duly authorized and constituted proxies, and other persons as the Chairman of the meeting shall permit; (4) restrictions on entry to the meeting after the time fixed for its commencement; (5) regulation of the opening and closing of the polls for the matters to be voted on; and (6) restricting the use of audio/video recording devices and hand-held devices. Meetings of stockholders need not be held in accordance with the rules of parliamentary procedure.</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13" w:name="page14"/>
    <w:bookmarkEnd w:id="13"/>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Arial" w:cs="Arial" w:eastAsia="Arial" w:hAnsi="Arial"/>
          <w:sz w:val="17"/>
          <w:szCs w:val="17"/>
          <w:b w:val="1"/>
          <w:bCs w:val="1"/>
          <w:color w:val="auto"/>
        </w:rPr>
        <w:t>Voting.</w:t>
      </w:r>
      <w:r>
        <w:rPr>
          <w:rFonts w:ascii="Arial" w:cs="Arial" w:eastAsia="Arial" w:hAnsi="Arial"/>
          <w:sz w:val="17"/>
          <w:szCs w:val="17"/>
          <w:color w:val="auto"/>
        </w:rPr>
        <w:t xml:space="preserve">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the stockholder and registered in his or her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for which the manner of deciding upon is otherwise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77"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color w:val="auto"/>
        </w:rPr>
        <w:t>List of Stockholders.</w:t>
      </w:r>
      <w:r>
        <w:rPr>
          <w:rFonts w:ascii="Arial" w:cs="Arial" w:eastAsia="Arial" w:hAnsi="Arial"/>
          <w:sz w:val="17"/>
          <w:szCs w:val="17"/>
          <w:color w:val="auto"/>
        </w:rPr>
        <w:t xml:space="preserve"> It shall be the duty of the Secretary or other officer of the Corporation who has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0" w:right="53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germane to the meeting, during ordinary business hours, for a period of at least ten (10) days prior to the meeting, either at the Corporation’s principal executive offices, or as specified in the notice of the meeting, or on a reasonably accessible electronic network.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8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Prior to each meeting of the stockholders, one or more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or her ability.</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Such Inspectors shall take charge of the ballots at each stockholder meeting and after the balloting thereat on any question shall count the ballots cast thereon and shall make a report in writing to the secretary of such meeting of the results thereof. The Inspectors need not be stockholders of the Corporation, and any employee of the Corporation may be an Inspector on any question other than a vote for or against his or her election to any position with the Corporation or on any other question in which he or she may be directly interested other than as a stockholder.</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Arial" w:cs="Arial" w:eastAsia="Arial" w:hAnsi="Arial"/>
          <w:sz w:val="18"/>
          <w:szCs w:val="18"/>
          <w:b w:val="1"/>
          <w:bCs w:val="1"/>
          <w:color w:val="auto"/>
        </w:rPr>
        <w:t>Nomination of Directors; Notice of Stockholder Nominees.</w:t>
      </w:r>
    </w:p>
    <w:p>
      <w:pPr>
        <w:spacing w:after="0" w:line="121" w:lineRule="exact"/>
        <w:rPr>
          <w:sz w:val="20"/>
          <w:szCs w:val="20"/>
          <w:color w:val="auto"/>
        </w:rPr>
      </w:pPr>
    </w:p>
    <w:p>
      <w:pPr>
        <w:ind w:right="20" w:firstLine="436"/>
        <w:spacing w:after="0" w:line="273" w:lineRule="auto"/>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Nomination of Directors</w:t>
      </w:r>
      <w:r>
        <w:rPr>
          <w:rFonts w:ascii="Arial" w:cs="Arial" w:eastAsia="Arial" w:hAnsi="Arial"/>
          <w:sz w:val="17"/>
          <w:szCs w:val="17"/>
          <w:color w:val="auto"/>
        </w:rPr>
        <w:t>. Except as provided in Section 6 of Article III of these By-Laws, only persons who are nominated in accordance with the following procedures shall be eligible for election as directors. Nominations of persons for election to the Board of Directors of the Corporation may be made at an annual meeting of stockholders or a special meeting of stockholders called for that purpose. Nominations may be made only (1) by or at the direction of the Board of Directors, (2) by any stockholder of the Corporation who is a stockholder of record at the time of giving the notice provided for in Section 9(b) of this Article II and is entitled to vote for the election of directors at the meeting, and who complies with the procedures set forth in Section 9(b) of this Article II or (3) pursuant to Section 9(c) of this Article II.</w:t>
      </w:r>
    </w:p>
    <w:p>
      <w:pPr>
        <w:spacing w:after="0" w:line="69" w:lineRule="exact"/>
        <w:rPr>
          <w:rFonts w:ascii="Arial" w:cs="Arial" w:eastAsia="Arial" w:hAnsi="Arial"/>
          <w:sz w:val="17"/>
          <w:szCs w:val="17"/>
          <w:color w:val="auto"/>
        </w:rPr>
      </w:pPr>
    </w:p>
    <w:p>
      <w:pPr>
        <w:ind w:right="160" w:firstLine="436"/>
        <w:spacing w:after="0" w:line="263"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 of Stockholder Nominees</w:t>
      </w:r>
      <w:r>
        <w:rPr>
          <w:rFonts w:ascii="Arial" w:cs="Arial" w:eastAsia="Arial" w:hAnsi="Arial"/>
          <w:sz w:val="18"/>
          <w:szCs w:val="18"/>
          <w:color w:val="auto"/>
        </w:rPr>
        <w:t>. Director nominations other than those made by or at the direction of the Board of Directors shall be made pursuant to timely notice in writing to the Secretary of the Corporation. To be valid, the stockholder’s notice must set forth the information required by Section 9(b)(3).</w:t>
      </w:r>
    </w:p>
    <w:p>
      <w:pPr>
        <w:spacing w:after="0" w:line="75" w:lineRule="exact"/>
        <w:rPr>
          <w:rFonts w:ascii="Arial" w:cs="Arial" w:eastAsia="Arial" w:hAnsi="Arial"/>
          <w:sz w:val="18"/>
          <w:szCs w:val="18"/>
          <w:color w:val="auto"/>
        </w:rPr>
      </w:pPr>
    </w:p>
    <w:p>
      <w:pPr>
        <w:ind w:left="440" w:firstLine="419"/>
        <w:spacing w:after="0" w:line="290" w:lineRule="auto"/>
        <w:tabs>
          <w:tab w:leader="none" w:pos="1118"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To be timely, a stockholder’s notice of nomination of directors at an annual meeting (an “Advance</w:t>
      </w:r>
      <w:r>
        <w:rPr>
          <w:rFonts w:ascii="Arial" w:cs="Arial" w:eastAsia="Arial" w:hAnsi="Arial"/>
          <w:sz w:val="16"/>
          <w:szCs w:val="16"/>
          <w:i w:val="1"/>
          <w:iCs w:val="1"/>
          <w:color w:val="auto"/>
        </w:rPr>
        <w:t xml:space="preserve"> </w:t>
      </w:r>
      <w:r>
        <w:rPr>
          <w:rFonts w:ascii="Arial" w:cs="Arial" w:eastAsia="Arial" w:hAnsi="Arial"/>
          <w:sz w:val="16"/>
          <w:szCs w:val="16"/>
          <w:color w:val="auto"/>
        </w:rPr>
        <w:t>Notice Nomination”) shall be in writing and received by the Secretary at the principal executive offices of the Corporation no earlier than the close of business 120 days and no later than the close of business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the giving of an Advance Notice Nomination as described above.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ind w:firstLine="419"/>
        <w:spacing w:after="0" w:line="275" w:lineRule="auto"/>
        <w:tabs>
          <w:tab w:leader="none" w:pos="678"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Special meetings of stockholders. </w:t>
      </w:r>
      <w:r>
        <w:rPr>
          <w:rFonts w:ascii="Arial" w:cs="Arial" w:eastAsia="Arial" w:hAnsi="Arial"/>
          <w:sz w:val="17"/>
          <w:szCs w:val="17"/>
          <w:color w:val="auto"/>
        </w:rPr>
        <w:t>To be a timely, a stockholder’s notice of nomination of directors for a special meeting (a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Nomination”) (i) for a Stockholder-Requested Special Meeting, must be included in the stockholder’s Special Meeting Request; or (ii) for any other special meeting, the tenth day following the day on which public announcement of the date of the meeting is first made. In no event shall the adjournment, recess, rescheduling or postponement of an annual meeting (or the public announcement thereof), commence a new time period (or extend any time period) for the giving of an Special Meeting Nomination as described above.</w:t>
      </w:r>
    </w:p>
    <w:p>
      <w:pPr>
        <w:spacing w:after="0" w:line="68" w:lineRule="exact"/>
        <w:rPr>
          <w:rFonts w:ascii="Arial" w:cs="Arial" w:eastAsia="Arial" w:hAnsi="Arial"/>
          <w:sz w:val="17"/>
          <w:szCs w:val="17"/>
          <w:color w:val="auto"/>
        </w:rPr>
      </w:pPr>
    </w:p>
    <w:p>
      <w:pPr>
        <w:ind w:left="680" w:hanging="26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Contents of nomination</w:t>
      </w:r>
      <w:r>
        <w:rPr>
          <w:rFonts w:ascii="Arial" w:cs="Arial" w:eastAsia="Arial" w:hAnsi="Arial"/>
          <w:sz w:val="18"/>
          <w:szCs w:val="18"/>
          <w:color w:val="auto"/>
        </w:rPr>
        <w:t>. Each Advance Notice Nomination and Special Meeting Nomination must set forth:</w:t>
      </w:r>
    </w:p>
    <w:p>
      <w:pPr>
        <w:spacing w:after="0" w:line="117" w:lineRule="exact"/>
        <w:rPr>
          <w:rFonts w:ascii="Arial" w:cs="Arial" w:eastAsia="Arial" w:hAnsi="Arial"/>
          <w:sz w:val="18"/>
          <w:szCs w:val="18"/>
          <w:color w:val="auto"/>
        </w:rPr>
      </w:pPr>
    </w:p>
    <w:p>
      <w:pPr>
        <w:ind w:left="540" w:right="20" w:firstLine="408"/>
        <w:spacing w:after="0" w:line="271" w:lineRule="auto"/>
        <w:tabs>
          <w:tab w:leader="none" w:pos="1236" w:val="left"/>
        </w:tabs>
        <w:numPr>
          <w:ilvl w:val="1"/>
          <w:numId w:val="14"/>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(1) the name, age, business address, residence address and email address of the person, (2) the principal occupation or employment of the person, (3) the class and number of shares of stock of the Corporation beneficially owned by the person, (4) the person’s written consent to serve as a director if elected and the person’s representation that he or she intends to serve the full term if elected, (5) a description of all direct and indirect compensatory, payment, indemnification, or other financial agreements, arrangements and understandings during the past three years, and any other material relationships, between the nominee, on the one hand, and any of the stockholder giving the notice, the beneficial owner on whose behalf the nomination is made, and their respective affiliates or associates or others acting in concert with them, on the other hand, including all information that would be required to be disclosed</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Rule 404 of Regulation S-K promulgated by the Securities and Exchange Commission (the “SEC”), if any of these persons were the “registrant” for purposes of the rule and the nominee were a director or executive officer of the registrant, (6) a completed and signed questionnaire, representation and agreement as set forth in Section 9(d) of this Article II and (7) any other information relating to the person that would be required to be disclosed (i) in solicitations for proxies for the election of directors in an election contest, or is otherwise required, in each case pursuant to and in accordance with Section 14(a) of the Securities Exchange Act of 1934, as amended (the “Exchange Act”), and the rules and regulations promulgated thereunder, or (ii) pursuant to any applicable state or federal law, rule or regulation; and any information requested by the Corporation in connection with any such disclosure, including information related to the determination by the Board of Directors of a person’s qualifications to serve on the Board of Directors, independence under the listing standards of the principal U.S. exchange upon which the common stock of the Corporation is listed, any applicable rules of the SEC and any publicly disclosed standards for such purpose; and</w:t>
      </w:r>
    </w:p>
    <w:p>
      <w:pPr>
        <w:spacing w:after="0" w:line="77" w:lineRule="exact"/>
        <w:rPr>
          <w:sz w:val="20"/>
          <w:szCs w:val="20"/>
          <w:color w:val="auto"/>
        </w:rPr>
      </w:pPr>
    </w:p>
    <w:p>
      <w:pPr>
        <w:ind w:right="40" w:firstLine="408"/>
        <w:spacing w:after="0" w:line="286" w:lineRule="auto"/>
        <w:tabs>
          <w:tab w:leader="none" w:pos="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as to the stockholder giving the notice and any Stockholder Associated Person, (1) the name, business address, residence address and email address of the stockholder of record and any Stockholder Associated Person, (2) the class and number of shares of stock of the Corporation which are, directly or indirectly, held of record and/or beneficially owned by such person, the dates the shares were acquired and the investment intent of the acquisition, (3) a description of any current or proposed agreement, arrangement or understanding</w:t>
      </w:r>
    </w:p>
    <w:p>
      <w:pPr>
        <w:spacing w:after="0" w:line="1" w:lineRule="exact"/>
        <w:rPr>
          <w:rFonts w:ascii="Arial" w:cs="Arial" w:eastAsia="Arial" w:hAnsi="Arial"/>
          <w:sz w:val="16"/>
          <w:szCs w:val="16"/>
          <w:color w:val="auto"/>
        </w:rPr>
      </w:pPr>
    </w:p>
    <w:p>
      <w:pPr>
        <w:ind w:left="220" w:hanging="213"/>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between or</w:t>
      </w:r>
    </w:p>
    <w:p>
      <w:pPr>
        <w:spacing w:after="0" w:line="14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20" w:top="274" w:right="479" w:bottom="1440" w:gutter="0" w:footer="0" w:header="0"/>
        </w:sectPr>
      </w:pPr>
    </w:p>
    <w:bookmarkStart w:id="18" w:name="page19"/>
    <w:bookmarkEnd w:id="1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among the stockholder of record and any Stockholder Associated Person or (ii) between or among the stockholder or Stockholder Associated Person and any other person or entity (including their name) in connection with the nomination, including (I) a description of any proxy, agreement, arrangement, understanding, or relationship, including the number of underlying shares, pursuant to which the stockholder of record or any Stockholder Associated Person has any right to acquire, hold, vote or dispose of shares of stock of the Corporation, including the information that would be required to be described or reported pursuant to Schedule 13D (regardless of whether the requirement to file a Schedule 13D is applicable to the stockholder of record or Stockholder Associated Person), (II) with respect to how a stockholder of the Corporation will vote its shares in the Corporation at any meeting of the Corporation’s stockholders, or other action to be taken by such stockholder, Stockholder Associated Person or other person or entity with respect to the nomination and</w:t>
      </w:r>
    </w:p>
    <w:p>
      <w:pPr>
        <w:spacing w:after="0" w:line="1" w:lineRule="exact"/>
        <w:rPr>
          <w:sz w:val="20"/>
          <w:szCs w:val="20"/>
          <w:color w:val="auto"/>
        </w:rPr>
      </w:pPr>
    </w:p>
    <w:p>
      <w:pPr>
        <w:ind w:right="20" w:firstLine="7"/>
        <w:spacing w:after="0" w:line="270" w:lineRule="auto"/>
        <w:tabs>
          <w:tab w:leader="none" w:pos="3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arrangements that would be required to be disclosed by such stockholder, any Stockholder Associated Person or any other person or entity pursuant to Item 5 or 6 of Schedule 13D (regardless of whether the requirement to file a Schedule 13D is applicable to any such person), (4)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the stockholder or Stockholder Associated Persons, whether or not such instrument or right shall be subject to settlement in underlying shares of</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4" w:right="45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stock of the Corporation, the effect or intent of which is to mitigate loss to, manage risk or benefit of share price changes for, or increase or decrease the voting power of, the stockholder or Stockholder Associated Persons, with respect to securities of the Corporation (a “Derivative Instrument”) and any other information about such Derivative Instrument that would be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if the Derivative Instruments were treated the same as securities of the Corporation under the requirements,</w:t>
      </w:r>
    </w:p>
    <w:p>
      <w:pPr>
        <w:spacing w:after="0" w:line="4" w:lineRule="exact"/>
        <w:rPr>
          <w:sz w:val="20"/>
          <w:szCs w:val="20"/>
          <w:color w:val="auto"/>
        </w:rPr>
      </w:pPr>
    </w:p>
    <w:p>
      <w:pPr>
        <w:ind w:right="60" w:firstLine="7"/>
        <w:spacing w:after="0" w:line="287"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performance-related fees (other than an asset-based fee) that the stockholder giving the notice or any Stockholder Associated Person is entitled to based on any increase or decrease in the value of shares of the Corporation or a Derivative Instrument, if any, including interests held by members of the immediate family sharing the same household of the stockholder or Stockholder Associated Person, (6) any rights to dividends on the shares of the capital stock of the Corporation owned beneficially by the person, (7) any proportionate interest in shares of capital stock of the Corporation or Derivative Instruments held, directly or indirectly, by a general or limited partnership or similar entity in which the person (i) is a general partner or, directly or indirectly, beneficially owns an interest in a general partner, or (ii) is the manager, managing member or, directly or indirectly, beneficially owns an interest in the manager or managing member of a limited liability company or similar entity, (8) a representation that the stockholder is a holder of record of stock</w:t>
      </w:r>
    </w:p>
    <w:p>
      <w:pPr>
        <w:spacing w:after="0" w:line="1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1420" w:top="274" w:right="559" w:bottom="1440" w:gutter="0" w:footer="0" w:header="0"/>
        </w:sectPr>
      </w:pPr>
    </w:p>
    <w:bookmarkStart w:id="20" w:name="page21"/>
    <w:bookmarkEnd w:id="2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Corporation entitled to vote at such meeting and intends to appear in person or by proxy at the meeting to propose such nomination, and (9) a representation as to whether the stockholder or any Stockholder Associated Person intends or is part of a group which intends</w:t>
      </w:r>
    </w:p>
    <w:p>
      <w:pPr>
        <w:ind w:right="460" w:firstLine="7"/>
        <w:spacing w:after="0" w:line="281" w:lineRule="auto"/>
        <w:tabs>
          <w:tab w:leader="none" w:pos="2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deliver a proxy statement or form of proxy to holders of at least the percentage of shares of the Corporation’s outstanding stock required to elect the nominee or (ii) otherwise to solicit proxies or votes from other stockholders in support of such nomination, and</w:t>
      </w:r>
    </w:p>
    <w:p>
      <w:pPr>
        <w:spacing w:after="0" w:line="1"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(10) any other information relating to the stockholder of record and beneficial owner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and</w:t>
      </w:r>
    </w:p>
    <w:p>
      <w:pPr>
        <w:spacing w:after="0" w:line="84" w:lineRule="exact"/>
        <w:rPr>
          <w:rFonts w:ascii="Arial" w:cs="Arial" w:eastAsia="Arial" w:hAnsi="Arial"/>
          <w:sz w:val="16"/>
          <w:szCs w:val="16"/>
          <w:color w:val="auto"/>
        </w:rPr>
      </w:pPr>
    </w:p>
    <w:p>
      <w:pPr>
        <w:ind w:firstLine="408"/>
        <w:spacing w:after="0" w:line="263" w:lineRule="auto"/>
        <w:tabs>
          <w:tab w:leader="none" w:pos="686"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information reasonably required by the Corporation from any proposed nominee to determine the eligibility of the proposed nominee to serve as a director of the Corporation, which the stockholder shall provide to the Secretary within five business days of each such request.</w:t>
      </w:r>
    </w:p>
    <w:p>
      <w:pPr>
        <w:spacing w:after="0" w:line="75" w:lineRule="exact"/>
        <w:rPr>
          <w:rFonts w:ascii="Arial" w:cs="Arial" w:eastAsia="Arial" w:hAnsi="Arial"/>
          <w:sz w:val="18"/>
          <w:szCs w:val="18"/>
          <w:color w:val="auto"/>
        </w:rPr>
      </w:pPr>
    </w:p>
    <w:p>
      <w:pPr>
        <w:ind w:right="60" w:firstLine="408"/>
        <w:spacing w:after="0" w:line="257" w:lineRule="auto"/>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be considered timely, notice provided under Section 9(b) must be updated so that it is true, correct and complete as of (i) the record date for the stockholder meeting and (ii) ten business days prior to that meeting, and any adjournment or postponement thereof. If the notice remains true, correct and complete without update, a written certification to that effect is required. Updates, or a certification that none is required, must be received by the Secretary at the principal executive offices of the Corporation (i) not later than five business days</w:t>
      </w:r>
    </w:p>
    <w:p>
      <w:pPr>
        <w:spacing w:after="0" w:line="1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21" w:name="page22"/>
    <w:bookmarkEnd w:id="2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later of the record date for the stockholder meeting and the date on which the record date is first publicly disclosed by the Corporation, and (ii) not later than seven business days prior to the date of the meeting at which stockholders will vote on the proposed nominee or any adjournment or postponement thereof. If any information submitted pursuant to Section 9(b) of this Article II is inaccurate in any respect, the information may be deemed not to have been provided in accordance with these By-Laws. The stockholder providing the notice shall notify the Secretary in writing at the principal executive offices of the Corporation of any inaccuracy or change in any information included in the notice within two business days of becoming aware of the inaccuracy or change. The obligation to update and correct in this Section 9(b) or any other section of these By-laws does not limit the Corporation’s rights with respect to any inaccuracies or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w:t>
      </w:r>
    </w:p>
    <w:p>
      <w:pPr>
        <w:spacing w:after="0" w:line="60" w:lineRule="exact"/>
        <w:rPr>
          <w:sz w:val="20"/>
          <w:szCs w:val="20"/>
          <w:color w:val="auto"/>
        </w:rPr>
      </w:pPr>
    </w:p>
    <w:p>
      <w:pPr>
        <w:jc w:val="both"/>
        <w:ind w:firstLine="408"/>
        <w:spacing w:after="0" w:line="287" w:lineRule="auto"/>
        <w:tabs>
          <w:tab w:leader="none" w:pos="676" w:val="left"/>
        </w:tabs>
        <w:numPr>
          <w:ilvl w:val="1"/>
          <w:numId w:val="20"/>
        </w:numPr>
        <w:rPr>
          <w:rFonts w:ascii="Arial" w:cs="Arial" w:eastAsia="Arial" w:hAnsi="Arial"/>
          <w:sz w:val="16"/>
          <w:szCs w:val="16"/>
          <w:color w:val="auto"/>
        </w:rPr>
      </w:pPr>
      <w:r>
        <w:rPr>
          <w:rFonts w:ascii="Arial" w:cs="Arial" w:eastAsia="Arial" w:hAnsi="Arial"/>
          <w:sz w:val="16"/>
          <w:szCs w:val="16"/>
          <w:color w:val="auto"/>
        </w:rPr>
        <w:t>As used in Article II (other than Section 9(c)of these By-Laws, (1) an “affiliate” and “associate” have the respective meanings set forth in Rule 12b-2 under the Exchange Act; (2) “Stockholder Associated Person” shall mean (i) any person who is a member of a “group” (as the term is used in Rule 13d-5 under the Exchange Act) with or otherwise acting in concert with the stockholder providing notice,</w:t>
      </w:r>
    </w:p>
    <w:p>
      <w:pPr>
        <w:spacing w:after="0" w:line="2" w:lineRule="exact"/>
        <w:rPr>
          <w:rFonts w:ascii="Arial" w:cs="Arial" w:eastAsia="Arial" w:hAnsi="Arial"/>
          <w:sz w:val="16"/>
          <w:szCs w:val="16"/>
          <w:color w:val="auto"/>
        </w:rPr>
      </w:pPr>
    </w:p>
    <w:p>
      <w:pPr>
        <w:ind w:right="660" w:firstLine="7"/>
        <w:spacing w:after="0" w:line="260"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beneficial owner of shares of stock of the Corporation, (iii) any affiliate or associate of the stockholder or the Stockholder Associated Person, (iv)</w:t>
      </w:r>
    </w:p>
    <w:p>
      <w:pPr>
        <w:spacing w:after="0" w:line="1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00"/>
          </w:cols>
          <w:pgMar w:left="1420" w:top="274" w:right="479" w:bottom="1440" w:gutter="0" w:footer="0" w:header="0"/>
        </w:sectPr>
      </w:pPr>
    </w:p>
    <w:bookmarkStart w:id="22" w:name="page23"/>
    <w:bookmarkEnd w:id="22"/>
    <w:p>
      <w:pPr>
        <w:ind w:left="5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proposed director nominee of the stockholder and (v) any participant (as defined in Item 4 of Schedule 14A under the Exchange Act); and (3) a “Qualified Representative” of a stockholder means a duly authorized officer, manager, partner or other representative of the stockholder who is authorized by a writing executed by the stockholder and delivered to the Corporation to act for the stockholder as proxy at the Corporation’s meeting of stockholders.</w:t>
      </w:r>
    </w:p>
    <w:p>
      <w:pPr>
        <w:spacing w:after="0" w:line="79" w:lineRule="exact"/>
        <w:rPr>
          <w:sz w:val="20"/>
          <w:szCs w:val="20"/>
          <w:color w:val="auto"/>
        </w:rPr>
      </w:pPr>
    </w:p>
    <w:p>
      <w:pPr>
        <w:ind w:left="244" w:hanging="244"/>
        <w:spacing w:after="0"/>
        <w:tabs>
          <w:tab w:leader="none" w:pos="2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71" w:lineRule="auto"/>
        <w:tabs>
          <w:tab w:leader="none" w:pos="681"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Inclusion of Nominee in Corporation’s Proxy Materials</w:t>
      </w:r>
      <w:r>
        <w:rPr>
          <w:rFonts w:ascii="Arial" w:cs="Arial" w:eastAsia="Arial" w:hAnsi="Arial"/>
          <w:sz w:val="17"/>
          <w:szCs w:val="17"/>
          <w:color w:val="auto"/>
        </w:rPr>
        <w:t>. Subject to the provisions of these By-Laws, in connection with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stockholders at which directors are to be elected, the Corporation will include in its proxy statement, on its form of proxy and on any ballot distributed at such annual meeting, in addition to any person nominated for election by the Board of Directors, the name, together with the Required Information (defined below) of any person nominated for election (a “Stockholder Nominee”) to the Board of Directors by a stockholder of record, or a group of no more than twenty (20) stockholders of record, that has satisfied (individually or, in the case of a group, collectively) all applicable conditions and has complied with all applicable procedures set forth in this Section 9(c) (an “Eligible Stockholder,” which shall include an eligible stockholder group), and that expressly elects at the time of providing the written notice required by this Section 9(c) to have its nominee included in the Corporation’s proxy materials for such annual meeting pursuant to this Section 9(c).</w:t>
      </w:r>
    </w:p>
    <w:p>
      <w:pPr>
        <w:spacing w:after="0" w:line="11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876" w:top="274" w:right="439" w:bottom="1440" w:gutter="0" w:footer="0" w:header="0"/>
        </w:sectPr>
      </w:pPr>
    </w:p>
    <w:bookmarkStart w:id="23" w:name="page24"/>
    <w:bookmarkEnd w:id="23"/>
    <w:p>
      <w:pPr>
        <w:ind w:right="80" w:firstLine="419"/>
        <w:spacing w:after="0" w:line="275" w:lineRule="auto"/>
        <w:tabs>
          <w:tab w:leader="none" w:pos="67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Proxy Access Notice</w:t>
      </w:r>
      <w:r>
        <w:rPr>
          <w:rFonts w:ascii="Arial" w:cs="Arial" w:eastAsia="Arial" w:hAnsi="Arial"/>
          <w:sz w:val="17"/>
          <w:szCs w:val="17"/>
          <w:color w:val="auto"/>
        </w:rPr>
        <w:t>. To be timely, a stockholder’s notice pursuant to this Section 9(c) (a “Proxy Access Notice”) shall be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and received by the Secretary at the principal executive offices of the Corporation no earlier than 150 days and no later than 120 days before the first anniversary of the date the Corporation issued its definitive proxy statement for the previous year’s annual meeting of stockholders. In no event shall the public announcement of an adjournment or postponement of an annual meeting commence a new time period (or extend any time period) for the giving of a stockholder’s notice as described above.</w:t>
      </w:r>
    </w:p>
    <w:p>
      <w:pPr>
        <w:spacing w:after="0" w:line="68" w:lineRule="exact"/>
        <w:rPr>
          <w:rFonts w:ascii="Arial" w:cs="Arial" w:eastAsia="Arial" w:hAnsi="Arial"/>
          <w:sz w:val="17"/>
          <w:szCs w:val="17"/>
          <w:color w:val="auto"/>
        </w:rPr>
      </w:pPr>
    </w:p>
    <w:p>
      <w:pPr>
        <w:ind w:firstLine="419"/>
        <w:spacing w:after="0" w:line="269" w:lineRule="auto"/>
        <w:tabs>
          <w:tab w:leader="none" w:pos="67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Eligible Stockholder</w:t>
      </w:r>
      <w:r>
        <w:rPr>
          <w:rFonts w:ascii="Arial" w:cs="Arial" w:eastAsia="Arial" w:hAnsi="Arial"/>
          <w:sz w:val="17"/>
          <w:szCs w:val="17"/>
          <w:color w:val="auto"/>
        </w:rPr>
        <w:t>. In order to make a nomination pursuant to this Section 9(c), an Eligible Stockholder must have Owned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or is acting on behalf of one or more beneficial owners who have Owned, continuously for at least three (3) years at least the number of shares of common stock of the Corporation that shall constitute three percent (3%) or more of the voting power of the outstanding common stock of the Corporation (the “Required Shares”) as of (A) the date on which the Proxy Access Notice is received by the Corporation in accordance with this Section 9(c), (B) the record date for determining stockholders entitled to vote at the annual meeting, and (C) the date of the annual meeting. For purposes of this Section 9(c), two or more funds or trusts that are (A) under common management and investment control, (B) under common management and funded primarily by the same employer, or (C) a “group of investment companies,” as such term is defined in Section 12(d)(1) (G)(ii) of the Investment Company Act of 1940, as amended (each, a “Qualifying Fund”), shall be treated as one stockholder. A record holder acting on behalf of one or more beneficial owners shall not be counted separately as a stockholder with respect to the shares owned by beneficial owners on whose behalf the record holder has been directed in writing to act, but each such beneficial owner shall be counted separately, subject to the other provisions of this Section 9(c)(3), for purposes of determining the number of stockholders whose holdings may be considered as part of an Eligible Stockholder’s holdings.</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4" w:name="page25"/>
    <w:bookmarkEnd w:id="24"/>
    <w:p>
      <w:pPr>
        <w:ind w:left="4" w:firstLine="42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may be a member of more than one group of persons constituting an Eligible Stockholder under this Section 9(c). If a group of stockholders aggregates Ownership of shares in order to meet the requirements under this Section 9(c), (A) all shares held by each stockholder constituting their contribution to the foregoing three percent (3%) threshold must have been held by that stockholder continuously for at least three</w:t>
      </w:r>
    </w:p>
    <w:p>
      <w:pPr>
        <w:spacing w:after="0" w:line="2" w:lineRule="exact"/>
        <w:rPr>
          <w:sz w:val="20"/>
          <w:szCs w:val="20"/>
          <w:color w:val="auto"/>
        </w:rPr>
      </w:pPr>
    </w:p>
    <w:p>
      <w:pPr>
        <w:ind w:left="4" w:right="40" w:hanging="4"/>
        <w:spacing w:after="0" w:line="288" w:lineRule="auto"/>
        <w:tabs>
          <w:tab w:leader="none" w:pos="2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years and through the date of the annual meeting, and evidence of such continuous Ownership shall be provided as specified in Section 9(c)(7) below, (B) each provision in this Section 9(c)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to meet the three percent (3%) Ownership requirement of the “Required Shares” definition), and (C) a breach of any obligation, agreement or representation under this Section 9(c) by any member of such group shall be deemed a breach by the Eligible Stockholder.</w:t>
      </w:r>
    </w:p>
    <w:p>
      <w:pPr>
        <w:spacing w:after="0" w:line="60" w:lineRule="exact"/>
        <w:rPr>
          <w:rFonts w:ascii="Arial" w:cs="Arial" w:eastAsia="Arial" w:hAnsi="Arial"/>
          <w:sz w:val="16"/>
          <w:szCs w:val="16"/>
          <w:color w:val="auto"/>
        </w:rPr>
      </w:pPr>
    </w:p>
    <w:p>
      <w:pPr>
        <w:ind w:left="4" w:right="320" w:firstLine="419"/>
        <w:spacing w:after="0" w:line="259" w:lineRule="auto"/>
        <w:tabs>
          <w:tab w:leader="none" w:pos="68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 stockholder is deemed to “Own” only those outstanding shares of common stock of the Corporation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possesses (A) the sole power to vote or direct the voting, (B) the sole economic incidents of ownership (including the sole right to profits and the sole risk of loss) and (C) the sole power to dispose of or direct the disposition; provided that the number of shares calculated in accordance</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4"/>
          </w:cols>
          <w:pgMar w:left="876" w:top="274" w:right="4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preceding clauses (A), (B) and (C) shall not include any securities (X) sold by such stockholder in any transaction that has not been settled or closed, including any short sale, (Y) borrowed by such stockholder for any purpose or purchased by such stockholder pursuant to an agreement to resell or (Z)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stockholder with respect to any shares of any class or series of stock of the Corporation.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person has loaned such shares, provided that the person has the power to recall such loaned shares on no longer than five (5) business days’ notice, has recalled such loaned shares prior to the date the applicable Proxy Access Notice or Special Meeting Request is delivered and includes with the Proxy Access Notice or Special Meeting Request an agreement that it will continue to hold such recalled shares through the date of the relevant meeting; or (ii) the person has delegated any voting power by means of a proxy, power of attorney or other instrument or arrangement that is revocable at any time by the person. The terms “Owned,” “Owning,” “Owner” and other variations of the word “Own” shall have correlative meanings. Whether outstanding shares of common stock of the Corporation are “Owned” shall be determined by the Board of Directors, which determination shall be conclusive and binding on the Corporation and its stockholders.</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80"/>
          </w:cols>
          <w:pgMar w:left="880" w:top="274" w:right="539" w:bottom="1440" w:gutter="0" w:footer="0" w:header="0"/>
        </w:sectPr>
      </w:pPr>
    </w:p>
    <w:bookmarkStart w:id="26" w:name="page27"/>
    <w:bookmarkEnd w:id="26"/>
    <w:p>
      <w:pPr>
        <w:ind w:firstLine="419"/>
        <w:spacing w:after="0" w:line="28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Information</w:t>
      </w:r>
      <w:r>
        <w:rPr>
          <w:rFonts w:ascii="Arial" w:cs="Arial" w:eastAsia="Arial" w:hAnsi="Arial"/>
          <w:sz w:val="16"/>
          <w:szCs w:val="16"/>
          <w:color w:val="auto"/>
        </w:rPr>
        <w:t>. For purposes of this Section 9(c), the “Required Information” is the information provided to the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the candidacy of each Stockholder Nominee (the “Supporting Statement”). Notwithstanding anything to the contrary contained in this Section 9(c), the Corporation may omit from its proxy materials any information or Supporting Statement (or portion thereof) that the Corporation believes (A) is untrue in any material respect (or omits to state a material fact necessary in order to make the statements made, in light of the circumstances under which they are made, not misleading); (B) directly or indirectly impugns the character, integrity or personal reputation of, or directly or indirectly makes charges concerning improper, illegal or immoral conduct or associations, without factual foundation, with respect to, any person; or (C) violates any applicable law, rule, regulation or listing standard. Nothing in this Section 9(c) shall limit the Corporation’s ability to solicit against, and include in the proxy materials its own statement relating to, any Eligible Stockholder or Stockholder Nominee.</w:t>
      </w:r>
    </w:p>
    <w:p>
      <w:pPr>
        <w:spacing w:after="0" w:line="63" w:lineRule="exact"/>
        <w:rPr>
          <w:rFonts w:ascii="Arial" w:cs="Arial" w:eastAsia="Arial" w:hAnsi="Arial"/>
          <w:sz w:val="16"/>
          <w:szCs w:val="16"/>
          <w:color w:val="auto"/>
        </w:rPr>
      </w:pPr>
    </w:p>
    <w:p>
      <w:pPr>
        <w:ind w:right="40" w:firstLine="419"/>
        <w:spacing w:after="0" w:line="257"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Maximum Number of Stockholder Nominees</w:t>
      </w:r>
      <w:r>
        <w:rPr>
          <w:rFonts w:ascii="Arial" w:cs="Arial" w:eastAsia="Arial" w:hAnsi="Arial"/>
          <w:sz w:val="18"/>
          <w:szCs w:val="18"/>
          <w:color w:val="auto"/>
        </w:rPr>
        <w:t>. The maximum number of Stockholder Nominees nominated by all Eligible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be included in the Corporation’s proxy materials with respect to an annual meeting of stockholders shall not exceed the greater of (x) two and (y) 20% of the total number of directors in office (rounded down to the nearest whole number), as of the last day on which a Proxy Access Notice may be delivered pursuant to and in accordance with this Section 9(c) (the “Permitted Number”); provided, however, the Permitted Number shall be reduced by:</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27" w:name="page28"/>
    <w:bookmarkEnd w:id="27"/>
    <w:p>
      <w:pPr>
        <w:ind w:left="540" w:right="20" w:firstLine="408"/>
        <w:spacing w:after="0" w:line="296" w:lineRule="auto"/>
        <w:tabs>
          <w:tab w:leader="none" w:pos="1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individuals who will be included in the Corporation’s proxy materials with respect to such annual meeting as nominees by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 and</w:t>
      </w:r>
    </w:p>
    <w:p>
      <w:pPr>
        <w:spacing w:after="0" w:line="53" w:lineRule="exact"/>
        <w:rPr>
          <w:rFonts w:ascii="Arial" w:cs="Arial" w:eastAsia="Arial" w:hAnsi="Arial"/>
          <w:sz w:val="16"/>
          <w:szCs w:val="16"/>
          <w:color w:val="auto"/>
        </w:rPr>
      </w:pPr>
    </w:p>
    <w:p>
      <w:pPr>
        <w:ind w:left="540" w:right="20" w:firstLine="408"/>
        <w:spacing w:after="0" w:line="259" w:lineRule="auto"/>
        <w:tabs>
          <w:tab w:leader="none" w:pos="12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directors in office that will be included in the Corporation’s proxy materials with respect to such annual meeting for whom access to the Corporation’s proxy materials was previously requested or provided pursuant to this Section 9(c), other than any such director who at the time of such annual meeting will have served as a director continuously, as a nominee of the Board of Directors, for at least two (2) annual terms.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purposes of determining when the Permitted Number has been reached, any individual nominated by an Eligible Stockholder for inclusion in the Corporation’s proxy materials pursuant to this Section 6(c) whose nomination is subsequently withdrawn or whom the Board of Directors decides to nominate for election to the Board of Directors shall be counted as one of the Stockholder Nominees.</w:t>
      </w:r>
    </w:p>
    <w:p>
      <w:pPr>
        <w:spacing w:after="0" w:line="9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40"/>
          </w:cols>
          <w:pgMar w:left="880" w:top="274" w:right="579" w:bottom="1440" w:gutter="0" w:footer="0" w:header="0"/>
        </w:sectPr>
      </w:pPr>
    </w:p>
    <w:bookmarkStart w:id="28" w:name="page29"/>
    <w:bookmarkEnd w:id="28"/>
    <w:p>
      <w:pPr>
        <w:ind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76" w:lineRule="exact"/>
        <w:rPr>
          <w:sz w:val="20"/>
          <w:szCs w:val="20"/>
          <w:color w:val="auto"/>
        </w:rPr>
      </w:pPr>
    </w:p>
    <w:p>
      <w:pPr>
        <w:ind w:firstLine="423"/>
        <w:spacing w:after="0" w:line="284"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Section 9(c)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Section 9(c) exceeds the maximum number of nominees provided for in this Section 9(c), the highest ranking Stockholder Nominee who meets the requirements of this Section 9(c) of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Proxy Access Notice submitted to the Corporation. If the maximum number is not reached after the highest ranking Stockholder Nominee who meets the requirements of this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Section 9(c) from each Eligible Stockholder has been selected, this process will continue with the next highest ranked nominees as many times as necessary, following the same order each time, until the maximum number is reached.</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80" w:top="274" w:right="479" w:bottom="1440" w:gutter="0" w:footer="0" w:header="0"/>
        </w:sectPr>
      </w:pPr>
    </w:p>
    <w:bookmarkStart w:id="29" w:name="page30"/>
    <w:bookmarkEnd w:id="29"/>
    <w:p>
      <w:pPr>
        <w:ind w:right="40" w:firstLine="419"/>
        <w:spacing w:after="0" w:line="263"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be Provided by Eligible Stockholder</w:t>
      </w:r>
      <w:r>
        <w:rPr>
          <w:rFonts w:ascii="Arial" w:cs="Arial" w:eastAsia="Arial" w:hAnsi="Arial"/>
          <w:sz w:val="18"/>
          <w:szCs w:val="18"/>
          <w:color w:val="auto"/>
        </w:rPr>
        <w:t>. Within the time period specified in this Section 9(c) for providing the Proxy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Notice, an Eligible Stockholder making a nomination pursuant to this Section 9(c) must provide the following information in writing to the Secretary of the Corporation at the principal executive offices of the Corporation:</w:t>
      </w:r>
    </w:p>
    <w:p>
      <w:pPr>
        <w:spacing w:after="0" w:line="75" w:lineRule="exact"/>
        <w:rPr>
          <w:rFonts w:ascii="Arial" w:cs="Arial" w:eastAsia="Arial" w:hAnsi="Arial"/>
          <w:sz w:val="18"/>
          <w:szCs w:val="18"/>
          <w:color w:val="auto"/>
        </w:rPr>
      </w:pPr>
    </w:p>
    <w:p>
      <w:pPr>
        <w:ind w:left="540" w:firstLine="408"/>
        <w:spacing w:after="0" w:line="293" w:lineRule="auto"/>
        <w:tabs>
          <w:tab w:leader="none" w:pos="1236" w:val="left"/>
        </w:tabs>
        <w:numPr>
          <w:ilvl w:val="1"/>
          <w:numId w:val="27"/>
        </w:numPr>
        <w:rPr>
          <w:rFonts w:ascii="Arial" w:cs="Arial" w:eastAsia="Arial" w:hAnsi="Arial"/>
          <w:sz w:val="16"/>
          <w:szCs w:val="16"/>
          <w:color w:val="auto"/>
        </w:rPr>
      </w:pPr>
      <w:r>
        <w:rPr>
          <w:rFonts w:ascii="Arial" w:cs="Arial" w:eastAsia="Arial" w:hAnsi="Arial"/>
          <w:sz w:val="16"/>
          <w:szCs w:val="16"/>
          <w:color w:val="auto"/>
        </w:rPr>
        <w:t>one or more written statements from the Eligible Stockholder (and from each intermediary through which the shares are or have been held during the requisite three (3)-year holding period), specifying the number of shares of common stock of the Corporation that the Eligible Stockholder Owns, and has continuously Owned for three (3) years preceding the date of the Proxy Access Notice, and the Eligible Stockholder’s agreement to provide, within five (5) business days after the later of the record date for the annual meeting and the date on which the record date is first publicly disclosed by the Corporation, written statements from the Eligible Stockholder, the record holder and intermediaries verifying the Eligible Stockholder’s continuous ownership of the Required Shares through the record date;</w:t>
      </w:r>
    </w:p>
    <w:p>
      <w:pPr>
        <w:spacing w:after="0" w:line="56" w:lineRule="exact"/>
        <w:rPr>
          <w:rFonts w:ascii="Arial" w:cs="Arial" w:eastAsia="Arial" w:hAnsi="Arial"/>
          <w:sz w:val="16"/>
          <w:szCs w:val="16"/>
          <w:color w:val="auto"/>
        </w:rPr>
      </w:pPr>
    </w:p>
    <w:p>
      <w:pPr>
        <w:ind w:left="1240" w:hanging="292"/>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copy of the Schedule 14N that has been filed with the SEC as required by Rule 14a-18 under the Exchange Act;</w:t>
      </w:r>
    </w:p>
    <w:p>
      <w:pPr>
        <w:spacing w:after="0" w:line="117" w:lineRule="exact"/>
        <w:rPr>
          <w:rFonts w:ascii="Arial" w:cs="Arial" w:eastAsia="Arial" w:hAnsi="Arial"/>
          <w:sz w:val="18"/>
          <w:szCs w:val="18"/>
          <w:color w:val="auto"/>
        </w:rPr>
      </w:pPr>
    </w:p>
    <w:p>
      <w:pPr>
        <w:ind w:left="540" w:right="460" w:firstLine="408"/>
        <w:spacing w:after="0" w:line="311" w:lineRule="auto"/>
        <w:tabs>
          <w:tab w:leader="none" w:pos="1226"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written consent of each Stockholder Nominee to being named in the proxy statement as a nominee and the person’s representation that he or she intends to serve the full term if elected, together with the information and representations that would be required to be set forth in a stockholder’s Advance Notice Nomination pursuant to Section 9(b) above;</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20"/>
          </w:cols>
          <w:pgMar w:left="880" w:top="274" w:right="499" w:bottom="1440" w:gutter="0" w:footer="0" w:header="0"/>
        </w:sectPr>
      </w:pPr>
    </w:p>
    <w:bookmarkStart w:id="30" w:name="page31"/>
    <w:bookmarkEnd w:id="30"/>
    <w:p>
      <w:pPr>
        <w:ind w:left="680" w:hanging="29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representation and undertaking:</w:t>
      </w:r>
    </w:p>
    <w:p>
      <w:pPr>
        <w:spacing w:after="0" w:line="130" w:lineRule="exact"/>
        <w:rPr>
          <w:rFonts w:ascii="Arial" w:cs="Arial" w:eastAsia="Arial" w:hAnsi="Arial"/>
          <w:sz w:val="18"/>
          <w:szCs w:val="18"/>
          <w:color w:val="auto"/>
        </w:rPr>
      </w:pPr>
    </w:p>
    <w:p>
      <w:pPr>
        <w:ind w:left="1180" w:hanging="537"/>
        <w:spacing w:after="0" w:line="270" w:lineRule="auto"/>
        <w:tabs>
          <w:tab w:leader="none" w:pos="11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that the Eligible Stockholder (I) did not acquire, and is not holding, securities of the Corporation for the purpose or with the effect of influencing or changing control of the Corporation; (II) has not nominated and will not nominate for election to the Board of Directors at the annual meeting any person other than the Stockholder Nominee(s) being nominated by it pursuant to this Section 9(c);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has not and will not distribute to any stockholder any form of proxy for the annual meeting other than the form distributed by the Corporation; and (V) will own the Required Shares through the date of the annual meeting of stockholders; and</w:t>
      </w:r>
    </w:p>
    <w:p>
      <w:pPr>
        <w:spacing w:after="0" w:line="86" w:lineRule="exact"/>
        <w:rPr>
          <w:rFonts w:ascii="Arial" w:cs="Arial" w:eastAsia="Arial" w:hAnsi="Arial"/>
          <w:sz w:val="17"/>
          <w:szCs w:val="17"/>
          <w:color w:val="auto"/>
        </w:rPr>
      </w:pPr>
    </w:p>
    <w:p>
      <w:pPr>
        <w:jc w:val="both"/>
        <w:ind w:left="1180" w:right="120" w:hanging="537"/>
        <w:spacing w:after="0" w:line="311" w:lineRule="auto"/>
        <w:tabs>
          <w:tab w:leader="none" w:pos="11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that the facts, statements and other information in all communications with the Corporation and its stockholders are and will be true and correct in all material respects and do not and will not omit to state a material fact necessary in order to make the statements made, in light of the circumstances under which they were made, not misleading; and</w:t>
      </w:r>
    </w:p>
    <w:p>
      <w:pPr>
        <w:spacing w:after="0" w:line="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20"/>
          </w:cols>
          <w:pgMar w:left="1440" w:top="274" w:right="539" w:bottom="1440" w:gutter="0" w:footer="0" w:header="0"/>
        </w:sectPr>
      </w:pPr>
    </w:p>
    <w:bookmarkStart w:id="31" w:name="page32"/>
    <w:bookmarkEnd w:id="31"/>
    <w:p>
      <w:pPr>
        <w:ind w:left="-20" w:right="80" w:firstLine="408"/>
        <w:spacing w:after="0" w:line="277"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statement as to whether or not the Eligible Stockholder intends to maintain qualifying Ownership of the Required Shares for at least one year following the annual meeting;</w:t>
      </w:r>
    </w:p>
    <w:p>
      <w:pPr>
        <w:spacing w:after="0" w:line="62" w:lineRule="exact"/>
        <w:rPr>
          <w:rFonts w:ascii="Arial" w:cs="Arial" w:eastAsia="Arial" w:hAnsi="Arial"/>
          <w:sz w:val="18"/>
          <w:szCs w:val="18"/>
          <w:color w:val="auto"/>
        </w:rPr>
      </w:pPr>
    </w:p>
    <w:p>
      <w:pPr>
        <w:ind w:left="-20" w:right="20" w:firstLine="408"/>
        <w:spacing w:after="0" w:line="259" w:lineRule="auto"/>
        <w:tabs>
          <w:tab w:leader="none" w:pos="6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 and the acceptance by such group member of such designation;</w:t>
      </w:r>
    </w:p>
    <w:p>
      <w:pPr>
        <w:spacing w:after="0" w:line="78" w:lineRule="exact"/>
        <w:rPr>
          <w:rFonts w:ascii="Arial" w:cs="Arial" w:eastAsia="Arial" w:hAnsi="Arial"/>
          <w:sz w:val="18"/>
          <w:szCs w:val="18"/>
          <w:color w:val="auto"/>
        </w:rPr>
      </w:pPr>
    </w:p>
    <w:p>
      <w:pPr>
        <w:ind w:left="-20" w:firstLine="408"/>
        <w:spacing w:after="0" w:line="263"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Qualifying Fund whose share Ownership is counted for purposes of qualifying as an Eligible Stockholder, documentation from the Qualifying Fund reasonably satisfactory to the Board of Directors that demonstrates that it meets the requirements of a Qualifying Fund set forth in Section 9(c)(3) above; and</w:t>
      </w:r>
    </w:p>
    <w:p>
      <w:pPr>
        <w:spacing w:after="0" w:line="75" w:lineRule="exact"/>
        <w:rPr>
          <w:rFonts w:ascii="Arial" w:cs="Arial" w:eastAsia="Arial" w:hAnsi="Arial"/>
          <w:sz w:val="18"/>
          <w:szCs w:val="18"/>
          <w:color w:val="auto"/>
        </w:rPr>
      </w:pPr>
    </w:p>
    <w:p>
      <w:pPr>
        <w:ind w:left="680" w:hanging="29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undertaking that the Eligible Stockholder agrees to:</w:t>
      </w:r>
    </w:p>
    <w:p>
      <w:pPr>
        <w:spacing w:after="0" w:line="130" w:lineRule="exact"/>
        <w:rPr>
          <w:rFonts w:ascii="Arial" w:cs="Arial" w:eastAsia="Arial" w:hAnsi="Arial"/>
          <w:sz w:val="18"/>
          <w:szCs w:val="18"/>
          <w:color w:val="auto"/>
        </w:rPr>
      </w:pPr>
    </w:p>
    <w:p>
      <w:pPr>
        <w:ind w:left="1180" w:right="60" w:hanging="537"/>
        <w:spacing w:after="0" w:line="263" w:lineRule="auto"/>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assume all liability stemming from any legal or regulatory violation arising out of the Eligible Stockholder’s communications with the stockholders of the Corporation or out of the information that the Eligible Stockholder provides to the Corporation;</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980"/>
          </w:cols>
          <w:pgMar w:left="1440" w:top="274" w:right="479" w:bottom="1440" w:gutter="0" w:footer="0" w:header="0"/>
        </w:sectPr>
      </w:pPr>
    </w:p>
    <w:bookmarkStart w:id="32" w:name="page33"/>
    <w:bookmarkEnd w:id="32"/>
    <w:p>
      <w:pPr>
        <w:ind w:left="1740" w:hanging="537"/>
        <w:spacing w:after="0" w:line="255"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 and hold harmless the Corporation and each of its directors, officers and employees individually against any liability, loss or damages in connection with any threatened or pending action, suit or proceeding, whether or not by or in the right of the Corporation, and whether civil, criminal, administrative, investigative or otherwise, against the Corporation or any of its directors, officers or employees arising out of any nomination, solicitation or other activity by the Eligible Stockholder in connection with its efforts to elect the Stockholder Nominee(s) pursuant to this Section 9(c); and</w:t>
      </w:r>
    </w:p>
    <w:p>
      <w:pPr>
        <w:spacing w:after="0" w:line="97" w:lineRule="exact"/>
        <w:rPr>
          <w:rFonts w:ascii="Arial" w:cs="Arial" w:eastAsia="Arial" w:hAnsi="Arial"/>
          <w:sz w:val="18"/>
          <w:szCs w:val="18"/>
          <w:color w:val="auto"/>
        </w:rPr>
      </w:pPr>
    </w:p>
    <w:p>
      <w:pPr>
        <w:ind w:left="1740" w:right="100" w:hanging="537"/>
        <w:spacing w:after="0" w:line="27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comply with all other laws, rules and regulations applicable to any actions taken pursuant to this Section 9(c), including the nomination and any solicitation in connection with the annual meeting of stockholders.</w:t>
      </w:r>
    </w:p>
    <w:p>
      <w:pPr>
        <w:spacing w:after="0" w:line="62" w:lineRule="exact"/>
        <w:rPr>
          <w:rFonts w:ascii="Arial" w:cs="Arial" w:eastAsia="Arial" w:hAnsi="Arial"/>
          <w:sz w:val="18"/>
          <w:szCs w:val="18"/>
          <w:color w:val="auto"/>
        </w:rPr>
      </w:pPr>
    </w:p>
    <w:p>
      <w:pPr>
        <w:ind w:right="340" w:firstLine="419"/>
        <w:spacing w:after="0" w:line="263" w:lineRule="auto"/>
        <w:tabs>
          <w:tab w:leader="none" w:pos="67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Representations and Agreement of the Stockholder Nominee</w:t>
      </w:r>
      <w:r>
        <w:rPr>
          <w:rFonts w:ascii="Arial" w:cs="Arial" w:eastAsia="Arial" w:hAnsi="Arial"/>
          <w:sz w:val="18"/>
          <w:szCs w:val="18"/>
          <w:color w:val="auto"/>
        </w:rPr>
        <w:t>. Within the time period specified in this Section 9(c) for delivering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Access Notice, a Stockholder Nominee must deliver to the Secretary of the Corporation a completed and signed questionnaire, representation and agreement as set forth in Section 9(d) of this Article II.</w:t>
      </w:r>
    </w:p>
    <w:p>
      <w:pPr>
        <w:spacing w:after="0" w:line="1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60"/>
          </w:cols>
          <w:pgMar w:left="880" w:top="274" w:right="559" w:bottom="1440" w:gutter="0" w:footer="0" w:header="0"/>
        </w:sectPr>
      </w:pPr>
    </w:p>
    <w:bookmarkStart w:id="33" w:name="page34"/>
    <w:bookmarkEnd w:id="33"/>
    <w:p>
      <w:pPr>
        <w:ind w:firstLine="419"/>
        <w:spacing w:after="0" w:line="290" w:lineRule="auto"/>
        <w:tabs>
          <w:tab w:leader="none" w:pos="67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True, Correct and Complete Information</w:t>
      </w:r>
      <w:r>
        <w:rPr>
          <w:rFonts w:ascii="Arial" w:cs="Arial" w:eastAsia="Arial" w:hAnsi="Arial"/>
          <w:sz w:val="16"/>
          <w:szCs w:val="16"/>
          <w:color w:val="auto"/>
        </w:rPr>
        <w:t>. In the event that any information or communications provided by any Eligible Stockholder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Eligible Stockholder or Stockholder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Section 9(c). In addition, any person providing any information to the Corporation pursuant to this Section 9(c) shall further update and correct such information in accordance with the procedures set forth in Section 9(b)(4).</w:t>
      </w:r>
    </w:p>
    <w:p>
      <w:pPr>
        <w:spacing w:after="0" w:line="57" w:lineRule="exact"/>
        <w:rPr>
          <w:rFonts w:ascii="Arial" w:cs="Arial" w:eastAsia="Arial" w:hAnsi="Arial"/>
          <w:sz w:val="16"/>
          <w:szCs w:val="16"/>
          <w:color w:val="auto"/>
        </w:rPr>
      </w:pPr>
    </w:p>
    <w:p>
      <w:pPr>
        <w:ind w:right="160" w:firstLine="419"/>
        <w:spacing w:after="0" w:line="277" w:lineRule="auto"/>
        <w:tabs>
          <w:tab w:leader="none" w:pos="76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Notwithstanding anything in this Section 9(c) to the contrary, the Corporation shall not be required to include,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9(c), a Stockholder Nominee in its proxy materials for any meeting of stockholders if:</w:t>
      </w:r>
    </w:p>
    <w:p>
      <w:pPr>
        <w:spacing w:after="0" w:line="62" w:lineRule="exact"/>
        <w:rPr>
          <w:rFonts w:ascii="Arial" w:cs="Arial" w:eastAsia="Arial" w:hAnsi="Arial"/>
          <w:sz w:val="18"/>
          <w:szCs w:val="18"/>
          <w:color w:val="auto"/>
        </w:rPr>
      </w:pPr>
    </w:p>
    <w:p>
      <w:pPr>
        <w:ind w:left="540" w:right="340" w:firstLine="408"/>
        <w:spacing w:after="0" w:line="308" w:lineRule="auto"/>
        <w:tabs>
          <w:tab w:leader="none" w:pos="1236"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Secretary of the Corporation receives a notice that any stockholder has nominated any person for election to the Board of Directors at such meeting pursuant to the advance notice requirements set forth in Section 9(b) of this Article II;</w:t>
      </w:r>
    </w:p>
    <w:p>
      <w:pPr>
        <w:spacing w:after="0" w:line="38" w:lineRule="exact"/>
        <w:rPr>
          <w:rFonts w:ascii="Arial" w:cs="Arial" w:eastAsia="Arial" w:hAnsi="Arial"/>
          <w:sz w:val="17"/>
          <w:szCs w:val="17"/>
          <w:color w:val="auto"/>
        </w:rPr>
      </w:pPr>
    </w:p>
    <w:p>
      <w:pPr>
        <w:ind w:left="540" w:right="20" w:firstLine="408"/>
        <w:spacing w:after="0" w:line="259" w:lineRule="auto"/>
        <w:tabs>
          <w:tab w:leader="none" w:pos="12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or Stockholder-Requested Special Meeting other than its Stockholder Nominee(s) or a nominee of the Board of Directors;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34" w:name="page35"/>
    <w:bookmarkEnd w:id="34"/>
    <w:p>
      <w:pPr>
        <w:ind w:left="-20" w:firstLine="408"/>
        <w:spacing w:after="0" w:line="259"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 Nominee is not independent under the listing standards of each principal U.S. exchange upon which the common stock of the Corporation is listed, any applicable rules of the SEC and any publicly disclosed standards used by the Board of Directors in determining and disclosing independence of the Corporation’s directors, in each case as determined by the Board of Directors in its sole discretion;</w:t>
      </w:r>
    </w:p>
    <w:p>
      <w:pPr>
        <w:spacing w:after="0" w:line="78" w:lineRule="exact"/>
        <w:rPr>
          <w:rFonts w:ascii="Arial" w:cs="Arial" w:eastAsia="Arial" w:hAnsi="Arial"/>
          <w:sz w:val="18"/>
          <w:szCs w:val="18"/>
          <w:color w:val="auto"/>
        </w:rPr>
      </w:pPr>
    </w:p>
    <w:p>
      <w:pPr>
        <w:ind w:left="-20" w:firstLine="408"/>
        <w:spacing w:after="0" w:line="263"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election of the Stockholder Nominee as a member of the Board of Directors would cause the Corporation to be in violation of these By-Laws, the Certificate of Incorporation, the rules and listing standards of the principal U.S. exchanges upon which the common stock of the Corporation is listed or traded, or any applicable state or federal law, rule or regulation;</w:t>
      </w:r>
    </w:p>
    <w:p>
      <w:pPr>
        <w:spacing w:after="0" w:line="75" w:lineRule="exact"/>
        <w:rPr>
          <w:rFonts w:ascii="Arial" w:cs="Arial" w:eastAsia="Arial" w:hAnsi="Arial"/>
          <w:sz w:val="18"/>
          <w:szCs w:val="18"/>
          <w:color w:val="auto"/>
        </w:rPr>
      </w:pPr>
    </w:p>
    <w:p>
      <w:pPr>
        <w:ind w:left="-20" w:right="320" w:firstLine="408"/>
        <w:spacing w:after="0" w:line="277" w:lineRule="auto"/>
        <w:tabs>
          <w:tab w:leader="none" w:pos="6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Stockholder Nominee is or has been, within the past three (3) years, an officer or director of a competitor, as set forth in Section 8 of the Clayton Antitrust Act of 1914;</w:t>
      </w:r>
    </w:p>
    <w:p>
      <w:pPr>
        <w:spacing w:after="0" w:line="62" w:lineRule="exact"/>
        <w:rPr>
          <w:rFonts w:ascii="Arial" w:cs="Arial" w:eastAsia="Arial" w:hAnsi="Arial"/>
          <w:sz w:val="18"/>
          <w:szCs w:val="18"/>
          <w:color w:val="auto"/>
        </w:rPr>
      </w:pPr>
    </w:p>
    <w:p>
      <w:pPr>
        <w:ind w:left="-20" w:right="340" w:firstLine="408"/>
        <w:spacing w:after="0" w:line="277"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Stockholder Nominee is a named subject of a pending criminal proceeding (excluding traffic violations and other minor offenses) or has been convicted in such a criminal proceeding within the past ten (10) years;</w:t>
      </w:r>
    </w:p>
    <w:p>
      <w:pPr>
        <w:spacing w:after="0" w:line="62" w:lineRule="exact"/>
        <w:rPr>
          <w:rFonts w:ascii="Arial" w:cs="Arial" w:eastAsia="Arial" w:hAnsi="Arial"/>
          <w:sz w:val="18"/>
          <w:szCs w:val="18"/>
          <w:color w:val="auto"/>
        </w:rPr>
      </w:pPr>
    </w:p>
    <w:p>
      <w:pPr>
        <w:ind w:left="-20" w:right="240" w:firstLine="408"/>
        <w:spacing w:after="0" w:line="277"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Stockholder Nominee is subject to any order of the type specified in Rule 506(d) of Regulation D promulgated under the Securities Act of 1933, as amended;</w:t>
      </w:r>
    </w:p>
    <w:p>
      <w:pPr>
        <w:spacing w:after="0" w:line="62" w:lineRule="exact"/>
        <w:rPr>
          <w:rFonts w:ascii="Arial" w:cs="Arial" w:eastAsia="Arial" w:hAnsi="Arial"/>
          <w:sz w:val="18"/>
          <w:szCs w:val="18"/>
          <w:color w:val="auto"/>
        </w:rPr>
      </w:pPr>
    </w:p>
    <w:p>
      <w:pPr>
        <w:ind w:left="-20" w:right="120" w:firstLine="408"/>
        <w:spacing w:after="0" w:line="259"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Stockholder Nominee or the applicable Eligible Stockholder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of Directors in its sole discretion;</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80"/>
          </w:cols>
          <w:pgMar w:left="1440" w:top="274" w:right="479" w:bottom="1440" w:gutter="0" w:footer="0" w:header="0"/>
        </w:sectPr>
      </w:pPr>
    </w:p>
    <w:bookmarkStart w:id="35" w:name="page36"/>
    <w:bookmarkEnd w:id="35"/>
    <w:p>
      <w:pPr>
        <w:ind w:left="544" w:right="460" w:firstLine="408"/>
        <w:spacing w:after="0" w:line="263" w:lineRule="auto"/>
        <w:tabs>
          <w:tab w:leader="none" w:pos="1169"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 Nominee or the applicable Eligible Stockholder otherwise violates or breaches any of the agreements or representations made by such Stockholder Nominee or Eligible Stockholder or fails to comply with its obligations pursuant to these By-Laws, including this Section 9(c) of Article II; or</w:t>
      </w:r>
    </w:p>
    <w:p>
      <w:pPr>
        <w:spacing w:after="0" w:line="75" w:lineRule="exact"/>
        <w:rPr>
          <w:rFonts w:ascii="Arial" w:cs="Arial" w:eastAsia="Arial" w:hAnsi="Arial"/>
          <w:sz w:val="18"/>
          <w:szCs w:val="18"/>
          <w:color w:val="auto"/>
        </w:rPr>
      </w:pPr>
    </w:p>
    <w:p>
      <w:pPr>
        <w:ind w:left="544" w:right="400" w:firstLine="408"/>
        <w:spacing w:after="0" w:line="277" w:lineRule="auto"/>
        <w:tabs>
          <w:tab w:leader="none" w:pos="11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applicable Eligible Stockholder ceases to be an Eligible Stockholder for any reason, including not Owning the Required Shares through the date of the applicable annual meeting of stockholders.</w:t>
      </w:r>
    </w:p>
    <w:p>
      <w:pPr>
        <w:spacing w:after="0" w:line="62" w:lineRule="exact"/>
        <w:rPr>
          <w:sz w:val="20"/>
          <w:szCs w:val="20"/>
          <w:color w:val="auto"/>
        </w:rPr>
      </w:pPr>
    </w:p>
    <w:p>
      <w:pPr>
        <w:jc w:val="both"/>
        <w:ind w:left="4" w:right="440" w:firstLine="423"/>
        <w:spacing w:after="0" w:line="311" w:lineRule="auto"/>
        <w:rPr>
          <w:sz w:val="20"/>
          <w:szCs w:val="20"/>
          <w:color w:val="auto"/>
        </w:rPr>
      </w:pPr>
      <w:r>
        <w:rPr>
          <w:rFonts w:ascii="Arial" w:cs="Arial" w:eastAsia="Arial" w:hAnsi="Arial"/>
          <w:sz w:val="16"/>
          <w:szCs w:val="16"/>
          <w:color w:val="auto"/>
        </w:rPr>
        <w:t>In addition, any Eligible Stockholder (or any member of a group constituting an Eligible Stockholder) whose Stockholder Nominee is elected as a director at an annual meeting of stockholders will not be eligible to nominate or participate in the nomination of a Stockholder Nominee for the following two annual meetings, other than the nomination of any such previously elected Stockholder Nominee.</w:t>
      </w:r>
    </w:p>
    <w:p>
      <w:pPr>
        <w:spacing w:after="0" w:line="41" w:lineRule="exact"/>
        <w:rPr>
          <w:sz w:val="20"/>
          <w:szCs w:val="20"/>
          <w:color w:val="auto"/>
        </w:rPr>
      </w:pPr>
    </w:p>
    <w:p>
      <w:pPr>
        <w:ind w:left="4" w:firstLine="419"/>
        <w:spacing w:after="0" w:line="291" w:lineRule="auto"/>
        <w:tabs>
          <w:tab w:leader="none" w:pos="76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Invalid Nominations</w:t>
      </w:r>
      <w:r>
        <w:rPr>
          <w:rFonts w:ascii="Arial" w:cs="Arial" w:eastAsia="Arial" w:hAnsi="Arial"/>
          <w:sz w:val="16"/>
          <w:szCs w:val="16"/>
          <w:color w:val="auto"/>
        </w:rPr>
        <w:t>. Notwithstanding anything in this Section 9(c) to the contrary, if (A) a Stockholder Nominee and/or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Stockholder breaches any of its agreements or representations or fails to comply with any of its obligations under this Section 9(c) or</w:t>
      </w:r>
    </w:p>
    <w:p>
      <w:pPr>
        <w:ind w:left="4" w:right="100" w:hanging="4"/>
        <w:spacing w:after="0" w:line="302" w:lineRule="auto"/>
        <w:tabs>
          <w:tab w:leader="none" w:pos="2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Stockholder Nominee otherwise becomes ineligible for inclusion in the Corporation’s proxy materials pursuant to this Section 9(c) or dies, becomes disabled or otherwise becomes ineligible or unavailable for election at the annual meeting, in each case as determined by the Board of Directors or the Chairman of the annual meeting, (i) the Corporation may omit or, to the extent feasible, remove the information concerning</w:t>
      </w:r>
    </w:p>
    <w:p>
      <w:pPr>
        <w:spacing w:after="0" w:line="88"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84"/>
          </w:cols>
          <w:pgMar w:left="876" w:top="274" w:right="539" w:bottom="1440" w:gutter="0" w:footer="0" w:header="0"/>
        </w:sectPr>
      </w:pPr>
    </w:p>
    <w:bookmarkStart w:id="36" w:name="page37"/>
    <w:bookmarkEnd w:id="36"/>
    <w:p>
      <w:pPr>
        <w:ind w:left="440"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 Nominee and the related Supporting Statement from its proxy materials and/or otherwise communicate to its stockholders that such Stockholder Nominee will not be eligible for election at the annual meeting, (ii) the Corporation shall not be required to include in its proxy materials any successor or replacement nominee proposed by the applicable Eligible Stockholder or any other Eligible Stockholder and (iii) the Board of Directors or the chair of the annual meeting shall declare such nomination to be invalid and such nomination shall be disregarded notwithstanding that proxies in respect of such vote may have been received by the Corporation.</w:t>
      </w:r>
    </w:p>
    <w:p>
      <w:pPr>
        <w:spacing w:after="0" w:line="68" w:lineRule="exact"/>
        <w:rPr>
          <w:sz w:val="20"/>
          <w:szCs w:val="20"/>
          <w:color w:val="auto"/>
        </w:rPr>
      </w:pPr>
    </w:p>
    <w:p>
      <w:pPr>
        <w:ind w:left="440" w:firstLine="419"/>
        <w:spacing w:after="0" w:line="301" w:lineRule="auto"/>
        <w:tabs>
          <w:tab w:leader="none" w:pos="1208"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Filing Obligation</w:t>
      </w:r>
      <w:r>
        <w:rPr>
          <w:rFonts w:ascii="Arial" w:cs="Arial" w:eastAsia="Arial" w:hAnsi="Arial"/>
          <w:sz w:val="16"/>
          <w:szCs w:val="16"/>
          <w:color w:val="auto"/>
        </w:rPr>
        <w:t>. The Eligible Stockholder (including any person who Owns shares of common stock of the Corporation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part of the Eligible Stockholder’s Ownership for purposes of satisfying this Section 9(c)) shall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w:t>
      </w:r>
    </w:p>
    <w:p>
      <w:pPr>
        <w:spacing w:after="0" w:line="49" w:lineRule="exact"/>
        <w:rPr>
          <w:rFonts w:ascii="Arial" w:cs="Arial" w:eastAsia="Arial" w:hAnsi="Arial"/>
          <w:sz w:val="16"/>
          <w:szCs w:val="16"/>
          <w:color w:val="auto"/>
        </w:rPr>
      </w:pPr>
    </w:p>
    <w:p>
      <w:pPr>
        <w:ind w:left="440" w:right="1000" w:firstLine="419"/>
        <w:spacing w:after="0" w:line="277" w:lineRule="auto"/>
        <w:tabs>
          <w:tab w:leader="none" w:pos="1208"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Exclusive Method</w:t>
      </w:r>
      <w:r>
        <w:rPr>
          <w:rFonts w:ascii="Arial" w:cs="Arial" w:eastAsia="Arial" w:hAnsi="Arial"/>
          <w:sz w:val="18"/>
          <w:szCs w:val="18"/>
          <w:color w:val="auto"/>
        </w:rPr>
        <w:t>. This Section 9(c) shall be the exclusive method for stockholders to include nominees for director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proxy materials.</w:t>
      </w:r>
    </w:p>
    <w:p>
      <w:pPr>
        <w:spacing w:after="0" w:line="62" w:lineRule="exact"/>
        <w:rPr>
          <w:rFonts w:ascii="Arial" w:cs="Arial" w:eastAsia="Arial" w:hAnsi="Arial"/>
          <w:sz w:val="18"/>
          <w:szCs w:val="18"/>
          <w:color w:val="auto"/>
        </w:rPr>
      </w:pPr>
    </w:p>
    <w:p>
      <w:pPr>
        <w:jc w:val="both"/>
        <w:ind w:right="80" w:firstLine="436"/>
        <w:spacing w:after="0" w:line="279"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A nominee proposed by a stockholder pursuant to Section 9 of this Article II must deliver (in accordance with the applicable time periods prescribed for receipt of notice under Section 9 of this Article II) to the Secretary at the principal executive offices of the Corporation a written questionnaire in the form required by the Corporation (which form the stockholder must request in writing from the Secretary prior to submitting notice, and which the Secretary shall provide to the stockholder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 w:name="page38"/>
    <w:bookmarkEnd w:id="37"/>
    <w:p>
      <w:pPr>
        <w:jc w:val="both"/>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ten days of receiving the request), and a written representation and agreement that the individual (1) is not and will not become a party to (A) any agreement, arrangement or understanding with, and has not given any commitment or assurance to, any person or entity as to how the person, if elected as a director of the Corporation, will act or vote on any issue or question (a “Voting Commitment”) that has not been disclosed to the Corporation, and</w:t>
      </w:r>
    </w:p>
    <w:p>
      <w:pPr>
        <w:spacing w:after="0" w:line="2" w:lineRule="exact"/>
        <w:rPr>
          <w:sz w:val="20"/>
          <w:szCs w:val="20"/>
          <w:color w:val="auto"/>
        </w:rPr>
      </w:pPr>
    </w:p>
    <w:p>
      <w:pPr>
        <w:ind w:left="4" w:hanging="4"/>
        <w:spacing w:after="0" w:line="267" w:lineRule="auto"/>
        <w:tabs>
          <w:tab w:leader="none" w:pos="2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Voting Commitment that could limit or interfere with the individual’s ability to comply, if elected as a director of the Corporation, with the individual’s fiduciary duties under applicable law, (2) is not and will not become a party to any compensatory, payment, indemnification, or other financial agreement, arrangement or understanding with any person or entity other than the Corporation in connection with service or action as a director that has not been disclosed to the Corporation in writing, (3) in the individual’s personal capacity and on behalf of any person or entity on whose behalf, directly or indirectly, the nomination is being made, would be in compliance, if elected as a director of the Corporation, and will comply, with the rules of the exchange upon which the Corporation’s shares of common stock trade, the Certificate of Incorporation, these By-Laws, the Corporation’s Corporate Governance Guidelines and any other Corporation policies and guidelines applicable to directors and applicable fiduciary duties under state law, and currently would be in compliance with any policies and guidelines that have been publicly disclosed, and (4)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38" w:name="page39"/>
    <w:bookmarkEnd w:id="38"/>
    <w:p>
      <w:pPr>
        <w:ind w:firstLine="436"/>
        <w:spacing w:after="0" w:line="296" w:lineRule="auto"/>
        <w:tabs>
          <w:tab w:leader="none" w:pos="68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Defective Nominations</w:t>
      </w:r>
      <w:r>
        <w:rPr>
          <w:rFonts w:ascii="Arial" w:cs="Arial" w:eastAsia="Arial" w:hAnsi="Arial"/>
          <w:sz w:val="16"/>
          <w:szCs w:val="16"/>
          <w:color w:val="auto"/>
        </w:rPr>
        <w:t>. The Chairman of the stockholder meeting, in his or her sole discretion, shall, if the facts warrant, determine and declare to the meeting that a nomination was not made in accordance with the provisions of this Section 9 of Article II, and the defective nomination shall be declared invalid and disregarded. Notwithstanding this Section 9, unless otherwise required by law, a nomination will be deemed defective if the stockholder (or a Qualified Representative of the stockholder) does not appear at the stockholder meeting to present it. If a nomination is defective for any reason, no vote will be taken with respect to it, even if proxies regarding the vote have been received by the Corporation.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color w:val="auto"/>
        </w:rPr>
        <w:t>Business at Annual or Special Meeting; Notice of Stockholder Business.</w:t>
      </w:r>
    </w:p>
    <w:p>
      <w:pPr>
        <w:spacing w:after="0" w:line="121" w:lineRule="exact"/>
        <w:rPr>
          <w:sz w:val="20"/>
          <w:szCs w:val="20"/>
          <w:color w:val="auto"/>
        </w:rPr>
      </w:pPr>
    </w:p>
    <w:p>
      <w:pPr>
        <w:ind w:right="20" w:firstLine="436"/>
        <w:spacing w:after="0" w:line="269" w:lineRule="auto"/>
        <w:tabs>
          <w:tab w:leader="none" w:pos="68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To be properly brought before a meeting of stockholders, business must be either (a) specified in the notice of meeting (or any supplement thereto) given by or at the direction of the Board of Directors, or (b) for annual meetings only, otherwise properly brought before the meeting by or at the direction of the Board of Directors or by a stockholder of the Corporation who is a stockholder of record at the time of giving the notice provided for in this Section 10 and is entitled to vote at the meeting. In addition to any other applicable requirements, for business to be properly brought before the meeting by a stockholder, the stockholder must have given timely notice thereof in writing to the Secretary of the Corporation. To be timely, a stockholder’s notice must be (i) for Stockholder-Requested Special Meetings, included in the stockholder’s Special Meeting Request, (ii) for any other special meeting, the tenth day following the day on which public announcement of the date of the meeting is first made; and (iii) for annual meetings, in writing and received by the Secretary at the principal executive offices of the Corporation no earlier than the close of business 120 days and no later than the close of business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business to be properly brought before the meeting by a stockholder, as described above.</w:t>
      </w:r>
    </w:p>
    <w:p>
      <w:pPr>
        <w:spacing w:after="0" w:line="7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Notwithstanding anything in these By-Laws to the contrary, no business shall be conducted at any annual meeting except in accordance with the procedures set forth in this Section 10 of Article II; provided, however, that nothing in this Section 10 of Article II shall be deemed to preclude discussion by any stockholder of any business properly brought before the meeting. Notwithstanding anything to the contrary herein, nothing in this Section 10 is intended to nor shall be deemed to affect any rights of stockholders to submit a proposal to the Corporation in compliance with Rule 14a-8 promulgated under the Exchange Act for inclusion in a proxy statement that has been prepared by the Corporation to solicit proxies for the stockholder meeting.</w:t>
      </w:r>
    </w:p>
    <w:p>
      <w:pPr>
        <w:spacing w:after="0" w:line="84" w:lineRule="exact"/>
        <w:rPr>
          <w:sz w:val="20"/>
          <w:szCs w:val="20"/>
          <w:color w:val="auto"/>
        </w:rPr>
      </w:pPr>
    </w:p>
    <w:p>
      <w:pPr>
        <w:ind w:right="60" w:firstLine="436"/>
        <w:spacing w:after="0" w:line="293"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Notice of Business</w:t>
      </w:r>
      <w:r>
        <w:rPr>
          <w:rFonts w:ascii="Arial" w:cs="Arial" w:eastAsia="Arial" w:hAnsi="Arial"/>
          <w:sz w:val="16"/>
          <w:szCs w:val="16"/>
          <w:color w:val="auto"/>
        </w:rPr>
        <w:t>. For business to be properly brought before an annual or special meeting, a stockholder’s notice to the Secretary or Special Meeting Request, as appropriate, must set forth (1) as to each matter the stockholder proposes to bring before the meeting (A) a reasonably brief description of the business desired to be brought before the meeting and the reason for conducting such business at the meeting, (B) the text of the proposal or business (including the text of any resolutions and proposed amendments to corporate documents, including these By-Laws, proposed for consideration) (C) if the business is the nomination or election of directors, the information required in Section 9(b) of this Article II; and (D) all other information relating to such proposed business that would be required to be disclosed in a proxy statement or other filing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0" w:name="page41"/>
    <w:bookmarkEnd w:id="40"/>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be made by the stockholder in connection with the solicitation of proxies in support of such proposed business pursuant to Regulation 14A under the Exchange Act, (2) as to as to the stockholder giving the notice and any Stockholder Associated Person, the disclosures and representations set forth in Section 9(b)(2), substituting the nomination with the proposed business, as applicable.</w:t>
      </w:r>
    </w:p>
    <w:p>
      <w:pPr>
        <w:spacing w:after="0" w:line="76"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In addition, to be considered timely and valid, a stockholder notice pursuant to this Section 10 or a Special Meeting Request pursuant to Section 2(b) shall be updated and corrected in accordance with the procedures set forth in Section 9(b)(4).</w:t>
      </w:r>
    </w:p>
    <w:p>
      <w:pPr>
        <w:spacing w:after="0" w:line="6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Chairman of the meeting shall, if the facts warrant, determine and declare to the meeting that business was not properly brought before the meeting in accordance with the provisions of this Section 10 of Article II or other provisions of these By-Laws, and any such business shall not be transacted. Notwithstanding the foregoing provisions of this Section 10, unless otherwise required by law, if the stockholder (or a Qualified Representative of the stockholder) does not appear at the stockholder meeting to present business, such proposed business shall not be transacted, and no vote shall be taken with respect to such business, notwithstanding that proxies in respect of such vote may have been received by the Corporation.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General Powers</w:t>
      </w:r>
      <w:r>
        <w:rPr>
          <w:rFonts w:ascii="Arial" w:cs="Arial" w:eastAsia="Arial" w:hAnsi="Arial"/>
          <w:sz w:val="18"/>
          <w:szCs w:val="18"/>
          <w:color w:val="auto"/>
        </w:rPr>
        <w:t>.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1" w:name="page42"/>
    <w:bookmarkEnd w:id="41"/>
    <w:p>
      <w:pPr>
        <w:ind w:right="3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Arial" w:cs="Arial" w:eastAsia="Arial" w:hAnsi="Arial"/>
          <w:sz w:val="18"/>
          <w:szCs w:val="18"/>
          <w:b w:val="1"/>
          <w:bCs w:val="1"/>
          <w:color w:val="auto"/>
        </w:rPr>
        <w:t>Number, Term of Office and Qualifications</w:t>
      </w:r>
      <w:r>
        <w:rPr>
          <w:rFonts w:ascii="Arial" w:cs="Arial" w:eastAsia="Arial" w:hAnsi="Arial"/>
          <w:sz w:val="18"/>
          <w:szCs w:val="18"/>
          <w:color w:val="auto"/>
        </w:rPr>
        <w:t>. The number of directors which shall constitute the whole Board shall be set forth by resolution of the Board of Directors of the Corporation. Directors need not be stockholders.</w:t>
      </w:r>
    </w:p>
    <w:p>
      <w:pPr>
        <w:spacing w:after="0" w:line="16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b w:val="1"/>
          <w:bCs w:val="1"/>
          <w:color w:val="auto"/>
        </w:rPr>
        <w:t>Election of Directors</w:t>
      </w:r>
      <w:r>
        <w:rPr>
          <w:rFonts w:ascii="Arial" w:cs="Arial" w:eastAsia="Arial" w:hAnsi="Arial"/>
          <w:sz w:val="17"/>
          <w:szCs w:val="17"/>
          <w:color w:val="auto"/>
        </w:rPr>
        <w:t>. Except as provided in Section 6 of Article III of these By-Laws, the directors shall be elected by the vote of the majority of the shares represented in person or by proxy and entitled to vote thereon at a meeting of stockholders, a quorum being present, provided that if, as of the tenth day preceding the date the Corporation first mails its notice of meeting to the stockholders of the Corporation,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at each annual meeting of stockholders, and each director shall continue in office until his or her successor shall have been elected and shall qualify or until his or her earlier death, resignation or removal from office.</w:t>
      </w:r>
    </w:p>
    <w:p>
      <w:pPr>
        <w:spacing w:after="0" w:line="17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Organization and Order of Business</w:t>
      </w:r>
      <w:r>
        <w:rPr>
          <w:rFonts w:ascii="Arial" w:cs="Arial" w:eastAsia="Arial" w:hAnsi="Arial"/>
          <w:sz w:val="18"/>
          <w:szCs w:val="18"/>
          <w:color w:val="auto"/>
        </w:rPr>
        <w:t>. At all meetings of the Board of Directors, the Chairman of the Board of Directors shall preside. In the Chairman’s absence, the President, or, in the absence of both of these officers, the Corporation’s lead independent director or another member of the Board of Directors chosen by a majority of the directors present thereat, shall act as Chairman of such meeting and preside thereat. The Secretary, or, in the Secretary’s absence, an Assistant Secretary, or, in the absence of all of them, any person appointed by the Chairman of the meeting, shall act as secretary of such meeting.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42" w:name="page43"/>
    <w:bookmarkEnd w:id="42"/>
    <w:p>
      <w:pPr>
        <w:ind w:right="6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7"/>
          <w:szCs w:val="17"/>
          <w:b w:val="1"/>
          <w:bCs w:val="1"/>
          <w:color w:val="auto"/>
        </w:rPr>
        <w:t>Resignations</w:t>
      </w:r>
      <w:r>
        <w:rPr>
          <w:rFonts w:ascii="Arial" w:cs="Arial" w:eastAsia="Arial" w:hAnsi="Arial"/>
          <w:sz w:val="17"/>
          <w:szCs w:val="17"/>
          <w:color w:val="auto"/>
        </w:rPr>
        <w:t>. Any director of the Corporation may resign at any time by giving notice of resignation in writing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6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color w:val="auto"/>
        </w:rPr>
        <w:t>Vacancies and Increases</w:t>
      </w:r>
      <w:r>
        <w:rPr>
          <w:rFonts w:ascii="Arial" w:cs="Arial" w:eastAsia="Arial" w:hAnsi="Arial"/>
          <w:sz w:val="18"/>
          <w:szCs w:val="18"/>
          <w:color w:val="auto"/>
        </w:rPr>
        <w:t>.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 in accordance with the procedures described in Article II, Section 2.</w:t>
      </w:r>
    </w:p>
    <w:p>
      <w:pPr>
        <w:spacing w:after="0" w:line="180"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color w:val="auto"/>
        </w:rPr>
        <w:t>Emergency By-Laws and Other Powers in Emergency</w:t>
      </w:r>
      <w:r>
        <w:rPr>
          <w:rFonts w:ascii="Arial" w:cs="Arial" w:eastAsia="Arial" w:hAnsi="Arial"/>
          <w:sz w:val="17"/>
          <w:szCs w:val="17"/>
          <w:color w:val="auto"/>
        </w:rPr>
        <w:t>. During any emergency condition or catastrophe, including a natural disaster, pandemic, attack, or nuclear or atomic disaster, or other similar emergency conditions, as a result of which a quorum of the Board of Directors or a committee thereof cannot readily be convened for action because of the emergency, the following provisions shall be applicable:</w:t>
      </w:r>
    </w:p>
    <w:p>
      <w:pPr>
        <w:spacing w:after="0" w:line="54" w:lineRule="exact"/>
        <w:rPr>
          <w:sz w:val="20"/>
          <w:szCs w:val="20"/>
          <w:color w:val="auto"/>
        </w:rPr>
      </w:pPr>
    </w:p>
    <w:p>
      <w:pPr>
        <w:ind w:right="100" w:firstLine="436"/>
        <w:spacing w:after="0" w:line="311"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Emergency Management Committee</w:t>
      </w:r>
      <w:r>
        <w:rPr>
          <w:rFonts w:ascii="Arial" w:cs="Arial" w:eastAsia="Arial" w:hAnsi="Arial"/>
          <w:sz w:val="16"/>
          <w:szCs w:val="16"/>
          <w:color w:val="auto"/>
        </w:rPr>
        <w:t>. All the powers and duties vested in the Board of Directors or committee so lacking a quorum shall vest, automatically, in the Emergency Management Committee, which shall consist of the members of the Board of Directors who can be readily convened for action. As few as two Committee members shall constitute a quorum unless there is only one, in which case one shall constitute a quorum.</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43" w:name="page44"/>
    <w:bookmarkEnd w:id="43"/>
    <w:p>
      <w:pPr>
        <w:ind w:right="60" w:firstLine="436"/>
        <w:spacing w:after="0" w:line="293"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Senior Vice President, (3) Vice President, and (4) Assistant Vice President, shall be deemed directors eligible to serve on the Emergency Management Committee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56" w:lineRule="exact"/>
        <w:rPr>
          <w:rFonts w:ascii="Arial" w:cs="Arial" w:eastAsia="Arial" w:hAnsi="Arial"/>
          <w:sz w:val="16"/>
          <w:szCs w:val="16"/>
          <w:color w:val="auto"/>
        </w:rPr>
      </w:pPr>
    </w:p>
    <w:p>
      <w:pPr>
        <w:ind w:firstLine="436"/>
        <w:spacing w:after="0" w:line="301"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provisions of these By-Laws notwithstanding, (1) a meeting of the Emergency Management Committee, the Board of Directors or a standing committee thereof may be called by any director or officer of the Corporation by any means feasible under the circumstances; and (2) notice of any meeting of the Emergency Management Committee, the Board of Directors or a standing committee thereof may be given at such time in advance of the meeting as, in the judgment of the person calling the meeting, circumstances permit to as many directors and by any means feasible at the time.</w:t>
      </w:r>
    </w:p>
    <w:p>
      <w:pPr>
        <w:spacing w:after="0" w:line="153"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Place of Meeting</w:t>
      </w:r>
      <w:r>
        <w:rPr>
          <w:rFonts w:ascii="Arial" w:cs="Arial" w:eastAsia="Arial" w:hAnsi="Arial"/>
          <w:sz w:val="18"/>
          <w:szCs w:val="18"/>
          <w:color w:val="auto"/>
        </w:rPr>
        <w:t>. The Board of Directors may hold its meetings at such place or places within or without the State of Delaware, including by means of conference telephone or other communications equipment by means of which all persons participating in the meeting can hear each other, as the Board of Directors may from time to time by resolution determine, or as shall be specified or fixed in these By-Laws, or in the respective notices or waivers of notice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4" w:name="page45"/>
    <w:bookmarkEnd w:id="44"/>
    <w:p>
      <w:pPr>
        <w:ind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Arial" w:cs="Arial" w:eastAsia="Arial" w:hAnsi="Arial"/>
          <w:sz w:val="16"/>
          <w:szCs w:val="16"/>
          <w:b w:val="1"/>
          <w:bCs w:val="1"/>
          <w:color w:val="auto"/>
        </w:rPr>
        <w:t>Regular Meetings</w:t>
      </w:r>
      <w:r>
        <w:rPr>
          <w:rFonts w:ascii="Arial" w:cs="Arial" w:eastAsia="Arial" w:hAnsi="Arial"/>
          <w:sz w:val="16"/>
          <w:szCs w:val="16"/>
          <w:color w:val="auto"/>
        </w:rPr>
        <w:t>.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one day’s notice to each director, as in the manner provided for notice of special meetings of the Board of Directors, from the Chairman of the Board of Directors, the President, or the Secretary or an Assistant Secretary.</w:t>
      </w:r>
    </w:p>
    <w:p>
      <w:pPr>
        <w:spacing w:after="0" w:line="15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b w:val="1"/>
          <w:bCs w:val="1"/>
          <w:color w:val="auto"/>
        </w:rPr>
        <w:t>Special Meetings; Notice</w:t>
      </w:r>
      <w:r>
        <w:rPr>
          <w:rFonts w:ascii="Arial" w:cs="Arial" w:eastAsia="Arial" w:hAnsi="Arial"/>
          <w:sz w:val="16"/>
          <w:szCs w:val="16"/>
          <w:color w:val="auto"/>
        </w:rPr>
        <w:t>.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the director at the director’s residence or usual place of business, at least three days before the day on which such meeting is to be held, or shall be sent addressed to the director by electronic transmission or be delivered personally or by telephone not later than the day before the day on which such meeting is to be held unless the person calling the meeting deems shorter notice necessary or appropriate. Notice of any meeting of the Board need not, however, be given to any director, if waived by him or her at any time, whether before or after the meeting in writing, or if he or she shall be present at such meeting and not object at the beginning of the meeting to the transaction of any business because the meeting was not lawfully called or convened.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440" w:top="270" w:right="519" w:bottom="1440" w:gutter="0" w:footer="0" w:header="0"/>
        </w:sectPr>
      </w:pPr>
    </w:p>
    <w:bookmarkStart w:id="45" w:name="page46"/>
    <w:bookmarkEnd w:id="45"/>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Arial" w:cs="Arial" w:eastAsia="Arial" w:hAnsi="Arial"/>
          <w:sz w:val="17"/>
          <w:szCs w:val="17"/>
          <w:b w:val="1"/>
          <w:bCs w:val="1"/>
          <w:color w:val="auto"/>
        </w:rPr>
        <w:t>Quorum and Manner of Acting</w:t>
      </w:r>
      <w:r>
        <w:rPr>
          <w:rFonts w:ascii="Arial" w:cs="Arial" w:eastAsia="Arial" w:hAnsi="Arial"/>
          <w:sz w:val="17"/>
          <w:szCs w:val="17"/>
          <w:color w:val="auto"/>
        </w:rPr>
        <w:t>. At all meetings of the Board of Directors, one-third of the total number of directors shall constitute a quorum for the transaction of business; and, except as otherwise specified in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other communications equipment by means of which all persons participating in the meeting can hear each other, and such participation in the meeting shall constitute presence in person at such meeting. In the absence of a quorum at any meeting, it may be adjourned, from time to time, by the Chairman of the Board or a majority vote of the directors present, until a quorum shall be present thereat. Notice of any adjourned meeting need not be given. The directors shall act only as a Board and the individual directors shall have no power as such.</w:t>
      </w:r>
    </w:p>
    <w:p>
      <w:pPr>
        <w:spacing w:after="0" w:line="17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b w:val="1"/>
          <w:bCs w:val="1"/>
          <w:color w:val="auto"/>
        </w:rPr>
        <w:t>Compensation</w:t>
      </w:r>
      <w:r>
        <w:rPr>
          <w:rFonts w:ascii="Arial" w:cs="Arial" w:eastAsia="Arial" w:hAnsi="Arial"/>
          <w:sz w:val="16"/>
          <w:szCs w:val="16"/>
          <w:color w:val="auto"/>
        </w:rPr>
        <w:t>.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the annual compensation as such director, member of such committee or as compensation for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the director on account of his or her attendance at any such meeting or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services. Nothing in this Section shall be construed to preclude any director from serving the Corporation in any other capacity and receiving compensation therefor.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Appointment of Committees</w:t>
      </w:r>
      <w:r>
        <w:rPr>
          <w:rFonts w:ascii="Arial" w:cs="Arial" w:eastAsia="Arial" w:hAnsi="Arial"/>
          <w:sz w:val="18"/>
          <w:szCs w:val="18"/>
          <w:color w:val="auto"/>
        </w:rPr>
        <w:t>.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9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440" w:top="270" w:right="519" w:bottom="1440" w:gutter="0" w:footer="0" w:header="0"/>
        </w:sectPr>
      </w:pPr>
    </w:p>
    <w:bookmarkStart w:id="47" w:name="page48"/>
    <w:bookmarkEnd w:id="47"/>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Arial" w:cs="Arial" w:eastAsia="Arial" w:hAnsi="Arial"/>
          <w:sz w:val="17"/>
          <w:szCs w:val="17"/>
          <w:b w:val="1"/>
          <w:bCs w:val="1"/>
          <w:color w:val="auto"/>
        </w:rPr>
        <w:t>Procedure</w:t>
      </w:r>
      <w:r>
        <w:rPr>
          <w:rFonts w:ascii="Arial" w:cs="Arial" w:eastAsia="Arial" w:hAnsi="Arial"/>
          <w:sz w:val="17"/>
          <w:szCs w:val="17"/>
          <w:color w:val="auto"/>
        </w:rPr>
        <w:t>. A majority of all the members of any committee appointed pursuant to this Article IV may fix its rules of procedure, determine its action, and fix the time, manner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other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7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Minutes of Committee Proceedings</w:t>
      </w:r>
      <w:r>
        <w:rPr>
          <w:rFonts w:ascii="Arial" w:cs="Arial" w:eastAsia="Arial" w:hAnsi="Arial"/>
          <w:sz w:val="18"/>
          <w:szCs w:val="18"/>
          <w:color w:val="auto"/>
        </w:rPr>
        <w:t>. The Board Committees shall keep regular minutes of their proceedings and report the same to the Board of Directors when required.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Officers</w:t>
      </w:r>
      <w:r>
        <w:rPr>
          <w:rFonts w:ascii="Arial" w:cs="Arial" w:eastAsia="Arial" w:hAnsi="Arial"/>
          <w:sz w:val="18"/>
          <w:szCs w:val="18"/>
          <w:color w:val="auto"/>
        </w:rPr>
        <w:t>.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48" w:name="page49"/>
    <w:bookmarkEnd w:id="48"/>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53"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Election and Term of Office</w:t>
      </w:r>
      <w:r>
        <w:rPr>
          <w:rFonts w:ascii="Arial" w:cs="Arial" w:eastAsia="Arial" w:hAnsi="Arial"/>
          <w:sz w:val="18"/>
          <w:szCs w:val="18"/>
          <w:color w:val="auto"/>
        </w:rPr>
        <w:t>. Unless elected pursuant to Section 3 of this Article V, the officers of the Corporation shall be elected annually by the Board of Directors. Each officer shall hold office until the officer’s successor is duly chosen and qualified, or until the officer’s death, resignation, or removal in the manner hereinafter provided.</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Election by Board Committee or Officer</w:t>
      </w:r>
      <w:r>
        <w:rPr>
          <w:rFonts w:ascii="Arial" w:cs="Arial" w:eastAsia="Arial" w:hAnsi="Arial"/>
          <w:sz w:val="18"/>
          <w:szCs w:val="18"/>
          <w:color w:val="auto"/>
        </w:rPr>
        <w:t>. The Board of Directors may delegate to any officer or committee established by the Board of Directors the power to elect any officers and agents of the Corporation.</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color w:val="auto"/>
        </w:rPr>
        <w:t>Removal</w:t>
      </w:r>
      <w:r>
        <w:rPr>
          <w:rFonts w:ascii="Arial" w:cs="Arial" w:eastAsia="Arial" w:hAnsi="Arial"/>
          <w:sz w:val="16"/>
          <w:szCs w:val="16"/>
          <w:color w:val="auto"/>
        </w:rPr>
        <w:t>.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49" w:name="page50"/>
    <w:bookmarkEnd w:id="49"/>
    <w:p>
      <w:pPr>
        <w:ind w:right="10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8"/>
          <w:szCs w:val="18"/>
          <w:b w:val="1"/>
          <w:bCs w:val="1"/>
          <w:color w:val="auto"/>
        </w:rPr>
        <w:t>Resignations</w:t>
      </w:r>
      <w:r>
        <w:rPr>
          <w:rFonts w:ascii="Arial" w:cs="Arial" w:eastAsia="Arial" w:hAnsi="Arial"/>
          <w:sz w:val="18"/>
          <w:szCs w:val="18"/>
          <w:color w:val="auto"/>
        </w:rPr>
        <w:t>. Any officer of the Corporation may resign at any time by giving written notice of his or her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83"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color w:val="auto"/>
        </w:rPr>
        <w:t>Vacancies</w:t>
      </w:r>
      <w:r>
        <w:rPr>
          <w:rFonts w:ascii="Arial" w:cs="Arial" w:eastAsia="Arial" w:hAnsi="Arial"/>
          <w:sz w:val="18"/>
          <w:szCs w:val="18"/>
          <w:color w:val="auto"/>
        </w:rPr>
        <w:t>. A vacancy in any office due to death, resignation, removal, disqualification or any other cause may be filled for the unexpired portion of the term in the manner prescribed in these By-Laws for regular elections to such office.</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color w:val="auto"/>
        </w:rPr>
        <w:t>Chairman of the Board of Directors</w:t>
      </w:r>
      <w:r>
        <w:rPr>
          <w:rFonts w:ascii="Arial" w:cs="Arial" w:eastAsia="Arial" w:hAnsi="Arial"/>
          <w:sz w:val="18"/>
          <w:szCs w:val="18"/>
          <w:color w:val="auto"/>
        </w:rPr>
        <w:t>. The Chairman of the Board of Directors shall be under the direction of the Board of Directors and shall have the primary responsibility for the effective operation of the Board. The Chairman shall preside at all meetings of the Board of Directors and, unless otherwise determined by the Board of Directors, of stockholders. In any prolonged absence or incapacity of the President, the Chairman shall perform all the duties and functions and exercise all the powers of the President.</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President.</w:t>
      </w:r>
      <w:r>
        <w:rPr>
          <w:rFonts w:ascii="Arial" w:cs="Arial" w:eastAsia="Arial" w:hAnsi="Arial"/>
          <w:sz w:val="18"/>
          <w:szCs w:val="18"/>
          <w:color w:val="auto"/>
        </w:rPr>
        <w:t xml:space="preserve">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or she is authorized to designate another senior officer to act in his or her behalf during his or her absence.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50" w:name="page51"/>
    <w:bookmarkEnd w:id="50"/>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absence of the Chairman of the Board, the President shall preside at all meetings of the Board of Directors. The President shall see that all orders and resolutions of the Board of Directors are carried into effect. The President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5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color w:val="auto"/>
        </w:rPr>
        <w:t>Inability of Chairman of the Board and President to Act</w:t>
      </w:r>
      <w:r>
        <w:rPr>
          <w:rFonts w:ascii="Arial" w:cs="Arial" w:eastAsia="Arial" w:hAnsi="Arial"/>
          <w:sz w:val="18"/>
          <w:szCs w:val="18"/>
          <w:color w:val="auto"/>
        </w:rPr>
        <w:t>. If the President and the Chairman of the Board are unable to act, the Board shall determine by resolution who shall perform the duties of the President and Chairman of the Board.</w:t>
      </w:r>
    </w:p>
    <w:p>
      <w:pPr>
        <w:spacing w:after="0" w:line="16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color w:val="auto"/>
        </w:rPr>
        <w:t>Executive Vice Presidents</w:t>
      </w:r>
      <w:r>
        <w:rPr>
          <w:rFonts w:ascii="Arial" w:cs="Arial" w:eastAsia="Arial" w:hAnsi="Arial"/>
          <w:sz w:val="18"/>
          <w:szCs w:val="18"/>
          <w:color w:val="auto"/>
        </w:rPr>
        <w:t>, Senior Vice Presidents and Vice Presidents. Each Executive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176"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color w:val="auto"/>
        </w:rPr>
        <w:t>The Secretary</w:t>
      </w:r>
      <w:r>
        <w:rPr>
          <w:rFonts w:ascii="Arial" w:cs="Arial" w:eastAsia="Arial" w:hAnsi="Arial"/>
          <w:sz w:val="18"/>
          <w:szCs w:val="18"/>
          <w:color w:val="auto"/>
        </w:rPr>
        <w:t>. The Secretary shall attend and keep 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the Secretary may sign with the Chairman of the Board, President, Executive Vice President, Senior Vice President, Vice President, or Assistant Vice President, in the name of the Corporation, all contracts and instruments of conveyance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by the Board of Directors, or by any committee thereunto duly authorized, and, when so ordered or authorized the Secretary shall affix the seal of the Corporation thereto; the Secretary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the Secretary; and in general perform all the duties incident to the office of Secretary, and such other duties as from time to time may be assigned to the Secretary by the Board of Directors or the President. The Board of Directors may from time to time delegate to another officer or person any of the duties usually performed by the Secretary to the extent permitted by law.</w:t>
      </w:r>
    </w:p>
    <w:p>
      <w:pPr>
        <w:spacing w:after="0" w:line="173" w:lineRule="exact"/>
        <w:rPr>
          <w:sz w:val="20"/>
          <w:szCs w:val="20"/>
          <w:color w:val="auto"/>
        </w:rPr>
      </w:pPr>
    </w:p>
    <w:p>
      <w:pPr>
        <w:jc w:val="both"/>
        <w:ind w:right="120" w:firstLine="440"/>
        <w:spacing w:after="0" w:line="28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b w:val="1"/>
          <w:bCs w:val="1"/>
          <w:color w:val="auto"/>
        </w:rPr>
        <w:t>The Assistant Secretary</w:t>
      </w:r>
      <w:r>
        <w:rPr>
          <w:rFonts w:ascii="Arial" w:cs="Arial" w:eastAsia="Arial" w:hAnsi="Arial"/>
          <w:sz w:val="17"/>
          <w:szCs w:val="17"/>
          <w:color w:val="auto"/>
        </w:rPr>
        <w:t>. At the request of the Secretary or in the event of the Secretary’s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by the President, the Secretary, or the Board of Directors.</w:t>
      </w:r>
    </w:p>
    <w:p>
      <w:pPr>
        <w:spacing w:after="0" w:line="165"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The Treasurer</w:t>
      </w:r>
      <w:r>
        <w:rPr>
          <w:rFonts w:ascii="Arial" w:cs="Arial" w:eastAsia="Arial" w:hAnsi="Arial"/>
          <w:sz w:val="17"/>
          <w:szCs w:val="17"/>
          <w:color w:val="auto"/>
        </w:rPr>
        <w:t>.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or her duties in such sum and with such surety or sureties as the Board of Directors shall determine (and in the event such bond be required, a new bond shall be taken at least every six years). The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40" w:top="274" w:right="51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Treasurer shall have charge and custody of, and be responsible for, all funds, securities, notes, valuable effects and financial records of the Corporation, receive and give receipt for moneys due and payable to the Corporation from any sources whatsoever; when necessary or proper the Treasurer shall endorse on behalf of the Corporation for collection, checks, notes and other obligations and shall deposit the same to the credit of the Corporation in such bank or banks or depositary or depositaries as the Board of Directors may designate; the Treasurer shall cause such funds of the Corporation to be disbursed by checks or drafts on the authorized banks or depositaries of the Corporation signed as provided in these By-Laws or by resolution of the Board of Directors; the Treasurer shall be responsible for the accuracy of the amounts of, and cause to be preserved, proper vouchers for all moneys so disbursed; the Treasurer shall enter or cause to be entered regularly in the books of the Corporation, to be kept by the Treasurer or under his or her supervision for that purpose, a full and accurate account of all the moneys received and paid by him on account of the Corporation; the Treasurer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440" w:top="274" w:right="559" w:bottom="1440" w:gutter="0" w:footer="0" w:header="0"/>
        </w:sectPr>
      </w:pPr>
    </w:p>
    <w:bookmarkStart w:id="53" w:name="page54"/>
    <w:bookmarkEnd w:id="53"/>
    <w:p>
      <w:pPr>
        <w:ind w:firstLine="4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6"/>
          <w:szCs w:val="16"/>
          <w:b w:val="1"/>
          <w:bCs w:val="1"/>
          <w:color w:val="auto"/>
        </w:rPr>
        <w:t>The Assistant Treasurer</w:t>
      </w:r>
      <w:r>
        <w:rPr>
          <w:rFonts w:ascii="Arial" w:cs="Arial" w:eastAsia="Arial" w:hAnsi="Arial"/>
          <w:sz w:val="16"/>
          <w:szCs w:val="16"/>
          <w:color w:val="auto"/>
        </w:rPr>
        <w:t>. If required by the Board of Directors, the Assistant Treasurer shall give a bond for the faithful discharge of his or her duties in such sum and with such surety or sureties as the Board of Directors shall determine (and in the event such bond be required, a new bond shall be taken at least every six years). At the request of the Treasurer or in the event of the Treasurer’s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60"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color w:val="auto"/>
        </w:rPr>
        <w:t>Salaries</w:t>
      </w:r>
      <w:r>
        <w:rPr>
          <w:rFonts w:ascii="Arial" w:cs="Arial" w:eastAsia="Arial" w:hAnsi="Arial"/>
          <w:sz w:val="18"/>
          <w:szCs w:val="18"/>
          <w:color w:val="auto"/>
        </w:rPr>
        <w:t>. No officer shall be prevented from receiving any compensation because the officer is also a member of the Board of Directors.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of Directors, Officers and Employees of the Corporation</w:t>
      </w:r>
    </w:p>
    <w:p>
      <w:pPr>
        <w:spacing w:after="0" w:line="229"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0"/>
          </w:cols>
          <w:pgMar w:left="440" w:top="270" w:right="559" w:bottom="1440" w:gutter="0" w:footer="0" w:header="0"/>
        </w:sectPr>
      </w:pPr>
    </w:p>
    <w:bookmarkStart w:id="54" w:name="page55"/>
    <w:bookmarkEnd w:id="5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 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or her official capacity and as to action in another capacity while holding such office. The rights under this Article VI are contractual, and no amendment to or repeal of this Article VI shall apply or be effective to limit or reduce the rights to indemnification and advance payment of expenses provided under this Article VI with respect to any Proceeding (regardless of when commenced) arising out of acts or omissions occurring prior to such amendment or repeal.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Checks, Drafts, Bank Accounts, Books and Records, etc.</w:t>
      </w:r>
    </w:p>
    <w:p>
      <w:pPr>
        <w:spacing w:after="0" w:line="225"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Execution of Contracts</w:t>
      </w:r>
      <w:r>
        <w:rPr>
          <w:rFonts w:ascii="Arial" w:cs="Arial" w:eastAsia="Arial" w:hAnsi="Arial"/>
          <w:sz w:val="16"/>
          <w:szCs w:val="16"/>
          <w:color w:val="auto"/>
        </w:rPr>
        <w:t>.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55" w:name="page56"/>
    <w:bookmarkEnd w:id="5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Arial" w:cs="Arial" w:eastAsia="Arial" w:hAnsi="Arial"/>
          <w:sz w:val="16"/>
          <w:szCs w:val="16"/>
          <w:b w:val="1"/>
          <w:bCs w:val="1"/>
          <w:color w:val="auto"/>
        </w:rPr>
        <w:t>Loans</w:t>
      </w:r>
      <w:r>
        <w:rPr>
          <w:rFonts w:ascii="Arial" w:cs="Arial" w:eastAsia="Arial" w:hAnsi="Arial"/>
          <w:sz w:val="16"/>
          <w:szCs w:val="16"/>
          <w:color w:val="auto"/>
        </w:rPr>
        <w:t>. No loan shall be contracted on behalf of the Corporation, and no negotiable paper shall be issued in its name, unless authorized</w:t>
      </w:r>
    </w:p>
    <w:p>
      <w:pPr>
        <w:spacing w:after="0" w:line="50" w:lineRule="exact"/>
        <w:rPr>
          <w:sz w:val="20"/>
          <w:szCs w:val="20"/>
          <w:color w:val="auto"/>
        </w:rPr>
      </w:pPr>
    </w:p>
    <w:p>
      <w:pPr>
        <w:ind w:left="4" w:hanging="4"/>
        <w:spacing w:after="0" w:line="269" w:lineRule="auto"/>
        <w:tabs>
          <w:tab w:leader="none" w:pos="219" w:val="left"/>
        </w:tabs>
        <w:numPr>
          <w:ilvl w:val="0"/>
          <w:numId w:val="45"/>
        </w:numPr>
        <w:rPr>
          <w:rFonts w:ascii="Arial" w:cs="Arial" w:eastAsia="Arial" w:hAnsi="Arial"/>
          <w:sz w:val="17"/>
          <w:szCs w:val="17"/>
          <w:color w:val="auto"/>
        </w:rPr>
      </w:pPr>
      <w:r>
        <w:rPr>
          <w:rFonts w:ascii="Arial" w:cs="Arial" w:eastAsia="Arial" w:hAnsi="Arial"/>
          <w:sz w:val="17"/>
          <w:szCs w:val="17"/>
          <w:color w:val="auto"/>
        </w:rPr>
        <w:t>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76" w:lineRule="exact"/>
        <w:rPr>
          <w:sz w:val="20"/>
          <w:szCs w:val="20"/>
          <w:color w:val="auto"/>
        </w:rPr>
      </w:pPr>
    </w:p>
    <w:p>
      <w:pPr>
        <w:ind w:left="4" w:right="60" w:firstLine="440"/>
        <w:spacing w:after="0" w:line="28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b w:val="1"/>
          <w:bCs w:val="1"/>
          <w:color w:val="auto"/>
        </w:rPr>
        <w:t>Checks, Drafts, etc</w:t>
      </w:r>
      <w:r>
        <w:rPr>
          <w:rFonts w:ascii="Arial" w:cs="Arial" w:eastAsia="Arial" w:hAnsi="Arial"/>
          <w:sz w:val="17"/>
          <w:szCs w:val="17"/>
          <w:color w:val="auto"/>
        </w:rPr>
        <w:t>. All checks, drafts, orders for the payment of money, obligations and bills of exchange shall be 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0" w:right="479" w:bottom="1440" w:gutter="0" w:footer="0" w:header="0"/>
        </w:sectPr>
      </w:pPr>
    </w:p>
    <w:bookmarkStart w:id="56" w:name="page57"/>
    <w:bookmarkEnd w:id="56"/>
    <w:p>
      <w:pPr>
        <w:jc w:val="both"/>
        <w:ind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Arial" w:cs="Arial" w:eastAsia="Arial" w:hAnsi="Arial"/>
          <w:sz w:val="16"/>
          <w:szCs w:val="16"/>
          <w:b w:val="1"/>
          <w:bCs w:val="1"/>
          <w:color w:val="auto"/>
        </w:rPr>
        <w:t>Deposits</w:t>
      </w:r>
      <w:r>
        <w:rPr>
          <w:rFonts w:ascii="Arial" w:cs="Arial" w:eastAsia="Arial" w:hAnsi="Arial"/>
          <w:sz w:val="16"/>
          <w:szCs w:val="16"/>
          <w:color w:val="auto"/>
        </w:rPr>
        <w:t>.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54"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General and Special Bank Accounts</w:t>
      </w:r>
      <w:r>
        <w:rPr>
          <w:rFonts w:ascii="Arial" w:cs="Arial" w:eastAsia="Arial" w:hAnsi="Arial"/>
          <w:sz w:val="18"/>
          <w:szCs w:val="18"/>
          <w:color w:val="auto"/>
        </w:rPr>
        <w:t>.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b w:val="1"/>
          <w:bCs w:val="1"/>
          <w:color w:val="auto"/>
        </w:rPr>
        <w:t>Proxies in Respect of Stock or Other Securities of Other Corporations</w:t>
      </w:r>
      <w:r>
        <w:rPr>
          <w:rFonts w:ascii="Arial" w:cs="Arial" w:eastAsia="Arial" w:hAnsi="Arial"/>
          <w:sz w:val="16"/>
          <w:szCs w:val="16"/>
          <w:color w:val="auto"/>
        </w:rPr>
        <w:t>. Unless otherwise provided by resolutions adopted by the Board of Directors, the Chairman of the Board, the President, any Executive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any one of them or they may deem necessary or proper in order that the Corporation may exercise its said powers and rights. The Board of Directors from time to time may by resolution confer like powers and authority upon any other person or persons.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and Their Transfer; Examination of Books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b w:val="1"/>
          <w:bCs w:val="1"/>
          <w:color w:val="auto"/>
        </w:rPr>
        <w:t>Certificates for Stock</w:t>
      </w:r>
      <w:r>
        <w:rPr>
          <w:rFonts w:ascii="Arial" w:cs="Arial" w:eastAsia="Arial" w:hAnsi="Arial"/>
          <w:sz w:val="17"/>
          <w:szCs w:val="17"/>
          <w:color w:val="auto"/>
        </w:rPr>
        <w:t>. Shares of the Corporation’s stock shall be represented by certificates, provided that the Board of Directors may provide by resolution that some or all of any or all classes or series of stock shall be uncertificated shares. Every holder of stock represented by certificates shall be entitled to have a certificate signed by or in the name of the Corporation by two authorized officers of the Corporation (it being understood that each of the Chairman of the Board, the President, an Executive Vice President, a Senior Vice President, a Vice President, the Treasurer, the Secretary, an Assistant Treasurer, or an Assistant Secretary of the Corporation shall be an authorized officer for such purpose) and certifying the number of shares owned by the holder. Any or all of the signatures on the certificate may be a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the person were an officer, transfer agent or registrar at the date of issue.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70" w:right="519" w:bottom="1440" w:gutter="0" w:footer="0" w:header="0"/>
        </w:sectPr>
      </w:pPr>
    </w:p>
    <w:bookmarkStart w:id="58" w:name="page59"/>
    <w:bookmarkEnd w:id="5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Arial" w:cs="Arial" w:eastAsia="Arial" w:hAnsi="Arial"/>
          <w:sz w:val="18"/>
          <w:szCs w:val="18"/>
          <w:b w:val="1"/>
          <w:bCs w:val="1"/>
          <w:color w:val="auto"/>
        </w:rPr>
        <w:t>Transfers of Stock</w:t>
      </w:r>
      <w:r>
        <w:rPr>
          <w:rFonts w:ascii="Arial" w:cs="Arial" w:eastAsia="Arial" w:hAnsi="Arial"/>
          <w:sz w:val="18"/>
          <w:szCs w:val="18"/>
          <w:color w:val="auto"/>
        </w:rPr>
        <w:t>. Transfers of shares of stock of the Corporation shall be made only on the books of the Corporation by the registered holder thereof, or by his or her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89" w:lineRule="exact"/>
        <w:rPr>
          <w:sz w:val="20"/>
          <w:szCs w:val="20"/>
          <w:color w:val="auto"/>
        </w:rPr>
      </w:pPr>
    </w:p>
    <w:p>
      <w:pPr>
        <w:ind w:right="300" w:firstLine="440"/>
        <w:spacing w:after="0" w:line="26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Regulations</w:t>
      </w:r>
      <w:r>
        <w:rPr>
          <w:rFonts w:ascii="Arial" w:cs="Arial" w:eastAsia="Arial" w:hAnsi="Arial"/>
          <w:sz w:val="18"/>
          <w:szCs w:val="18"/>
          <w:color w:val="auto"/>
        </w:rPr>
        <w:t>.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18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b w:val="1"/>
          <w:bCs w:val="1"/>
          <w:color w:val="auto"/>
        </w:rPr>
        <w:t>Lost, Destroyed, Stolen, and Mutilated Certificates</w:t>
      </w:r>
      <w:r>
        <w:rPr>
          <w:rFonts w:ascii="Arial" w:cs="Arial" w:eastAsia="Arial" w:hAnsi="Arial"/>
          <w:sz w:val="17"/>
          <w:szCs w:val="17"/>
          <w:color w:val="auto"/>
        </w:rPr>
        <w:t>.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the owner’s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0" w:right="459" w:bottom="1440" w:gutter="0" w:footer="0" w:header="0"/>
        </w:sectPr>
      </w:pPr>
    </w:p>
    <w:bookmarkStart w:id="59" w:name="page60"/>
    <w:bookmarkEnd w:id="59"/>
    <w:p>
      <w:pPr>
        <w:ind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7"/>
          <w:szCs w:val="17"/>
          <w:b w:val="1"/>
          <w:bCs w:val="1"/>
          <w:color w:val="auto"/>
        </w:rPr>
        <w:t>Fixing 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72"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40" w:top="270" w:right="49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fiscal year of the Corporation shall begin on the first day of January and end on the thirty-first day of December in each year, unless otherwise determined by the Board of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 and Waivers Thereof</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Interpretations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these By-Laws or the context indicates otherwise, the following rules of interpretation apply:</w:t>
      </w:r>
    </w:p>
    <w:p>
      <w:pPr>
        <w:spacing w:after="0" w:line="117" w:lineRule="exact"/>
        <w:rPr>
          <w:sz w:val="20"/>
          <w:szCs w:val="20"/>
          <w:color w:val="auto"/>
        </w:rPr>
      </w:pPr>
    </w:p>
    <w:p>
      <w:pPr>
        <w:ind w:left="680" w:hanging="24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reference to “days” means calendar days unless business days are expressly specified;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“including” means “including, without limitation;” and</w:t>
      </w:r>
    </w:p>
    <w:p>
      <w:pPr>
        <w:spacing w:after="0" w:line="117" w:lineRule="exact"/>
        <w:rPr>
          <w:rFonts w:ascii="Arial" w:cs="Arial" w:eastAsia="Arial" w:hAnsi="Arial"/>
          <w:sz w:val="18"/>
          <w:szCs w:val="18"/>
          <w:color w:val="auto"/>
        </w:rPr>
      </w:pPr>
    </w:p>
    <w:p>
      <w:pPr>
        <w:ind w:right="620" w:firstLine="436"/>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“written” and “in writing” shall include any “electronic transmission,” as defined in the Delaware General Corporation Law, including any communication by electronic mail.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3"/>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
    </w:lvl>
    <w:lvl w:ilvl="1">
      <w:lvlJc w:val="left"/>
      <w:lvlText w:val="(%2)"/>
      <w:numFmt w:val="decimal"/>
      <w:start w:val="1"/>
    </w:lvl>
  </w:abstractNum>
  <w:abstractNum w:abstractNumId="4">
    <w:nsid w:val="4353D0CD"/>
    <w:multiLevelType w:val="hybridMultilevel"/>
    <w:lvl w:ilvl="0">
      <w:lvlJc w:val="left"/>
      <w:lvlText w:val="(%1)"/>
      <w:numFmt w:val="decimal"/>
      <w:start w:val="2"/>
    </w:lvl>
    <w:lvl w:ilvl="1">
      <w:lvlJc w:val="left"/>
      <w:lvlText w:val="(%2)"/>
      <w:numFmt w:val="upperLetter"/>
      <w:start w:val="1"/>
    </w:lvl>
  </w:abstractNum>
  <w:abstractNum w:abstractNumId="5">
    <w:nsid w:val="B03E0C6"/>
    <w:multiLevelType w:val="hybridMultilevel"/>
    <w:lvl w:ilvl="0">
      <w:lvlJc w:val="left"/>
      <w:lvlText w:val="(%1)"/>
      <w:numFmt w:val="upperLetter"/>
      <w:start w:val="3"/>
    </w:lvl>
  </w:abstractNum>
  <w:abstractNum w:abstractNumId="6">
    <w:nsid w:val="189A769B"/>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7">
    <w:nsid w:val="54E49EB4"/>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8">
    <w:nsid w:val="71F32454"/>
    <w:multiLevelType w:val="hybridMultilevel"/>
    <w:lvl w:ilvl="0">
      <w:lvlJc w:val="left"/>
      <w:lvlText w:val="(%1)"/>
      <w:numFmt w:val="upperLetter"/>
      <w:start w:val="2"/>
    </w:lvl>
  </w:abstractNum>
  <w:abstractNum w:abstractNumId="9">
    <w:nsid w:val="2CA88611"/>
    <w:multiLevelType w:val="hybridMultilevel"/>
    <w:lvl w:ilvl="0">
      <w:lvlJc w:val="left"/>
      <w:lvlText w:val="(%1)"/>
      <w:numFmt w:val="lowerLetter"/>
      <w:start w:val="2"/>
    </w:lvl>
  </w:abstractNum>
  <w:abstractNum w:abstractNumId="10">
    <w:nsid w:val="836C40E"/>
    <w:multiLevelType w:val="hybridMultilevel"/>
    <w:lvl w:ilvl="0">
      <w:lvlJc w:val="left"/>
      <w:lvlText w:val="%1"/>
      <w:numFmt w:val="decimal"/>
      <w:start w:val="1"/>
    </w:lvl>
    <w:lvl w:ilvl="1">
      <w:lvlJc w:val="left"/>
      <w:lvlText w:val="(%2)"/>
      <w:numFmt w:val="lowerLetter"/>
      <w:start w:val="3"/>
    </w:lvl>
  </w:abstractNum>
  <w:abstractNum w:abstractNumId="11">
    <w:nsid w:val="2901D82"/>
    <w:multiLevelType w:val="hybridMultilevel"/>
    <w:lvl w:ilvl="0">
      <w:lvlJc w:val="left"/>
      <w:lvlText w:val="(%1)"/>
      <w:numFmt w:val="decimal"/>
      <w:start w:val="2"/>
    </w:lvl>
    <w:lvl w:ilvl="1">
      <w:lvlJc w:val="left"/>
      <w:lvlText w:val="%2"/>
      <w:numFmt w:val="lowerLetter"/>
      <w:start w:val="1"/>
    </w:lvl>
  </w:abstractNum>
  <w:abstractNum w:abstractNumId="12">
    <w:nsid w:val="3A95F874"/>
    <w:multiLevelType w:val="hybridMultilevel"/>
    <w:lvl w:ilvl="0">
      <w:lvlJc w:val="left"/>
      <w:lvlText w:val="(%1)"/>
      <w:numFmt w:val="lowerLetter"/>
      <w:start w:val="1"/>
    </w:lvl>
    <w:lvl w:ilvl="1">
      <w:lvlJc w:val="left"/>
      <w:lvlText w:val="(%2)"/>
      <w:numFmt w:val="decimal"/>
      <w:start w:val="1"/>
    </w:lvl>
  </w:abstractNum>
  <w:abstractNum w:abstractNumId="13">
    <w:nsid w:val="8138641"/>
    <w:multiLevelType w:val="hybridMultilevel"/>
    <w:lvl w:ilvl="0">
      <w:lvlJc w:val="left"/>
      <w:lvlText w:val="(%1)"/>
      <w:numFmt w:val="decimal"/>
      <w:start w:val="2"/>
    </w:lvl>
    <w:lvl w:ilvl="1">
      <w:lvlJc w:val="left"/>
      <w:lvlText w:val="(%2)"/>
      <w:numFmt w:val="upperLetter"/>
      <w:start w:val="1"/>
    </w:lvl>
  </w:abstractNum>
  <w:abstractNum w:abstractNumId="14">
    <w:nsid w:val="1E7FF521"/>
    <w:multiLevelType w:val="hybridMultilevel"/>
    <w:lvl w:ilvl="0">
      <w:lvlJc w:val="left"/>
      <w:lvlText w:val="%1"/>
      <w:numFmt w:val="lowerRoman"/>
      <w:start w:val="1"/>
    </w:lvl>
    <w:lvl w:ilvl="1">
      <w:lvlJc w:val="left"/>
      <w:lvlText w:val="(%2)"/>
      <w:numFmt w:val="upperLetter"/>
      <w:start w:val="2"/>
    </w:lvl>
  </w:abstractNum>
  <w:abstractNum w:abstractNumId="15">
    <w:nsid w:val="7C3DBD3D"/>
    <w:multiLevelType w:val="hybridMultilevel"/>
    <w:lvl w:ilvl="0">
      <w:lvlJc w:val="left"/>
      <w:lvlText w:val="(%1)"/>
      <w:numFmt w:val="lowerRoman"/>
      <w:start w:val="1"/>
    </w:lvl>
    <w:lvl w:ilvl="1">
      <w:lvlJc w:val="left"/>
      <w:lvlText w:val="%2"/>
      <w:numFmt w:val="upperLetter"/>
      <w:start w:val="1"/>
    </w:lvl>
  </w:abstractNum>
  <w:abstractNum w:abstractNumId="16">
    <w:nsid w:val="737B8DDC"/>
    <w:multiLevelType w:val="hybridMultilevel"/>
    <w:lvl w:ilvl="0">
      <w:lvlJc w:val="left"/>
      <w:lvlText w:val="(%1)"/>
      <w:numFmt w:val="upperLetter"/>
      <w:start w:val="61"/>
    </w:lvl>
  </w:abstractNum>
  <w:abstractNum w:abstractNumId="17">
    <w:nsid w:val="6CEAF087"/>
    <w:multiLevelType w:val="hybridMultilevel"/>
    <w:lvl w:ilvl="0">
      <w:lvlJc w:val="left"/>
      <w:lvlText w:val="(%1)"/>
      <w:numFmt w:val="decimal"/>
      <w:start w:val="5"/>
    </w:lvl>
  </w:abstractNum>
  <w:abstractNum w:abstractNumId="18">
    <w:nsid w:val="22221A70"/>
    <w:multiLevelType w:val="hybridMultilevel"/>
    <w:lvl w:ilvl="0">
      <w:lvlJc w:val="left"/>
      <w:lvlText w:val="(%1)"/>
      <w:numFmt w:val="lowerRoman"/>
      <w:start w:val="1"/>
    </w:lvl>
    <w:lvl w:ilvl="1">
      <w:lvlJc w:val="left"/>
      <w:lvlText w:val="(%2)"/>
      <w:numFmt w:val="upperLetter"/>
      <w:start w:val="3"/>
    </w:lvl>
  </w:abstractNum>
  <w:abstractNum w:abstractNumId="19">
    <w:nsid w:val="4516DDE9"/>
    <w:multiLevelType w:val="hybridMultilevel"/>
    <w:lvl w:ilvl="0">
      <w:lvlJc w:val="left"/>
      <w:lvlText w:val="%1"/>
      <w:numFmt w:val="lowerRoman"/>
      <w:start w:val="1"/>
    </w:lvl>
    <w:lvl w:ilvl="1">
      <w:lvlJc w:val="left"/>
      <w:lvlText w:val="(%2)"/>
      <w:numFmt w:val="upperLetter"/>
      <w:start w:val="5"/>
    </w:lvl>
  </w:abstractNum>
  <w:abstractNum w:abstractNumId="20">
    <w:nsid w:val="3006C83E"/>
    <w:multiLevelType w:val="hybridMultilevel"/>
    <w:lvl w:ilvl="0">
      <w:lvlJc w:val="left"/>
      <w:lvlText w:val="(%1)"/>
      <w:numFmt w:val="lowerRoman"/>
      <w:start w:val="2"/>
    </w:lvl>
    <w:lvl w:ilvl="1">
      <w:lvlJc w:val="left"/>
      <w:lvlText w:val="%2"/>
      <w:numFmt w:val="upperLetter"/>
      <w:start w:val="1"/>
    </w:lvl>
  </w:abstractNum>
  <w:abstractNum w:abstractNumId="21">
    <w:nsid w:val="614FD4A1"/>
    <w:multiLevelType w:val="hybridMultilevel"/>
    <w:lvl w:ilvl="0">
      <w:lvlJc w:val="left"/>
      <w:lvlText w:val="(%1)"/>
      <w:numFmt w:val="lowerLetter"/>
      <w:start w:val="3"/>
    </w:lvl>
    <w:lvl w:ilvl="1">
      <w:lvlJc w:val="left"/>
      <w:lvlText w:val="(%2)"/>
      <w:numFmt w:val="decimal"/>
      <w:start w:val="1"/>
    </w:lvl>
  </w:abstractNum>
  <w:abstractNum w:abstractNumId="22">
    <w:nsid w:val="419AC241"/>
    <w:multiLevelType w:val="hybridMultilevel"/>
    <w:lvl w:ilvl="0">
      <w:lvlJc w:val="left"/>
      <w:lvlText w:val="(%1)"/>
      <w:numFmt w:val="decimal"/>
      <w:start w:val="2"/>
    </w:lvl>
  </w:abstractNum>
  <w:abstractNum w:abstractNumId="23">
    <w:nsid w:val="5577F8E1"/>
    <w:multiLevelType w:val="hybridMultilevel"/>
    <w:lvl w:ilvl="0">
      <w:lvlJc w:val="left"/>
      <w:lvlText w:val="(%1)"/>
      <w:numFmt w:val="decimal"/>
      <w:start w:val="3"/>
    </w:lvl>
    <w:lvl w:ilvl="1">
      <w:lvlJc w:val="left"/>
      <w:lvlText w:val="(%2)"/>
      <w:numFmt w:val="decimal"/>
      <w:start w:val="4"/>
    </w:lvl>
  </w:abstractNum>
  <w:abstractNum w:abstractNumId="24">
    <w:nsid w:val="440BADFC"/>
    <w:multiLevelType w:val="hybridMultilevel"/>
    <w:lvl w:ilvl="0">
      <w:lvlJc w:val="left"/>
      <w:lvlText w:val="(%1)"/>
      <w:numFmt w:val="decimal"/>
      <w:start w:val="5"/>
    </w:lvl>
  </w:abstractNum>
  <w:abstractNum w:abstractNumId="25">
    <w:nsid w:val="5072367"/>
    <w:multiLevelType w:val="hybridMultilevel"/>
    <w:lvl w:ilvl="0">
      <w:lvlJc w:val="left"/>
      <w:lvlText w:val="(%1)"/>
      <w:numFmt w:val="upperLetter"/>
      <w:start w:val="1"/>
    </w:lvl>
  </w:abstractNum>
  <w:abstractNum w:abstractNumId="26">
    <w:nsid w:val="3804823E"/>
    <w:multiLevelType w:val="hybridMultilevel"/>
    <w:lvl w:ilvl="0">
      <w:lvlJc w:val="left"/>
      <w:lvlText w:val="(%1)"/>
      <w:numFmt w:val="decimal"/>
      <w:start w:val="7"/>
    </w:lvl>
    <w:lvl w:ilvl="1">
      <w:lvlJc w:val="left"/>
      <w:lvlText w:val="(%2)"/>
      <w:numFmt w:val="upperLetter"/>
      <w:start w:val="1"/>
    </w:lvl>
  </w:abstractNum>
  <w:abstractNum w:abstractNumId="27">
    <w:nsid w:val="77465F01"/>
    <w:multiLevelType w:val="hybridMultilevel"/>
    <w:lvl w:ilvl="0">
      <w:lvlJc w:val="left"/>
      <w:lvlText w:val="(%1)"/>
      <w:numFmt w:val="upperLetter"/>
      <w:start w:val="4"/>
    </w:lvl>
    <w:lvl w:ilvl="1">
      <w:lvlJc w:val="left"/>
      <w:lvlText w:val="(%2)"/>
      <w:numFmt w:val="lowerRoman"/>
      <w:start w:val="1"/>
    </w:lvl>
  </w:abstractNum>
  <w:abstractNum w:abstractNumId="28">
    <w:nsid w:val="7724C67E"/>
    <w:multiLevelType w:val="hybridMultilevel"/>
    <w:lvl w:ilvl="0">
      <w:lvlJc w:val="left"/>
      <w:lvlText w:val="(%1)"/>
      <w:numFmt w:val="upperLetter"/>
      <w:start w:val="5"/>
    </w:lvl>
    <w:lvl w:ilvl="1">
      <w:lvlJc w:val="left"/>
      <w:lvlText w:val="(%2)"/>
      <w:numFmt w:val="lowerRoman"/>
      <w:start w:val="1"/>
    </w:lvl>
  </w:abstractNum>
  <w:abstractNum w:abstractNumId="29">
    <w:nsid w:val="5C482A97"/>
    <w:multiLevelType w:val="hybridMultilevel"/>
    <w:lvl w:ilvl="0">
      <w:lvlJc w:val="left"/>
      <w:lvlText w:val="%1"/>
      <w:numFmt w:val="decimal"/>
      <w:start w:val="1"/>
    </w:lvl>
    <w:lvl w:ilvl="1">
      <w:lvlJc w:val="left"/>
      <w:lvlText w:val="(%2)"/>
      <w:numFmt w:val="lowerRoman"/>
      <w:start w:val="2"/>
    </w:lvl>
  </w:abstractNum>
  <w:abstractNum w:abstractNumId="30">
    <w:nsid w:val="2463B9EA"/>
    <w:multiLevelType w:val="hybridMultilevel"/>
    <w:lvl w:ilvl="0">
      <w:lvlJc w:val="left"/>
      <w:lvlText w:val="(%1)"/>
      <w:numFmt w:val="decimal"/>
      <w:start w:val="8"/>
    </w:lvl>
    <w:lvl w:ilvl="1">
      <w:lvlJc w:val="left"/>
      <w:lvlText w:val="%2"/>
      <w:numFmt w:val="lowerRoman"/>
      <w:start w:val="1"/>
    </w:lvl>
  </w:abstractNum>
  <w:abstractNum w:abstractNumId="31">
    <w:nsid w:val="5E884ADC"/>
    <w:multiLevelType w:val="hybridMultilevel"/>
    <w:lvl w:ilvl="0">
      <w:lvlJc w:val="left"/>
      <w:lvlText w:val="(%1)"/>
      <w:numFmt w:val="decimal"/>
      <w:start w:val="9"/>
    </w:lvl>
    <w:lvl w:ilvl="1">
      <w:lvlJc w:val="left"/>
      <w:lvlText w:val="(%2)"/>
      <w:numFmt w:val="upperLetter"/>
      <w:start w:val="1"/>
    </w:lvl>
  </w:abstractNum>
  <w:abstractNum w:abstractNumId="32">
    <w:nsid w:val="51EAD36B"/>
    <w:multiLevelType w:val="hybridMultilevel"/>
    <w:lvl w:ilvl="0">
      <w:lvlJc w:val="left"/>
      <w:lvlText w:val="(%1)"/>
      <w:numFmt w:val="upperLetter"/>
      <w:start w:val="3"/>
    </w:lvl>
  </w:abstractNum>
  <w:abstractNum w:abstractNumId="33">
    <w:nsid w:val="2D517796"/>
    <w:multiLevelType w:val="hybridMultilevel"/>
    <w:lvl w:ilvl="0">
      <w:lvlJc w:val="left"/>
      <w:lvlText w:val="(%1)"/>
      <w:numFmt w:val="upperLetter"/>
      <w:start w:val="9"/>
    </w:lvl>
  </w:abstractNum>
  <w:abstractNum w:abstractNumId="34">
    <w:nsid w:val="580BD78F"/>
    <w:multiLevelType w:val="hybridMultilevel"/>
    <w:lvl w:ilvl="0">
      <w:lvlJc w:val="left"/>
      <w:lvlText w:val="%1"/>
      <w:numFmt w:val="upperLetter"/>
      <w:start w:val="1"/>
    </w:lvl>
    <w:lvl w:ilvl="1">
      <w:lvlJc w:val="left"/>
      <w:lvlText w:val="(%2)"/>
      <w:numFmt w:val="decimal"/>
      <w:start w:val="11"/>
    </w:lvl>
  </w:abstractNum>
  <w:abstractNum w:abstractNumId="35">
    <w:nsid w:val="153EA438"/>
    <w:multiLevelType w:val="hybridMultilevel"/>
    <w:lvl w:ilvl="0">
      <w:lvlJc w:val="left"/>
      <w:lvlText w:val="(%1)"/>
      <w:numFmt w:val="upperLetter"/>
      <w:start w:val="2"/>
    </w:lvl>
    <w:lvl w:ilvl="1">
      <w:lvlJc w:val="left"/>
      <w:lvlText w:val="%2"/>
      <w:numFmt w:val="decimal"/>
      <w:start w:val="1"/>
    </w:lvl>
  </w:abstractNum>
  <w:abstractNum w:abstractNumId="36">
    <w:nsid w:val="3855585C"/>
    <w:multiLevelType w:val="hybridMultilevel"/>
    <w:lvl w:ilvl="0">
      <w:lvlJc w:val="left"/>
      <w:lvlText w:val="%1"/>
      <w:numFmt w:val="lowerLetter"/>
      <w:start w:val="1"/>
    </w:lvl>
    <w:lvl w:ilvl="1">
      <w:lvlJc w:val="left"/>
      <w:lvlText w:val="(%2)"/>
      <w:numFmt w:val="decimal"/>
      <w:start w:val="12"/>
    </w:lvl>
  </w:abstractNum>
  <w:abstractNum w:abstractNumId="37">
    <w:nsid w:val="70A64E2A"/>
    <w:multiLevelType w:val="hybridMultilevel"/>
    <w:lvl w:ilvl="0">
      <w:lvlJc w:val="left"/>
      <w:lvlText w:val="(%1)"/>
      <w:numFmt w:val="lowerLetter"/>
      <w:start w:val="4"/>
    </w:lvl>
    <w:lvl w:ilvl="1">
      <w:lvlJc w:val="left"/>
      <w:lvlText w:val="%2"/>
      <w:numFmt w:val="decimal"/>
      <w:start w:val="1"/>
    </w:lvl>
  </w:abstractNum>
  <w:abstractNum w:abstractNumId="38">
    <w:nsid w:val="6A2342EC"/>
    <w:multiLevelType w:val="hybridMultilevel"/>
    <w:lvl w:ilvl="0">
      <w:lvlJc w:val="left"/>
      <w:lvlText w:val="(%1)"/>
      <w:numFmt w:val="upperLetter"/>
      <w:start w:val="2"/>
    </w:lvl>
  </w:abstractNum>
  <w:abstractNum w:abstractNumId="39">
    <w:nsid w:val="2A487CB0"/>
    <w:multiLevelType w:val="hybridMultilevel"/>
    <w:lvl w:ilvl="0">
      <w:lvlJc w:val="left"/>
      <w:lvlText w:val="(%1)"/>
      <w:numFmt w:val="lowerLetter"/>
      <w:start w:val="5"/>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2022-01-26T16:27:11Z</dcterms:created>
  <dcterms:modified xsi:type="dcterms:W3CDTF">2022-01-26T16:27:11Z</dcterms:modified>
</cp:coreProperties>
</file>