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MARCH KEVIN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Sr. Vice President &amp; CFO</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jc w:val="right"/>
              <w:ind w:right="92"/>
              <w:spacing w:after="0"/>
              <w:rPr>
                <w:sz w:val="20"/>
                <w:szCs w:val="20"/>
                <w:color w:val="auto"/>
              </w:rPr>
            </w:pPr>
            <w:r>
              <w:rPr>
                <w:rFonts w:ascii="Arial" w:cs="Arial" w:eastAsia="Arial" w:hAnsi="Arial"/>
                <w:sz w:val="18"/>
                <w:szCs w:val="18"/>
                <w:color w:val="0000FF"/>
              </w:rPr>
              <w:t>04/27/2009</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ind w:left="180"/>
              <w:spacing w:after="0"/>
              <w:rPr>
                <w:sz w:val="20"/>
                <w:szCs w:val="20"/>
                <w:color w:val="auto"/>
              </w:rPr>
            </w:pPr>
            <w:r>
              <w:rPr>
                <w:rFonts w:ascii="Arial" w:cs="Arial" w:eastAsia="Arial" w:hAnsi="Arial"/>
                <w:sz w:val="18"/>
                <w:szCs w:val="18"/>
                <w:color w:val="0000FF"/>
              </w:rPr>
              <w:t>25,000</w:t>
            </w:r>
          </w:p>
        </w:tc>
        <w:tc>
          <w:tcPr>
            <w:tcW w:w="540" w:type="dxa"/>
            <w:vAlign w:val="bottom"/>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17.25</w:t>
            </w:r>
          </w:p>
        </w:tc>
        <w:tc>
          <w:tcPr>
            <w:tcW w:w="1160" w:type="dxa"/>
            <w:vAlign w:val="bottom"/>
          </w:tcPr>
          <w:p>
            <w:pPr>
              <w:jc w:val="center"/>
              <w:spacing w:after="0"/>
              <w:rPr>
                <w:sz w:val="20"/>
                <w:szCs w:val="20"/>
                <w:color w:val="auto"/>
              </w:rPr>
            </w:pPr>
            <w:r>
              <w:rPr>
                <w:rFonts w:ascii="Arial" w:cs="Arial" w:eastAsia="Arial" w:hAnsi="Arial"/>
                <w:sz w:val="18"/>
                <w:szCs w:val="18"/>
                <w:color w:val="0000FF"/>
                <w:w w:val="86"/>
              </w:rPr>
              <w:t>171,538</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1,825.08</w:t>
            </w:r>
            <w:r>
              <w:rPr>
                <w:rFonts w:ascii="Arial" w:cs="Arial" w:eastAsia="Arial" w:hAnsi="Arial"/>
                <w:sz w:val="22"/>
                <w:szCs w:val="22"/>
                <w:color w:val="008000"/>
                <w:w w:val="84"/>
                <w:vertAlign w:val="superscript"/>
              </w:rPr>
              <w:t>(1)</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38.95</w:t>
            </w:r>
            <w:r>
              <w:rPr>
                <w:rFonts w:ascii="Arial" w:cs="Arial" w:eastAsia="Arial" w:hAnsi="Arial"/>
                <w:sz w:val="22"/>
                <w:szCs w:val="22"/>
                <w:color w:val="008000"/>
                <w:w w:val="82"/>
                <w:vertAlign w:val="superscript"/>
              </w:rPr>
              <w:t>(2)</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Universal Profit Sharing Account as of 3-31-09. (Interests in this account are denominated in units. Consequently, share amount shown is an estimate.) This statement does not include changes in beneficial ownership of shares held in such account occurring after 3-31-09 that are eligible for deferred reporting on Form 5.</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3-31-09. (Interests in this account are denominated in units. Consequently, share amount shown is an estimate.) This statement does not include changes in beneficial ownership of shares held in this account occurring after 3-31-09 that are eligible for deferred reporting on Form 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04/27/2009</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3850"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2019-12-16T23:44:54Z</dcterms:created>
  <dcterms:modified xsi:type="dcterms:W3CDTF">2019-12-16T23:44:54Z</dcterms:modified>
</cp:coreProperties>
</file>