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301" w:right="7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760" w:space="720"/>
            <w:col w:w="2660"/>
          </w:cols>
          <w:pgMar w:left="240" w:top="301" w:right="739" w:bottom="1440" w:gutter="0" w:footer="0" w:header="0"/>
          <w:type w:val="continuous"/>
        </w:sectPr>
      </w:pPr>
    </w:p>
    <w:p>
      <w:pPr>
        <w:spacing w:after="0" w:line="30"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2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301" w:right="73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20"/>
          </w:cols>
          <w:pgMar w:left="240" w:top="301"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of stockholders held on April 19, 2012, the stockholders elected TI’s Board of Directors and voted upon two Board proposals contained within our Proxy Statement dated March 6,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58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Against</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3000" w:type="dxa"/>
            <w:vAlign w:val="bottom"/>
          </w:tcPr>
          <w:p>
            <w:pPr>
              <w:spacing w:after="0"/>
              <w:rPr>
                <w:sz w:val="20"/>
                <w:szCs w:val="20"/>
                <w:color w:val="auto"/>
              </w:rPr>
            </w:pPr>
            <w:r>
              <w:rPr>
                <w:rFonts w:ascii="Arial" w:cs="Arial" w:eastAsia="Arial" w:hAnsi="Arial"/>
                <w:sz w:val="18"/>
                <w:szCs w:val="18"/>
                <w:color w:val="auto"/>
              </w:rPr>
              <w:t>Ralph W. Babb</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899,654,096</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4,539,523</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1,410,650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Daniel A. Carp</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894,444,546</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9,740,653</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1,419,070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Carrie S. Cox</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877,697,613</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26,465,016</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1,441,640</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Pamela H. Patsley</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885,948,176</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18,276,422</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1,379,671</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Robert E. Sanchez</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899,624,276</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4,536,665</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1,443,328</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Wayne R. Sanders</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895,103,816</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9,079,728</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1,420,725</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Ruth J. Simmons</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877,463,466</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26,778,154</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1,362,649</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Richard K. Templeton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880,466,387</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23,649,064</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1,488,818</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Christine Todd Whitman</w:t>
            </w:r>
          </w:p>
        </w:tc>
        <w:tc>
          <w:tcPr>
            <w:tcW w:w="2580" w:type="dxa"/>
            <w:vAlign w:val="bottom"/>
          </w:tcPr>
          <w:p>
            <w:pPr>
              <w:jc w:val="center"/>
              <w:ind w:left="670"/>
              <w:spacing w:after="0"/>
              <w:rPr>
                <w:sz w:val="20"/>
                <w:szCs w:val="20"/>
                <w:color w:val="auto"/>
              </w:rPr>
            </w:pPr>
            <w:r>
              <w:rPr>
                <w:rFonts w:ascii="Arial" w:cs="Arial" w:eastAsia="Arial" w:hAnsi="Arial"/>
                <w:sz w:val="18"/>
                <w:szCs w:val="18"/>
                <w:color w:val="auto"/>
                <w:w w:val="89"/>
              </w:rPr>
              <w:t>898,485,554</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5,782,807</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1,335,908</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Broker</w:t>
            </w:r>
          </w:p>
        </w:tc>
      </w:tr>
      <w:tr>
        <w:trPr>
          <w:trHeight w:val="241"/>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7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6"/>
              </w:rPr>
              <w:t>For</w:t>
            </w:r>
          </w:p>
        </w:tc>
        <w:tc>
          <w:tcPr>
            <w:tcW w:w="11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7"/>
              </w:rPr>
              <w:t>Against</w:t>
            </w:r>
          </w:p>
        </w:tc>
        <w:tc>
          <w:tcPr>
            <w:tcW w:w="18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Abstentions</w:t>
            </w:r>
          </w:p>
        </w:tc>
        <w:tc>
          <w:tcPr>
            <w:tcW w:w="1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Board proposal regarding advisory approval of the</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860,897,041</w:t>
            </w:r>
          </w:p>
        </w:tc>
        <w:tc>
          <w:tcPr>
            <w:tcW w:w="1140" w:type="dxa"/>
            <w:vAlign w:val="bottom"/>
          </w:tcPr>
          <w:p>
            <w:pPr>
              <w:jc w:val="right"/>
              <w:spacing w:after="0"/>
              <w:rPr>
                <w:sz w:val="20"/>
                <w:szCs w:val="20"/>
                <w:color w:val="auto"/>
              </w:rPr>
            </w:pPr>
            <w:r>
              <w:rPr>
                <w:rFonts w:ascii="Arial" w:cs="Arial" w:eastAsia="Arial" w:hAnsi="Arial"/>
                <w:sz w:val="18"/>
                <w:szCs w:val="18"/>
                <w:color w:val="auto"/>
              </w:rPr>
              <w:t>39,516,225</w:t>
            </w:r>
          </w:p>
        </w:tc>
        <w:tc>
          <w:tcPr>
            <w:tcW w:w="1840" w:type="dxa"/>
            <w:vAlign w:val="bottom"/>
          </w:tcPr>
          <w:p>
            <w:pPr>
              <w:jc w:val="right"/>
              <w:ind w:right="390"/>
              <w:spacing w:after="0"/>
              <w:rPr>
                <w:sz w:val="20"/>
                <w:szCs w:val="20"/>
                <w:color w:val="auto"/>
              </w:rPr>
            </w:pPr>
            <w:r>
              <w:rPr>
                <w:rFonts w:ascii="Arial" w:cs="Arial" w:eastAsia="Arial" w:hAnsi="Arial"/>
                <w:sz w:val="18"/>
                <w:szCs w:val="18"/>
                <w:color w:val="auto"/>
              </w:rPr>
              <w:t>5,191,003</w:t>
            </w: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105,545,151</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company’s executive compensation</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25"/>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17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6"/>
              </w:rPr>
              <w:t>For</w:t>
            </w:r>
          </w:p>
        </w:tc>
        <w:tc>
          <w:tcPr>
            <w:tcW w:w="1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b w:val="1"/>
                <w:bCs w:val="1"/>
                <w:color w:val="auto"/>
                <w:w w:val="90"/>
              </w:rPr>
              <w:t>Against</w:t>
            </w:r>
          </w:p>
        </w:tc>
        <w:tc>
          <w:tcPr>
            <w:tcW w:w="1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Abstentions</w:t>
            </w: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Board proposal to ratify the appointment of Ernst &amp; Young</w:t>
            </w: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998,368,456</w:t>
            </w:r>
          </w:p>
        </w:tc>
        <w:tc>
          <w:tcPr>
            <w:tcW w:w="1140" w:type="dxa"/>
            <w:vAlign w:val="bottom"/>
          </w:tcPr>
          <w:p>
            <w:pPr>
              <w:spacing w:after="0"/>
              <w:rPr>
                <w:sz w:val="24"/>
                <w:szCs w:val="24"/>
                <w:color w:val="auto"/>
              </w:rPr>
            </w:pPr>
          </w:p>
        </w:tc>
        <w:tc>
          <w:tcPr>
            <w:tcW w:w="1840" w:type="dxa"/>
            <w:vAlign w:val="bottom"/>
          </w:tcPr>
          <w:p>
            <w:pPr>
              <w:jc w:val="right"/>
              <w:ind w:right="890"/>
              <w:spacing w:after="0"/>
              <w:rPr>
                <w:sz w:val="20"/>
                <w:szCs w:val="20"/>
                <w:color w:val="auto"/>
              </w:rPr>
            </w:pPr>
            <w:r>
              <w:rPr>
                <w:rFonts w:ascii="Arial" w:cs="Arial" w:eastAsia="Arial" w:hAnsi="Arial"/>
                <w:sz w:val="18"/>
                <w:szCs w:val="18"/>
                <w:color w:val="auto"/>
                <w:w w:val="93"/>
              </w:rPr>
              <w:t>11,155,140</w:t>
            </w:r>
          </w:p>
        </w:tc>
        <w:tc>
          <w:tcPr>
            <w:tcW w:w="1980" w:type="dxa"/>
            <w:vAlign w:val="bottom"/>
          </w:tcPr>
          <w:p>
            <w:pPr>
              <w:jc w:val="right"/>
              <w:ind w:right="670"/>
              <w:spacing w:after="0"/>
              <w:rPr>
                <w:sz w:val="20"/>
                <w:szCs w:val="20"/>
                <w:color w:val="auto"/>
              </w:rPr>
            </w:pPr>
            <w:r>
              <w:rPr>
                <w:rFonts w:ascii="Arial" w:cs="Arial" w:eastAsia="Arial" w:hAnsi="Arial"/>
                <w:sz w:val="18"/>
                <w:szCs w:val="18"/>
                <w:color w:val="auto"/>
              </w:rPr>
              <w:t>1,625,824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LLP as the company’s independent registered public</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accounting firm for 2012</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00" w:hanging="341"/>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700" w:right="260" w:hanging="341"/>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700" w:right="560" w:hanging="341"/>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700" w:right="20" w:hanging="341"/>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700" w:right="220" w:hanging="341"/>
        <w:spacing w:after="0" w:line="281"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700" w:hanging="341"/>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700" w:right="200" w:hanging="341"/>
        <w:spacing w:after="0" w:line="250"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700" w:hanging="341"/>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 and</w:t>
      </w:r>
    </w:p>
    <w:p>
      <w:pPr>
        <w:spacing w:after="0" w:line="9" w:lineRule="exact"/>
        <w:rPr>
          <w:rFonts w:ascii="Arial" w:cs="Arial" w:eastAsia="Arial" w:hAnsi="Arial"/>
          <w:sz w:val="18"/>
          <w:szCs w:val="18"/>
          <w:color w:val="auto"/>
        </w:rPr>
      </w:pPr>
    </w:p>
    <w:p>
      <w:pPr>
        <w:ind w:left="700" w:right="140" w:hanging="341"/>
        <w:spacing w:after="0" w:line="261"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20" w:val="left"/>
          <w:tab w:leader="none" w:pos="6300" w:val="left"/>
        </w:tabs>
        <w:rPr>
          <w:sz w:val="20"/>
          <w:szCs w:val="20"/>
          <w:color w:val="auto"/>
        </w:rPr>
      </w:pPr>
      <w:r>
        <w:rPr>
          <w:rFonts w:ascii="Arial" w:cs="Arial" w:eastAsia="Arial" w:hAnsi="Arial"/>
          <w:sz w:val="18"/>
          <w:szCs w:val="18"/>
          <w:color w:val="auto"/>
        </w:rPr>
        <w:t>Date: April 23,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1280"/>
      </w:cols>
      <w:pgMar w:left="240" w:top="5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2019-12-09T07:37:32Z</dcterms:created>
  <dcterms:modified xsi:type="dcterms:W3CDTF">2019-12-09T07:37:32Z</dcterms:modified>
</cp:coreProperties>
</file>