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333-262523</w:t>
      </w:r>
    </w:p>
    <w:p>
      <w:pPr>
        <w:spacing w:after="0" w:line="139" w:lineRule="exact"/>
        <w:rPr>
          <w:sz w:val="24"/>
          <w:szCs w:val="24"/>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FF4338"/>
        </w:rPr>
        <w:t>SUBJECT TO COMPLETION, DATED MAY 11, 2023</w:t>
      </w:r>
    </w:p>
    <w:p>
      <w:pPr>
        <w:spacing w:after="0" w:line="127"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PRELIMINARY PROSPECTUS SUPPLEMENT</w:t>
      </w:r>
    </w:p>
    <w:p>
      <w:pPr>
        <w:spacing w:after="0" w:line="2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(To Prospectus Dated February 4, 2022)</w:t>
      </w:r>
    </w:p>
    <w:p>
      <w:pPr>
        <w:spacing w:after="0" w:line="91"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100965</wp:posOffset>
            </wp:positionV>
            <wp:extent cx="251206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206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4920" w:hanging="748"/>
        <w:spacing w:after="0"/>
        <w:tabs>
          <w:tab w:leader="none" w:pos="49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4.600% Notes due 2028</w:t>
      </w:r>
    </w:p>
    <w:p>
      <w:pPr>
        <w:spacing w:after="0" w:line="71" w:lineRule="exact"/>
        <w:rPr>
          <w:rFonts w:ascii="Arial" w:cs="Arial" w:eastAsia="Arial" w:hAnsi="Arial"/>
          <w:sz w:val="22"/>
          <w:szCs w:val="22"/>
          <w:b w:val="1"/>
          <w:bCs w:val="1"/>
          <w:color w:val="auto"/>
        </w:rPr>
      </w:pPr>
    </w:p>
    <w:p>
      <w:pPr>
        <w:ind w:left="4920" w:hanging="748"/>
        <w:spacing w:after="0"/>
        <w:tabs>
          <w:tab w:leader="none" w:pos="49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4.900% Notes due 2033</w:t>
      </w:r>
    </w:p>
    <w:p>
      <w:pPr>
        <w:spacing w:after="0" w:line="58" w:lineRule="exact"/>
        <w:rPr>
          <w:sz w:val="24"/>
          <w:szCs w:val="24"/>
          <w:color w:val="auto"/>
        </w:rPr>
      </w:pPr>
    </w:p>
    <w:p>
      <w:pPr>
        <w:ind w:left="5200" w:hanging="1028"/>
        <w:spacing w:after="0"/>
        <w:tabs>
          <w:tab w:leader="none" w:pos="52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8" w:lineRule="exact"/>
        <w:rPr>
          <w:sz w:val="24"/>
          <w:szCs w:val="24"/>
          <w:color w:val="auto"/>
        </w:rPr>
      </w:pPr>
    </w:p>
    <w:p>
      <w:pPr>
        <w:ind w:left="120"/>
        <w:spacing w:after="0"/>
        <w:tabs>
          <w:tab w:leader="none" w:pos="3460" w:val="left"/>
          <w:tab w:leader="none" w:pos="9120" w:val="left"/>
        </w:tabs>
        <w:rPr>
          <w:sz w:val="20"/>
          <w:szCs w:val="20"/>
          <w:color w:val="auto"/>
        </w:rPr>
      </w:pPr>
      <w:r>
        <w:rPr>
          <w:rFonts w:ascii="Arial" w:cs="Arial" w:eastAsia="Arial" w:hAnsi="Arial"/>
          <w:sz w:val="16"/>
          <w:szCs w:val="16"/>
          <w:color w:val="auto"/>
        </w:rPr>
        <w:t>Texas Instruments Incorporated is offering $</w:t>
      </w:r>
      <w:r>
        <w:rPr>
          <w:sz w:val="20"/>
          <w:szCs w:val="20"/>
          <w:color w:val="auto"/>
        </w:rPr>
        <w:tab/>
      </w:r>
      <w:r>
        <w:rPr>
          <w:rFonts w:ascii="Arial" w:cs="Arial" w:eastAsia="Arial" w:hAnsi="Arial"/>
          <w:sz w:val="16"/>
          <w:szCs w:val="16"/>
          <w:color w:val="auto"/>
        </w:rPr>
        <w:t>aggregate principal amount of its 4.600% Notes due 2028 (the “2028 Notes”), $</w:t>
      </w:r>
      <w:r>
        <w:rPr>
          <w:sz w:val="20"/>
          <w:szCs w:val="20"/>
          <w:color w:val="auto"/>
        </w:rPr>
        <w:tab/>
      </w:r>
      <w:r>
        <w:rPr>
          <w:rFonts w:ascii="Arial" w:cs="Arial" w:eastAsia="Arial" w:hAnsi="Arial"/>
          <w:sz w:val="14"/>
          <w:szCs w:val="14"/>
          <w:color w:val="auto"/>
        </w:rPr>
        <w:t>aggregate principal amount of</w:t>
      </w:r>
    </w:p>
    <w:p>
      <w:pPr>
        <w:spacing w:after="0" w:line="22" w:lineRule="exact"/>
        <w:rPr>
          <w:sz w:val="24"/>
          <w:szCs w:val="24"/>
          <w:color w:val="auto"/>
        </w:rPr>
      </w:pPr>
    </w:p>
    <w:p>
      <w:pPr>
        <w:ind w:left="120"/>
        <w:spacing w:after="0"/>
        <w:tabs>
          <w:tab w:leader="none" w:pos="4000" w:val="left"/>
          <w:tab w:leader="none" w:pos="6660" w:val="left"/>
          <w:tab w:leader="none" w:pos="8060" w:val="left"/>
          <w:tab w:leader="none" w:pos="8800" w:val="left"/>
        </w:tabs>
        <w:rPr>
          <w:sz w:val="20"/>
          <w:szCs w:val="20"/>
          <w:color w:val="auto"/>
        </w:rPr>
      </w:pPr>
      <w:r>
        <w:rPr>
          <w:rFonts w:ascii="Arial" w:cs="Arial" w:eastAsia="Arial" w:hAnsi="Arial"/>
          <w:sz w:val="16"/>
          <w:szCs w:val="16"/>
          <w:color w:val="auto"/>
        </w:rPr>
        <w:t>its 4.900% Notes due 2033 (the “2033 Notes”) and $</w:t>
      </w:r>
      <w:r>
        <w:rPr>
          <w:sz w:val="20"/>
          <w:szCs w:val="20"/>
          <w:color w:val="auto"/>
        </w:rPr>
        <w:tab/>
      </w:r>
      <w:r>
        <w:rPr>
          <w:rFonts w:ascii="Arial" w:cs="Arial" w:eastAsia="Arial" w:hAnsi="Arial"/>
          <w:sz w:val="16"/>
          <w:szCs w:val="16"/>
          <w:color w:val="auto"/>
        </w:rPr>
        <w:t>aggregate principal amount of its</w:t>
      </w:r>
      <w:r>
        <w:rPr>
          <w:sz w:val="20"/>
          <w:szCs w:val="20"/>
          <w:color w:val="auto"/>
        </w:rPr>
        <w:tab/>
      </w:r>
      <w:r>
        <w:rPr>
          <w:rFonts w:ascii="Arial" w:cs="Arial" w:eastAsia="Arial" w:hAnsi="Arial"/>
          <w:sz w:val="16"/>
          <w:szCs w:val="16"/>
          <w:color w:val="auto"/>
        </w:rPr>
        <w:t>% Notes due 20</w:t>
      </w:r>
      <w:r>
        <w:rPr>
          <w:sz w:val="20"/>
          <w:szCs w:val="20"/>
          <w:color w:val="auto"/>
        </w:rPr>
        <w:tab/>
      </w:r>
      <w:r>
        <w:rPr>
          <w:rFonts w:ascii="Arial" w:cs="Arial" w:eastAsia="Arial" w:hAnsi="Arial"/>
          <w:sz w:val="16"/>
          <w:szCs w:val="16"/>
          <w:color w:val="auto"/>
        </w:rPr>
        <w:t>(the “20</w:t>
      </w:r>
      <w:r>
        <w:rPr>
          <w:sz w:val="20"/>
          <w:szCs w:val="20"/>
          <w:color w:val="auto"/>
        </w:rPr>
        <w:tab/>
      </w:r>
      <w:r>
        <w:rPr>
          <w:rFonts w:ascii="Arial" w:cs="Arial" w:eastAsia="Arial" w:hAnsi="Arial"/>
          <w:sz w:val="14"/>
          <w:szCs w:val="14"/>
          <w:color w:val="auto"/>
        </w:rPr>
        <w:t>Notes,” and together with the 2028</w:t>
      </w:r>
    </w:p>
    <w:p>
      <w:pPr>
        <w:spacing w:after="0" w:line="19" w:lineRule="exact"/>
        <w:rPr>
          <w:sz w:val="24"/>
          <w:szCs w:val="24"/>
          <w:color w:val="auto"/>
        </w:rPr>
      </w:pPr>
    </w:p>
    <w:p>
      <w:pPr>
        <w:ind w:left="120" w:right="40"/>
        <w:spacing w:after="0" w:line="301" w:lineRule="auto"/>
        <w:rPr>
          <w:sz w:val="20"/>
          <w:szCs w:val="20"/>
          <w:color w:val="auto"/>
        </w:rPr>
      </w:pPr>
      <w:r>
        <w:rPr>
          <w:rFonts w:ascii="Arial" w:cs="Arial" w:eastAsia="Arial" w:hAnsi="Arial"/>
          <w:sz w:val="14"/>
          <w:szCs w:val="14"/>
          <w:color w:val="auto"/>
        </w:rPr>
        <w:t>Notes and the 2033 Notes, the “Notes”), which will bear interest at the applicable rate per year for each series as set forth above. The 2028 Notes will be a further issuance of, and will form a single series with, the $500,000,000 aggregate principal amount of 4.600% Notes due 2028 issued on November 18, 2022 (the “Existing 2028 Notes”). The 2033 Notes will be a further issuance of, and will form a single series with, the $750,000,000 aggregate principal amount of 4.900% Notes due 2033 issued on March 14, 2023 (the “Existing 2033 Notes”). The 2028 Notes and the 2033 Notes offered hereby will have the same terms (other than issue date, price to public and, in the case of the 2028 Notes, initial interest payment date) and will vote together as a single class, with the same CUSIP number as, and be fungible with, the</w:t>
      </w:r>
    </w:p>
    <w:p>
      <w:pPr>
        <w:spacing w:after="0" w:line="3" w:lineRule="exact"/>
        <w:rPr>
          <w:sz w:val="24"/>
          <w:szCs w:val="24"/>
          <w:color w:val="auto"/>
        </w:rPr>
      </w:pPr>
    </w:p>
    <w:p>
      <w:pPr>
        <w:ind w:left="120"/>
        <w:spacing w:after="0"/>
        <w:tabs>
          <w:tab w:leader="none" w:pos="7880" w:val="left"/>
        </w:tabs>
        <w:rPr>
          <w:sz w:val="20"/>
          <w:szCs w:val="20"/>
          <w:color w:val="auto"/>
        </w:rPr>
      </w:pPr>
      <w:r>
        <w:rPr>
          <w:rFonts w:ascii="Arial" w:cs="Arial" w:eastAsia="Arial" w:hAnsi="Arial"/>
          <w:sz w:val="16"/>
          <w:szCs w:val="16"/>
          <w:color w:val="auto"/>
        </w:rPr>
        <w:t>Existing 2028 Notes and the Existing 2033 Notes, respectively. Upon completion of this offering, we will have $</w:t>
      </w:r>
      <w:r>
        <w:rPr>
          <w:sz w:val="20"/>
          <w:szCs w:val="20"/>
          <w:color w:val="auto"/>
        </w:rPr>
        <w:tab/>
      </w:r>
      <w:r>
        <w:rPr>
          <w:rFonts w:ascii="Arial" w:cs="Arial" w:eastAsia="Arial" w:hAnsi="Arial"/>
          <w:sz w:val="14"/>
          <w:szCs w:val="14"/>
          <w:color w:val="auto"/>
        </w:rPr>
        <w:t>aggregate principal amount of outstanding 2028</w:t>
      </w:r>
    </w:p>
    <w:p>
      <w:pPr>
        <w:spacing w:after="0" w:line="19" w:lineRule="exact"/>
        <w:rPr>
          <w:sz w:val="24"/>
          <w:szCs w:val="24"/>
          <w:color w:val="auto"/>
        </w:rPr>
      </w:pPr>
    </w:p>
    <w:p>
      <w:pPr>
        <w:ind w:left="120"/>
        <w:spacing w:after="0"/>
        <w:tabs>
          <w:tab w:leader="none" w:pos="1360" w:val="left"/>
        </w:tabs>
        <w:rPr>
          <w:sz w:val="20"/>
          <w:szCs w:val="20"/>
          <w:color w:val="auto"/>
        </w:rPr>
      </w:pPr>
      <w:r>
        <w:rPr>
          <w:rFonts w:ascii="Arial" w:cs="Arial" w:eastAsia="Arial" w:hAnsi="Arial"/>
          <w:sz w:val="16"/>
          <w:szCs w:val="16"/>
          <w:color w:val="auto"/>
        </w:rPr>
        <w:t>Notes and $</w:t>
      </w:r>
      <w:r>
        <w:rPr>
          <w:sz w:val="20"/>
          <w:szCs w:val="20"/>
          <w:color w:val="auto"/>
        </w:rPr>
        <w:tab/>
      </w:r>
      <w:r>
        <w:rPr>
          <w:rFonts w:ascii="Arial" w:cs="Arial" w:eastAsia="Arial" w:hAnsi="Arial"/>
          <w:sz w:val="14"/>
          <w:szCs w:val="14"/>
          <w:color w:val="auto"/>
        </w:rPr>
        <w:t>aggregate principal amount of outstanding 2033 Notes. Interest on the 2028 Notes will be payable semi-annually in arrears on February 15 and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August 15 of each year, beginning on August 15, 2023. Interest on the 2033 Notes will be payable semi-annually in arrears on March 14 and September 14 of each year,</w:t>
      </w:r>
    </w:p>
    <w:p>
      <w:pPr>
        <w:spacing w:after="0" w:line="42" w:lineRule="exact"/>
        <w:rPr>
          <w:sz w:val="24"/>
          <w:szCs w:val="24"/>
          <w:color w:val="auto"/>
        </w:rPr>
      </w:pPr>
    </w:p>
    <w:tbl>
      <w:tblPr>
        <w:tblLayout w:type="fixed"/>
        <w:tblInd w:w="120" w:type="dxa"/>
        <w:tblCellMar>
          <w:top w:w="0" w:type="dxa"/>
          <w:left w:w="0" w:type="dxa"/>
          <w:bottom w:w="0" w:type="dxa"/>
          <w:right w:w="0" w:type="dxa"/>
        </w:tblCellMar>
      </w:tblPr>
      <w:tr>
        <w:trPr>
          <w:trHeight w:val="206"/>
        </w:trPr>
        <w:tc>
          <w:tcPr>
            <w:tcW w:w="7180" w:type="dxa"/>
            <w:vAlign w:val="bottom"/>
          </w:tcPr>
          <w:p>
            <w:pPr>
              <w:spacing w:after="0"/>
              <w:rPr>
                <w:sz w:val="20"/>
                <w:szCs w:val="20"/>
                <w:color w:val="auto"/>
              </w:rPr>
            </w:pPr>
            <w:r>
              <w:rPr>
                <w:rFonts w:ascii="Arial" w:cs="Arial" w:eastAsia="Arial" w:hAnsi="Arial"/>
                <w:sz w:val="16"/>
                <w:szCs w:val="16"/>
                <w:color w:val="auto"/>
                <w:w w:val="97"/>
              </w:rPr>
              <w:t>beginning on September 14, 2023. Interest on the 20   Notes will be payable semi-annually in arrears on</w:t>
            </w:r>
          </w:p>
        </w:tc>
        <w:tc>
          <w:tcPr>
            <w:tcW w:w="600" w:type="dxa"/>
            <w:vAlign w:val="bottom"/>
          </w:tcPr>
          <w:p>
            <w:pPr>
              <w:ind w:left="120"/>
              <w:spacing w:after="0"/>
              <w:rPr>
                <w:sz w:val="20"/>
                <w:szCs w:val="20"/>
                <w:color w:val="auto"/>
              </w:rPr>
            </w:pPr>
            <w:r>
              <w:rPr>
                <w:rFonts w:ascii="Arial" w:cs="Arial" w:eastAsia="Arial" w:hAnsi="Arial"/>
                <w:sz w:val="16"/>
                <w:szCs w:val="16"/>
                <w:color w:val="auto"/>
              </w:rPr>
              <w:t>and</w:t>
            </w:r>
          </w:p>
        </w:tc>
        <w:tc>
          <w:tcPr>
            <w:tcW w:w="2300" w:type="dxa"/>
            <w:vAlign w:val="bottom"/>
            <w:gridSpan w:val="2"/>
          </w:tcPr>
          <w:p>
            <w:pPr>
              <w:jc w:val="right"/>
              <w:ind w:right="259"/>
              <w:spacing w:after="0"/>
              <w:rPr>
                <w:sz w:val="20"/>
                <w:szCs w:val="20"/>
                <w:color w:val="auto"/>
              </w:rPr>
            </w:pPr>
            <w:r>
              <w:rPr>
                <w:rFonts w:ascii="Arial" w:cs="Arial" w:eastAsia="Arial" w:hAnsi="Arial"/>
                <w:sz w:val="16"/>
                <w:szCs w:val="16"/>
                <w:color w:val="auto"/>
              </w:rPr>
              <w:t>of each year, beginning on</w:t>
            </w:r>
          </w:p>
        </w:tc>
        <w:tc>
          <w:tcPr>
            <w:tcW w:w="640" w:type="dxa"/>
            <w:vAlign w:val="bottom"/>
          </w:tcPr>
          <w:p>
            <w:pPr>
              <w:jc w:val="right"/>
              <w:spacing w:after="0"/>
              <w:rPr>
                <w:sz w:val="20"/>
                <w:szCs w:val="20"/>
                <w:color w:val="auto"/>
              </w:rPr>
            </w:pPr>
            <w:r>
              <w:rPr>
                <w:rFonts w:ascii="Arial" w:cs="Arial" w:eastAsia="Arial" w:hAnsi="Arial"/>
                <w:sz w:val="16"/>
                <w:szCs w:val="16"/>
                <w:color w:val="auto"/>
              </w:rPr>
              <w:t>, 2023.</w:t>
            </w:r>
          </w:p>
        </w:tc>
      </w:tr>
      <w:tr>
        <w:trPr>
          <w:trHeight w:val="266"/>
        </w:trPr>
        <w:tc>
          <w:tcPr>
            <w:tcW w:w="7180" w:type="dxa"/>
            <w:vAlign w:val="bottom"/>
          </w:tcPr>
          <w:p>
            <w:pPr>
              <w:spacing w:after="0"/>
              <w:rPr>
                <w:sz w:val="20"/>
                <w:szCs w:val="20"/>
                <w:color w:val="auto"/>
              </w:rPr>
            </w:pPr>
            <w:r>
              <w:rPr>
                <w:rFonts w:ascii="Arial" w:cs="Arial" w:eastAsia="Arial" w:hAnsi="Arial"/>
                <w:sz w:val="16"/>
                <w:szCs w:val="16"/>
                <w:color w:val="auto"/>
                <w:w w:val="93"/>
              </w:rPr>
              <w:t>The 2028 Notes will mature on February 15, 2028, the 2033 Notes will mature on March 14, 2033 and the 20</w:t>
            </w:r>
          </w:p>
        </w:tc>
        <w:tc>
          <w:tcPr>
            <w:tcW w:w="1880" w:type="dxa"/>
            <w:vAlign w:val="bottom"/>
            <w:gridSpan w:val="2"/>
          </w:tcPr>
          <w:p>
            <w:pPr>
              <w:ind w:left="100"/>
              <w:spacing w:after="0"/>
              <w:rPr>
                <w:sz w:val="20"/>
                <w:szCs w:val="20"/>
                <w:color w:val="auto"/>
              </w:rPr>
            </w:pPr>
            <w:r>
              <w:rPr>
                <w:rFonts w:ascii="Arial" w:cs="Arial" w:eastAsia="Arial" w:hAnsi="Arial"/>
                <w:sz w:val="16"/>
                <w:szCs w:val="16"/>
                <w:color w:val="auto"/>
              </w:rPr>
              <w:t>Notes will mature on</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 20  .</w:t>
            </w:r>
          </w:p>
        </w:tc>
        <w:tc>
          <w:tcPr>
            <w:tcW w:w="640" w:type="dxa"/>
            <w:vAlign w:val="bottom"/>
          </w:tcPr>
          <w:p>
            <w:pPr>
              <w:spacing w:after="0"/>
              <w:rPr>
                <w:sz w:val="23"/>
                <w:szCs w:val="23"/>
                <w:color w:val="auto"/>
              </w:rPr>
            </w:pPr>
          </w:p>
        </w:tc>
      </w:tr>
    </w:tbl>
    <w:p>
      <w:pPr>
        <w:spacing w:after="0" w:line="77" w:lineRule="exact"/>
        <w:rPr>
          <w:sz w:val="24"/>
          <w:szCs w:val="24"/>
          <w:color w:val="auto"/>
        </w:rPr>
      </w:pPr>
    </w:p>
    <w:p>
      <w:pPr>
        <w:ind w:left="120" w:right="200"/>
        <w:spacing w:after="0" w:line="293" w:lineRule="auto"/>
        <w:rPr>
          <w:sz w:val="20"/>
          <w:szCs w:val="20"/>
          <w:color w:val="auto"/>
        </w:rPr>
      </w:pPr>
      <w:r>
        <w:rPr>
          <w:rFonts w:ascii="Arial" w:cs="Arial" w:eastAsia="Arial" w:hAnsi="Arial"/>
          <w:sz w:val="16"/>
          <w:szCs w:val="16"/>
          <w:color w:val="auto"/>
        </w:rPr>
        <w:t>We may redeem some or all of the Notes at any time and from time to time at the applicable redemption prices indicated under the caption “Description of the Notes— Optional Redemption.”</w:t>
      </w:r>
    </w:p>
    <w:p>
      <w:pPr>
        <w:spacing w:after="0" w:line="23" w:lineRule="exact"/>
        <w:rPr>
          <w:sz w:val="24"/>
          <w:szCs w:val="24"/>
          <w:color w:val="auto"/>
        </w:rPr>
      </w:pPr>
    </w:p>
    <w:p>
      <w:pPr>
        <w:ind w:left="120" w:right="140"/>
        <w:spacing w:after="0" w:line="293" w:lineRule="auto"/>
        <w:rPr>
          <w:sz w:val="20"/>
          <w:szCs w:val="20"/>
          <w:color w:val="auto"/>
        </w:rPr>
      </w:pPr>
      <w:r>
        <w:rPr>
          <w:rFonts w:ascii="Arial" w:cs="Arial" w:eastAsia="Arial" w:hAnsi="Arial"/>
          <w:sz w:val="16"/>
          <w:szCs w:val="16"/>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3"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Investing in the Notes involves risks. See “</w:t>
      </w:r>
      <w:r>
        <w:rPr>
          <w:rFonts w:ascii="Arial" w:cs="Arial" w:eastAsia="Arial" w:hAnsi="Arial"/>
          <w:sz w:val="20"/>
          <w:szCs w:val="20"/>
          <w:b w:val="1"/>
          <w:bCs w:val="1"/>
          <w:u w:val="single" w:color="auto"/>
          <w:color w:val="0000EE"/>
        </w:rPr>
        <w:t>Risk Factors</w:t>
      </w:r>
      <w:r>
        <w:rPr>
          <w:rFonts w:ascii="Arial" w:cs="Arial" w:eastAsia="Arial" w:hAnsi="Arial"/>
          <w:sz w:val="20"/>
          <w:szCs w:val="20"/>
          <w:b w:val="1"/>
          <w:bCs w:val="1"/>
          <w:color w:val="auto"/>
        </w:rPr>
        <w:t>” beginning on page S-5.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p>
      <w:pPr>
        <w:ind w:left="120" w:right="280"/>
        <w:spacing w:after="0" w:line="293"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gridSpan w:val="2"/>
          </w:tcPr>
          <w:p>
            <w:pPr>
              <w:jc w:val="center"/>
              <w:ind w:left="4523"/>
              <w:spacing w:after="0"/>
              <w:rPr>
                <w:sz w:val="20"/>
                <w:szCs w:val="20"/>
                <w:color w:val="auto"/>
              </w:rPr>
            </w:pPr>
            <w:r>
              <w:rPr>
                <w:rFonts w:ascii="Arial" w:cs="Arial" w:eastAsia="Arial" w:hAnsi="Arial"/>
                <w:sz w:val="14"/>
                <w:szCs w:val="14"/>
                <w:b w:val="1"/>
                <w:bCs w:val="1"/>
                <w:color w:val="auto"/>
                <w:w w:val="93"/>
              </w:rPr>
              <w:t>Per 2028</w:t>
            </w:r>
          </w:p>
        </w:tc>
        <w:tc>
          <w:tcPr>
            <w:tcW w:w="280" w:type="dxa"/>
            <w:vAlign w:val="bottom"/>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2028 Notes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Per 2033</w:t>
            </w:r>
          </w:p>
        </w:tc>
        <w:tc>
          <w:tcPr>
            <w:tcW w:w="4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9"/>
              </w:rPr>
              <w:t>2033 Notes</w:t>
            </w:r>
          </w:p>
        </w:tc>
        <w:tc>
          <w:tcPr>
            <w:tcW w:w="78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 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20   Notes</w:t>
            </w: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Notes</w:t>
            </w:r>
          </w:p>
        </w:tc>
      </w:tr>
      <w:tr>
        <w:trPr>
          <w:trHeight w:val="171"/>
        </w:trPr>
        <w:tc>
          <w:tcPr>
            <w:tcW w:w="46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6"/>
              </w:rPr>
              <w:t>Note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44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46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5"/>
                <w:szCs w:val="15"/>
                <w:color w:val="auto"/>
              </w:rPr>
              <w:t>Public offering price</w:t>
            </w:r>
            <w:r>
              <w:rPr>
                <w:rFonts w:ascii="Arial" w:cs="Arial" w:eastAsia="Arial" w:hAnsi="Arial"/>
                <w:sz w:val="22"/>
                <w:szCs w:val="22"/>
                <w:color w:val="auto"/>
                <w:vertAlign w:val="superscript"/>
              </w:rPr>
              <w:t>(1) (2)</w:t>
            </w: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4"/>
              </w:rPr>
              <w:t>%</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w w:val="74"/>
              </w:rPr>
              <w:t>%</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4"/>
              </w:rPr>
              <w:t>%</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140" w:type="dxa"/>
            <w:vAlign w:val="bottom"/>
            <w:gridSpan w:val="2"/>
          </w:tcPr>
          <w:p>
            <w:pPr>
              <w:spacing w:after="0"/>
              <w:rPr>
                <w:sz w:val="20"/>
                <w:szCs w:val="20"/>
                <w:color w:val="auto"/>
              </w:rPr>
            </w:pPr>
            <w:r>
              <w:rPr>
                <w:rFonts w:ascii="Arial" w:cs="Arial" w:eastAsia="Arial" w:hAnsi="Arial"/>
                <w:sz w:val="16"/>
                <w:szCs w:val="16"/>
                <w:color w:val="auto"/>
              </w:rPr>
              <w:t>Underwriting discounts</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w w:val="84"/>
              </w:rPr>
              <w:t>%</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jc w:val="right"/>
              <w:ind w:right="244"/>
              <w:spacing w:after="0"/>
              <w:rPr>
                <w:sz w:val="20"/>
                <w:szCs w:val="20"/>
                <w:color w:val="auto"/>
              </w:rPr>
            </w:pPr>
            <w:r>
              <w:rPr>
                <w:rFonts w:ascii="Arial" w:cs="Arial" w:eastAsia="Arial" w:hAnsi="Arial"/>
                <w:sz w:val="15"/>
                <w:szCs w:val="15"/>
                <w:color w:val="auto"/>
                <w:w w:val="74"/>
              </w:rPr>
              <w:t>%</w:t>
            </w:r>
          </w:p>
        </w:tc>
        <w:tc>
          <w:tcPr>
            <w:tcW w:w="68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r>
      <w:tr>
        <w:trPr>
          <w:trHeight w:val="203"/>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4"/>
              </w:rPr>
              <w:t>%</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4"/>
              </w:rPr>
              <w:t>%</w:t>
            </w: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r>
    </w:tbl>
    <w:p>
      <w:pPr>
        <w:spacing w:after="0" w:line="31" w:lineRule="exact"/>
        <w:rPr>
          <w:sz w:val="24"/>
          <w:szCs w:val="24"/>
          <w:color w:val="auto"/>
        </w:rPr>
      </w:pPr>
    </w:p>
    <w:p>
      <w:pPr>
        <w:ind w:left="560" w:hanging="444"/>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case of the 2028 Notes, plus accrued interest from February 15, 2023.</w:t>
      </w:r>
    </w:p>
    <w:p>
      <w:pPr>
        <w:spacing w:after="0" w:line="22" w:lineRule="exact"/>
        <w:rPr>
          <w:rFonts w:ascii="Arial" w:cs="Arial" w:eastAsia="Arial" w:hAnsi="Arial"/>
          <w:sz w:val="16"/>
          <w:szCs w:val="16"/>
          <w:color w:val="auto"/>
        </w:rPr>
      </w:pPr>
    </w:p>
    <w:p>
      <w:pPr>
        <w:ind w:left="560" w:hanging="444"/>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case of the 2033 Notes, plus accrued interest from March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5" w:lineRule="exact"/>
        <w:rPr>
          <w:sz w:val="24"/>
          <w:szCs w:val="24"/>
          <w:color w:val="auto"/>
        </w:rPr>
      </w:pPr>
    </w:p>
    <w:p>
      <w:pPr>
        <w:ind w:left="120"/>
        <w:spacing w:after="0"/>
        <w:rPr>
          <w:sz w:val="20"/>
          <w:szCs w:val="20"/>
          <w:color w:val="auto"/>
        </w:rPr>
      </w:pPr>
      <w:r>
        <w:rPr>
          <w:rFonts w:ascii="Arial" w:cs="Arial" w:eastAsia="Arial" w:hAnsi="Arial"/>
          <w:sz w:val="15"/>
          <w:szCs w:val="15"/>
          <w:color w:val="auto"/>
        </w:rPr>
        <w:t>Interest on the 2028 Notes offered hereby will accrue from, and including, February 15, 2023 to, but excluding, the date of delivery. Interest on the 2033 Notes offered</w:t>
      </w:r>
    </w:p>
    <w:p>
      <w:pPr>
        <w:spacing w:after="0" w:line="34" w:lineRule="exact"/>
        <w:rPr>
          <w:sz w:val="24"/>
          <w:szCs w:val="24"/>
          <w:color w:val="auto"/>
        </w:rPr>
      </w:pPr>
    </w:p>
    <w:p>
      <w:pPr>
        <w:ind w:left="120" w:right="220"/>
        <w:spacing w:after="0" w:line="288" w:lineRule="auto"/>
        <w:rPr>
          <w:sz w:val="20"/>
          <w:szCs w:val="20"/>
          <w:color w:val="auto"/>
        </w:rPr>
      </w:pPr>
      <w:r>
        <w:rPr>
          <w:rFonts w:ascii="Arial" w:cs="Arial" w:eastAsia="Arial" w:hAnsi="Arial"/>
          <w:sz w:val="16"/>
          <w:szCs w:val="16"/>
          <w:color w:val="auto"/>
        </w:rPr>
        <w:t>hereby will accrue from, and including, March 14, 2023 to, but excluding, the date of delivery. Interest on the 20 Notes will accrue from , 2023 to the date of delivery.</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4"/>
          <w:szCs w:val="14"/>
          <w:color w:val="auto"/>
        </w:rPr>
        <w:t>The underwriters expect to deliver the Notes to purchasers only in book-entry form through the facilities of The Depository Trust Company and its participants, including</w:t>
      </w:r>
    </w:p>
    <w:p>
      <w:pPr>
        <w:spacing w:after="0" w:line="45" w:lineRule="exact"/>
        <w:rPr>
          <w:sz w:val="24"/>
          <w:szCs w:val="24"/>
          <w:color w:val="auto"/>
        </w:rPr>
      </w:pPr>
    </w:p>
    <w:p>
      <w:pPr>
        <w:ind w:left="120" w:right="140"/>
        <w:spacing w:after="0" w:line="288" w:lineRule="auto"/>
        <w:rPr>
          <w:sz w:val="20"/>
          <w:szCs w:val="20"/>
          <w:color w:val="auto"/>
        </w:rPr>
      </w:pPr>
      <w:r>
        <w:rPr>
          <w:rFonts w:ascii="Arial" w:cs="Arial" w:eastAsia="Arial" w:hAnsi="Arial"/>
          <w:sz w:val="16"/>
          <w:szCs w:val="16"/>
          <w:color w:val="auto"/>
        </w:rPr>
        <w:t>Euroclear Bank S.A./N.V. and Clearstream Banking, S.A., on or about , 2023,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86" w:lineRule="exact"/>
        <w:rPr>
          <w:sz w:val="24"/>
          <w:szCs w:val="24"/>
          <w:color w:val="auto"/>
        </w:rPr>
      </w:pPr>
    </w:p>
    <w:p>
      <w:pPr>
        <w:ind w:left="120"/>
        <w:spacing w:after="0"/>
        <w:tabs>
          <w:tab w:leader="none" w:pos="4740" w:val="left"/>
          <w:tab w:leader="none" w:pos="980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3"/>
          <w:szCs w:val="23"/>
          <w:b w:val="1"/>
          <w:bCs w:val="1"/>
          <w:color w:val="auto"/>
        </w:rPr>
        <w:t>US Bancorp</w:t>
      </w:r>
    </w:p>
    <w:p>
      <w:pPr>
        <w:sectPr>
          <w:pgSz w:w="11900" w:h="16838" w:orient="portrait"/>
          <w:cols w:equalWidth="0" w:num="1">
            <w:col w:w="11140"/>
          </w:cols>
          <w:pgMar w:left="320" w:top="230" w:right="439" w:bottom="1440" w:gutter="0" w:footer="0" w:header="0"/>
        </w:sectPr>
      </w:pPr>
    </w:p>
    <w:p>
      <w:pPr>
        <w:spacing w:after="0" w:line="100" w:lineRule="exact"/>
        <w:rPr>
          <w:sz w:val="24"/>
          <w:szCs w:val="24"/>
          <w:color w:val="auto"/>
        </w:rPr>
      </w:pPr>
    </w:p>
    <w:p>
      <w:pPr>
        <w:ind w:left="5660"/>
        <w:spacing w:after="0"/>
        <w:rPr>
          <w:sz w:val="20"/>
          <w:szCs w:val="20"/>
          <w:color w:val="auto"/>
        </w:rPr>
      </w:pPr>
      <w:r>
        <w:rPr>
          <w:rFonts w:ascii="Arial" w:cs="Arial" w:eastAsia="Arial" w:hAnsi="Arial"/>
          <w:sz w:val="14"/>
          <w:szCs w:val="14"/>
          <w:b w:val="1"/>
          <w:bCs w:val="1"/>
          <w:color w:val="auto"/>
        </w:rPr>
        <w:t>, 2023</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40" w:type="dxa"/>
            <w:vAlign w:val="bottom"/>
            <w:gridSpan w:val="3"/>
          </w:tcPr>
          <w:p>
            <w:pPr>
              <w:jc w:val="center"/>
              <w:ind w:right="4431"/>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Prospectus Supplement</w:t>
            </w:r>
          </w:p>
        </w:tc>
        <w:tc>
          <w:tcPr>
            <w:tcW w:w="4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520" w:type="dxa"/>
            <w:vAlign w:val="bottom"/>
            <w:gridSpan w:val="11"/>
            <w:vMerge w:val="restart"/>
          </w:tcPr>
          <w:p>
            <w:pPr>
              <w:spacing w:after="0"/>
              <w:rPr>
                <w:sz w:val="20"/>
                <w:szCs w:val="20"/>
                <w:color w:val="auto"/>
              </w:rPr>
            </w:pPr>
            <w:r>
              <w:rPr>
                <w:rFonts w:ascii="Arial" w:cs="Arial" w:eastAsia="Arial" w:hAnsi="Arial"/>
                <w:sz w:val="18"/>
                <w:szCs w:val="18"/>
                <w:color w:val="0000EE"/>
                <w:w w:val="93"/>
              </w:rPr>
              <w:t>Notice Regarding Forward-Looking Statements</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520" w:type="dxa"/>
            <w:vAlign w:val="bottom"/>
            <w:gridSpan w:val="11"/>
            <w:vMerge w:val="continue"/>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Summary</w:t>
            </w:r>
          </w:p>
        </w:tc>
        <w:tc>
          <w:tcPr>
            <w:tcW w:w="282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Arial" w:cs="Arial" w:eastAsia="Arial" w:hAnsi="Arial"/>
                <w:sz w:val="18"/>
                <w:szCs w:val="18"/>
                <w:color w:val="0000EE"/>
              </w:rPr>
              <w:t>Risk Factors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Arial" w:cs="Arial" w:eastAsia="Arial" w:hAnsi="Arial"/>
                <w:sz w:val="18"/>
                <w:szCs w:val="18"/>
                <w:color w:val="0000EE"/>
              </w:rPr>
              <w:t>Use of Proceeds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Capitalization</w:t>
            </w:r>
          </w:p>
        </w:tc>
        <w:tc>
          <w:tcPr>
            <w:tcW w:w="23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Description of the Notes</w:t>
            </w:r>
          </w:p>
        </w:tc>
        <w:tc>
          <w:tcPr>
            <w:tcW w:w="176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Material U.S. Federal Income Tax Consequences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Arial" w:cs="Arial" w:eastAsia="Arial" w:hAnsi="Arial"/>
                <w:sz w:val="18"/>
                <w:szCs w:val="18"/>
                <w:color w:val="0000EE"/>
              </w:rPr>
              <w:t>Underwriting</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00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Arial" w:cs="Arial" w:eastAsia="Arial" w:hAnsi="Arial"/>
                <w:sz w:val="18"/>
                <w:szCs w:val="18"/>
                <w:color w:val="0000EE"/>
              </w:rPr>
              <w:t>Experts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66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40" w:type="dxa"/>
            <w:vAlign w:val="bottom"/>
          </w:tcPr>
          <w:p>
            <w:pPr>
              <w:jc w:val="right"/>
              <w:ind w:right="4950"/>
              <w:spacing w:after="0"/>
              <w:rPr>
                <w:sz w:val="20"/>
                <w:szCs w:val="20"/>
                <w:color w:val="auto"/>
              </w:rPr>
            </w:pPr>
            <w:r>
              <w:rPr>
                <w:rFonts w:ascii="Arial" w:cs="Arial" w:eastAsia="Arial" w:hAnsi="Arial"/>
                <w:sz w:val="18"/>
                <w:szCs w:val="18"/>
                <w:b w:val="1"/>
                <w:bCs w:val="1"/>
                <w:color w:val="auto"/>
              </w:rPr>
              <w:t>Prospectus</w:t>
            </w:r>
          </w:p>
        </w:tc>
      </w:tr>
      <w:tr>
        <w:trPr>
          <w:trHeight w:val="418"/>
        </w:trPr>
        <w:tc>
          <w:tcPr>
            <w:tcW w:w="3420" w:type="dxa"/>
            <w:vAlign w:val="bottom"/>
            <w:gridSpan w:val="13"/>
          </w:tcPr>
          <w:p>
            <w:pPr>
              <w:spacing w:after="0"/>
              <w:rPr>
                <w:sz w:val="20"/>
                <w:szCs w:val="20"/>
                <w:color w:val="auto"/>
              </w:rPr>
            </w:pPr>
            <w:r>
              <w:rPr>
                <w:rFonts w:ascii="Arial" w:cs="Arial" w:eastAsia="Arial" w:hAnsi="Arial"/>
                <w:sz w:val="18"/>
                <w:szCs w:val="18"/>
                <w:color w:val="0000EE"/>
              </w:rPr>
              <w:t>The Company</w:t>
            </w:r>
          </w:p>
        </w:tc>
        <w:tc>
          <w:tcPr>
            <w:tcW w:w="7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1840" w:type="dxa"/>
            <w:vAlign w:val="bottom"/>
            <w:gridSpan w:val="5"/>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560" w:type="dxa"/>
            <w:vAlign w:val="bottom"/>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4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Notice Regarding Forward-Looking Statements</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240" w:type="dxa"/>
            <w:vAlign w:val="bottom"/>
            <w:gridSpan w:val="2"/>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7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Description of Warrants</w:t>
            </w:r>
          </w:p>
        </w:tc>
        <w:tc>
          <w:tcPr>
            <w:tcW w:w="1700" w:type="dxa"/>
            <w:vAlign w:val="bottom"/>
            <w:gridSpan w:val="4"/>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Units</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Forms of Securities</w:t>
            </w:r>
          </w:p>
        </w:tc>
        <w:tc>
          <w:tcPr>
            <w:tcW w:w="1960" w:type="dxa"/>
            <w:vAlign w:val="bottom"/>
            <w:gridSpan w:val="7"/>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Plan of Distribution</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1900" w:type="dxa"/>
            <w:vAlign w:val="bottom"/>
            <w:gridSpan w:val="6"/>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Experts</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675"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100" w:right="66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100" w:right="70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100" w:right="34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75" w:lineRule="exact"/>
        <w:rPr>
          <w:rFonts w:ascii="Arial" w:cs="Arial" w:eastAsia="Arial" w:hAnsi="Arial"/>
          <w:sz w:val="18"/>
          <w:szCs w:val="18"/>
          <w:color w:val="auto"/>
        </w:rPr>
      </w:pPr>
    </w:p>
    <w:p>
      <w:pPr>
        <w:ind w:left="1100" w:right="520" w:hanging="433"/>
        <w:spacing w:after="0" w:line="263"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100" w:right="78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30"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100" w:right="180" w:hanging="433"/>
        <w:spacing w:after="0" w:line="342"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100" w:right="10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675"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060"/>
          </w:cols>
          <w:pgMar w:left="320" w:top="675"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00"/>
          </w:cols>
          <w:pgMar w:left="320" w:top="675"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1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4"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4"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860"/>
          </w:cols>
          <w:pgMar w:left="320" w:top="675" w:right="7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53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8535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300" w:right="30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Issuer</w:t>
            </w:r>
          </w:p>
        </w:tc>
        <w:tc>
          <w:tcPr>
            <w:tcW w:w="4760" w:type="dxa"/>
            <w:vAlign w:val="bottom"/>
            <w:gridSpan w:val="2"/>
          </w:tcPr>
          <w:p>
            <w:pPr>
              <w:ind w:left="1360"/>
              <w:spacing w:after="0"/>
              <w:rPr>
                <w:sz w:val="20"/>
                <w:szCs w:val="20"/>
                <w:color w:val="auto"/>
              </w:rPr>
            </w:pPr>
            <w:r>
              <w:rPr>
                <w:rFonts w:ascii="Arial" w:cs="Arial" w:eastAsia="Arial" w:hAnsi="Arial"/>
                <w:sz w:val="18"/>
                <w:szCs w:val="18"/>
                <w:color w:val="auto"/>
              </w:rPr>
              <w:t>Texas Instruments Incorporated.</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3"/>
        </w:trPr>
        <w:tc>
          <w:tcPr>
            <w:tcW w:w="2680" w:type="dxa"/>
            <w:vAlign w:val="bottom"/>
          </w:tcPr>
          <w:p>
            <w:pPr>
              <w:spacing w:after="0"/>
              <w:rPr>
                <w:sz w:val="20"/>
                <w:szCs w:val="20"/>
                <w:color w:val="auto"/>
              </w:rPr>
            </w:pPr>
            <w:r>
              <w:rPr>
                <w:rFonts w:ascii="Arial" w:cs="Arial" w:eastAsia="Arial" w:hAnsi="Arial"/>
                <w:sz w:val="18"/>
                <w:szCs w:val="18"/>
                <w:color w:val="auto"/>
              </w:rPr>
              <w:t>Securities Offered</w:t>
            </w:r>
          </w:p>
        </w:tc>
        <w:tc>
          <w:tcPr>
            <w:tcW w:w="1740" w:type="dxa"/>
            <w:vAlign w:val="bottom"/>
          </w:tcPr>
          <w:p>
            <w:pPr>
              <w:ind w:left="1360"/>
              <w:spacing w:after="0"/>
              <w:rPr>
                <w:sz w:val="20"/>
                <w:szCs w:val="20"/>
                <w:color w:val="auto"/>
              </w:rPr>
            </w:pPr>
            <w:r>
              <w:rPr>
                <w:rFonts w:ascii="Arial" w:cs="Arial" w:eastAsia="Arial" w:hAnsi="Arial"/>
                <w:sz w:val="18"/>
                <w:szCs w:val="18"/>
                <w:color w:val="auto"/>
              </w:rPr>
              <w:t>$</w:t>
            </w: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w w:val="92"/>
              </w:rPr>
              <w:t>aggregate principal amount of the 4.600% Notes due 2028.</w:t>
            </w:r>
          </w:p>
        </w:tc>
        <w:tc>
          <w:tcPr>
            <w:tcW w:w="200" w:type="dxa"/>
            <w:vAlign w:val="bottom"/>
          </w:tcPr>
          <w:p>
            <w:pPr>
              <w:spacing w:after="0"/>
              <w:rPr>
                <w:sz w:val="24"/>
                <w:szCs w:val="24"/>
                <w:color w:val="auto"/>
              </w:rPr>
            </w:pPr>
          </w:p>
        </w:tc>
      </w:tr>
      <w:tr>
        <w:trPr>
          <w:trHeight w:val="473"/>
        </w:trPr>
        <w:tc>
          <w:tcPr>
            <w:tcW w:w="268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Arial" w:cs="Arial" w:eastAsia="Arial" w:hAnsi="Arial"/>
                <w:sz w:val="18"/>
                <w:szCs w:val="18"/>
                <w:color w:val="auto"/>
              </w:rPr>
              <w:t>$</w:t>
            </w: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w w:val="92"/>
              </w:rPr>
              <w:t>aggregate principal amount of the 4.900% Notes due 2033.</w:t>
            </w:r>
          </w:p>
        </w:tc>
        <w:tc>
          <w:tcPr>
            <w:tcW w:w="200" w:type="dxa"/>
            <w:vAlign w:val="bottom"/>
          </w:tcPr>
          <w:p>
            <w:pPr>
              <w:spacing w:after="0"/>
              <w:rPr>
                <w:sz w:val="24"/>
                <w:szCs w:val="24"/>
                <w:color w:val="auto"/>
              </w:rPr>
            </w:pPr>
          </w:p>
        </w:tc>
      </w:tr>
      <w:tr>
        <w:trPr>
          <w:trHeight w:val="459"/>
        </w:trPr>
        <w:tc>
          <w:tcPr>
            <w:tcW w:w="268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Arial" w:cs="Arial" w:eastAsia="Arial" w:hAnsi="Arial"/>
                <w:sz w:val="18"/>
                <w:szCs w:val="18"/>
                <w:color w:val="auto"/>
              </w:rPr>
              <w:t>$</w:t>
            </w:r>
          </w:p>
        </w:tc>
        <w:tc>
          <w:tcPr>
            <w:tcW w:w="3020" w:type="dxa"/>
            <w:vAlign w:val="bottom"/>
          </w:tcPr>
          <w:p>
            <w:pPr>
              <w:ind w:left="300"/>
              <w:spacing w:after="0"/>
              <w:rPr>
                <w:sz w:val="20"/>
                <w:szCs w:val="20"/>
                <w:color w:val="auto"/>
              </w:rPr>
            </w:pPr>
            <w:r>
              <w:rPr>
                <w:rFonts w:ascii="Arial" w:cs="Arial" w:eastAsia="Arial" w:hAnsi="Arial"/>
                <w:sz w:val="18"/>
                <w:szCs w:val="18"/>
                <w:color w:val="auto"/>
              </w:rPr>
              <w:t>aggregate principal amount of the</w:t>
            </w:r>
          </w:p>
        </w:tc>
        <w:tc>
          <w:tcPr>
            <w:tcW w:w="1680" w:type="dxa"/>
            <w:vAlign w:val="bottom"/>
          </w:tcPr>
          <w:p>
            <w:pPr>
              <w:ind w:left="300"/>
              <w:spacing w:after="0"/>
              <w:rPr>
                <w:sz w:val="20"/>
                <w:szCs w:val="20"/>
                <w:color w:val="auto"/>
              </w:rPr>
            </w:pPr>
            <w:r>
              <w:rPr>
                <w:rFonts w:ascii="Arial" w:cs="Arial" w:eastAsia="Arial" w:hAnsi="Arial"/>
                <w:sz w:val="18"/>
                <w:szCs w:val="18"/>
                <w:color w:val="auto"/>
              </w:rPr>
              <w:t>% Notes due 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340" w:right="280"/>
        <w:spacing w:after="0" w:line="254" w:lineRule="auto"/>
        <w:rPr>
          <w:sz w:val="20"/>
          <w:szCs w:val="20"/>
          <w:color w:val="auto"/>
        </w:rPr>
      </w:pPr>
      <w:r>
        <w:rPr>
          <w:rFonts w:ascii="Arial" w:cs="Arial" w:eastAsia="Arial" w:hAnsi="Arial"/>
          <w:sz w:val="18"/>
          <w:szCs w:val="18"/>
          <w:color w:val="auto"/>
        </w:rPr>
        <w:t>The 2028 Notes will be a further issuance of, and will form a single series with, the Existing 2028 Notes. The 2033 Notes will be a further issuance of, and will form a single series with, the Existing 2033 Notes. The 2028 Notes and the 2033 Notes offered hereby will have the same terms (other than issue date, price to public and, in the case of the 2028 Notes, initial interest payment date) and will vote together as a single class, with the same CUSIP number as, and be fungible with, the Existing 2028 Notes and the Existing 2033 Notes, respectively.</w:t>
      </w:r>
    </w:p>
    <w:p>
      <w:pPr>
        <w:spacing w:after="0" w:line="222"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February 15, 2028 for the 4.600% Notes due 2028.</w:t>
      </w:r>
    </w:p>
    <w:p>
      <w:pPr>
        <w:spacing w:after="0" w:line="27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March 14, 2033 for the 4.900% Notes due 2033.</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 20  for the</w:t>
            </w:r>
          </w:p>
        </w:tc>
        <w:tc>
          <w:tcPr>
            <w:tcW w:w="5320" w:type="dxa"/>
            <w:vAlign w:val="bottom"/>
            <w:gridSpan w:val="3"/>
          </w:tcPr>
          <w:p>
            <w:pPr>
              <w:ind w:left="580"/>
              <w:spacing w:after="0"/>
              <w:rPr>
                <w:sz w:val="20"/>
                <w:szCs w:val="20"/>
                <w:color w:val="auto"/>
              </w:rPr>
            </w:pPr>
            <w:r>
              <w:rPr>
                <w:rFonts w:ascii="Arial" w:cs="Arial" w:eastAsia="Arial" w:hAnsi="Arial"/>
                <w:sz w:val="18"/>
                <w:szCs w:val="18"/>
                <w:color w:val="auto"/>
              </w:rPr>
              <w:t>% Notes due 20   ..</w:t>
            </w:r>
          </w:p>
        </w:tc>
      </w:tr>
      <w:tr>
        <w:trPr>
          <w:trHeight w:val="459"/>
        </w:trPr>
        <w:tc>
          <w:tcPr>
            <w:tcW w:w="304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156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 2023.</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73"/>
        </w:trPr>
        <w:tc>
          <w:tcPr>
            <w:tcW w:w="304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80" w:type="dxa"/>
            <w:vAlign w:val="bottom"/>
            <w:gridSpan w:val="5"/>
          </w:tcPr>
          <w:p>
            <w:pPr>
              <w:ind w:left="1180"/>
              <w:spacing w:after="0"/>
              <w:rPr>
                <w:sz w:val="20"/>
                <w:szCs w:val="20"/>
                <w:color w:val="auto"/>
              </w:rPr>
            </w:pPr>
            <w:r>
              <w:rPr>
                <w:rFonts w:ascii="Arial" w:cs="Arial" w:eastAsia="Arial" w:hAnsi="Arial"/>
                <w:sz w:val="18"/>
                <w:szCs w:val="18"/>
                <w:color w:val="auto"/>
              </w:rPr>
              <w:t>Fixed rate of 4.600% for the 4.600% Notes due 2028.</w:t>
            </w:r>
          </w:p>
        </w:tc>
      </w:tr>
      <w:tr>
        <w:trPr>
          <w:trHeight w:val="473"/>
        </w:trPr>
        <w:tc>
          <w:tcPr>
            <w:tcW w:w="3040" w:type="dxa"/>
            <w:vAlign w:val="bottom"/>
          </w:tcPr>
          <w:p>
            <w:pPr>
              <w:spacing w:after="0"/>
              <w:rPr>
                <w:sz w:val="24"/>
                <w:szCs w:val="24"/>
                <w:color w:val="auto"/>
              </w:rPr>
            </w:pPr>
          </w:p>
        </w:tc>
        <w:tc>
          <w:tcPr>
            <w:tcW w:w="7980" w:type="dxa"/>
            <w:vAlign w:val="bottom"/>
            <w:gridSpan w:val="5"/>
          </w:tcPr>
          <w:p>
            <w:pPr>
              <w:ind w:left="1180"/>
              <w:spacing w:after="0"/>
              <w:rPr>
                <w:sz w:val="20"/>
                <w:szCs w:val="20"/>
                <w:color w:val="auto"/>
              </w:rPr>
            </w:pPr>
            <w:r>
              <w:rPr>
                <w:rFonts w:ascii="Arial" w:cs="Arial" w:eastAsia="Arial" w:hAnsi="Arial"/>
                <w:sz w:val="18"/>
                <w:szCs w:val="18"/>
                <w:color w:val="auto"/>
              </w:rPr>
              <w:t>Fixed rate of 4.900% for the 4.900% Notes due 2033.</w:t>
            </w:r>
          </w:p>
        </w:tc>
      </w:tr>
      <w:tr>
        <w:trPr>
          <w:trHeight w:val="459"/>
        </w:trPr>
        <w:tc>
          <w:tcPr>
            <w:tcW w:w="3040" w:type="dxa"/>
            <w:vAlign w:val="bottom"/>
          </w:tcPr>
          <w:p>
            <w:pPr>
              <w:spacing w:after="0"/>
              <w:rPr>
                <w:sz w:val="24"/>
                <w:szCs w:val="24"/>
                <w:color w:val="auto"/>
              </w:rPr>
            </w:pPr>
          </w:p>
        </w:tc>
        <w:tc>
          <w:tcPr>
            <w:tcW w:w="2660" w:type="dxa"/>
            <w:vAlign w:val="bottom"/>
            <w:gridSpan w:val="2"/>
          </w:tcPr>
          <w:p>
            <w:pPr>
              <w:ind w:left="1180"/>
              <w:spacing w:after="0"/>
              <w:rPr>
                <w:sz w:val="20"/>
                <w:szCs w:val="20"/>
                <w:color w:val="auto"/>
              </w:rPr>
            </w:pPr>
            <w:r>
              <w:rPr>
                <w:rFonts w:ascii="Arial" w:cs="Arial" w:eastAsia="Arial" w:hAnsi="Arial"/>
                <w:sz w:val="18"/>
                <w:szCs w:val="18"/>
                <w:color w:val="auto"/>
              </w:rPr>
              <w:t>Fixed rate of</w:t>
            </w:r>
          </w:p>
        </w:tc>
        <w:tc>
          <w:tcPr>
            <w:tcW w:w="1000" w:type="dxa"/>
            <w:vAlign w:val="bottom"/>
          </w:tcPr>
          <w:p>
            <w:pPr>
              <w:ind w:left="20"/>
              <w:spacing w:after="0"/>
              <w:rPr>
                <w:sz w:val="20"/>
                <w:szCs w:val="20"/>
                <w:color w:val="auto"/>
              </w:rPr>
            </w:pPr>
            <w:r>
              <w:rPr>
                <w:rFonts w:ascii="Arial" w:cs="Arial" w:eastAsia="Arial" w:hAnsi="Arial"/>
                <w:sz w:val="18"/>
                <w:szCs w:val="18"/>
                <w:color w:val="auto"/>
              </w:rPr>
              <w:t>% for the</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 Notes due 20   .</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80" w:type="dxa"/>
            <w:vAlign w:val="bottom"/>
            <w:gridSpan w:val="5"/>
          </w:tcPr>
          <w:p>
            <w:pPr>
              <w:ind w:left="1180"/>
              <w:spacing w:after="0"/>
              <w:rPr>
                <w:sz w:val="20"/>
                <w:szCs w:val="20"/>
                <w:color w:val="auto"/>
              </w:rPr>
            </w:pPr>
            <w:r>
              <w:rPr>
                <w:rFonts w:ascii="Arial" w:cs="Arial" w:eastAsia="Arial" w:hAnsi="Arial"/>
                <w:sz w:val="18"/>
                <w:szCs w:val="18"/>
                <w:color w:val="auto"/>
                <w:w w:val="94"/>
              </w:rPr>
              <w:t>Each February 15 and August 15, beginning on August 15, 2023, and on the maturity date</w:t>
            </w:r>
          </w:p>
        </w:tc>
      </w:tr>
      <w:tr>
        <w:trPr>
          <w:trHeight w:val="216"/>
        </w:trPr>
        <w:tc>
          <w:tcPr>
            <w:tcW w:w="3040" w:type="dxa"/>
            <w:vAlign w:val="bottom"/>
          </w:tcPr>
          <w:p>
            <w:pPr>
              <w:spacing w:after="0"/>
              <w:rPr>
                <w:sz w:val="18"/>
                <w:szCs w:val="18"/>
                <w:color w:val="auto"/>
              </w:rPr>
            </w:pPr>
          </w:p>
        </w:tc>
        <w:tc>
          <w:tcPr>
            <w:tcW w:w="7980" w:type="dxa"/>
            <w:vAlign w:val="bottom"/>
            <w:gridSpan w:val="5"/>
          </w:tcPr>
          <w:p>
            <w:pPr>
              <w:ind w:left="1180"/>
              <w:spacing w:after="0"/>
              <w:rPr>
                <w:sz w:val="20"/>
                <w:szCs w:val="20"/>
                <w:color w:val="auto"/>
              </w:rPr>
            </w:pPr>
            <w:r>
              <w:rPr>
                <w:rFonts w:ascii="Arial" w:cs="Arial" w:eastAsia="Arial" w:hAnsi="Arial"/>
                <w:sz w:val="18"/>
                <w:szCs w:val="18"/>
                <w:color w:val="auto"/>
              </w:rPr>
              <w:t>for the 2028 Notes. Interest on the 2028 Notes offered hereby will accrue from</w:t>
            </w:r>
          </w:p>
        </w:tc>
      </w:tr>
      <w:tr>
        <w:trPr>
          <w:trHeight w:val="230"/>
        </w:trPr>
        <w:tc>
          <w:tcPr>
            <w:tcW w:w="3040" w:type="dxa"/>
            <w:vAlign w:val="bottom"/>
          </w:tcPr>
          <w:p>
            <w:pPr>
              <w:spacing w:after="0"/>
              <w:rPr>
                <w:sz w:val="20"/>
                <w:szCs w:val="20"/>
                <w:color w:val="auto"/>
              </w:rPr>
            </w:pPr>
          </w:p>
        </w:tc>
        <w:tc>
          <w:tcPr>
            <w:tcW w:w="2660" w:type="dxa"/>
            <w:vAlign w:val="bottom"/>
            <w:gridSpan w:val="2"/>
          </w:tcPr>
          <w:p>
            <w:pPr>
              <w:ind w:left="1180"/>
              <w:spacing w:after="0"/>
              <w:rPr>
                <w:sz w:val="20"/>
                <w:szCs w:val="20"/>
                <w:color w:val="auto"/>
              </w:rPr>
            </w:pPr>
            <w:r>
              <w:rPr>
                <w:rFonts w:ascii="Arial" w:cs="Arial" w:eastAsia="Arial" w:hAnsi="Arial"/>
                <w:sz w:val="18"/>
                <w:szCs w:val="18"/>
                <w:color w:val="auto"/>
                <w:w w:val="95"/>
              </w:rPr>
              <w:t>February 15, 2023.</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7980" w:type="dxa"/>
            <w:vAlign w:val="bottom"/>
            <w:gridSpan w:val="5"/>
          </w:tcPr>
          <w:p>
            <w:pPr>
              <w:ind w:left="1180"/>
              <w:spacing w:after="0"/>
              <w:rPr>
                <w:sz w:val="20"/>
                <w:szCs w:val="20"/>
                <w:color w:val="auto"/>
              </w:rPr>
            </w:pPr>
            <w:r>
              <w:rPr>
                <w:rFonts w:ascii="Arial" w:cs="Arial" w:eastAsia="Arial" w:hAnsi="Arial"/>
                <w:sz w:val="18"/>
                <w:szCs w:val="18"/>
                <w:color w:val="auto"/>
                <w:w w:val="94"/>
              </w:rPr>
              <w:t>Each March 14 and September 14, beginning on September 14, 2023, and on the maturity</w:t>
            </w:r>
          </w:p>
        </w:tc>
      </w:tr>
      <w:tr>
        <w:trPr>
          <w:trHeight w:val="216"/>
        </w:trPr>
        <w:tc>
          <w:tcPr>
            <w:tcW w:w="3040" w:type="dxa"/>
            <w:vAlign w:val="bottom"/>
          </w:tcPr>
          <w:p>
            <w:pPr>
              <w:spacing w:after="0"/>
              <w:rPr>
                <w:sz w:val="18"/>
                <w:szCs w:val="18"/>
                <w:color w:val="auto"/>
              </w:rPr>
            </w:pPr>
          </w:p>
        </w:tc>
        <w:tc>
          <w:tcPr>
            <w:tcW w:w="7980" w:type="dxa"/>
            <w:vAlign w:val="bottom"/>
            <w:gridSpan w:val="5"/>
          </w:tcPr>
          <w:p>
            <w:pPr>
              <w:ind w:left="1180"/>
              <w:spacing w:after="0"/>
              <w:rPr>
                <w:sz w:val="20"/>
                <w:szCs w:val="20"/>
                <w:color w:val="auto"/>
              </w:rPr>
            </w:pPr>
            <w:r>
              <w:rPr>
                <w:rFonts w:ascii="Arial" w:cs="Arial" w:eastAsia="Arial" w:hAnsi="Arial"/>
                <w:sz w:val="18"/>
                <w:szCs w:val="18"/>
                <w:color w:val="auto"/>
              </w:rPr>
              <w:t>date for the 2033 Notes. Interest on the 2033 Notes offered hereby will accrue from</w:t>
            </w:r>
          </w:p>
        </w:tc>
      </w:tr>
      <w:tr>
        <w:trPr>
          <w:trHeight w:val="230"/>
        </w:trPr>
        <w:tc>
          <w:tcPr>
            <w:tcW w:w="3040" w:type="dxa"/>
            <w:vAlign w:val="bottom"/>
          </w:tcPr>
          <w:p>
            <w:pPr>
              <w:spacing w:after="0"/>
              <w:rPr>
                <w:sz w:val="20"/>
                <w:szCs w:val="20"/>
                <w:color w:val="auto"/>
              </w:rPr>
            </w:pPr>
          </w:p>
        </w:tc>
        <w:tc>
          <w:tcPr>
            <w:tcW w:w="2660" w:type="dxa"/>
            <w:vAlign w:val="bottom"/>
            <w:gridSpan w:val="2"/>
          </w:tcPr>
          <w:p>
            <w:pPr>
              <w:ind w:left="1180"/>
              <w:spacing w:after="0"/>
              <w:rPr>
                <w:sz w:val="20"/>
                <w:szCs w:val="20"/>
                <w:color w:val="auto"/>
              </w:rPr>
            </w:pPr>
            <w:r>
              <w:rPr>
                <w:rFonts w:ascii="Arial" w:cs="Arial" w:eastAsia="Arial" w:hAnsi="Arial"/>
                <w:sz w:val="18"/>
                <w:szCs w:val="18"/>
                <w:color w:val="auto"/>
              </w:rPr>
              <w:t>March 14, 2023.</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w w:val="87"/>
              </w:rPr>
              <w:t>Each</w:t>
            </w:r>
          </w:p>
        </w:tc>
        <w:tc>
          <w:tcPr>
            <w:tcW w:w="1100" w:type="dxa"/>
            <w:vAlign w:val="bottom"/>
          </w:tcPr>
          <w:p>
            <w:pPr>
              <w:ind w:left="560"/>
              <w:spacing w:after="0"/>
              <w:rPr>
                <w:sz w:val="20"/>
                <w:szCs w:val="20"/>
                <w:color w:val="auto"/>
              </w:rPr>
            </w:pPr>
            <w:r>
              <w:rPr>
                <w:rFonts w:ascii="Arial" w:cs="Arial" w:eastAsia="Arial" w:hAnsi="Arial"/>
                <w:sz w:val="18"/>
                <w:szCs w:val="18"/>
                <w:color w:val="auto"/>
              </w:rPr>
              <w:t>and</w:t>
            </w: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 beginning on</w:t>
            </w:r>
          </w:p>
        </w:tc>
        <w:tc>
          <w:tcPr>
            <w:tcW w:w="3680" w:type="dxa"/>
            <w:vAlign w:val="bottom"/>
          </w:tcPr>
          <w:p>
            <w:pPr>
              <w:ind w:left="300"/>
              <w:spacing w:after="0"/>
              <w:rPr>
                <w:sz w:val="20"/>
                <w:szCs w:val="20"/>
                <w:color w:val="auto"/>
              </w:rPr>
            </w:pPr>
            <w:r>
              <w:rPr>
                <w:rFonts w:ascii="Arial" w:cs="Arial" w:eastAsia="Arial" w:hAnsi="Arial"/>
                <w:sz w:val="18"/>
                <w:szCs w:val="18"/>
                <w:color w:val="auto"/>
              </w:rPr>
              <w:t>, 2023, and on the maturity date for the</w:t>
            </w:r>
          </w:p>
        </w:tc>
      </w:tr>
      <w:tr>
        <w:trPr>
          <w:trHeight w:val="230"/>
        </w:trPr>
        <w:tc>
          <w:tcPr>
            <w:tcW w:w="304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20</w:t>
            </w:r>
          </w:p>
        </w:tc>
        <w:tc>
          <w:tcPr>
            <w:tcW w:w="1100" w:type="dxa"/>
            <w:vAlign w:val="bottom"/>
          </w:tcPr>
          <w:p>
            <w:pPr>
              <w:ind w:left="20"/>
              <w:spacing w:after="0"/>
              <w:rPr>
                <w:sz w:val="20"/>
                <w:szCs w:val="20"/>
                <w:color w:val="auto"/>
              </w:rPr>
            </w:pPr>
            <w:r>
              <w:rPr>
                <w:rFonts w:ascii="Arial" w:cs="Arial" w:eastAsia="Arial" w:hAnsi="Arial"/>
                <w:sz w:val="18"/>
                <w:szCs w:val="18"/>
                <w:color w:val="auto"/>
              </w:rPr>
              <w:t>Notes.</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159"/>
        </w:trPr>
        <w:tc>
          <w:tcPr>
            <w:tcW w:w="30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tcPr>
          <w:p>
            <w:pPr>
              <w:spacing w:after="0"/>
              <w:rPr>
                <w:sz w:val="13"/>
                <w:szCs w:val="13"/>
                <w:color w:val="auto"/>
              </w:rPr>
            </w:pPr>
          </w:p>
        </w:tc>
      </w:tr>
      <w:tr>
        <w:trPr>
          <w:trHeight w:val="361"/>
        </w:trPr>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rPr>
              <w:t>S-2</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ectPr>
          <w:pgSz w:w="11900" w:h="16838" w:orient="portrait"/>
          <w:cols w:equalWidth="0" w:num="1">
            <w:col w:w="11140"/>
          </w:cols>
          <w:pgMar w:left="320" w:top="67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0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As of March 31, 2023, Texas Instruments Incorporated had approximately $10.2 billion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6"/>
              </w:rPr>
              <w:t>principal amount of outstanding indebtedness. As of March 31, 2023, Texas Instruments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Incorporated had approximately $14.0 billion of total liabilities on a consolidated basis.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$14.0 billion of consolidated total liabilities, approximately $1.2 billion of liabilities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6"/>
              </w:rPr>
              <w:t>(including trade payables and excluding intercompany debt) were held by subsidiaries of</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Texas Instruments Incorporated to which the Notes will be effectively subordinated.</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without coupons, in denominations of $2,000 in principal amount and integral multiples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2"/>
              </w:rPr>
              <w:t>$1,000 in excess thereof. These global notes will be deposited with the trustee as custodian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for, and registered in the name of, a nominee of The Depository Trust Company, or DTC.</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Except in the limited circumstances described under “Description of the Notes—Book-</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exchanged for interests in global securities.</w:t>
            </w:r>
          </w:p>
        </w:tc>
      </w:tr>
      <w:tr>
        <w:trPr>
          <w:trHeight w:val="459"/>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underwriters or their affiliates.</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Texas Instruments Incorporated may create and issue further notes of a series ranking</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4"/>
              </w:rPr>
              <w:t>equally and ratably with the Notes of such series offered by this prospectus supplement in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2"/>
              </w:rPr>
              <w:t>all respects, so that such further notes will be consolidated and form a single series with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Notes of such series offered by this prospectus supplement (and, in the case of the 2028</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Notes and the 2033 Notes, with the Existing 2028 Notes and the Existing 2033 Notes,</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respectively).</w:t>
            </w:r>
          </w:p>
        </w:tc>
      </w:tr>
      <w:tr>
        <w:trPr>
          <w:trHeight w:val="459"/>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None.</w:t>
            </w:r>
          </w:p>
        </w:tc>
      </w:tr>
      <w:tr>
        <w:trPr>
          <w:trHeight w:val="458"/>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3"/>
              </w:rPr>
              <w:t>Texas Instruments Incorporated may redeem some or all of each series of the Notes at any</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3"/>
              </w:rPr>
              <w:t>time and from time to time at the applicable redemption prices indicated under the heading</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“Description of the Notes—Optional Redemption.”</w:t>
            </w:r>
          </w:p>
        </w:tc>
      </w:tr>
      <w:tr>
        <w:trPr>
          <w:trHeight w:val="661"/>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4"/>
              </w:rPr>
              <w:t>The 20  Notes are a new issue of securities with no established trading market. We do not</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intend to apply for listing of the Notes on</w:t>
            </w:r>
          </w:p>
        </w:tc>
      </w:tr>
      <w:tr>
        <w:trPr>
          <w:trHeight w:val="159"/>
        </w:trPr>
        <w:tc>
          <w:tcPr>
            <w:tcW w:w="3080" w:type="dxa"/>
            <w:vAlign w:val="bottom"/>
            <w:tcBorders>
              <w:left w:val="single" w:sz="8" w:color="auto"/>
              <w:bottom w:val="single" w:sz="8" w:color="auto"/>
            </w:tcBorders>
          </w:tcPr>
          <w:p>
            <w:pPr>
              <w:spacing w:after="0"/>
              <w:rPr>
                <w:sz w:val="13"/>
                <w:szCs w:val="13"/>
                <w:color w:val="auto"/>
              </w:rPr>
            </w:pPr>
          </w:p>
        </w:tc>
        <w:tc>
          <w:tcPr>
            <w:tcW w:w="7940" w:type="dxa"/>
            <w:vAlign w:val="bottom"/>
            <w:tcBorders>
              <w:bottom w:val="single" w:sz="8" w:color="auto"/>
              <w:right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675"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660" w:type="dxa"/>
            <w:vAlign w:val="bottom"/>
            <w:tcBorders>
              <w:top w:val="single" w:sz="8" w:color="auto"/>
              <w:left w:val="single" w:sz="8" w:color="auto"/>
            </w:tcBorders>
          </w:tcPr>
          <w:p>
            <w:pPr>
              <w:spacing w:after="0"/>
              <w:rPr>
                <w:sz w:val="24"/>
                <w:szCs w:val="24"/>
                <w:color w:val="auto"/>
              </w:rPr>
            </w:pPr>
          </w:p>
        </w:tc>
        <w:tc>
          <w:tcPr>
            <w:tcW w:w="836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18"/>
                <w:szCs w:val="18"/>
                <w:color w:val="auto"/>
                <w:w w:val="98"/>
              </w:rPr>
              <w:t>any securities exchange. The underwriters have advised us that they intend to make a</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market in the Notes, but they are not obligated to do so and may discontinue market-</w:t>
            </w:r>
          </w:p>
        </w:tc>
      </w:tr>
      <w:tr>
        <w:trPr>
          <w:trHeight w:val="230"/>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making at any time without notice.</w:t>
            </w:r>
          </w:p>
        </w:tc>
      </w:tr>
      <w:tr>
        <w:trPr>
          <w:trHeight w:val="458"/>
        </w:trPr>
        <w:tc>
          <w:tcPr>
            <w:tcW w:w="2660" w:type="dxa"/>
            <w:vAlign w:val="bottom"/>
            <w:tcBorders>
              <w:left w:val="single" w:sz="8" w:color="auto"/>
            </w:tcBorders>
          </w:tcPr>
          <w:p>
            <w:pPr>
              <w:spacing w:after="0"/>
              <w:rPr>
                <w:sz w:val="24"/>
                <w:szCs w:val="24"/>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9"/>
              </w:rPr>
              <w:t>See “Underwriting” in this prospectus supplement for more information about possible</w:t>
            </w:r>
          </w:p>
        </w:tc>
      </w:tr>
      <w:tr>
        <w:trPr>
          <w:trHeight w:val="230"/>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market-making by the underwriters.</w:t>
            </w:r>
          </w:p>
        </w:tc>
      </w:tr>
      <w:tr>
        <w:trPr>
          <w:trHeight w:val="459"/>
        </w:trPr>
        <w:tc>
          <w:tcPr>
            <w:tcW w:w="26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U.S. Bank Trust Company, National Association.</w:t>
            </w:r>
          </w:p>
        </w:tc>
      </w:tr>
      <w:tr>
        <w:trPr>
          <w:trHeight w:val="458"/>
        </w:trPr>
        <w:tc>
          <w:tcPr>
            <w:tcW w:w="26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30"/>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159"/>
        </w:trPr>
        <w:tc>
          <w:tcPr>
            <w:tcW w:w="2660" w:type="dxa"/>
            <w:vAlign w:val="bottom"/>
            <w:tcBorders>
              <w:left w:val="single" w:sz="8" w:color="auto"/>
              <w:bottom w:val="single" w:sz="8" w:color="auto"/>
            </w:tcBorders>
          </w:tcPr>
          <w:p>
            <w:pPr>
              <w:spacing w:after="0"/>
              <w:rPr>
                <w:sz w:val="13"/>
                <w:szCs w:val="13"/>
                <w:color w:val="auto"/>
              </w:rPr>
            </w:pPr>
          </w:p>
        </w:tc>
        <w:tc>
          <w:tcPr>
            <w:tcW w:w="8360" w:type="dxa"/>
            <w:vAlign w:val="bottom"/>
            <w:tcBorders>
              <w:bottom w:val="single" w:sz="8" w:color="auto"/>
              <w:right w:val="single" w:sz="8" w:color="auto"/>
            </w:tcBorders>
          </w:tcPr>
          <w:p>
            <w:pPr>
              <w:spacing w:after="0"/>
              <w:rPr>
                <w:sz w:val="13"/>
                <w:szCs w:val="13"/>
                <w:color w:val="auto"/>
              </w:rPr>
            </w:pPr>
          </w:p>
        </w:tc>
      </w:tr>
      <w:tr>
        <w:trPr>
          <w:trHeight w:val="361"/>
        </w:trPr>
        <w:tc>
          <w:tcPr>
            <w:tcW w:w="2660" w:type="dxa"/>
            <w:vAlign w:val="bottom"/>
          </w:tcPr>
          <w:p>
            <w:pPr>
              <w:spacing w:after="0"/>
              <w:rPr>
                <w:sz w:val="24"/>
                <w:szCs w:val="24"/>
                <w:color w:val="auto"/>
              </w:rPr>
            </w:pPr>
          </w:p>
        </w:tc>
        <w:tc>
          <w:tcPr>
            <w:tcW w:w="8360" w:type="dxa"/>
            <w:vAlign w:val="bottom"/>
          </w:tcPr>
          <w:p>
            <w:pPr>
              <w:ind w:left="27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675"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2023.</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340"/>
        <w:spacing w:after="0"/>
        <w:tabs>
          <w:tab w:leader="none" w:pos="3100" w:val="left"/>
        </w:tabs>
        <w:rPr>
          <w:sz w:val="20"/>
          <w:szCs w:val="20"/>
          <w:color w:val="auto"/>
        </w:rPr>
      </w:pPr>
      <w:r>
        <w:rPr>
          <w:rFonts w:ascii="Arial" w:cs="Arial" w:eastAsia="Arial" w:hAnsi="Arial"/>
          <w:sz w:val="18"/>
          <w:szCs w:val="18"/>
          <w:b w:val="1"/>
          <w:bCs w:val="1"/>
          <w:i w:val="1"/>
          <w:iCs w:val="1"/>
          <w:color w:val="auto"/>
        </w:rPr>
        <w:t>An active trading market for the 20</w:t>
      </w:r>
      <w:r>
        <w:rPr>
          <w:sz w:val="20"/>
          <w:szCs w:val="20"/>
          <w:color w:val="auto"/>
        </w:rPr>
        <w:tab/>
      </w:r>
      <w:r>
        <w:rPr>
          <w:rFonts w:ascii="Arial" w:cs="Arial" w:eastAsia="Arial" w:hAnsi="Arial"/>
          <w:sz w:val="15"/>
          <w:szCs w:val="15"/>
          <w:b w:val="1"/>
          <w:bCs w:val="1"/>
          <w:i w:val="1"/>
          <w:iCs w:val="1"/>
          <w:color w:val="auto"/>
        </w:rPr>
        <w:t>Notes may not develop.</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There is currently no public market for the 20 Notes, and we do not currently plan to list any series of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72" w:lineRule="exact"/>
        <w:rPr>
          <w:sz w:val="20"/>
          <w:szCs w:val="20"/>
          <w:color w:val="auto"/>
        </w:rPr>
      </w:pPr>
    </w:p>
    <w:p>
      <w:pPr>
        <w:ind w:left="340" w:right="200"/>
        <w:spacing w:after="0" w:line="263"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2023, we had approximately $14.0 billion of total liabilities on a consolidated basis. Of this amount, subsidiaries of Texas Instruments Incorporated had approximately $1.2 billion of liabilities (including trade payables and excluding intercompany debt) to which the Notes will be effectively subordinated.</w:t>
      </w:r>
    </w:p>
    <w:p>
      <w:pPr>
        <w:spacing w:after="0" w:line="164"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675"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8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an as adjusted basis after giving effect to this offering, as of March 31, 2023, Texas Instruments Incorporated would have had approximately</w:t>
      </w:r>
    </w:p>
    <w:p>
      <w:pPr>
        <w:spacing w:after="0" w:line="46" w:lineRule="exact"/>
        <w:rPr>
          <w:sz w:val="20"/>
          <w:szCs w:val="20"/>
          <w:color w:val="auto"/>
        </w:rPr>
      </w:pPr>
    </w:p>
    <w:p>
      <w:pPr>
        <w:ind w:left="120" w:right="100" w:hanging="4"/>
        <w:spacing w:after="0" w:line="260" w:lineRule="auto"/>
        <w:tabs>
          <w:tab w:leader="none" w:pos="75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billion principal amount of total long-term indebtedness (including the Notes, but excluding the current portion of long-term indebtedness), all of which would have been unsecured and unsubordinated.</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9" w:lineRule="exact"/>
        <w:rPr>
          <w:sz w:val="20"/>
          <w:szCs w:val="20"/>
          <w:color w:val="auto"/>
        </w:rPr>
      </w:pPr>
    </w:p>
    <w:p>
      <w:pPr>
        <w:ind w:left="1100" w:right="50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1100" w:right="12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1100" w:right="160" w:hanging="433"/>
        <w:spacing w:after="0" w:line="259"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675"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prices and marketability of the Notes.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60"/>
          </w:cols>
          <w:pgMar w:left="320" w:top="675"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860"/>
          </w:cols>
          <w:pgMar w:left="320" w:top="675" w:right="7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March 31, 2023.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As of March 31, 2023</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8"/>
              </w:rPr>
              <w:t>Actual</w:t>
            </w:r>
          </w:p>
        </w:tc>
        <w:tc>
          <w:tcPr>
            <w:tcW w:w="540" w:type="dxa"/>
            <w:vAlign w:val="bottom"/>
            <w:tcBorders>
              <w:top w:val="single" w:sz="8" w:color="auto"/>
            </w:tcBorders>
            <w:gridSpan w:val="2"/>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0"/>
                <w:szCs w:val="10"/>
                <w:b w:val="1"/>
                <w:bCs w:val="1"/>
                <w:color w:val="auto"/>
                <w:w w:val="95"/>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(In millions, except par value)</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9,545</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2028 Notes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2033 Notes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   Notes offered hereby</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line="216" w:lineRule="exact"/>
              <w:rPr>
                <w:sz w:val="20"/>
                <w:szCs w:val="20"/>
                <w:color w:val="auto"/>
              </w:rPr>
            </w:pPr>
            <w:r>
              <w:rPr>
                <w:rFonts w:ascii="Arial" w:cs="Arial" w:eastAsia="Arial" w:hAnsi="Arial"/>
                <w:sz w:val="17"/>
                <w:szCs w:val="17"/>
                <w:color w:val="auto"/>
              </w:rPr>
              <w:t>Other long-term debt</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8,376</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$25 par value. Shares authorized—10; none issued</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Common stock, $1 par value. Shares authorized—2,400; shares issued—1,741</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50,930</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(833 shares)</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(40,192)</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12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(252)</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15,243</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24,869</w:t>
            </w:r>
          </w:p>
        </w:tc>
        <w:tc>
          <w:tcPr>
            <w:tcW w:w="520" w:type="dxa"/>
            <w:vAlign w:val="bottom"/>
          </w:tcPr>
          <w:p>
            <w:pPr>
              <w:spacing w:after="0"/>
              <w:rPr>
                <w:sz w:val="18"/>
                <w:szCs w:val="18"/>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60" w:hanging="444"/>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2028 Notes, the 2033 Notes and the 20  Notes offered hereby are shown at the amount of the public offering price, less offering expenses</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(including underwriting discounts) and excluding $</w:t>
      </w:r>
      <w:r>
        <w:rPr>
          <w:rFonts w:ascii="Arial" w:cs="Arial" w:eastAsia="Arial" w:hAnsi="Arial"/>
          <w:sz w:val="16"/>
          <w:szCs w:val="16"/>
          <w:color w:val="auto"/>
        </w:rPr>
        <w:t>of accrued interest from, and including, February 15, 2023 to, but excluding, the date of</w:t>
      </w:r>
    </w:p>
    <w:p>
      <w:pPr>
        <w:spacing w:after="0" w:line="9" w:lineRule="exact"/>
        <w:rPr>
          <w:rFonts w:ascii="Arial" w:cs="Arial" w:eastAsia="Arial" w:hAnsi="Arial"/>
          <w:sz w:val="16"/>
          <w:szCs w:val="16"/>
          <w:color w:val="auto"/>
        </w:rPr>
      </w:pPr>
    </w:p>
    <w:p>
      <w:pPr>
        <w:ind w:left="560" w:right="140"/>
        <w:spacing w:after="0" w:line="250" w:lineRule="auto"/>
        <w:rPr>
          <w:rFonts w:ascii="Arial" w:cs="Arial" w:eastAsia="Arial" w:hAnsi="Arial"/>
          <w:sz w:val="16"/>
          <w:szCs w:val="16"/>
          <w:color w:val="auto"/>
        </w:rPr>
      </w:pPr>
      <w:r>
        <w:rPr>
          <w:rFonts w:ascii="Arial" w:cs="Arial" w:eastAsia="Arial" w:hAnsi="Arial"/>
          <w:sz w:val="18"/>
          <w:szCs w:val="18"/>
          <w:color w:val="auto"/>
        </w:rPr>
        <w:t>delivery and $ of accrued interest from, and including, March 14, 2023 to, but excluding, the date of delivery, that is payable as part of the public offering price of the 2028 Notes and the 2033 Notes, respectively.</w:t>
      </w:r>
    </w:p>
    <w:p>
      <w:pPr>
        <w:ind w:left="560" w:right="80" w:hanging="444"/>
        <w:spacing w:after="0" w:line="255"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$8.95 billion principal amount of our existing outstanding notes (other than the Existing 2028 Notes and the Existing 2033 Notes) less net unamortized discounts, premiums and debt issuance costs of $74.0 million, less $500 million representing the current portion of long-term debt.</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675"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tabs>
          <w:tab w:leader="none" w:pos="8580" w:val="left"/>
          <w:tab w:leader="none" w:pos="10820" w:val="left"/>
        </w:tabs>
        <w:rPr>
          <w:sz w:val="20"/>
          <w:szCs w:val="20"/>
          <w:color w:val="auto"/>
        </w:rPr>
      </w:pPr>
      <w:r>
        <w:rPr>
          <w:rFonts w:ascii="Arial" w:cs="Arial" w:eastAsia="Arial" w:hAnsi="Arial"/>
          <w:sz w:val="18"/>
          <w:szCs w:val="18"/>
          <w:color w:val="auto"/>
        </w:rPr>
        <w:t>The 2028 Notes will mature on February 15, 2028, the 2033 Notes will mature on March 14, 2033 and the 20</w:t>
        <w:tab/>
        <w:t>Notes will mature on</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120" w:right="400"/>
        <w:spacing w:after="0" w:line="281" w:lineRule="auto"/>
        <w:rPr>
          <w:sz w:val="20"/>
          <w:szCs w:val="20"/>
          <w:color w:val="auto"/>
        </w:rPr>
      </w:pPr>
      <w:r>
        <w:rPr>
          <w:rFonts w:ascii="Arial" w:cs="Arial" w:eastAsia="Arial" w:hAnsi="Arial"/>
          <w:sz w:val="16"/>
          <w:szCs w:val="16"/>
          <w:color w:val="auto"/>
        </w:rPr>
        <w:t>20 . The Notes will be issued in book-entry form only, in denominations of $2,000 and multiples of $1,000 in excess thereof. Interest on the 2028 Notes will accrue from February 15, 2023, interest on the 2033 Notes will accrue from March 14, 2023 and interest on the 20 Notes will accrue</w:t>
      </w:r>
    </w:p>
    <w:p>
      <w:pPr>
        <w:spacing w:after="0" w:line="1" w:lineRule="exact"/>
        <w:rPr>
          <w:sz w:val="20"/>
          <w:szCs w:val="20"/>
          <w:color w:val="auto"/>
        </w:rPr>
      </w:pPr>
    </w:p>
    <w:p>
      <w:pPr>
        <w:ind w:left="120"/>
        <w:spacing w:after="0" w:line="210" w:lineRule="auto"/>
        <w:rPr>
          <w:sz w:val="20"/>
          <w:szCs w:val="20"/>
          <w:color w:val="auto"/>
        </w:rPr>
      </w:pPr>
      <w:r>
        <w:rPr>
          <w:rFonts w:ascii="Arial" w:cs="Arial" w:eastAsia="Arial" w:hAnsi="Arial"/>
          <w:sz w:val="16"/>
          <w:szCs w:val="16"/>
          <w:color w:val="auto"/>
        </w:rPr>
        <w:t>from , 2023 at the rate per annum shown on the cover of this prospectus supplement. Interest on the 2028 Notes will be payable semi-annually on February 15 and August 15 of each year, commencing on August 15, 2023, to the persons in whose names the 2028 Notes are registered at the close of business on the preceding February 1 or August 1, as the case may be. Interest on the 2033 Notes will be payable semi-annually on March 14 and September 14 of each year, commencing on September 14, 2023, to the persons in whose names the 2033 Notes are registered at the close of business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color w:val="auto"/>
        </w:rPr>
        <w:t>the preceding February 28 or August 31, as the case may be. Interest on the 20 Notes will be payable semi-annually on and of each year, commencing on , 2023, to the persons in whose names the Notes are registered at the close of business on the preceding or</w:t>
      </w:r>
    </w:p>
    <w:p>
      <w:pPr>
        <w:spacing w:after="0" w:line="1" w:lineRule="exact"/>
        <w:rPr>
          <w:sz w:val="20"/>
          <w:szCs w:val="20"/>
          <w:color w:val="auto"/>
        </w:rPr>
      </w:pPr>
    </w:p>
    <w:p>
      <w:pPr>
        <w:ind w:left="120" w:right="560" w:firstLine="716"/>
        <w:spacing w:after="0" w:line="260" w:lineRule="auto"/>
        <w:tabs>
          <w:tab w:leader="none" w:pos="9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the case may be. Interest on the Notes will be paid to but excluding the relevant interest payment date. Interest on the Notes will be calculated on the basis of a 360-day year comprised of twelve 30-day months.</w:t>
      </w:r>
    </w:p>
    <w:p>
      <w:pPr>
        <w:spacing w:after="0" w:line="18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previously issued, on November 18, 2022 and on March 14, 2023, $500,000,000 and $750,000,000 aggregate principal amount of the Existing 2028 Notes and the Existing 2033 Notes, respectively, all of which will remain outstanding following this offering. The 2028 Notes and the 2033 Notes offered hereby will form a part of the series and will have the same terms (other than issue date, price to public and, in the case of the 2028 Notes, initial interest payment date) and will vote together as a single class, with the same CUSIP number as, and be fungible with, the Existing 2028 Notes and the</w:t>
      </w:r>
    </w:p>
    <w:p>
      <w:pPr>
        <w:spacing w:after="0" w:line="1" w:lineRule="exact"/>
        <w:rPr>
          <w:sz w:val="20"/>
          <w:szCs w:val="20"/>
          <w:color w:val="auto"/>
        </w:rPr>
      </w:pPr>
    </w:p>
    <w:p>
      <w:pPr>
        <w:ind w:left="120"/>
        <w:spacing w:after="0"/>
        <w:tabs>
          <w:tab w:leader="none" w:pos="6660" w:val="left"/>
        </w:tabs>
        <w:rPr>
          <w:sz w:val="20"/>
          <w:szCs w:val="20"/>
          <w:color w:val="auto"/>
        </w:rPr>
      </w:pPr>
      <w:r>
        <w:rPr>
          <w:rFonts w:ascii="Arial" w:cs="Arial" w:eastAsia="Arial" w:hAnsi="Arial"/>
          <w:sz w:val="18"/>
          <w:szCs w:val="18"/>
          <w:color w:val="auto"/>
        </w:rPr>
        <w:t>Existing 2033 Notes, respectively. Upon completion of this offering, we will have $</w:t>
      </w:r>
      <w:r>
        <w:rPr>
          <w:sz w:val="20"/>
          <w:szCs w:val="20"/>
          <w:color w:val="auto"/>
        </w:rPr>
        <w:tab/>
      </w:r>
      <w:r>
        <w:rPr>
          <w:rFonts w:ascii="Arial" w:cs="Arial" w:eastAsia="Arial" w:hAnsi="Arial"/>
          <w:sz w:val="16"/>
          <w:szCs w:val="16"/>
          <w:color w:val="auto"/>
        </w:rPr>
        <w:t>aggregate principal amount of outstanding 4.600% Notes due</w:t>
      </w:r>
    </w:p>
    <w:p>
      <w:pPr>
        <w:spacing w:after="0" w:line="9" w:lineRule="exact"/>
        <w:rPr>
          <w:sz w:val="20"/>
          <w:szCs w:val="20"/>
          <w:color w:val="auto"/>
        </w:rPr>
      </w:pPr>
    </w:p>
    <w:p>
      <w:pPr>
        <w:jc w:val="both"/>
        <w:ind w:left="120" w:right="360"/>
        <w:spacing w:after="0" w:line="255" w:lineRule="auto"/>
        <w:rPr>
          <w:sz w:val="20"/>
          <w:szCs w:val="20"/>
          <w:color w:val="auto"/>
        </w:rPr>
      </w:pPr>
      <w:r>
        <w:rPr>
          <w:rFonts w:ascii="Arial" w:cs="Arial" w:eastAsia="Arial" w:hAnsi="Arial"/>
          <w:sz w:val="18"/>
          <w:szCs w:val="18"/>
          <w:color w:val="auto"/>
        </w:rPr>
        <w:t>2028 and $ aggregate principal amount of outstanding 4.900% Notes due 2033. Unless the context requires otherwise, for all purposes of the indenture and this “Description of the Notes,” references to the 2028 Notes include the 2028 Notes offered hereby and the Existing 2028 Notes, and references to the 2033 Notes include the 2033 Notes offered hereby and the Existing 2033 Notes.</w:t>
      </w:r>
    </w:p>
    <w:p>
      <w:pPr>
        <w:spacing w:after="0" w:line="19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2023, Texas Instruments Incorporated had approximately $10.2 billion principal amount of outstanding indebtedness. As of March 31 2023, Texas Instruments Incorporated had approximately $14.0 billion of total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675"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liabilities on a consolidated basis. Of the $14.0 billion of consolidated total liabilities, approximately $1.2 billion of liabilities (including trade payables and excluding intercompany debt) were held by subsidiaries of Texas Instruments Incorporated to which the Notes will be effectively subordinated.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an as adjusted basis after giving effect to this offering, as of March 31, 2023:</w:t>
      </w:r>
    </w:p>
    <w:p>
      <w:pPr>
        <w:sectPr>
          <w:pgSz w:w="11900" w:h="16838" w:orient="portrait"/>
          <w:cols w:equalWidth="0" w:num="1">
            <w:col w:w="11120"/>
          </w:cols>
          <w:pgMar w:left="320" w:top="675"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color w:val="auto"/>
        </w:rPr>
        <w:t>Texas Instruments Incorporated would have had approximately $ billion principal amount of total long-term indebtedness (including the Notes, but excluding the current portion of long-term indebtedness), all of which would constitute senior and unsubordinated indebtedness;</w:t>
      </w:r>
    </w:p>
    <w:p>
      <w:pPr>
        <w:spacing w:after="0" w:line="89" w:lineRule="exact"/>
        <w:rPr>
          <w:sz w:val="20"/>
          <w:szCs w:val="20"/>
          <w:color w:val="auto"/>
        </w:rPr>
      </w:pPr>
    </w:p>
    <w:p>
      <w:pPr>
        <w:sectPr>
          <w:pgSz w:w="11900" w:h="16838" w:orient="portrait"/>
          <w:cols w:equalWidth="0" w:num="2">
            <w:col w:w="720" w:space="380"/>
            <w:col w:w="10020"/>
          </w:cols>
          <w:pgMar w:left="320" w:top="675" w:right="4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 would have had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billion of total liabilities on a consolidated basis;</w:t>
      </w:r>
    </w:p>
    <w:p>
      <w:pPr>
        <w:spacing w:after="0" w:line="153" w:lineRule="exact"/>
        <w:rPr>
          <w:sz w:val="20"/>
          <w:szCs w:val="20"/>
          <w:color w:val="auto"/>
        </w:rPr>
      </w:pPr>
    </w:p>
    <w:p>
      <w:pPr>
        <w:sectPr>
          <w:pgSz w:w="11900" w:h="16838" w:orient="portrait"/>
          <w:cols w:equalWidth="0" w:num="3">
            <w:col w:w="720" w:space="380"/>
            <w:col w:w="4680" w:space="600"/>
            <w:col w:w="4740"/>
          </w:cols>
          <w:pgMar w:left="320" w:top="675" w:right="459" w:bottom="1440" w:gutter="0" w:footer="0" w:header="0"/>
          <w:type w:val="continuous"/>
        </w:sectPr>
      </w:pPr>
    </w:p>
    <w:p>
      <w:pPr>
        <w:ind w:left="1100" w:right="94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5" w:lineRule="exact"/>
        <w:rPr>
          <w:rFonts w:ascii="Arial" w:cs="Arial" w:eastAsia="Arial" w:hAnsi="Arial"/>
          <w:sz w:val="18"/>
          <w:szCs w:val="18"/>
          <w:color w:val="auto"/>
        </w:rPr>
      </w:pPr>
    </w:p>
    <w:p>
      <w:pPr>
        <w:ind w:left="1100" w:right="54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$1.2 billion of liabilities (including trade payables but excluding intercompany debt) to which the Notes would have been structurally subordinated.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Texas Instruments Incorporated may, without the consent of the holders, increase the principal amount of Notes of any series (which, in the case of the 2028 Notes and 2033 Notes, includes the Existing 2028 Notes and the Existing 2033 Notes, respectively) by issuing additional Notes of such series in the future on the same terms and conditions, 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Prior to the Par Call Date (as defined below)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84" w:lineRule="exact"/>
        <w:rPr>
          <w:sz w:val="20"/>
          <w:szCs w:val="20"/>
          <w:color w:val="auto"/>
        </w:rPr>
      </w:pPr>
    </w:p>
    <w:p>
      <w:pPr>
        <w:ind w:left="120" w:firstLine="436"/>
        <w:spacing w:after="0" w:line="287" w:lineRule="auto"/>
        <w:tabs>
          <w:tab w:leader="none" w:pos="8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w:t>
      </w:r>
      <w:r>
        <w:rPr>
          <w:rFonts w:ascii="Arial" w:cs="Arial" w:eastAsia="Arial" w:hAnsi="Arial"/>
          <w:sz w:val="16"/>
          <w:szCs w:val="16"/>
          <w:i w:val="1"/>
          <w:iCs w:val="1"/>
          <w:color w:val="auto"/>
        </w:rPr>
        <w:t>plus</w:t>
      </w:r>
      <w:r>
        <w:rPr>
          <w:rFonts w:ascii="Arial" w:cs="Arial" w:eastAsia="Arial" w:hAnsi="Arial"/>
          <w:sz w:val="16"/>
          <w:szCs w:val="16"/>
          <w:color w:val="auto"/>
        </w:rPr>
        <w:t xml:space="preserve"> 12.5 basis points with respect to the 2028 Notes, 15 basis points with respect to the 2033 Notes and</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basis points with respect to the 20   Notes </w:t>
      </w:r>
      <w:r>
        <w:rPr>
          <w:rFonts w:ascii="Arial" w:cs="Arial" w:eastAsia="Arial" w:hAnsi="Arial"/>
          <w:sz w:val="18"/>
          <w:szCs w:val="18"/>
          <w:i w:val="1"/>
          <w:iCs w:val="1"/>
          <w:color w:val="auto"/>
        </w:rPr>
        <w:t>less</w:t>
      </w:r>
      <w:r>
        <w:rPr>
          <w:rFonts w:ascii="Arial" w:cs="Arial" w:eastAsia="Arial" w:hAnsi="Arial"/>
          <w:sz w:val="18"/>
          <w:szCs w:val="18"/>
          <w:color w:val="auto"/>
        </w:rPr>
        <w:t xml:space="preserve"> (b) interest accrued to the date of redemption, and</w:t>
      </w:r>
    </w:p>
    <w:p>
      <w:pPr>
        <w:spacing w:after="0" w:line="210" w:lineRule="exact"/>
        <w:rPr>
          <w:rFonts w:ascii="Arial" w:cs="Arial" w:eastAsia="Arial" w:hAnsi="Arial"/>
          <w:sz w:val="16"/>
          <w:szCs w:val="16"/>
          <w:color w:val="auto"/>
        </w:rPr>
      </w:pPr>
    </w:p>
    <w:p>
      <w:pPr>
        <w:ind w:left="820" w:hanging="2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either case, accrued and unpaid interest thereon to the redemption date.</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p>
    <w:p>
      <w:pPr>
        <w:spacing w:after="0" w:line="131" w:lineRule="exact"/>
        <w:rPr>
          <w:sz w:val="20"/>
          <w:szCs w:val="20"/>
          <w:color w:val="auto"/>
        </w:rPr>
      </w:pPr>
    </w:p>
    <w:p>
      <w:pPr>
        <w:jc w:val="center"/>
        <w:ind w:left="5460" w:right="1360" w:hanging="4793"/>
        <w:spacing w:after="0" w:line="449" w:lineRule="auto"/>
        <w:tabs>
          <w:tab w:leader="none" w:pos="11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the 2028 Notes, January 15, 2028 (the date that is one month prior to the maturity date of the 2028 Notes), S-11</w:t>
      </w:r>
    </w:p>
    <w:p>
      <w:pPr>
        <w:sectPr>
          <w:pgSz w:w="11900" w:h="16838" w:orient="portrait"/>
          <w:cols w:equalWidth="0" w:num="1">
            <w:col w:w="11120"/>
          </w:cols>
          <w:pgMar w:left="320" w:top="675" w:right="4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the 2033 Notes, December 14, 2032 (the date that is three months prior to the maturity date of the 2033 Notes), and</w:t>
      </w:r>
    </w:p>
    <w:p>
      <w:pPr>
        <w:spacing w:after="0" w:line="142" w:lineRule="exact"/>
        <w:rPr>
          <w:sz w:val="20"/>
          <w:szCs w:val="20"/>
          <w:color w:val="auto"/>
        </w:rPr>
      </w:pPr>
    </w:p>
    <w:p>
      <w:pPr>
        <w:ind w:left="660"/>
        <w:spacing w:after="0"/>
        <w:tabs>
          <w:tab w:leader="none" w:pos="1080" w:val="left"/>
          <w:tab w:leader="none" w:pos="2720" w:val="left"/>
          <w:tab w:leader="none" w:pos="3940" w:val="left"/>
          <w:tab w:leader="none" w:pos="4440" w:val="left"/>
          <w:tab w:leader="none" w:pos="6340" w:val="left"/>
          <w:tab w:leader="none" w:pos="9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the case of the 20</w:t>
        <w:tab/>
        <w:t>Notes,</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8"/>
          <w:szCs w:val="18"/>
          <w:color w:val="auto"/>
        </w:rPr>
        <w:t>months prior to the maturity date of the 20</w:t>
      </w:r>
      <w:r>
        <w:rPr>
          <w:sz w:val="20"/>
          <w:szCs w:val="20"/>
          <w:color w:val="auto"/>
        </w:rPr>
        <w:tab/>
      </w:r>
      <w:r>
        <w:rPr>
          <w:rFonts w:ascii="Arial" w:cs="Arial" w:eastAsia="Arial" w:hAnsi="Arial"/>
          <w:sz w:val="16"/>
          <w:szCs w:val="16"/>
          <w:color w:val="auto"/>
        </w:rPr>
        <w:t>Notes).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yield determined by Texas Instruments Incorporated in accordance with the following two paragraphs.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4"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Texas Instruments Incorporated’s actions and determinations in determining the redemption price shall be conclusive and binding for all purposes, absent manifest error.</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67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 series of Notes is defined under the indenture as being:</w:t>
      </w:r>
    </w:p>
    <w:p>
      <w:pPr>
        <w:spacing w:after="0" w:line="131" w:lineRule="exact"/>
        <w:rPr>
          <w:sz w:val="20"/>
          <w:szCs w:val="20"/>
          <w:color w:val="auto"/>
        </w:rPr>
      </w:pPr>
    </w:p>
    <w:p>
      <w:pPr>
        <w:ind w:left="1100" w:right="40" w:hanging="433"/>
        <w:spacing w:after="0" w:line="263"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such series of Notes when due and payable, if that default continues for a period of 30 days;</w:t>
      </w:r>
    </w:p>
    <w:p>
      <w:pPr>
        <w:spacing w:after="0" w:line="75" w:lineRule="exact"/>
        <w:rPr>
          <w:rFonts w:ascii="Arial" w:cs="Arial" w:eastAsia="Arial" w:hAnsi="Arial"/>
          <w:sz w:val="18"/>
          <w:szCs w:val="18"/>
          <w:color w:val="auto"/>
        </w:rPr>
      </w:pPr>
    </w:p>
    <w:p>
      <w:pPr>
        <w:ind w:left="1100" w:right="60" w:hanging="433"/>
        <w:spacing w:after="0" w:line="25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93" w:lineRule="exact"/>
        <w:rPr>
          <w:rFonts w:ascii="Arial" w:cs="Arial" w:eastAsia="Arial" w:hAnsi="Arial"/>
          <w:sz w:val="18"/>
          <w:szCs w:val="18"/>
          <w:color w:val="auto"/>
        </w:rPr>
      </w:pPr>
    </w:p>
    <w:p>
      <w:pPr>
        <w:ind w:left="1100" w:hanging="43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1" w:lineRule="exact"/>
        <w:rPr>
          <w:sz w:val="20"/>
          <w:szCs w:val="20"/>
          <w:color w:val="auto"/>
        </w:rPr>
      </w:pPr>
    </w:p>
    <w:p>
      <w:pPr>
        <w:ind w:left="1100" w:hanging="544"/>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100" w:right="80" w:hanging="544"/>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100" w:right="120" w:hanging="544"/>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 and such decree or order shall remain unstayed and in effect for a period of 60 consecutive days; 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Texas Instruments Incorporated:</w:t>
      </w:r>
    </w:p>
    <w:p>
      <w:pPr>
        <w:spacing w:after="0" w:line="135" w:lineRule="exact"/>
        <w:rPr>
          <w:sz w:val="20"/>
          <w:szCs w:val="20"/>
          <w:color w:val="auto"/>
        </w:rPr>
      </w:pPr>
    </w:p>
    <w:p>
      <w:pPr>
        <w:jc w:val="center"/>
        <w:ind w:left="5460" w:right="1280" w:hanging="4904"/>
        <w:spacing w:after="0" w:line="449" w:lineRule="auto"/>
        <w:tabs>
          <w:tab w:leader="none" w:pos="11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S-13</w:t>
      </w:r>
    </w:p>
    <w:p>
      <w:pPr>
        <w:sectPr>
          <w:pgSz w:w="11900" w:h="16838" w:orient="portrait"/>
          <w:cols w:equalWidth="0" w:num="1">
            <w:col w:w="11120"/>
          </w:cols>
          <w:pgMar w:left="320" w:top="67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5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100" w:hanging="544"/>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70" w:lineRule="exact"/>
        <w:rPr>
          <w:sz w:val="20"/>
          <w:szCs w:val="20"/>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Notes make a written request to the trustee to pursue the remedy in respect of such event of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675"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100" w:right="580" w:hanging="433"/>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Notes do not give the trustee a direction that is inconsistent with the request.</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675"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2"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67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675"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40"/>
        <w:spacing w:after="0" w:line="286" w:lineRule="auto"/>
        <w:rPr>
          <w:sz w:val="20"/>
          <w:szCs w:val="20"/>
          <w:color w:val="auto"/>
        </w:rPr>
      </w:pPr>
      <w:r>
        <w:rPr>
          <w:rFonts w:ascii="Arial" w:cs="Arial" w:eastAsia="Arial" w:hAnsi="Arial"/>
          <w:sz w:val="17"/>
          <w:szCs w:val="17"/>
          <w:color w:val="auto"/>
        </w:rPr>
        <w:t>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Notices to holders of each series of the Notes will be made by first class mail, postage prepaid, to the addresses that appear on the security register for such series of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67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for cash in this offering at the applicable public offering price indicated on the cover of this prospectus supplement (which, in the case of the 20 Notes, we assume will be the “issue price” of such Notes), and held as capital assets for U.S. federal income tax purposes.</w:t>
      </w:r>
    </w:p>
    <w:p>
      <w:pPr>
        <w:spacing w:after="0" w:line="184"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Qualified Reopening</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intend to treat the issuances of the 2028 Notes and the 2033 Notes as “qualified reopenings” of the Existing 2028 Notes and the Existing 2033 Notes, respectively, for U.S. federal income tax purposes. If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80"/>
          </w:cols>
          <w:pgMar w:left="320" w:top="675"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issuances of the 2028 Notes and the 2033 Notes are so treated, then the 2028 Notes and the 2033 Notes will be considered to have the same issue date and issue price as the Existing 2028 Notes and the Existing 2033 Notes, respectively, and will be fungible with the Existing 2028 Notes and the Existing 2033 Notes, respectively, for U.S. federal income tax purposes. The remainder of this discussion assumes that the issuances of the 2028 Notes and the 2033 Notes are treated as qualified reopenings of the Existing 2028 Notes and the Existing 2033 Notes, respectively.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Subject to the discussions below under “—Pre-Acquisition Accrued Interest” and “—Amortizable Bond Premium,” stated interest on a Note will be taxable to you as ordinary interest income at the time it accrues or is received, in accordance with your method of accounting for U.S. federal income tax purposes. It is expected, and this discussion assumes, that the Notes will be treated as issued without original issue discount for U.S. federal income tax purposes.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Pre-Acquisition Accrued Interest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 portion of the price paid for a 2028 Note or a 2033 Note offered hereby will be allocable to interest that accrued prior to the date the 2028 Note or the 2033 Note is purchased (the “pre-acquisition accrued interest”). On the first interest payment date with respect to the 2028 Notes or the 2033 Notes, as applicable, you may generally treat a portion of the interest received in an amount equal to the pre-acquisition accrued interest as a return of the pre-acquisition accrued interest and not as a payment of interest on the relevant Note. Amounts treated as a return of pre-acquisition accrued interest on a 2028 Note or a 2033 Note should not be taxable when received. You should consult your tax adviser regarding the tax treatment of pre-acquisition accrued interest.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Discount</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If you purchase a 2028 Note or a 2033 Note for an amount that is less than its principal amount (disregarding any amount paid in respect of pre-acquisition accrued interest), the amount of the difference will be treated as “market discount” for U.S. federal income tax purposes, unless that difference is less than a specified de minimis amount equal to 0.25% of the principal amount multiplied by the number of complete years to maturity after your acquisition of the relevant Note.</w:t>
      </w:r>
    </w:p>
    <w:p>
      <w:pPr>
        <w:spacing w:after="0" w:line="18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If you acquire a 2028 Note or a 2033 Note with market discount, you will be required to treat any gain on the sale or other taxable disposition of the 2028 Note or the 2033 Note, as applicable, as ordinary income to the extent of the market discount that you have not previously included in income and are treated as having accrued on the relevant Note at the time of the disposition.</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you may be required to defer, until the maturity of the relevant Note or its earlier disposition in a taxable transaction, the deduction of all or a portion of the interest expense on any indebtedness attributable to the relevant Note. Under certain circumstances, you may elect, on a Note-by-Note basis, to deduct the deferred interest expense in a tax year prior to the year of disposition. You should consult your tax advisers before making this election.</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Any market discount will be considered to accrue ratably during the period from the date of acquisition to the maturity date of the 2028 Note or the 2033 Note, as applicable, unless you elect to accrue on a constant interest method. You may elect to include market discount in income currently as it accrues, on either a ratable or constant interest method, in which case the rule described above regarding deferral of interest deductions will not apply. An election to accrue market discount on a current basis will apply to all debt instruments acquired with market discount that you acquire on or after the first day of the first taxable year to which the election applies. The election may not be revoked without the consent of the Internal Revenue Service (the “IRS”). You should consult your tax advisers before making this election.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67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If you purchase a 2028 Note or a 2033 Note for an amount that is greater than its principal amount (disregarding any amount paid in respect of pre-acquisition accrued interest), you will be considered to have purchased the 2028 Note or the 2033 Note, as applicable, with amortizable bond premium equal to such excess. You may elect to amortize this bond premium, using a constant-yield method, over the remaining term of the Note. Because of the optional redemption feature of the 2028 Notes and the 2033 Notes, however, special rules apply that may reduce, eliminate or defer the amount of bond premium that may be amortized. You generally may use the amortizable bond premium allocable to an accrual period to offset interest otherwise required to be included in income with respect to the Note in that accrual period. An election to amortize bond premium applies to all taxable debt obligations then owned or thereafter acquired and may be revoked only with the consent of the IRS.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(excluding amounts attributable to pre-acquisition accrued interest), increased by any market discount that you previously included in income with respect to such Note, and reduced by any bond premium previously amortized with respect to such Note. For these purposes, the amount realized does not include any amount attributable to accrued but unpaid interest (which generally would include any amount attributable to pre-acquisition accrued interest), which is treated as described under “—Payments of Stated Interest” and “—Pre-Acquisition Accrued Interest” above. Except as described with respect to market discount under “Market Discount”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675"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76" w:lineRule="exact"/>
        <w:rPr>
          <w:sz w:val="20"/>
          <w:szCs w:val="20"/>
          <w:color w:val="auto"/>
        </w:rPr>
      </w:pPr>
    </w:p>
    <w:p>
      <w:pPr>
        <w:ind w:left="1100" w:right="280" w:hanging="43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do not own, actually or constructively, ten percent or more of the total combined voting power of all classes of our stock entitled to vote;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1100" w:right="100" w:hanging="433"/>
        <w:spacing w:after="0" w:line="342" w:lineRule="auto"/>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Subject to the discussions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67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although the currently issued regulations under FATCA would subject payments of gross proceeds of sales or other dispositions of the Notes to withholding under FATCA,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060"/>
          </w:cols>
          <w:pgMar w:left="320" w:top="675"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J.P. Morgan Securities LLC, Morgan Stanley &amp; Co. LLC and U.S. Bancorp Investments,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42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r>
      <w:tr>
        <w:trPr>
          <w:trHeight w:val="148"/>
        </w:trPr>
        <w:tc>
          <w:tcPr>
            <w:tcW w:w="6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Amount</w:t>
            </w:r>
          </w:p>
        </w:tc>
      </w:tr>
      <w:tr>
        <w:trPr>
          <w:trHeight w:val="149"/>
        </w:trPr>
        <w:tc>
          <w:tcPr>
            <w:tcW w:w="6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2028</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2033</w:t>
            </w:r>
          </w:p>
        </w:tc>
        <w:tc>
          <w:tcPr>
            <w:tcW w:w="4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of 20</w:t>
            </w:r>
          </w:p>
        </w:tc>
      </w:tr>
      <w:tr>
        <w:trPr>
          <w:trHeight w:val="171"/>
        </w:trPr>
        <w:tc>
          <w:tcPr>
            <w:tcW w:w="62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4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60" w:type="dxa"/>
            <w:vAlign w:val="bottom"/>
          </w:tcPr>
          <w:p>
            <w:pPr>
              <w:spacing w:after="0"/>
              <w:rPr>
                <w:sz w:val="14"/>
                <w:szCs w:val="14"/>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ind w:right="52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2028 Note, % per 2033 Note and % per 20 Note. Any such securities dealers may resell any Notes purchased from the underwriters to certain other brokers or dealers at a discount from the initial public offering price not to exceed % per 2028 Note, % per 2033 Note and % per 20 Note. If all of the Notes are not sold at the initial offering price, the underwriters may change the offering price and the other selling terms.</w:t>
      </w:r>
    </w:p>
    <w:p>
      <w:pPr>
        <w:spacing w:after="0" w:line="1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6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Paid by Texas</w:t>
            </w:r>
          </w:p>
        </w:tc>
      </w:tr>
      <w:tr>
        <w:trPr>
          <w:trHeight w:val="149"/>
        </w:trPr>
        <w:tc>
          <w:tcPr>
            <w:tcW w:w="1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60" w:type="dxa"/>
            <w:vAlign w:val="bottom"/>
            <w:gridSpan w:val="3"/>
          </w:tcPr>
          <w:p>
            <w:pPr>
              <w:jc w:val="center"/>
              <w:ind w:right="1700"/>
              <w:spacing w:after="0" w:line="149" w:lineRule="exact"/>
              <w:rPr>
                <w:sz w:val="20"/>
                <w:szCs w:val="20"/>
                <w:color w:val="auto"/>
              </w:rPr>
            </w:pPr>
            <w:r>
              <w:rPr>
                <w:rFonts w:ascii="Arial" w:cs="Arial" w:eastAsia="Arial" w:hAnsi="Arial"/>
                <w:sz w:val="14"/>
                <w:szCs w:val="14"/>
                <w:b w:val="1"/>
                <w:bCs w:val="1"/>
                <w:color w:val="auto"/>
                <w:w w:val="92"/>
              </w:rPr>
              <w:t>Instruments</w:t>
            </w:r>
          </w:p>
        </w:tc>
      </w:tr>
      <w:tr>
        <w:trPr>
          <w:trHeight w:val="171"/>
        </w:trPr>
        <w:tc>
          <w:tcPr>
            <w:tcW w:w="17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spacing w:after="0"/>
              <w:rPr>
                <w:sz w:val="14"/>
                <w:szCs w:val="14"/>
                <w:color w:val="auto"/>
              </w:rPr>
            </w:pPr>
          </w:p>
        </w:tc>
      </w:tr>
      <w:tr>
        <w:trPr>
          <w:trHeight w:val="210"/>
        </w:trPr>
        <w:tc>
          <w:tcPr>
            <w:tcW w:w="17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Per 2028 Note</w:t>
            </w:r>
          </w:p>
        </w:tc>
        <w:tc>
          <w:tcPr>
            <w:tcW w:w="2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Per 2033 Note</w:t>
            </w:r>
          </w:p>
        </w:tc>
        <w:tc>
          <w:tcPr>
            <w:tcW w:w="2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Per 20  Note</w:t>
            </w:r>
          </w:p>
        </w:tc>
        <w:tc>
          <w:tcPr>
            <w:tcW w:w="2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r>
      <w:tr>
        <w:trPr>
          <w:trHeight w:val="418"/>
        </w:trPr>
        <w:tc>
          <w:tcPr>
            <w:tcW w:w="6380" w:type="dxa"/>
            <w:vAlign w:val="bottom"/>
            <w:gridSpan w:val="2"/>
          </w:tcPr>
          <w:p>
            <w:pPr>
              <w:ind w:left="440"/>
              <w:spacing w:after="0"/>
              <w:rPr>
                <w:sz w:val="20"/>
                <w:szCs w:val="20"/>
                <w:color w:val="auto"/>
              </w:rPr>
            </w:pPr>
            <w:r>
              <w:rPr>
                <w:rFonts w:ascii="Arial" w:cs="Arial" w:eastAsia="Arial" w:hAnsi="Arial"/>
                <w:sz w:val="18"/>
                <w:szCs w:val="18"/>
                <w:color w:val="auto"/>
                <w:w w:val="98"/>
              </w:rPr>
              <w:t>We estimate that our total expenses for this offering will be approximately $</w:t>
            </w:r>
          </w:p>
        </w:tc>
        <w:tc>
          <w:tcPr>
            <w:tcW w:w="4380" w:type="dxa"/>
            <w:vAlign w:val="bottom"/>
            <w:gridSpan w:val="4"/>
          </w:tcPr>
          <w:p>
            <w:pPr>
              <w:jc w:val="center"/>
              <w:spacing w:after="0"/>
              <w:rPr>
                <w:sz w:val="20"/>
                <w:szCs w:val="20"/>
                <w:color w:val="auto"/>
              </w:rPr>
            </w:pPr>
            <w:r>
              <w:rPr>
                <w:rFonts w:ascii="Arial" w:cs="Arial" w:eastAsia="Arial" w:hAnsi="Arial"/>
                <w:sz w:val="18"/>
                <w:szCs w:val="18"/>
                <w:color w:val="auto"/>
                <w:w w:val="93"/>
              </w:rPr>
              <w:t>million, including underwriting discounts. The underwriters</w:t>
            </w: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w w:val="91"/>
              </w:rPr>
              <w:t>have agreed to reimburse us for certain of our expenses in connection with the offering.</w:t>
            </w:r>
          </w:p>
        </w:tc>
        <w:tc>
          <w:tcPr>
            <w:tcW w:w="1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100" w:right="12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67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77" w:lineRule="auto"/>
        <w:rPr>
          <w:sz w:val="20"/>
          <w:szCs w:val="20"/>
          <w:color w:val="auto"/>
        </w:rPr>
      </w:pPr>
      <w:r>
        <w:rPr>
          <w:rFonts w:ascii="Arial" w:cs="Arial" w:eastAsia="Arial" w:hAnsi="Arial"/>
          <w:sz w:val="18"/>
          <w:szCs w:val="18"/>
          <w:color w:val="auto"/>
        </w:rPr>
        <w:t>purchases by the underwriters for their own accounts, may have the effect of preventing or retarding a decline in the market price of the Notes.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w:t>
      </w:r>
    </w:p>
    <w:p>
      <w:pPr>
        <w:spacing w:after="0" w:line="3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prospectus supplement, which will be the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For example, U.S. Bancorp Investments, Inc., one of the underwriters, is an affiliate of the trustee.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7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7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(the “EEA”). For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67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3"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Canadian investors are advised that this document has been prepared in reliance on section 3A.3 of National Instrument</w:t>
      </w:r>
    </w:p>
    <w:p>
      <w:pPr>
        <w:spacing w:after="0" w:line="27" w:lineRule="exact"/>
        <w:rPr>
          <w:sz w:val="20"/>
          <w:szCs w:val="20"/>
          <w:color w:val="auto"/>
        </w:rPr>
      </w:pPr>
    </w:p>
    <w:p>
      <w:pPr>
        <w:jc w:val="both"/>
        <w:ind w:left="120" w:right="180"/>
        <w:spacing w:after="0" w:line="255" w:lineRule="auto"/>
        <w:rPr>
          <w:sz w:val="20"/>
          <w:szCs w:val="20"/>
          <w:color w:val="auto"/>
        </w:rPr>
      </w:pPr>
      <w:r>
        <w:rPr>
          <w:rFonts w:ascii="Arial" w:cs="Arial" w:eastAsia="Arial" w:hAnsi="Arial"/>
          <w:sz w:val="18"/>
          <w:szCs w:val="18"/>
          <w:b w:val="1"/>
          <w:bCs w:val="1"/>
          <w:color w:val="auto"/>
        </w:rPr>
        <w:t xml:space="preserve">33-105 </w:t>
      </w:r>
      <w:r>
        <w:rPr>
          <w:rFonts w:ascii="Arial" w:cs="Arial" w:eastAsia="Arial" w:hAnsi="Arial"/>
          <w:sz w:val="18"/>
          <w:szCs w:val="18"/>
          <w:b w:val="1"/>
          <w:bCs w:val="1"/>
          <w:i w:val="1"/>
          <w:iCs w:val="1"/>
          <w:color w:val="auto"/>
        </w:rPr>
        <w:t>Underwriting Conflicts</w:t>
      </w:r>
      <w:r>
        <w:rPr>
          <w:rFonts w:ascii="Arial" w:cs="Arial" w:eastAsia="Arial" w:hAnsi="Arial"/>
          <w:sz w:val="18"/>
          <w:szCs w:val="18"/>
          <w:b w:val="1"/>
          <w:bCs w:val="1"/>
          <w:color w:val="auto"/>
        </w:rPr>
        <w:t xml:space="preserve">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320" w:top="675"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675"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63" w:lineRule="exact"/>
        <w:rPr>
          <w:sz w:val="20"/>
          <w:szCs w:val="20"/>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100" w:right="120" w:hanging="433"/>
        <w:spacing w:after="0" w:line="263"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100" w:right="180" w:hanging="433"/>
        <w:spacing w:after="0" w:line="263"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675"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100" w:right="100" w:hanging="433"/>
        <w:spacing w:after="0" w:line="308"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100" w:right="300" w:hanging="433"/>
        <w:spacing w:after="0" w:line="279"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6" w:lineRule="exact"/>
        <w:rPr>
          <w:rFonts w:ascii="Arial" w:cs="Arial" w:eastAsia="Arial" w:hAnsi="Arial"/>
          <w:sz w:val="17"/>
          <w:szCs w:val="17"/>
          <w:color w:val="auto"/>
        </w:rPr>
      </w:pPr>
    </w:p>
    <w:p>
      <w:pPr>
        <w:ind w:left="1100" w:hanging="433"/>
        <w:spacing w:after="0" w:line="275"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1" w:lineRule="exact"/>
        <w:rPr>
          <w:rFonts w:ascii="Arial" w:cs="Arial" w:eastAsia="Arial" w:hAnsi="Arial"/>
          <w:sz w:val="17"/>
          <w:szCs w:val="17"/>
          <w:color w:val="auto"/>
        </w:rPr>
      </w:pPr>
    </w:p>
    <w:p>
      <w:pPr>
        <w:ind w:left="1100" w:hanging="43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100" w:right="78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Singapore Securities and Futures Act Product Classification</w:t>
      </w:r>
      <w:r>
        <w:rPr>
          <w:rFonts w:ascii="Arial" w:cs="Arial" w:eastAsia="Arial" w:hAnsi="Arial"/>
          <w:sz w:val="17"/>
          <w:szCs w:val="17"/>
          <w:color w:val="auto"/>
        </w:rPr>
        <w:t>—Solely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675"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060"/>
          </w:cols>
          <w:pgMar w:left="320" w:top="675"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2022 are incorporated by reference in reliance on Ernst &amp; Young LLP’s reports, given on their authority as experts in accounting and auditing.</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84" w:lineRule="exact"/>
        <w:rPr>
          <w:sz w:val="20"/>
          <w:szCs w:val="20"/>
          <w:color w:val="auto"/>
        </w:rPr>
      </w:pPr>
    </w:p>
    <w:p>
      <w:pPr>
        <w:ind w:left="120" w:right="40" w:firstLine="440"/>
        <w:spacing w:after="0" w:line="289" w:lineRule="auto"/>
        <w:rPr>
          <w:rFonts w:ascii="Arial" w:cs="Arial" w:eastAsia="Arial" w:hAnsi="Arial"/>
          <w:sz w:val="16"/>
          <w:szCs w:val="16"/>
          <w:color w:val="0000EE"/>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52">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2022, filed on February 3, 2023, the sections of our Definitive Proxy Statement on </w:t>
      </w:r>
      <w:hyperlink r:id="rId53">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2023 annual meeting of stockholders, filed on March 14, 2023 that are incorporated by reference in our Annual Report on Form 10-K for the year ended December </w:t>
      </w:r>
      <w:hyperlink r:id="rId54">
        <w:r>
          <w:rPr>
            <w:rFonts w:ascii="Arial" w:cs="Arial" w:eastAsia="Arial" w:hAnsi="Arial"/>
            <w:sz w:val="16"/>
            <w:szCs w:val="16"/>
            <w:color w:val="auto"/>
          </w:rPr>
          <w:t xml:space="preserve">31, 2022, our Quarterly Report on </w:t>
        </w:r>
        <w:r>
          <w:rPr>
            <w:rFonts w:ascii="Arial" w:cs="Arial" w:eastAsia="Arial" w:hAnsi="Arial"/>
            <w:sz w:val="16"/>
            <w:szCs w:val="16"/>
            <w:u w:val="single" w:color="auto"/>
            <w:color w:val="0000EE"/>
          </w:rPr>
          <w:t>Form 10-Q</w:t>
        </w:r>
        <w:r>
          <w:rPr>
            <w:rFonts w:ascii="Arial" w:cs="Arial" w:eastAsia="Arial" w:hAnsi="Arial"/>
            <w:sz w:val="16"/>
            <w:szCs w:val="16"/>
            <w:color w:val="auto"/>
          </w:rPr>
          <w:t xml:space="preserve"> filed on April 26, 2023 and our Current Reports on Form 8-K filed on </w:t>
        </w:r>
        <w:r>
          <w:rPr>
            <w:rFonts w:ascii="Arial" w:cs="Arial" w:eastAsia="Arial" w:hAnsi="Arial"/>
            <w:sz w:val="16"/>
            <w:szCs w:val="16"/>
            <w:u w:val="single" w:color="auto"/>
            <w:color w:val="0000EE"/>
          </w:rPr>
          <w:t>January 20,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February 16,</w:t>
        </w:r>
      </w:hyperlink>
      <w:r>
        <w:rPr>
          <w:rFonts w:ascii="Arial" w:cs="Arial" w:eastAsia="Arial" w:hAnsi="Arial"/>
          <w:sz w:val="16"/>
          <w:szCs w:val="16"/>
          <w:color w:val="auto"/>
        </w:rPr>
        <w:t xml:space="preserve"> </w:t>
      </w:r>
      <w:hyperlink r:id="rId54">
        <w:r>
          <w:rPr>
            <w:rFonts w:ascii="Arial" w:cs="Arial" w:eastAsia="Arial" w:hAnsi="Arial"/>
            <w:sz w:val="16"/>
            <w:szCs w:val="16"/>
            <w:u w:val="single" w:color="auto"/>
            <w:color w:val="0000EE"/>
          </w:rPr>
          <w:t>2023</w:t>
        </w:r>
        <w:r>
          <w:rPr>
            <w:rFonts w:ascii="Arial" w:cs="Arial" w:eastAsia="Arial" w:hAnsi="Arial"/>
            <w:sz w:val="16"/>
            <w:szCs w:val="16"/>
            <w:color w:val="0000EE"/>
          </w:rPr>
          <w:t xml:space="preserve"> </w:t>
        </w:r>
        <w:r>
          <w:rPr>
            <w:rFonts w:ascii="Arial" w:cs="Arial" w:eastAsia="Arial" w:hAnsi="Arial"/>
            <w:sz w:val="16"/>
            <w:szCs w:val="16"/>
            <w:color w:val="000000"/>
          </w:rPr>
          <w:t>(solely to the extent included in Item 5.02 of such Current Report),</w:t>
        </w:r>
        <w:r>
          <w:rPr>
            <w:rFonts w:ascii="Arial" w:cs="Arial" w:eastAsia="Arial" w:hAnsi="Arial"/>
            <w:sz w:val="16"/>
            <w:szCs w:val="16"/>
            <w:color w:val="0000EE"/>
          </w:rPr>
          <w:t xml:space="preserve"> </w:t>
        </w:r>
      </w:hyperlink>
      <w:hyperlink r:id="rId55">
        <w:r>
          <w:rPr>
            <w:rFonts w:ascii="Arial" w:cs="Arial" w:eastAsia="Arial" w:hAnsi="Arial"/>
            <w:sz w:val="16"/>
            <w:szCs w:val="16"/>
            <w:u w:val="single" w:color="auto"/>
            <w:color w:val="0000EE"/>
          </w:rPr>
          <w:t>March 14, 2023</w:t>
        </w:r>
      </w:hyperlink>
      <w:hyperlink r:id="rId54">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56">
        <w:r>
          <w:rPr>
            <w:rFonts w:ascii="Arial" w:cs="Arial" w:eastAsia="Arial" w:hAnsi="Arial"/>
            <w:sz w:val="16"/>
            <w:szCs w:val="16"/>
            <w:u w:val="single" w:color="auto"/>
            <w:color w:val="0000EE"/>
          </w:rPr>
          <w:t xml:space="preserve">May 3, 2023 </w:t>
        </w:r>
      </w:hyperlink>
      <w:hyperlink r:id="rId54">
        <w:r>
          <w:rPr>
            <w:rFonts w:ascii="Arial" w:cs="Arial" w:eastAsia="Arial" w:hAnsi="Arial"/>
            <w:sz w:val="16"/>
            <w:szCs w:val="16"/>
            <w:color w:val="000000"/>
          </w:rPr>
          <w:t>and all documents subsequently filed with</w:t>
        </w:r>
      </w:hyperlink>
      <w:r>
        <w:rPr>
          <w:rFonts w:ascii="Arial" w:cs="Arial" w:eastAsia="Arial" w:hAnsi="Arial"/>
          <w:sz w:val="16"/>
          <w:szCs w:val="16"/>
          <w:color w:val="0000EE"/>
        </w:rPr>
        <w:t xml:space="preserve"> </w:t>
      </w:r>
      <w:r>
        <w:rPr>
          <w:rFonts w:ascii="Arial" w:cs="Arial" w:eastAsia="Arial" w:hAnsi="Arial"/>
          <w:sz w:val="16"/>
          <w:szCs w:val="16"/>
          <w:color w:val="000000"/>
        </w:rPr>
        <w:t>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66" w:lineRule="exact"/>
        <w:rPr>
          <w:rFonts w:ascii="Arial" w:cs="Arial" w:eastAsia="Arial" w:hAnsi="Arial"/>
          <w:sz w:val="16"/>
          <w:szCs w:val="16"/>
          <w:color w:val="0000EE"/>
        </w:rPr>
      </w:pPr>
    </w:p>
    <w:p>
      <w:pPr>
        <w:ind w:left="120" w:right="140" w:firstLine="440"/>
        <w:spacing w:after="0" w:line="263"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4" w:lineRule="exact"/>
        <w:rPr>
          <w:rFonts w:ascii="Arial" w:cs="Arial" w:eastAsia="Arial" w:hAnsi="Arial"/>
          <w:sz w:val="16"/>
          <w:szCs w:val="16"/>
          <w:color w:val="0000EE"/>
        </w:rPr>
      </w:pPr>
    </w:p>
    <w:p>
      <w:pPr>
        <w:ind w:left="12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81" w:lineRule="exact"/>
        <w:rPr>
          <w:rFonts w:ascii="Arial" w:cs="Arial" w:eastAsia="Arial" w:hAnsi="Arial"/>
          <w:sz w:val="16"/>
          <w:szCs w:val="16"/>
          <w:color w:val="0000EE"/>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675"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71470" cy="668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253365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080"/>
          </w:cols>
          <w:pgMar w:left="320" w:top="675" w:right="49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•  Common stock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140"/>
        <w:spacing w:after="0"/>
        <w:rPr>
          <w:sz w:val="20"/>
          <w:szCs w:val="20"/>
          <w:color w:val="auto"/>
        </w:rPr>
      </w:pPr>
      <w:r>
        <w:rPr>
          <w:rFonts w:ascii="Arial" w:cs="Arial" w:eastAsia="Arial" w:hAnsi="Arial"/>
          <w:sz w:val="16"/>
          <w:szCs w:val="16"/>
          <w:color w:val="auto"/>
        </w:rPr>
        <w:t>•  Warrants</w:t>
      </w:r>
    </w:p>
    <w:p>
      <w:pPr>
        <w:spacing w:after="0" w:line="140" w:lineRule="exact"/>
        <w:rPr>
          <w:sz w:val="20"/>
          <w:szCs w:val="20"/>
          <w:color w:val="auto"/>
        </w:rPr>
      </w:pPr>
    </w:p>
    <w:p>
      <w:pPr>
        <w:sectPr>
          <w:pgSz w:w="11900" w:h="16838" w:orient="portrait"/>
          <w:cols w:equalWidth="0" w:num="2">
            <w:col w:w="5320" w:space="720"/>
            <w:col w:w="5040"/>
          </w:cols>
          <w:pgMar w:left="320" w:top="675" w:right="4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•  Preferred stock</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7"/>
          <w:szCs w:val="17"/>
          <w:color w:val="auto"/>
        </w:rPr>
        <w:t>•  Units</w:t>
      </w:r>
    </w:p>
    <w:p>
      <w:pPr>
        <w:spacing w:after="0" w:line="129" w:lineRule="exact"/>
        <w:rPr>
          <w:sz w:val="20"/>
          <w:szCs w:val="20"/>
          <w:color w:val="auto"/>
        </w:rPr>
      </w:pPr>
    </w:p>
    <w:p>
      <w:pPr>
        <w:sectPr>
          <w:pgSz w:w="11900" w:h="16838" w:orient="portrait"/>
          <w:cols w:equalWidth="0" w:num="2">
            <w:col w:w="5320" w:space="720"/>
            <w:col w:w="5040"/>
          </w:cols>
          <w:pgMar w:left="320" w:top="675" w:right="4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80"/>
          </w:cols>
          <w:pgMar w:left="320" w:top="67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•  Maturity</w:t>
            </w:r>
          </w:p>
        </w:tc>
        <w:tc>
          <w:tcPr>
            <w:tcW w:w="4200" w:type="dxa"/>
            <w:vAlign w:val="bottom"/>
          </w:tcPr>
          <w:p>
            <w:pPr>
              <w:ind w:left="1100"/>
              <w:spacing w:after="0"/>
              <w:rPr>
                <w:sz w:val="20"/>
                <w:szCs w:val="20"/>
                <w:color w:val="auto"/>
              </w:rPr>
            </w:pPr>
            <w:r>
              <w:rPr>
                <w:rFonts w:ascii="Arial" w:cs="Arial" w:eastAsia="Arial" w:hAnsi="Arial"/>
                <w:sz w:val="18"/>
                <w:szCs w:val="18"/>
                <w:color w:val="auto"/>
              </w:rPr>
              <w:t>•  Redemption terms</w:t>
            </w:r>
          </w:p>
        </w:tc>
        <w:tc>
          <w:tcPr>
            <w:tcW w:w="2480" w:type="dxa"/>
            <w:vAlign w:val="bottom"/>
          </w:tcPr>
          <w:p>
            <w:pPr>
              <w:ind w:left="640"/>
              <w:spacing w:after="0"/>
              <w:rPr>
                <w:sz w:val="20"/>
                <w:szCs w:val="20"/>
                <w:color w:val="auto"/>
              </w:rPr>
            </w:pPr>
            <w:r>
              <w:rPr>
                <w:rFonts w:ascii="Arial" w:cs="Arial" w:eastAsia="Arial" w:hAnsi="Arial"/>
                <w:sz w:val="18"/>
                <w:szCs w:val="18"/>
                <w:color w:val="auto"/>
              </w:rPr>
              <w:t>•  Liquidation amount</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•  Interest rate</w:t>
            </w:r>
          </w:p>
        </w:tc>
        <w:tc>
          <w:tcPr>
            <w:tcW w:w="4200" w:type="dxa"/>
            <w:vAlign w:val="bottom"/>
          </w:tcPr>
          <w:p>
            <w:pPr>
              <w:ind w:left="1100"/>
              <w:spacing w:after="0"/>
              <w:rPr>
                <w:sz w:val="20"/>
                <w:szCs w:val="20"/>
                <w:color w:val="auto"/>
              </w:rPr>
            </w:pPr>
            <w:r>
              <w:rPr>
                <w:rFonts w:ascii="Arial" w:cs="Arial" w:eastAsia="Arial" w:hAnsi="Arial"/>
                <w:sz w:val="18"/>
                <w:szCs w:val="18"/>
                <w:color w:val="auto"/>
              </w:rPr>
              <w:t>•  Listing on a security exchange</w:t>
            </w:r>
          </w:p>
        </w:tc>
        <w:tc>
          <w:tcPr>
            <w:tcW w:w="2480" w:type="dxa"/>
            <w:vAlign w:val="bottom"/>
          </w:tcPr>
          <w:p>
            <w:pPr>
              <w:ind w:left="640"/>
              <w:spacing w:after="0"/>
              <w:rPr>
                <w:sz w:val="20"/>
                <w:szCs w:val="20"/>
                <w:color w:val="auto"/>
              </w:rPr>
            </w:pPr>
            <w:r>
              <w:rPr>
                <w:rFonts w:ascii="Arial" w:cs="Arial" w:eastAsia="Arial" w:hAnsi="Arial"/>
                <w:sz w:val="18"/>
                <w:szCs w:val="18"/>
                <w:color w:val="auto"/>
                <w:w w:val="88"/>
              </w:rPr>
              <w:t>•  Subsidiary guarantees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•  Currency of payments</w:t>
            </w:r>
          </w:p>
        </w:tc>
        <w:tc>
          <w:tcPr>
            <w:tcW w:w="4200" w:type="dxa"/>
            <w:vAlign w:val="bottom"/>
          </w:tcPr>
          <w:p>
            <w:pPr>
              <w:ind w:left="1100"/>
              <w:spacing w:after="0"/>
              <w:rPr>
                <w:sz w:val="20"/>
                <w:szCs w:val="20"/>
                <w:color w:val="auto"/>
              </w:rPr>
            </w:pPr>
            <w:r>
              <w:rPr>
                <w:rFonts w:ascii="Arial" w:cs="Arial" w:eastAsia="Arial" w:hAnsi="Arial"/>
                <w:sz w:val="18"/>
                <w:szCs w:val="18"/>
                <w:color w:val="auto"/>
              </w:rPr>
              <w:t>•  Amount payable at maturity</w:t>
            </w:r>
          </w:p>
        </w:tc>
        <w:tc>
          <w:tcPr>
            <w:tcW w:w="2480" w:type="dxa"/>
            <w:vAlign w:val="bottom"/>
          </w:tcPr>
          <w:p>
            <w:pPr>
              <w:ind w:left="640"/>
              <w:spacing w:after="0"/>
              <w:rPr>
                <w:sz w:val="20"/>
                <w:szCs w:val="20"/>
                <w:color w:val="auto"/>
              </w:rPr>
            </w:pPr>
            <w:r>
              <w:rPr>
                <w:rFonts w:ascii="Arial" w:cs="Arial" w:eastAsia="Arial" w:hAnsi="Arial"/>
                <w:sz w:val="18"/>
                <w:szCs w:val="18"/>
                <w:color w:val="auto"/>
              </w:rPr>
              <w:t>•  Sinking fund terms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•  Dividends</w:t>
            </w:r>
          </w:p>
        </w:tc>
        <w:tc>
          <w:tcPr>
            <w:tcW w:w="4200" w:type="dxa"/>
            <w:vAlign w:val="bottom"/>
          </w:tcPr>
          <w:p>
            <w:pPr>
              <w:ind w:left="1100"/>
              <w:spacing w:after="0"/>
              <w:rPr>
                <w:sz w:val="20"/>
                <w:szCs w:val="20"/>
                <w:color w:val="auto"/>
              </w:rPr>
            </w:pPr>
            <w:r>
              <w:rPr>
                <w:rFonts w:ascii="Arial" w:cs="Arial" w:eastAsia="Arial" w:hAnsi="Arial"/>
                <w:sz w:val="18"/>
                <w:szCs w:val="18"/>
                <w:color w:val="auto"/>
              </w:rPr>
              <w:t>•  Conversion or exchange rights</w:t>
            </w:r>
          </w:p>
        </w:tc>
        <w:tc>
          <w:tcPr>
            <w:tcW w:w="2480" w:type="dxa"/>
            <w:vAlign w:val="bottom"/>
          </w:tcPr>
          <w:p>
            <w:pPr>
              <w:spacing w:after="0"/>
              <w:rPr>
                <w:sz w:val="24"/>
                <w:szCs w:val="24"/>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66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right="2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February 4, 2022</w:t>
      </w:r>
    </w:p>
    <w:p>
      <w:pPr>
        <w:sectPr>
          <w:pgSz w:w="11900" w:h="16838" w:orient="portrait"/>
          <w:cols w:equalWidth="0" w:num="1">
            <w:col w:w="11080"/>
          </w:cols>
          <w:pgMar w:left="320" w:top="675" w:right="4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3"/>
          </w:tcPr>
          <w:p>
            <w:pPr>
              <w:jc w:val="right"/>
              <w:ind w:right="443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4340" w:type="dxa"/>
            <w:vAlign w:val="bottom"/>
            <w:gridSpan w:val="14"/>
            <w:vMerge w:val="restart"/>
          </w:tcPr>
          <w:p>
            <w:pPr>
              <w:spacing w:after="0"/>
              <w:rPr>
                <w:sz w:val="20"/>
                <w:szCs w:val="20"/>
                <w:color w:val="auto"/>
              </w:rPr>
            </w:pPr>
            <w:r>
              <w:rPr>
                <w:rFonts w:ascii="Arial" w:cs="Arial" w:eastAsia="Arial" w:hAnsi="Arial"/>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320" w:type="dxa"/>
            <w:vAlign w:val="bottom"/>
            <w:gridSpan w:val="2"/>
            <w:vMerge w:val="restart"/>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426"/>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gridSpan w:val="14"/>
            <w:vMerge w:val="continue"/>
          </w:tcPr>
          <w:p>
            <w:pPr>
              <w:spacing w:after="0"/>
              <w:rPr>
                <w:sz w:val="14"/>
                <w:szCs w:val="14"/>
                <w:color w:val="auto"/>
              </w:rPr>
            </w:pPr>
          </w:p>
        </w:tc>
        <w:tc>
          <w:tcPr>
            <w:tcW w:w="6340" w:type="dxa"/>
            <w:vAlign w:val="bottom"/>
            <w:gridSpan w:val="2"/>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2700" w:type="dxa"/>
            <w:vAlign w:val="bottom"/>
            <w:gridSpan w:val="6"/>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1480" w:type="dxa"/>
            <w:vAlign w:val="bottom"/>
            <w:gridSpan w:val="2"/>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Notice Regarding Forward-Looking Statements</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2160" w:type="dxa"/>
            <w:vAlign w:val="bottom"/>
            <w:gridSpan w:val="3"/>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Description of Warrants</w:t>
            </w:r>
          </w:p>
        </w:tc>
        <w:tc>
          <w:tcPr>
            <w:tcW w:w="2620" w:type="dxa"/>
            <w:vAlign w:val="bottom"/>
            <w:gridSpan w:val="5"/>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Units</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Forms of Securities</w:t>
            </w:r>
          </w:p>
        </w:tc>
        <w:tc>
          <w:tcPr>
            <w:tcW w:w="2880" w:type="dxa"/>
            <w:vAlign w:val="bottom"/>
            <w:gridSpan w:val="8"/>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Plan of Distribution</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820" w:type="dxa"/>
            <w:vAlign w:val="bottom"/>
            <w:gridSpan w:val="7"/>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Experts</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675"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24"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675"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6">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2021, filed on February 4, 2022, the Current Report on </w:t>
      </w:r>
      <w:hyperlink r:id="rId67">
        <w:r>
          <w:rPr>
            <w:rFonts w:ascii="Arial" w:cs="Arial" w:eastAsia="Arial" w:hAnsi="Arial"/>
            <w:sz w:val="16"/>
            <w:szCs w:val="16"/>
            <w:u w:val="single" w:color="auto"/>
            <w:color w:val="0000EE"/>
          </w:rPr>
          <w:t>Form 8-K</w:t>
        </w:r>
      </w:hyperlink>
      <w:r>
        <w:rPr>
          <w:rFonts w:ascii="Arial" w:cs="Arial" w:eastAsia="Arial" w:hAnsi="Arial"/>
          <w:sz w:val="16"/>
          <w:szCs w:val="16"/>
          <w:color w:val="auto"/>
        </w:rPr>
        <w:t xml:space="preserve">, filed on January 26, 2022, the description of our common stock contained in our registration statement on </w:t>
      </w:r>
      <w:hyperlink r:id="rId68">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66" w:lineRule="exact"/>
        <w:rPr>
          <w:rFonts w:ascii="Arial" w:cs="Arial" w:eastAsia="Arial" w:hAnsi="Arial"/>
          <w:sz w:val="16"/>
          <w:szCs w:val="16"/>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rFonts w:ascii="Arial" w:cs="Arial" w:eastAsia="Arial" w:hAnsi="Arial"/>
          <w:sz w:val="16"/>
          <w:szCs w:val="16"/>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9"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rFonts w:ascii="Arial" w:cs="Arial" w:eastAsia="Arial" w:hAnsi="Arial"/>
          <w:sz w:val="16"/>
          <w:szCs w:val="16"/>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rFonts w:ascii="Arial" w:cs="Arial" w:eastAsia="Arial" w:hAnsi="Arial"/>
          <w:sz w:val="16"/>
          <w:szCs w:val="16"/>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rFonts w:ascii="Arial" w:cs="Arial" w:eastAsia="Arial" w:hAnsi="Arial"/>
          <w:sz w:val="16"/>
          <w:szCs w:val="16"/>
          <w:color w:val="auto"/>
        </w:rPr>
      </w:pPr>
    </w:p>
    <w:p>
      <w:pPr>
        <w:ind w:left="1100" w:right="8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100" w:right="64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100" w:right="68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58"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675"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 ;</w:t>
      </w:r>
    </w:p>
    <w:p>
      <w:pPr>
        <w:spacing w:after="0" w:line="75" w:lineRule="exact"/>
        <w:rPr>
          <w:rFonts w:ascii="Arial" w:cs="Arial" w:eastAsia="Arial" w:hAnsi="Arial"/>
          <w:sz w:val="18"/>
          <w:szCs w:val="18"/>
          <w:color w:val="auto"/>
        </w:rPr>
      </w:pPr>
    </w:p>
    <w:p>
      <w:pPr>
        <w:ind w:left="1100" w:right="20" w:hanging="433"/>
        <w:spacing w:after="0" w:line="342"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29" w:lineRule="exact"/>
        <w:rPr>
          <w:rFonts w:ascii="Arial" w:cs="Arial" w:eastAsia="Arial" w:hAnsi="Arial"/>
          <w:sz w:val="16"/>
          <w:szCs w:val="16"/>
          <w:color w:val="auto"/>
        </w:rPr>
      </w:pPr>
    </w:p>
    <w:p>
      <w:pPr>
        <w:ind w:left="1100" w:right="480" w:hanging="433"/>
        <w:spacing w:after="0" w:line="263"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100" w:right="72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100" w:right="140" w:hanging="433"/>
        <w:spacing w:after="0" w:line="342"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100" w:right="6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30"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675"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675" w:right="6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100" w:right="320" w:hanging="433"/>
        <w:spacing w:after="0" w:line="308"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100" w:hanging="433"/>
        <w:spacing w:after="0" w:line="272"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675"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60" w:hanging="433"/>
        <w:spacing w:after="0" w:line="263"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675"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675"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100" w:right="24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100" w:right="20" w:hanging="433"/>
        <w:spacing w:after="0" w:line="275" w:lineRule="auto"/>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100" w:right="10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100" w:right="220" w:hanging="433"/>
        <w:spacing w:after="0" w:line="259"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100" w:right="300" w:hanging="433"/>
        <w:spacing w:after="0" w:line="342" w:lineRule="auto"/>
        <w:tabs>
          <w:tab w:leader="none" w:pos="11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5540" w:right="300" w:hanging="4322"/>
        <w:spacing w:after="0" w:line="449" w:lineRule="auto"/>
        <w:tabs>
          <w:tab w:leader="none" w:pos="15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proceeds of such sale and leaseback transaction and we elect to designate such amount as a credit against such transaction, or 10</w:t>
      </w:r>
    </w:p>
    <w:p>
      <w:pPr>
        <w:sectPr>
          <w:pgSz w:w="11900" w:h="16838" w:orient="portrait"/>
          <w:cols w:equalWidth="0" w:num="1">
            <w:col w:w="11120"/>
          </w:cols>
          <w:pgMar w:left="320" w:top="675"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22"/>
        <w:spacing w:after="0" w:line="342" w:lineRule="auto"/>
        <w:tabs>
          <w:tab w:leader="none" w:pos="15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100" w:right="120" w:hanging="433"/>
        <w:spacing w:after="0" w:line="286" w:lineRule="auto"/>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100" w:right="160" w:hanging="433"/>
        <w:spacing w:after="0" w:line="273"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100" w:right="60" w:hanging="433"/>
        <w:spacing w:after="0" w:line="311" w:lineRule="auto"/>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54" w:lineRule="exact"/>
        <w:rPr>
          <w:rFonts w:ascii="Arial" w:cs="Arial" w:eastAsia="Arial" w:hAnsi="Arial"/>
          <w:sz w:val="16"/>
          <w:szCs w:val="16"/>
          <w:color w:val="auto"/>
        </w:rPr>
      </w:pPr>
    </w:p>
    <w:p>
      <w:pPr>
        <w:ind w:left="1100" w:right="580" w:hanging="433"/>
        <w:spacing w:after="0" w:line="308"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100" w:hanging="433"/>
        <w:spacing w:after="0" w:line="273"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100" w:right="200" w:hanging="433"/>
        <w:spacing w:after="0" w:line="263"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60" w:hanging="322"/>
        <w:spacing w:after="0" w:line="277" w:lineRule="auto"/>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60" w:hanging="322"/>
        <w:spacing w:after="0" w:line="277" w:lineRule="auto"/>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322"/>
        <w:spacing w:after="0"/>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322"/>
        <w:spacing w:after="0" w:line="277"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right="140" w:hanging="322"/>
        <w:spacing w:after="0" w:line="277"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 The default by us under any other debt, including any other series of debt securities, is not a default under the indenture.</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675"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3" w:lineRule="exact"/>
        <w:rPr>
          <w:sz w:val="20"/>
          <w:szCs w:val="20"/>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100" w:hanging="433"/>
        <w:spacing w:after="0" w:line="27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675"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80" w:hanging="433"/>
        <w:spacing w:after="0" w:line="277"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100" w:right="60" w:hanging="433"/>
        <w:spacing w:after="0" w:line="293" w:lineRule="auto"/>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100" w:right="20" w:hanging="433"/>
        <w:spacing w:after="0" w:line="270"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100" w:right="120" w:hanging="433"/>
        <w:spacing w:after="0" w:line="277"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100" w:hanging="433"/>
        <w:spacing w:after="0" w:line="257"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1100" w:right="20" w:hanging="433"/>
        <w:spacing w:after="0" w:line="263"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675"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100" w:hanging="43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100" w:right="220" w:hanging="433"/>
        <w:spacing w:after="0" w:line="277"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100" w:right="240" w:hanging="433"/>
        <w:spacing w:after="0" w:line="308"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100" w:hanging="433"/>
        <w:spacing w:after="0" w:line="263"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100" w:hanging="433"/>
        <w:spacing w:after="0"/>
        <w:tabs>
          <w:tab w:leader="none" w:pos="11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100" w:right="700" w:hanging="433"/>
        <w:spacing w:after="0" w:line="263"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5540" w:right="180" w:hanging="4873"/>
        <w:spacing w:after="0" w:line="449" w:lineRule="auto"/>
        <w:tabs>
          <w:tab w:leader="none" w:pos="11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20"/>
          </w:cols>
          <w:pgMar w:left="320" w:top="675"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675"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675" w:right="5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675"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675"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100" w:hanging="433"/>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675"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675"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675" w:right="5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648970</wp:posOffset>
            </wp:positionV>
            <wp:extent cx="2914650" cy="7118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2914650" cy="71183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40" w:hanging="941"/>
        <w:spacing w:after="0"/>
        <w:tabs>
          <w:tab w:leader="none" w:pos="4840" w:val="left"/>
        </w:tabs>
        <w:numPr>
          <w:ilvl w:val="0"/>
          <w:numId w:val="50"/>
        </w:numPr>
        <w:rPr>
          <w:rFonts w:ascii="Arial" w:cs="Arial" w:eastAsia="Arial" w:hAnsi="Arial"/>
          <w:sz w:val="25"/>
          <w:szCs w:val="25"/>
          <w:b w:val="1"/>
          <w:bCs w:val="1"/>
          <w:color w:val="auto"/>
        </w:rPr>
      </w:pPr>
      <w:r>
        <w:rPr>
          <w:rFonts w:ascii="Arial" w:cs="Arial" w:eastAsia="Arial" w:hAnsi="Arial"/>
          <w:sz w:val="25"/>
          <w:szCs w:val="25"/>
          <w:b w:val="1"/>
          <w:bCs w:val="1"/>
          <w:color w:val="auto"/>
        </w:rPr>
        <w:t>4.600% Notes due 2028</w:t>
      </w:r>
    </w:p>
    <w:p>
      <w:pPr>
        <w:spacing w:after="0" w:line="117" w:lineRule="exact"/>
        <w:rPr>
          <w:rFonts w:ascii="Arial" w:cs="Arial" w:eastAsia="Arial" w:hAnsi="Arial"/>
          <w:sz w:val="25"/>
          <w:szCs w:val="25"/>
          <w:b w:val="1"/>
          <w:bCs w:val="1"/>
          <w:color w:val="auto"/>
        </w:rPr>
      </w:pPr>
    </w:p>
    <w:p>
      <w:pPr>
        <w:ind w:left="4840" w:hanging="941"/>
        <w:spacing w:after="0"/>
        <w:tabs>
          <w:tab w:leader="none" w:pos="4840" w:val="left"/>
        </w:tabs>
        <w:numPr>
          <w:ilvl w:val="0"/>
          <w:numId w:val="50"/>
        </w:numPr>
        <w:rPr>
          <w:rFonts w:ascii="Arial" w:cs="Arial" w:eastAsia="Arial" w:hAnsi="Arial"/>
          <w:sz w:val="25"/>
          <w:szCs w:val="25"/>
          <w:b w:val="1"/>
          <w:bCs w:val="1"/>
          <w:color w:val="auto"/>
        </w:rPr>
      </w:pPr>
      <w:r>
        <w:rPr>
          <w:rFonts w:ascii="Arial" w:cs="Arial" w:eastAsia="Arial" w:hAnsi="Arial"/>
          <w:sz w:val="25"/>
          <w:szCs w:val="25"/>
          <w:b w:val="1"/>
          <w:bCs w:val="1"/>
          <w:color w:val="auto"/>
        </w:rPr>
        <w:t>4.900% Notes due 2033</w:t>
      </w:r>
    </w:p>
    <w:p>
      <w:pPr>
        <w:spacing w:after="0" w:line="118" w:lineRule="exact"/>
        <w:rPr>
          <w:sz w:val="20"/>
          <w:szCs w:val="20"/>
          <w:color w:val="auto"/>
        </w:rPr>
      </w:pPr>
    </w:p>
    <w:p>
      <w:pPr>
        <w:ind w:left="3900"/>
        <w:spacing w:after="0"/>
        <w:tabs>
          <w:tab w:leader="none" w:pos="5400" w:val="left"/>
        </w:tabs>
        <w:rPr>
          <w:sz w:val="20"/>
          <w:szCs w:val="20"/>
          <w:color w:val="auto"/>
        </w:rPr>
      </w:pPr>
      <w:r>
        <w:rPr>
          <w:rFonts w:ascii="Arial" w:cs="Arial" w:eastAsia="Arial" w:hAnsi="Arial"/>
          <w:sz w:val="25"/>
          <w:szCs w:val="25"/>
          <w:b w:val="1"/>
          <w:bCs w:val="1"/>
          <w:color w:val="auto"/>
        </w:rPr>
        <w:t>$</w:t>
      </w:r>
      <w:r>
        <w:rPr>
          <w:sz w:val="20"/>
          <w:szCs w:val="20"/>
          <w:color w:val="auto"/>
        </w:rPr>
        <w:tab/>
      </w:r>
      <w:r>
        <w:rPr>
          <w:rFonts w:ascii="Arial" w:cs="Arial" w:eastAsia="Arial" w:hAnsi="Arial"/>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1040765</wp:posOffset>
            </wp:positionV>
            <wp:extent cx="1474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22" w:lineRule="exact"/>
        <w:rPr>
          <w:sz w:val="20"/>
          <w:szCs w:val="20"/>
          <w:color w:val="auto"/>
        </w:rPr>
      </w:pPr>
    </w:p>
    <w:p>
      <w:pPr>
        <w:ind w:left="120"/>
        <w:spacing w:after="0"/>
        <w:tabs>
          <w:tab w:leader="none" w:pos="4680" w:val="left"/>
          <w:tab w:leader="none" w:pos="962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6"/>
          <w:szCs w:val="26"/>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1043305</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67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2"/>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lvl w:ilvl="1">
      <w:lvlJc w:val="left"/>
      <w:lvlText w:val="•"/>
      <w:numFmt w:val="bullet"/>
      <w:start w:val="1"/>
    </w:lvl>
  </w:abstractNum>
  <w:abstractNum w:abstractNumId="38">
    <w:nsid w:val="2CD89A32"/>
    <w:multiLevelType w:val="hybridMultilevel"/>
    <w:lvl w:ilvl="0">
      <w:lvlJc w:val="left"/>
      <w:lvlText w:val="•"/>
      <w:numFmt w:val="bullet"/>
      <w:start w:val="1"/>
    </w:lvl>
    <w:lvl w:ilvl="1">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lvl w:ilvl="1">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jpe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jpe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52" Type="http://schemas.openxmlformats.org/officeDocument/2006/relationships/hyperlink" Target="http://www.sec.gov/ix?doc=/Archives/edgar/data/0000097476/000009747623000007/txn-20221231.htm" TargetMode="External"/><Relationship Id="rId53" Type="http://schemas.openxmlformats.org/officeDocument/2006/relationships/hyperlink" Target="http://www.sec.gov/ix?doc=/Archives/edgar/data/0000097476/000009747623000017/txn-20230314.htm" TargetMode="External"/><Relationship Id="rId54" Type="http://schemas.openxmlformats.org/officeDocument/2006/relationships/hyperlink" Target="http://www.sec.gov/ix?doc=/Archives/edgar/data/0000097476/000119312523041080/d457016d8k.htm" TargetMode="External"/><Relationship Id="rId55" Type="http://schemas.openxmlformats.org/officeDocument/2006/relationships/hyperlink" Target="http://www.sec.gov/ix?doc=/Archives/edgar/data/0000097476/000119312523070157/d443336d8k.htm" TargetMode="External"/><Relationship Id="rId56" Type="http://schemas.openxmlformats.org/officeDocument/2006/relationships/hyperlink" Target="http://www.sec.gov/ix?doc=/Archives/edgar/data/97476/000009747623000029/txn-20230427.htm" TargetMode="External"/><Relationship Id="rId66" Type="http://schemas.openxmlformats.org/officeDocument/2006/relationships/hyperlink" Target="http://www.sec.gov/ix?doc=/Archives/edgar/data/0000097476/000009747622000009/txn-20211231.htm" TargetMode="External"/><Relationship Id="rId67" Type="http://schemas.openxmlformats.org/officeDocument/2006/relationships/hyperlink" Target="http://www.sec.gov/ix?doc=/Archives/edgar/data/97476/000119312522018409/d252810d8k.htm" TargetMode="External"/><Relationship Id="rId68"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2023-05-11T08:07:07Z</dcterms:created>
  <dcterms:modified xsi:type="dcterms:W3CDTF">2023-05-11T08:07:07Z</dcterms:modified>
</cp:coreProperties>
</file>