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135" w:lineRule="exact"/>
        <w:rPr>
          <w:sz w:val="24"/>
          <w:szCs w:val="24"/>
          <w:color w:val="auto"/>
        </w:rPr>
      </w:pPr>
    </w:p>
    <w:p>
      <w:pPr>
        <w:ind w:right="40"/>
        <w:spacing w:after="0" w:line="247"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DE1A1E"/>
        </w:rPr>
        <w:t>SUBJECT TO COMPLETION, DATED OCTOBER 26,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6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32"/>
                <w:szCs w:val="32"/>
                <w:b w:val="1"/>
                <w:bCs w:val="1"/>
                <w:color w:val="auto"/>
              </w:rPr>
              <w:t>$</w:t>
            </w:r>
          </w:p>
        </w:tc>
        <w:tc>
          <w:tcPr>
            <w:tcW w:w="840" w:type="dxa"/>
            <w:vAlign w:val="bottom"/>
          </w:tcPr>
          <w:p>
            <w:pPr>
              <w:spacing w:after="0"/>
              <w:rPr>
                <w:sz w:val="24"/>
                <w:szCs w:val="24"/>
                <w:color w:val="auto"/>
              </w:rPr>
            </w:pPr>
          </w:p>
        </w:tc>
        <w:tc>
          <w:tcPr>
            <w:tcW w:w="2640" w:type="dxa"/>
            <w:vAlign w:val="bottom"/>
            <w:gridSpan w:val="2"/>
          </w:tcPr>
          <w:p>
            <w:pPr>
              <w:ind w:left="220"/>
              <w:spacing w:after="0"/>
              <w:rPr>
                <w:sz w:val="20"/>
                <w:szCs w:val="20"/>
                <w:color w:val="auto"/>
              </w:rPr>
            </w:pPr>
            <w:r>
              <w:rPr>
                <w:rFonts w:ascii="Arial" w:cs="Arial" w:eastAsia="Arial" w:hAnsi="Arial"/>
                <w:sz w:val="32"/>
                <w:szCs w:val="32"/>
                <w:b w:val="1"/>
                <w:bCs w:val="1"/>
                <w:color w:val="auto"/>
              </w:rPr>
              <w:t>% Notes due 20</w:t>
            </w: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36"/>
        </w:trPr>
        <w:tc>
          <w:tcPr>
            <w:tcW w:w="40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0" w:type="dxa"/>
            <w:vAlign w:val="bottom"/>
            <w:gridSpan w:val="3"/>
          </w:tcPr>
          <w:p>
            <w:pPr>
              <w:spacing w:after="0"/>
              <w:rPr>
                <w:sz w:val="24"/>
                <w:szCs w:val="24"/>
                <w:color w:val="auto"/>
              </w:rPr>
            </w:pPr>
          </w:p>
        </w:tc>
      </w:tr>
      <w:tr>
        <w:trPr>
          <w:trHeight w:val="411"/>
        </w:trPr>
        <w:tc>
          <w:tcPr>
            <w:tcW w:w="4020" w:type="dxa"/>
            <w:vAlign w:val="bottom"/>
            <w:gridSpan w:val="2"/>
          </w:tcPr>
          <w:p>
            <w:pPr>
              <w:ind w:left="460"/>
              <w:spacing w:after="0"/>
              <w:rPr>
                <w:sz w:val="20"/>
                <w:szCs w:val="20"/>
                <w:color w:val="auto"/>
              </w:rPr>
            </w:pPr>
            <w:r>
              <w:rPr>
                <w:rFonts w:ascii="Arial" w:cs="Arial" w:eastAsia="Arial" w:hAnsi="Arial"/>
                <w:sz w:val="18"/>
                <w:szCs w:val="18"/>
                <w:color w:val="auto"/>
              </w:rPr>
              <w:t>Texas Instruments Incorporated is offering $</w:t>
            </w:r>
          </w:p>
        </w:tc>
        <w:tc>
          <w:tcPr>
            <w:tcW w:w="7160" w:type="dxa"/>
            <w:vAlign w:val="bottom"/>
            <w:gridSpan w:val="5"/>
          </w:tcPr>
          <w:p>
            <w:pPr>
              <w:spacing w:after="0"/>
              <w:rPr>
                <w:sz w:val="20"/>
                <w:szCs w:val="20"/>
                <w:color w:val="auto"/>
              </w:rPr>
            </w:pPr>
            <w:r>
              <w:rPr>
                <w:rFonts w:ascii="Arial" w:cs="Arial" w:eastAsia="Arial" w:hAnsi="Arial"/>
                <w:sz w:val="18"/>
                <w:szCs w:val="18"/>
                <w:color w:val="auto"/>
                <w:w w:val="93"/>
              </w:rPr>
              <w:t>aggregate principal amount of its   % Notes due 20   (the “Notes”), which will bear interest at the</w:t>
            </w:r>
          </w:p>
        </w:tc>
      </w:tr>
      <w:tr>
        <w:trPr>
          <w:trHeight w:val="216"/>
        </w:trPr>
        <w:tc>
          <w:tcPr>
            <w:tcW w:w="7500" w:type="dxa"/>
            <w:vAlign w:val="bottom"/>
            <w:gridSpan w:val="5"/>
          </w:tcPr>
          <w:p>
            <w:pPr>
              <w:spacing w:after="0"/>
              <w:rPr>
                <w:sz w:val="20"/>
                <w:szCs w:val="20"/>
                <w:color w:val="auto"/>
              </w:rPr>
            </w:pPr>
            <w:r>
              <w:rPr>
                <w:rFonts w:ascii="Arial" w:cs="Arial" w:eastAsia="Arial" w:hAnsi="Arial"/>
                <w:sz w:val="18"/>
                <w:szCs w:val="18"/>
                <w:color w:val="auto"/>
                <w:w w:val="96"/>
              </w:rPr>
              <w:t>rate per year as set forth above. Interest on the Notes will be payable semi-annually in arrears on</w:t>
            </w:r>
          </w:p>
        </w:tc>
        <w:tc>
          <w:tcPr>
            <w:tcW w:w="900" w:type="dxa"/>
            <w:vAlign w:val="bottom"/>
          </w:tcPr>
          <w:p>
            <w:pPr>
              <w:ind w:left="260"/>
              <w:spacing w:after="0"/>
              <w:rPr>
                <w:sz w:val="20"/>
                <w:szCs w:val="20"/>
                <w:color w:val="auto"/>
              </w:rPr>
            </w:pPr>
            <w:r>
              <w:rPr>
                <w:rFonts w:ascii="Arial" w:cs="Arial" w:eastAsia="Arial" w:hAnsi="Arial"/>
                <w:sz w:val="18"/>
                <w:szCs w:val="18"/>
                <w:color w:val="auto"/>
              </w:rPr>
              <w:t>and</w:t>
            </w:r>
          </w:p>
        </w:tc>
        <w:tc>
          <w:tcPr>
            <w:tcW w:w="2780" w:type="dxa"/>
            <w:vAlign w:val="bottom"/>
          </w:tcPr>
          <w:p>
            <w:pPr>
              <w:ind w:left="400"/>
              <w:spacing w:after="0"/>
              <w:rPr>
                <w:sz w:val="20"/>
                <w:szCs w:val="20"/>
                <w:color w:val="auto"/>
              </w:rPr>
            </w:pPr>
            <w:r>
              <w:rPr>
                <w:rFonts w:ascii="Arial" w:cs="Arial" w:eastAsia="Arial" w:hAnsi="Arial"/>
                <w:sz w:val="18"/>
                <w:szCs w:val="18"/>
                <w:color w:val="auto"/>
              </w:rPr>
              <w:t>of each year, beginning on</w:t>
            </w:r>
          </w:p>
        </w:tc>
      </w:tr>
      <w:tr>
        <w:trPr>
          <w:trHeight w:val="230"/>
        </w:trPr>
        <w:tc>
          <w:tcPr>
            <w:tcW w:w="2680" w:type="dxa"/>
            <w:vAlign w:val="bottom"/>
          </w:tcPr>
          <w:p>
            <w:pPr>
              <w:jc w:val="right"/>
              <w:ind w:right="1370"/>
              <w:spacing w:after="0"/>
              <w:rPr>
                <w:sz w:val="20"/>
                <w:szCs w:val="20"/>
                <w:color w:val="auto"/>
              </w:rPr>
            </w:pPr>
            <w:r>
              <w:rPr>
                <w:rFonts w:ascii="Arial" w:cs="Arial" w:eastAsia="Arial" w:hAnsi="Arial"/>
                <w:sz w:val="18"/>
                <w:szCs w:val="18"/>
                <w:color w:val="auto"/>
              </w:rPr>
              <w:t>, 2018.</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32"/>
        </w:trPr>
        <w:tc>
          <w:tcPr>
            <w:tcW w:w="2680" w:type="dxa"/>
            <w:vAlign w:val="bottom"/>
          </w:tcPr>
          <w:p>
            <w:pPr>
              <w:ind w:left="460"/>
              <w:spacing w:after="0"/>
              <w:rPr>
                <w:sz w:val="20"/>
                <w:szCs w:val="20"/>
                <w:color w:val="auto"/>
              </w:rPr>
            </w:pPr>
            <w:r>
              <w:rPr>
                <w:rFonts w:ascii="Arial" w:cs="Arial" w:eastAsia="Arial" w:hAnsi="Arial"/>
                <w:sz w:val="18"/>
                <w:szCs w:val="18"/>
                <w:color w:val="auto"/>
              </w:rPr>
              <w:t>The Notes will mature on</w:t>
            </w: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 20  .</w:t>
            </w: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2" w:lineRule="exact"/>
        <w:rPr>
          <w:sz w:val="24"/>
          <w:szCs w:val="24"/>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173355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Per Note</w:t>
            </w:r>
          </w:p>
        </w:tc>
        <w:tc>
          <w:tcPr>
            <w:tcW w:w="7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w w:val="87"/>
              </w:rPr>
              <w:t>%</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r>
      <w:tr>
        <w:trPr>
          <w:trHeight w:val="432"/>
        </w:trPr>
        <w:tc>
          <w:tcPr>
            <w:tcW w:w="9980" w:type="dxa"/>
            <w:vAlign w:val="bottom"/>
            <w:gridSpan w:val="2"/>
          </w:tcPr>
          <w:p>
            <w:pPr>
              <w:ind w:left="460"/>
              <w:spacing w:after="0"/>
              <w:rPr>
                <w:sz w:val="20"/>
                <w:szCs w:val="20"/>
                <w:color w:val="auto"/>
              </w:rPr>
            </w:pPr>
            <w:r>
              <w:rPr>
                <w:rFonts w:ascii="Arial" w:cs="Arial" w:eastAsia="Arial" w:hAnsi="Arial"/>
                <w:sz w:val="18"/>
                <w:szCs w:val="18"/>
                <w:color w:val="auto"/>
              </w:rPr>
              <w:t>Interest on the Notes will accrue from November   , 2017 to the date of delivery.</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1420" w:type="dxa"/>
            <w:vAlign w:val="bottom"/>
            <w:gridSpan w:val="5"/>
          </w:tcPr>
          <w:p>
            <w:pPr>
              <w:ind w:left="460"/>
              <w:spacing w:after="0"/>
              <w:rPr>
                <w:sz w:val="20"/>
                <w:szCs w:val="20"/>
                <w:color w:val="auto"/>
              </w:rPr>
            </w:pPr>
            <w:r>
              <w:rPr>
                <w:rFonts w:ascii="Arial" w:cs="Arial" w:eastAsia="Arial" w:hAnsi="Arial"/>
                <w:sz w:val="18"/>
                <w:szCs w:val="18"/>
                <w:color w:val="auto"/>
                <w:w w:val="95"/>
              </w:rPr>
              <w:t>The underwriters expect to deliver the Notes to purchasers, only in book-entry form through the facilities of The Depository Trust Company, on or</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w w:val="98"/>
              </w:rPr>
              <w:t>about November   , 2017, which is the sixth business day following the date of this prospectus supplement. See “Underwriting.”</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222885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32" w:lineRule="exact"/>
        <w:rPr>
          <w:sz w:val="24"/>
          <w:szCs w:val="24"/>
          <w:color w:val="auto"/>
        </w:rPr>
      </w:pPr>
    </w:p>
    <w:p>
      <w:pPr>
        <w:spacing w:after="0"/>
        <w:tabs>
          <w:tab w:leader="none" w:pos="4440" w:val="left"/>
          <w:tab w:leader="none" w:pos="1008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3"/>
          <w:szCs w:val="23"/>
          <w:b w:val="1"/>
          <w:bCs w:val="1"/>
          <w:color w:val="auto"/>
        </w:rPr>
        <w:t>J.P. Morgan</w:t>
      </w:r>
    </w:p>
    <w:p>
      <w:pPr>
        <w:spacing w:after="0" w:line="127" w:lineRule="exact"/>
        <w:rPr>
          <w:sz w:val="24"/>
          <w:szCs w:val="24"/>
          <w:color w:val="auto"/>
        </w:rPr>
      </w:pPr>
    </w:p>
    <w:p>
      <w:pPr>
        <w:spacing w:after="0"/>
        <w:tabs>
          <w:tab w:leader="none" w:pos="3560" w:val="left"/>
          <w:tab w:leader="none" w:pos="6620" w:val="left"/>
          <w:tab w:leader="none" w:pos="1074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Mizuho Securities</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MUFG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84" w:lineRule="exact"/>
        <w:rPr>
          <w:sz w:val="24"/>
          <w:szCs w:val="24"/>
          <w:color w:val="auto"/>
        </w:rPr>
      </w:pPr>
    </w:p>
    <w:p>
      <w:pPr>
        <w:ind w:left="5000"/>
        <w:spacing w:after="0"/>
        <w:tabs>
          <w:tab w:leader="none" w:pos="5960" w:val="left"/>
        </w:tabs>
        <w:rPr>
          <w:sz w:val="20"/>
          <w:szCs w:val="20"/>
          <w:color w:val="auto"/>
        </w:rPr>
      </w:pPr>
      <w:r>
        <w:rPr>
          <w:rFonts w:ascii="Arial" w:cs="Arial" w:eastAsia="Arial" w:hAnsi="Arial"/>
          <w:sz w:val="16"/>
          <w:szCs w:val="16"/>
          <w:color w:val="auto"/>
        </w:rPr>
        <w:t>October</w:t>
      </w:r>
      <w:r>
        <w:rPr>
          <w:sz w:val="20"/>
          <w:szCs w:val="20"/>
          <w:color w:val="auto"/>
        </w:rPr>
        <w:tab/>
      </w:r>
      <w:r>
        <w:rPr>
          <w:rFonts w:ascii="Arial" w:cs="Arial" w:eastAsia="Arial" w:hAnsi="Arial"/>
          <w:sz w:val="16"/>
          <w:szCs w:val="16"/>
          <w:color w:val="auto"/>
        </w:rPr>
        <w:t>,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4"/>
          </w:tcPr>
          <w:p>
            <w:pPr>
              <w:jc w:val="right"/>
              <w:ind w:right="459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right"/>
              <w:ind w:right="4660"/>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500" w:type="dxa"/>
            <w:vAlign w:val="bottom"/>
            <w:gridSpan w:val="3"/>
          </w:tcPr>
          <w:p>
            <w:pPr>
              <w:jc w:val="right"/>
              <w:ind w:right="5491"/>
              <w:spacing w:after="0"/>
              <w:rPr>
                <w:sz w:val="20"/>
                <w:szCs w:val="20"/>
                <w:color w:val="auto"/>
              </w:rPr>
            </w:pPr>
            <w:r>
              <w:rPr>
                <w:rFonts w:ascii="Arial" w:cs="Arial" w:eastAsia="Arial" w:hAnsi="Arial"/>
                <w:sz w:val="18"/>
                <w:szCs w:val="18"/>
                <w:b w:val="1"/>
                <w:bCs w:val="1"/>
                <w:color w:val="auto"/>
                <w:w w:val="91"/>
              </w:rPr>
              <w:t>Prospectus</w:t>
            </w: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Notice Regarding Forward-Looking Statements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Breaches or disruptions of our information technology systems or those of our customers or suppliers;</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580" w:hanging="20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increases in tariff rates and the ability to realize deferred tax assets;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or our exposure to infringement claims;</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On October 24, 2017, we announced our results of operations as of and for the three months ended September 30, 2017. A summary of these results is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3Q17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7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3Q17</w:t>
            </w:r>
          </w:p>
        </w:tc>
        <w:tc>
          <w:tcPr>
            <w:tcW w:w="4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8"/>
              </w:rPr>
              <w:t>3Q16</w:t>
            </w:r>
            <w:r>
              <w:rPr>
                <w:rFonts w:ascii="Arial" w:cs="Arial" w:eastAsia="Arial" w:hAnsi="Arial"/>
                <w:sz w:val="12"/>
                <w:szCs w:val="12"/>
                <w:b w:val="1"/>
                <w:bCs w:val="1"/>
                <w:color w:val="auto"/>
                <w:w w:val="98"/>
              </w:rPr>
              <w:t>(1)</w:t>
            </w:r>
          </w:p>
        </w:tc>
        <w:tc>
          <w:tcPr>
            <w:tcW w:w="6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shd w:val="clear" w:color="auto" w:fill="CCEEFF"/>
          </w:tcPr>
          <w:p>
            <w:pPr>
              <w:spacing w:after="0"/>
              <w:rPr>
                <w:sz w:val="18"/>
                <w:szCs w:val="18"/>
                <w:color w:val="auto"/>
              </w:rPr>
            </w:pPr>
          </w:p>
        </w:tc>
        <w:tc>
          <w:tcPr>
            <w:tcW w:w="2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4,116</w:t>
            </w: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3,675</w:t>
            </w:r>
          </w:p>
        </w:tc>
        <w:tc>
          <w:tcPr>
            <w:tcW w:w="62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profit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1,788</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1,408</w:t>
            </w:r>
            <w:r>
              <w:rPr>
                <w:rFonts w:ascii="Arial" w:cs="Arial" w:eastAsia="Arial" w:hAnsi="Arial"/>
                <w:sz w:val="15"/>
                <w:szCs w:val="15"/>
                <w:color w:val="auto"/>
                <w:w w:val="91"/>
              </w:rPr>
              <w:t>(2)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1,722</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1,465</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320" w:hanging="424"/>
        <w:spacing w:after="0" w:line="258"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amounts in the prior period have been adjusted to reflect the fourth quarter 2016 early adoption of ASU 2016-09 related to stock-based compensation.</w:t>
      </w:r>
    </w:p>
    <w:p>
      <w:pPr>
        <w:spacing w:after="0" w:line="1" w:lineRule="exact"/>
        <w:rPr>
          <w:rFonts w:ascii="Arial" w:cs="Arial" w:eastAsia="Arial" w:hAnsi="Arial"/>
          <w:sz w:val="18"/>
          <w:szCs w:val="18"/>
          <w:color w:val="auto"/>
        </w:rPr>
      </w:pPr>
    </w:p>
    <w:p>
      <w:pPr>
        <w:ind w:left="620" w:right="40" w:hanging="424"/>
        <w:spacing w:after="0" w:line="261"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amount has been adjusted to reflect our first quarter 2017 early adoption of ASU 2017-07 related to the reclassification of certain pension and other retiree benefit costs to Other income (expense), net.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3Q17 Additional Financial Information</w:t>
      </w:r>
    </w:p>
    <w:p>
      <w:pPr>
        <w:spacing w:after="0" w:line="131" w:lineRule="exact"/>
        <w:rPr>
          <w:sz w:val="20"/>
          <w:szCs w:val="20"/>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88 percent of revenue in the third quarter.</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$3.4 billion at the end of the quarter.</w:t>
      </w:r>
    </w:p>
    <w:p>
      <w:pPr>
        <w:spacing w:after="0" w:line="130" w:lineRule="exact"/>
        <w:rPr>
          <w:rFonts w:ascii="Arial" w:cs="Arial" w:eastAsia="Arial" w:hAnsi="Arial"/>
          <w:sz w:val="18"/>
          <w:szCs w:val="18"/>
          <w:color w:val="auto"/>
        </w:rPr>
      </w:pPr>
    </w:p>
    <w:p>
      <w:pPr>
        <w:ind w:left="840" w:right="18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from operating activities in the third quarter were $1.7 billion. For the trailing twelve months, cash flows from operating activities were $4.8 billion, as compared with $4.7 billion, in the year-ago trailing twelve-month period.</w:t>
      </w:r>
    </w:p>
    <w:p>
      <w:pPr>
        <w:spacing w:after="0" w:line="75" w:lineRule="exact"/>
        <w:rPr>
          <w:rFonts w:ascii="Arial" w:cs="Arial" w:eastAsia="Arial" w:hAnsi="Arial"/>
          <w:sz w:val="18"/>
          <w:szCs w:val="18"/>
          <w:color w:val="auto"/>
        </w:rPr>
      </w:pPr>
    </w:p>
    <w:p>
      <w:pPr>
        <w:ind w:left="840" w:right="8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third quarter was $1.5 billion. For the trailing twelve months, free cash flow was $4.2 billion, or 29 percent of revenue, as compared with $4.1 billion, or 31 percent of revenue, in the year-ago trailing twelve-month period.</w:t>
      </w:r>
    </w:p>
    <w:p>
      <w:pPr>
        <w:spacing w:after="0" w:line="75" w:lineRule="exact"/>
        <w:rPr>
          <w:rFonts w:ascii="Arial" w:cs="Arial" w:eastAsia="Arial" w:hAnsi="Arial"/>
          <w:sz w:val="18"/>
          <w:szCs w:val="18"/>
          <w:color w:val="auto"/>
        </w:rPr>
      </w:pPr>
    </w:p>
    <w:p>
      <w:pPr>
        <w:ind w:left="840" w:right="8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$1.1 billion in the third quarter to shareholders through dividends and stock repurchases. For the trailing twelve months, the return to shareholders totaled $4.3 billion.</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326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326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Free cash flow is Cash flow from operations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3Q17 Segment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32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3Q17</w:t>
            </w:r>
          </w:p>
        </w:tc>
        <w:tc>
          <w:tcPr>
            <w:tcW w:w="460" w:type="dxa"/>
            <w:vAlign w:val="bottom"/>
          </w:tcPr>
          <w:p>
            <w:pPr>
              <w:spacing w:after="0"/>
              <w:rPr>
                <w:sz w:val="14"/>
                <w:szCs w:val="14"/>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3Q16</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2,323</w:t>
            </w:r>
          </w:p>
        </w:tc>
        <w:tc>
          <w:tcPr>
            <w:tcW w:w="6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957</w:t>
            </w:r>
            <w:r>
              <w:rPr>
                <w:rFonts w:ascii="Arial" w:cs="Arial" w:eastAsia="Arial" w:hAnsi="Arial"/>
                <w:sz w:val="15"/>
                <w:szCs w:val="15"/>
                <w:color w:val="auto"/>
              </w:rPr>
              <w:t>(1)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Embedded Processing:</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r>
              <w:rPr>
                <w:rFonts w:ascii="Arial" w:cs="Arial" w:eastAsia="Arial" w:hAnsi="Arial"/>
                <w:sz w:val="15"/>
                <w:szCs w:val="15"/>
                <w:color w:val="auto"/>
              </w:rPr>
              <w:t>(1)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557</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w:t>
            </w:r>
            <w:r>
              <w:rPr>
                <w:rFonts w:ascii="Arial" w:cs="Arial" w:eastAsia="Arial" w:hAnsi="Arial"/>
                <w:sz w:val="15"/>
                <w:szCs w:val="15"/>
                <w:color w:val="auto"/>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ind w:left="620" w:hanging="42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3" w:lineRule="exact"/>
        <w:rPr>
          <w:sz w:val="20"/>
          <w:szCs w:val="20"/>
          <w:color w:val="auto"/>
        </w:rPr>
      </w:pPr>
    </w:p>
    <w:p>
      <w:pPr>
        <w:ind w:left="620" w:right="60" w:hanging="424"/>
        <w:spacing w:after="0" w:line="261"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have been adjusted to reflect our first quarter 2017 early adoption of ASU 2017-07 related to the reclassification of certain pension and other retiree benefit costs to Other income (expense), net.</w:t>
      </w:r>
    </w:p>
    <w:p>
      <w:pPr>
        <w:spacing w:after="0" w:line="200" w:lineRule="exact"/>
        <w:rPr>
          <w:sz w:val="20"/>
          <w:szCs w:val="20"/>
          <w:color w:val="auto"/>
        </w:rPr>
      </w:pPr>
    </w:p>
    <w:p>
      <w:pPr>
        <w:spacing w:after="0" w:line="348"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2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52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5020" w:type="dxa"/>
            <w:vAlign w:val="bottom"/>
            <w:gridSpan w:val="4"/>
          </w:tcPr>
          <w:p>
            <w:pPr>
              <w:ind w:left="1200"/>
              <w:spacing w:after="0"/>
              <w:rPr>
                <w:sz w:val="20"/>
                <w:szCs w:val="20"/>
                <w:color w:val="auto"/>
              </w:rPr>
            </w:pPr>
            <w:r>
              <w:rPr>
                <w:rFonts w:ascii="Arial" w:cs="Arial" w:eastAsia="Arial" w:hAnsi="Arial"/>
                <w:sz w:val="18"/>
                <w:szCs w:val="18"/>
                <w:color w:val="auto"/>
              </w:rPr>
              <w:t>Texas Instruments Incorporated.</w:t>
            </w:r>
          </w:p>
        </w:tc>
        <w:tc>
          <w:tcPr>
            <w:tcW w:w="3220" w:type="dxa"/>
            <w:vAlign w:val="bottom"/>
          </w:tcPr>
          <w:p>
            <w:pPr>
              <w:spacing w:after="0"/>
              <w:rPr>
                <w:sz w:val="20"/>
                <w:szCs w:val="20"/>
                <w:color w:val="auto"/>
              </w:rPr>
            </w:pP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1600" w:type="dxa"/>
            <w:vAlign w:val="bottom"/>
          </w:tcPr>
          <w:p>
            <w:pPr>
              <w:ind w:left="1200"/>
              <w:spacing w:after="0"/>
              <w:rPr>
                <w:sz w:val="20"/>
                <w:szCs w:val="20"/>
                <w:color w:val="auto"/>
              </w:rPr>
            </w:pPr>
            <w:r>
              <w:rPr>
                <w:rFonts w:ascii="Arial" w:cs="Arial" w:eastAsia="Arial" w:hAnsi="Arial"/>
                <w:sz w:val="18"/>
                <w:szCs w:val="18"/>
                <w:color w:val="auto"/>
              </w:rPr>
              <w:t>$</w:t>
            </w:r>
          </w:p>
        </w:tc>
        <w:tc>
          <w:tcPr>
            <w:tcW w:w="6640" w:type="dxa"/>
            <w:vAlign w:val="bottom"/>
            <w:gridSpan w:val="4"/>
          </w:tcPr>
          <w:p>
            <w:pPr>
              <w:ind w:left="60"/>
              <w:spacing w:after="0"/>
              <w:rPr>
                <w:sz w:val="20"/>
                <w:szCs w:val="20"/>
                <w:color w:val="auto"/>
              </w:rPr>
            </w:pPr>
            <w:r>
              <w:rPr>
                <w:rFonts w:ascii="Arial" w:cs="Arial" w:eastAsia="Arial" w:hAnsi="Arial"/>
                <w:sz w:val="18"/>
                <w:szCs w:val="18"/>
                <w:color w:val="auto"/>
              </w:rPr>
              <w:t>aggregate principal amount of   % Notes due 20  .</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1600" w:type="dxa"/>
            <w:vAlign w:val="bottom"/>
          </w:tcPr>
          <w:p>
            <w:pPr>
              <w:spacing w:after="0"/>
              <w:rPr>
                <w:sz w:val="24"/>
                <w:szCs w:val="24"/>
                <w:color w:val="auto"/>
              </w:rPr>
            </w:pPr>
          </w:p>
        </w:tc>
        <w:tc>
          <w:tcPr>
            <w:tcW w:w="1440" w:type="dxa"/>
            <w:vAlign w:val="bottom"/>
            <w:gridSpan w:val="2"/>
          </w:tcPr>
          <w:p>
            <w:pPr>
              <w:jc w:val="right"/>
              <w:ind w:right="530"/>
              <w:spacing w:after="0"/>
              <w:rPr>
                <w:sz w:val="20"/>
                <w:szCs w:val="20"/>
                <w:color w:val="auto"/>
              </w:rPr>
            </w:pPr>
            <w:r>
              <w:rPr>
                <w:rFonts w:ascii="Arial" w:cs="Arial" w:eastAsia="Arial" w:hAnsi="Arial"/>
                <w:sz w:val="18"/>
                <w:szCs w:val="18"/>
                <w:color w:val="auto"/>
              </w:rPr>
              <w:t>, 20  .</w:t>
            </w:r>
          </w:p>
        </w:tc>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rPr>
              <w:t>November</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87"/>
              </w:rPr>
              <w:t>, 2017.</w:t>
            </w:r>
          </w:p>
        </w:tc>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w w:val="95"/>
              </w:rPr>
              <w:t>Fixed rate of</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1600" w:type="dxa"/>
            <w:vAlign w:val="bottom"/>
          </w:tcPr>
          <w:p>
            <w:pPr>
              <w:ind w:left="1200"/>
              <w:spacing w:after="0"/>
              <w:rPr>
                <w:sz w:val="20"/>
                <w:szCs w:val="20"/>
                <w:color w:val="auto"/>
              </w:rPr>
            </w:pPr>
            <w:r>
              <w:rPr>
                <w:rFonts w:ascii="Arial" w:cs="Arial" w:eastAsia="Arial" w:hAnsi="Arial"/>
                <w:sz w:val="18"/>
                <w:szCs w:val="18"/>
                <w:color w:val="auto"/>
                <w:w w:val="92"/>
              </w:rPr>
              <w:t>Each</w:t>
            </w:r>
          </w:p>
        </w:tc>
        <w:tc>
          <w:tcPr>
            <w:tcW w:w="580" w:type="dxa"/>
            <w:vAlign w:val="bottom"/>
          </w:tcPr>
          <w:p>
            <w:pPr>
              <w:spacing w:after="0"/>
              <w:rPr>
                <w:sz w:val="24"/>
                <w:szCs w:val="24"/>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and</w:t>
            </w:r>
          </w:p>
        </w:tc>
        <w:tc>
          <w:tcPr>
            <w:tcW w:w="1980" w:type="dxa"/>
            <w:vAlign w:val="bottom"/>
          </w:tcPr>
          <w:p>
            <w:pPr>
              <w:ind w:left="360"/>
              <w:spacing w:after="0"/>
              <w:rPr>
                <w:sz w:val="20"/>
                <w:szCs w:val="20"/>
                <w:color w:val="auto"/>
              </w:rPr>
            </w:pPr>
            <w:r>
              <w:rPr>
                <w:rFonts w:ascii="Arial" w:cs="Arial" w:eastAsia="Arial" w:hAnsi="Arial"/>
                <w:sz w:val="18"/>
                <w:szCs w:val="18"/>
                <w:color w:val="auto"/>
              </w:rPr>
              <w:t>beginning on</w:t>
            </w:r>
          </w:p>
        </w:tc>
        <w:tc>
          <w:tcPr>
            <w:tcW w:w="3220" w:type="dxa"/>
            <w:vAlign w:val="bottom"/>
          </w:tcPr>
          <w:p>
            <w:pPr>
              <w:ind w:left="80"/>
              <w:spacing w:after="0"/>
              <w:rPr>
                <w:sz w:val="20"/>
                <w:szCs w:val="20"/>
                <w:color w:val="auto"/>
              </w:rPr>
            </w:pPr>
            <w:r>
              <w:rPr>
                <w:rFonts w:ascii="Arial" w:cs="Arial" w:eastAsia="Arial" w:hAnsi="Arial"/>
                <w:sz w:val="18"/>
                <w:szCs w:val="18"/>
                <w:color w:val="auto"/>
              </w:rPr>
              <w:t>, 2018, and on the maturity date.</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80" w:type="dxa"/>
            <w:vAlign w:val="bottom"/>
          </w:tcPr>
          <w:p>
            <w:pPr>
              <w:spacing w:after="0"/>
              <w:rPr>
                <w:sz w:val="20"/>
                <w:szCs w:val="20"/>
                <w:color w:val="auto"/>
              </w:rPr>
            </w:pPr>
          </w:p>
        </w:tc>
        <w:tc>
          <w:tcPr>
            <w:tcW w:w="5020" w:type="dxa"/>
            <w:vAlign w:val="bottom"/>
            <w:gridSpan w:val="4"/>
          </w:tcPr>
          <w:p>
            <w:pPr>
              <w:ind w:left="1200"/>
              <w:spacing w:after="0"/>
              <w:rPr>
                <w:sz w:val="20"/>
                <w:szCs w:val="20"/>
                <w:color w:val="auto"/>
              </w:rPr>
            </w:pPr>
            <w:r>
              <w:rPr>
                <w:rFonts w:ascii="Arial" w:cs="Arial" w:eastAsia="Arial" w:hAnsi="Arial"/>
                <w:sz w:val="18"/>
                <w:szCs w:val="18"/>
                <w:color w:val="auto"/>
                <w:w w:val="94"/>
              </w:rPr>
              <w:t>Incorporated will be effectively senior to the Notes.</w:t>
            </w:r>
          </w:p>
        </w:tc>
        <w:tc>
          <w:tcPr>
            <w:tcW w:w="3220" w:type="dxa"/>
            <w:vAlign w:val="bottom"/>
          </w:tcPr>
          <w:p>
            <w:pPr>
              <w:spacing w:after="0"/>
              <w:rPr>
                <w:sz w:val="20"/>
                <w:szCs w:val="20"/>
                <w:color w:val="auto"/>
              </w:rPr>
            </w:pPr>
          </w:p>
        </w:tc>
      </w:tr>
      <w:tr>
        <w:trPr>
          <w:trHeight w:val="445"/>
        </w:trPr>
        <w:tc>
          <w:tcPr>
            <w:tcW w:w="3180" w:type="dxa"/>
            <w:vAlign w:val="bottom"/>
          </w:tcPr>
          <w:p>
            <w:pPr>
              <w:spacing w:after="0"/>
              <w:rPr>
                <w:sz w:val="24"/>
                <w:szCs w:val="24"/>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As of June 30, 2017, Texas Instruments Incorporated had approximately $3.6 billion of</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outstanding indebtedness. As of June 30, 2017, Texas Instruments had approximately</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7"/>
              </w:rPr>
              <w:t>$5.7 billion of total liabilities on a consolidated basis. Of this amount, subsidiaries of Texas</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Instruments Incorporated had approximately $1.1 billion of liabilities (including trade</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3180" w:type="dxa"/>
            <w:vAlign w:val="bottom"/>
          </w:tcPr>
          <w:p>
            <w:pPr>
              <w:spacing w:after="0"/>
              <w:rPr>
                <w:sz w:val="20"/>
                <w:szCs w:val="20"/>
                <w:color w:val="auto"/>
              </w:rPr>
            </w:pP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w w:val="87"/>
              </w:rPr>
              <w:t>subordinated.</w:t>
            </w: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30"/>
        </w:trPr>
        <w:tc>
          <w:tcPr>
            <w:tcW w:w="3180" w:type="dxa"/>
            <w:vAlign w:val="bottom"/>
          </w:tcPr>
          <w:p>
            <w:pPr>
              <w:spacing w:after="0"/>
              <w:rPr>
                <w:sz w:val="20"/>
                <w:szCs w:val="20"/>
                <w:color w:val="auto"/>
              </w:rPr>
            </w:pPr>
          </w:p>
        </w:tc>
        <w:tc>
          <w:tcPr>
            <w:tcW w:w="3040" w:type="dxa"/>
            <w:vAlign w:val="bottom"/>
            <w:gridSpan w:val="3"/>
          </w:tcPr>
          <w:p>
            <w:pPr>
              <w:ind w:left="1200"/>
              <w:spacing w:after="0"/>
              <w:rPr>
                <w:sz w:val="20"/>
                <w:szCs w:val="20"/>
                <w:color w:val="auto"/>
              </w:rPr>
            </w:pPr>
            <w:r>
              <w:rPr>
                <w:rFonts w:ascii="Arial" w:cs="Arial" w:eastAsia="Arial" w:hAnsi="Arial"/>
                <w:sz w:val="18"/>
                <w:szCs w:val="18"/>
                <w:color w:val="auto"/>
              </w:rPr>
              <w:t>global securities.</w:t>
            </w:r>
          </w:p>
        </w:tc>
        <w:tc>
          <w:tcPr>
            <w:tcW w:w="198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59"/>
        </w:trPr>
        <w:tc>
          <w:tcPr>
            <w:tcW w:w="31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5020" w:type="dxa"/>
            <w:vAlign w:val="bottom"/>
            <w:gridSpan w:val="4"/>
          </w:tcPr>
          <w:p>
            <w:pPr>
              <w:ind w:left="1200"/>
              <w:spacing w:after="0"/>
              <w:rPr>
                <w:sz w:val="20"/>
                <w:szCs w:val="20"/>
                <w:color w:val="auto"/>
              </w:rPr>
            </w:pPr>
            <w:r>
              <w:rPr>
                <w:rFonts w:ascii="Arial" w:cs="Arial" w:eastAsia="Arial" w:hAnsi="Arial"/>
                <w:sz w:val="18"/>
                <w:szCs w:val="18"/>
                <w:color w:val="auto"/>
              </w:rPr>
              <w:t>The internal laws of the State of New York.</w:t>
            </w:r>
          </w:p>
        </w:tc>
        <w:tc>
          <w:tcPr>
            <w:tcW w:w="3220" w:type="dxa"/>
            <w:vAlign w:val="bottom"/>
          </w:tcPr>
          <w:p>
            <w:pPr>
              <w:spacing w:after="0"/>
              <w:rPr>
                <w:sz w:val="24"/>
                <w:szCs w:val="24"/>
                <w:color w:val="auto"/>
              </w:rPr>
            </w:pP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3"/>
              </w:rPr>
              <w:t>We expect to use the net proceeds of this offering for general corporate purposes. See “Use of</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180" w:type="dxa"/>
            <w:vAlign w:val="bottom"/>
          </w:tcPr>
          <w:p>
            <w:pPr>
              <w:spacing w:after="0"/>
              <w:rPr>
                <w:sz w:val="18"/>
                <w:szCs w:val="18"/>
                <w:color w:val="auto"/>
              </w:rPr>
            </w:pPr>
          </w:p>
        </w:tc>
        <w:tc>
          <w:tcPr>
            <w:tcW w:w="8240" w:type="dxa"/>
            <w:vAlign w:val="bottom"/>
            <w:gridSpan w:val="5"/>
          </w:tcPr>
          <w:p>
            <w:pPr>
              <w:ind w:left="120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30"/>
        </w:trPr>
        <w:tc>
          <w:tcPr>
            <w:tcW w:w="3180" w:type="dxa"/>
            <w:vAlign w:val="bottom"/>
          </w:tcPr>
          <w:p>
            <w:pPr>
              <w:spacing w:after="0"/>
              <w:rPr>
                <w:sz w:val="20"/>
                <w:szCs w:val="20"/>
                <w:color w:val="auto"/>
              </w:rPr>
            </w:pPr>
          </w:p>
        </w:tc>
        <w:tc>
          <w:tcPr>
            <w:tcW w:w="3040" w:type="dxa"/>
            <w:vAlign w:val="bottom"/>
            <w:gridSpan w:val="3"/>
          </w:tcPr>
          <w:p>
            <w:pPr>
              <w:ind w:left="1200"/>
              <w:spacing w:after="0"/>
              <w:rPr>
                <w:sz w:val="20"/>
                <w:szCs w:val="20"/>
                <w:color w:val="auto"/>
              </w:rPr>
            </w:pPr>
            <w:r>
              <w:rPr>
                <w:rFonts w:ascii="Arial" w:cs="Arial" w:eastAsia="Arial" w:hAnsi="Arial"/>
                <w:sz w:val="18"/>
                <w:szCs w:val="18"/>
                <w:color w:val="auto"/>
              </w:rPr>
              <w:t>their affiliates.</w:t>
            </w:r>
          </w:p>
        </w:tc>
        <w:tc>
          <w:tcPr>
            <w:tcW w:w="198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159"/>
        </w:trPr>
        <w:tc>
          <w:tcPr>
            <w:tcW w:w="3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r>
      <w:tr>
        <w:trPr>
          <w:trHeight w:val="361"/>
        </w:trPr>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S-3</w:t>
            </w:r>
          </w:p>
        </w:tc>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will be consolidated and form a single series with the Notes offered by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intend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apply for listing of the Notes on any securities exchange. The underwriters have advised us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that they intend to make a market in the Notes, but they are not obligated to do so and may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discontinue market-making at any time without notice. See “Underwriting” in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159"/>
        </w:trPr>
        <w:tc>
          <w:tcPr>
            <w:tcW w:w="30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right w:val="single" w:sz="8" w:color="auto"/>
            </w:tcBorders>
          </w:tcPr>
          <w:p>
            <w:pPr>
              <w:spacing w:after="0"/>
              <w:rPr>
                <w:sz w:val="13"/>
                <w:szCs w:val="13"/>
                <w:color w:val="auto"/>
              </w:rPr>
            </w:pP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following tables set forth our summary historical financial information. The summary historical financial information for the years ended December 31, 2016, 2015 and 2014 and as of December 31, 2016 and 2015 has been derived from our audited consolidated financial statements included or incorporated by reference into this prospectus supplement and the accompanying prospectus. The summary historical financial information for the six months ended June 30, 2017 and 2016 and as of June 30, 2017 has been derived from our unaudited consolidated financial statements included or incorporated by reference into this prospectus supplement and the accompanying prospectus. Our unaudited consolidated financial statements have been prepared on a basis consistent with our audited consolidated financial statements; however, they may not be indicative of our results for the full year.</w:t>
      </w:r>
    </w:p>
    <w:p>
      <w:pPr>
        <w:spacing w:after="0" w:line="189" w:lineRule="exact"/>
        <w:rPr>
          <w:sz w:val="20"/>
          <w:szCs w:val="20"/>
          <w:color w:val="auto"/>
        </w:rPr>
      </w:pPr>
    </w:p>
    <w:p>
      <w:pPr>
        <w:ind w:left="200" w:right="560" w:firstLine="441"/>
        <w:spacing w:after="0" w:line="259"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3"/>
            <w:vMerge w:val="continue"/>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the beginning of the quarter ended March 31, 2017, we reflected the early adoption of ASU 2017-07 related to the classification of certain pension and other retiree benefits. ASU 2017-07 is required to be retrospectively applied to historical financial periods, and we expect to reflect the adoption in our annual report on Form 10-K for the period ended December 31, 2017. In connection with this adoption, we will reclassify certain expenses currently impacting Operating profit to Other income (expense), net in the amounts of</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$56 million, $48 million and $56 million for the 2016, 2015 and 2014 periods reflected above, respectively. The table below represents these line items on an as adjusted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(As Adjusted)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92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reclassification will not impact Revenue, Net income, Earnings per common share or Cash flows from operating activities.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Certain amounts for the six months ended June 30, 2016 have been adjusted to reflect our first quarter 2017 early adoption of ASU 2017-07 related to the reclassification of certain pension and other retiree benefit costs to Other income (expense), net.</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4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Inventories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Long-term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Reconciliation to the most directly comparable GAAP-based measures is provided in the table below. Certain amounts for the twelve months ended September 30, 2016 have been adjusted to reflect the following: (1) the fourth-quarter 2016 early adoption of ASU 2016-09 related to stock-based compensation, and (2) the first-quarter 2017 early adoption of ASU 2017-07 related to the reclassification of certain pension and other retiree benefit costs to Other income (expense), net.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3"/>
                <w:szCs w:val="3"/>
                <w:color w:val="auto"/>
              </w:rPr>
            </w:pPr>
          </w:p>
        </w:tc>
        <w:tc>
          <w:tcPr>
            <w:tcW w:w="1820" w:type="dxa"/>
            <w:vAlign w:val="bottom"/>
            <w:gridSpan w:val="7"/>
            <w:vMerge w:val="restart"/>
          </w:tcPr>
          <w:p>
            <w:pPr>
              <w:jc w:val="right"/>
              <w:ind w:right="380"/>
              <w:spacing w:after="0"/>
              <w:rPr>
                <w:sz w:val="20"/>
                <w:szCs w:val="20"/>
                <w:color w:val="auto"/>
              </w:rPr>
            </w:pPr>
            <w:r>
              <w:rPr>
                <w:rFonts w:ascii="Arial" w:cs="Arial" w:eastAsia="Arial" w:hAnsi="Arial"/>
                <w:sz w:val="14"/>
                <w:szCs w:val="14"/>
                <w:b w:val="1"/>
                <w:bCs w:val="1"/>
                <w:color w:val="auto"/>
                <w:w w:val="96"/>
              </w:rPr>
              <w:t>Twelve Months Ended</w:t>
            </w: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Borders>
              <w:left w:val="single" w:sz="8" w:color="auto"/>
            </w:tcBorders>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percentages)</w:t>
            </w:r>
          </w:p>
        </w:tc>
        <w:tc>
          <w:tcPr>
            <w:tcW w:w="224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line="20" w:lineRule="exact"/>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operations (GAAP)</w:t>
            </w:r>
          </w:p>
        </w:tc>
        <w:tc>
          <w:tcPr>
            <w:tcW w:w="2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300" w:type="dxa"/>
            <w:vAlign w:val="bottom"/>
            <w:tcBorders>
              <w:lef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CEEFF"/>
          </w:tcPr>
          <w:p>
            <w:pPr>
              <w:spacing w:after="0"/>
              <w:rPr>
                <w:sz w:val="18"/>
                <w:szCs w:val="18"/>
                <w:color w:val="auto"/>
              </w:rPr>
            </w:pP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00"/>
              <w:spacing w:after="0"/>
              <w:rPr>
                <w:sz w:val="20"/>
                <w:szCs w:val="20"/>
                <w:color w:val="auto"/>
              </w:rPr>
            </w:pPr>
            <w:r>
              <w:rPr>
                <w:rFonts w:ascii="Arial" w:cs="Arial" w:eastAsia="Arial" w:hAnsi="Arial"/>
                <w:sz w:val="18"/>
                <w:szCs w:val="18"/>
                <w:color w:val="auto"/>
              </w:rPr>
              <w:t>Revenue</w:t>
            </w: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13,145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0" w:type="dxa"/>
            <w:vAlign w:val="bottom"/>
            <w:gridSpan w:val="2"/>
          </w:tcPr>
          <w:p>
            <w:pPr>
              <w:ind w:left="540"/>
              <w:spacing w:after="0"/>
              <w:rPr>
                <w:sz w:val="20"/>
                <w:szCs w:val="20"/>
                <w:color w:val="auto"/>
              </w:rPr>
            </w:pPr>
            <w:r>
              <w:rPr>
                <w:rFonts w:ascii="Arial" w:cs="Arial" w:eastAsia="Arial" w:hAnsi="Arial"/>
                <w:sz w:val="18"/>
                <w:szCs w:val="18"/>
                <w:color w:val="auto"/>
              </w:rPr>
              <w:t>S-7</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753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753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7560" w:type="dxa"/>
            <w:vAlign w:val="bottom"/>
          </w:tcPr>
          <w:p>
            <w:pPr>
              <w:spacing w:after="0"/>
              <w:rPr>
                <w:sz w:val="3"/>
                <w:szCs w:val="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1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line="20" w:lineRule="exact"/>
              <w:rPr>
                <w:sz w:val="1"/>
                <w:szCs w:val="1"/>
                <w:color w:val="auto"/>
              </w:rPr>
            </w:pPr>
          </w:p>
        </w:tc>
      </w:tr>
      <w:tr>
        <w:trPr>
          <w:trHeight w:val="126"/>
        </w:trPr>
        <w:tc>
          <w:tcPr>
            <w:tcW w:w="75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60" w:type="dxa"/>
            <w:vAlign w:val="bottom"/>
            <w:vMerge w:val="continue"/>
          </w:tcPr>
          <w:p>
            <w:pPr>
              <w:spacing w:after="0"/>
              <w:rPr>
                <w:sz w:val="10"/>
                <w:szCs w:val="10"/>
                <w:color w:val="auto"/>
              </w:rPr>
            </w:pPr>
          </w:p>
        </w:tc>
        <w:tc>
          <w:tcPr>
            <w:tcW w:w="18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shd w:val="clear" w:color="auto" w:fill="000000"/>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56.4×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6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2017, we had approximately $5.7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an as adjusted basis after giving effect to this offering, as of June 30, 2017, Texas Instruments Incorporated would have had approximately</w:t>
      </w:r>
    </w:p>
    <w:p>
      <w:pPr>
        <w:spacing w:after="0" w:line="3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billion of total long-term indebtedness (including the Notes), all of which would have been unsecured and unsubordinated.</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9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following table sets forth a summary of our consolidated cash, cash equivalents and short-term investments and our capitalization on an actual and as adjusted basis as of June 30, 2017. Our consolidated capitalization, as adjusted, gives effect to the issuance of the Notes offered by this prospectus supplement as if the offering had occurred on June 30, 2017. This table should be read in conjunction with our consolidated financial statements and the related notes incorporated by reference into this prospectus supplement and the accompanying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42"/>
        </w:trPr>
        <w:tc>
          <w:tcPr>
            <w:tcW w:w="9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Historical</w:t>
            </w:r>
          </w:p>
        </w:tc>
        <w:tc>
          <w:tcPr>
            <w:tcW w:w="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3,084</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34,149</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(749,098,850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9"/>
              </w:rPr>
              <w:t>(26,345)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(26,345)</w:t>
            </w:r>
          </w:p>
        </w:tc>
        <w:tc>
          <w:tcPr>
            <w:tcW w:w="0" w:type="dxa"/>
            <w:vAlign w:val="bottom"/>
          </w:tcPr>
          <w:p>
            <w:pPr>
              <w:spacing w:after="0"/>
              <w:rPr>
                <w:sz w:val="1"/>
                <w:szCs w:val="1"/>
                <w:color w:val="auto"/>
              </w:rPr>
            </w:pP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(520)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13,792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spacing w:after="0" w:line="1"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$17 million, less $499 million representing the current portion of long-term debt.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Notes will mature on , 20 . The Notes will be issued in book-entry form only, in denominations of $2,000 and multiples of $1,000 thereafter. Interest on the Notes will accrue from November , 2017 at the rate per annum shown on the cover of this prospectus supplement. Interest on the Notes will be payable semi-annually on and , commencing on , 2018 to the persons in whose names the Notes are registered at the close of business on the preceding or , as the case may be. Interest on the Notes will be paid to but excluding the relevant interest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payment date. Interest on the Notes will be calculated on the basis of a 360-day year comprised of twelve 30-day months.</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2017, Texas Instruments Incorporated had approximately $3.6 billion of outstanding indebtedness. As of June 30, 2017, we had approximately $5.7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as adjusted basis after giving effect to this offering, as of June 30, 2017:</w:t>
      </w:r>
    </w:p>
    <w:p>
      <w:pPr>
        <w:spacing w:after="0" w:line="131" w:lineRule="exact"/>
        <w:rPr>
          <w:sz w:val="20"/>
          <w:szCs w:val="20"/>
          <w:color w:val="auto"/>
        </w:rPr>
      </w:pPr>
    </w:p>
    <w:p>
      <w:pPr>
        <w:ind w:left="660" w:right="36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ectPr>
          <w:pgSz w:w="11900" w:h="16838" w:orient="portrait"/>
          <w:cols w:equalWidth="0" w:num="1">
            <w:col w:w="11360"/>
          </w:cols>
          <w:pgMar w:left="240" w:top="459" w:right="299" w:bottom="1440" w:gutter="0" w:footer="0" w:header="0"/>
        </w:sectPr>
      </w:pPr>
    </w:p>
    <w:p>
      <w:pPr>
        <w:spacing w:after="0" w:line="154" w:lineRule="exact"/>
        <w:rPr>
          <w:sz w:val="20"/>
          <w:szCs w:val="20"/>
          <w:color w:val="auto"/>
        </w:rPr>
      </w:pPr>
    </w:p>
    <w:p>
      <w:pPr>
        <w:ind w:left="660" w:hanging="199"/>
        <w:spacing w:after="0" w:line="342" w:lineRule="auto"/>
        <w:tabs>
          <w:tab w:leader="none" w:pos="640" w:val="left"/>
        </w:tabs>
        <w:rPr>
          <w:sz w:val="20"/>
          <w:szCs w:val="20"/>
          <w:color w:val="auto"/>
        </w:rPr>
      </w:pPr>
      <w:r>
        <w:rPr>
          <w:rFonts w:ascii="Arial" w:cs="Arial" w:eastAsia="Arial" w:hAnsi="Arial"/>
          <w:sz w:val="16"/>
          <w:szCs w:val="16"/>
          <w:color w:val="auto"/>
        </w:rPr>
        <w:t>•</w:t>
        <w:tab/>
        <w:t>Texas Instruments Incorporated’s subsidiaries would have had approximately $ intercompany debt) to which the Notes would have been structurally subordinated.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billion of liabilities (including trade payables but excluding</w:t>
      </w:r>
    </w:p>
    <w:p>
      <w:pPr>
        <w:spacing w:after="0" w:line="540" w:lineRule="exact"/>
        <w:rPr>
          <w:sz w:val="20"/>
          <w:szCs w:val="20"/>
          <w:color w:val="auto"/>
        </w:rPr>
      </w:pPr>
    </w:p>
    <w:p>
      <w:pPr>
        <w:sectPr>
          <w:pgSz w:w="11900" w:h="16838" w:orient="portrait"/>
          <w:cols w:equalWidth="0" w:num="2">
            <w:col w:w="6620" w:space="100"/>
            <w:col w:w="4640"/>
          </w:cols>
          <w:pgMar w:left="240" w:top="459" w:right="29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60"/>
          </w:cols>
          <w:pgMar w:left="240" w:top="459" w:right="2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460"/>
        <w:spacing w:after="0"/>
        <w:tabs>
          <w:tab w:leader="none" w:pos="1760" w:val="left"/>
          <w:tab w:leader="none" w:pos="2240" w:val="left"/>
          <w:tab w:leader="none" w:pos="416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 whole or in part at</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any time, or from time to time, at Texas Instruments Incorporated’s option, at a “make-whole premium” redemption price calculated by Texas Instruments Incorporated equal to the greater of:</w:t>
      </w:r>
    </w:p>
    <w:p>
      <w:pPr>
        <w:spacing w:after="0" w:line="76" w:lineRule="exact"/>
        <w:rPr>
          <w:sz w:val="20"/>
          <w:szCs w:val="20"/>
          <w:color w:val="auto"/>
        </w:rPr>
      </w:pPr>
    </w:p>
    <w:p>
      <w:pPr>
        <w:ind w:left="820" w:hanging="35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 of</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such payments of interest accrued as of the date of redemption) from the date of redemption to , 20 (the date that is months prior to the maturity date of the Notes), in each case discounted to the date of redemption on a semi-annual basis (assuming a 360-day year consisting of twelve 30-day</w:t>
      </w:r>
    </w:p>
    <w:p>
      <w:pPr>
        <w:spacing w:after="0"/>
        <w:tabs>
          <w:tab w:leader="none" w:pos="4660" w:val="left"/>
        </w:tabs>
        <w:rPr>
          <w:sz w:val="20"/>
          <w:szCs w:val="20"/>
          <w:color w:val="auto"/>
        </w:rPr>
      </w:pPr>
      <w:r>
        <w:rPr>
          <w:rFonts w:ascii="Arial" w:cs="Arial" w:eastAsia="Arial" w:hAnsi="Arial"/>
          <w:sz w:val="18"/>
          <w:szCs w:val="18"/>
          <w:color w:val="auto"/>
        </w:rPr>
        <w:t>months) at the Treasury Rate (as defined below), plus</w:t>
      </w:r>
      <w:r>
        <w:rPr>
          <w:sz w:val="20"/>
          <w:szCs w:val="20"/>
          <w:color w:val="auto"/>
        </w:rPr>
        <w:tab/>
      </w:r>
      <w:r>
        <w:rPr>
          <w:rFonts w:ascii="Arial" w:cs="Arial" w:eastAsia="Arial" w:hAnsi="Arial"/>
          <w:sz w:val="16"/>
          <w:szCs w:val="16"/>
          <w:color w:val="auto"/>
        </w:rPr>
        <w:t>basis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any time on or after , 20 (the date that is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“Reference Treasury Dealer” means (i) Barclays Capital Inc., J.P. Morgan Securities LLC and Merrill Lynch, Pierce, Fenner &amp; Smith Incorporated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jc w:val="center"/>
        <w:ind w:left="5540" w:right="1200" w:hanging="4627"/>
        <w:spacing w:after="0" w:line="449" w:lineRule="auto"/>
        <w:tabs>
          <w:tab w:leader="none" w:pos="14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available in the relevant Euroclear or Clearstream cash account only as of the business day following settlement in DTC.</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6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as well as information regarding Euroclear and Clearstream, has been obtained from sources that Texas Instruments Incorporated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660" w:hanging="20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it is not effectively connected with your conduct of a trade or business in the United States as described below.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Barclays Capital Inc., J.P. Morgan Securities LLC and Merrill Lynch, Pierce, Fenner &amp; Smith Incorporated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71"/>
        </w:trPr>
        <w:tc>
          <w:tcPr>
            <w:tcW w:w="10100" w:type="dxa"/>
            <w:vAlign w:val="bottom"/>
            <w:gridSpan w:val="2"/>
            <w:vMerge w:val="continue"/>
          </w:tcPr>
          <w:p>
            <w:pPr>
              <w:spacing w:after="0"/>
              <w:rPr>
                <w:sz w:val="14"/>
                <w:szCs w:val="14"/>
                <w:color w:val="auto"/>
              </w:rPr>
            </w:pP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w:t>
            </w:r>
          </w:p>
        </w:tc>
        <w:tc>
          <w:tcPr>
            <w:tcW w:w="9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w:t>
            </w:r>
          </w:p>
        </w:tc>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2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Paid by Texas</w:t>
            </w:r>
          </w:p>
        </w:tc>
      </w:tr>
      <w:tr>
        <w:trPr>
          <w:trHeight w:val="149"/>
        </w:trPr>
        <w:tc>
          <w:tcPr>
            <w:tcW w:w="6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Instruments</w:t>
            </w:r>
          </w:p>
        </w:tc>
      </w:tr>
      <w:tr>
        <w:trPr>
          <w:trHeight w:val="171"/>
        </w:trPr>
        <w:tc>
          <w:tcPr>
            <w:tcW w:w="6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4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32"/>
        </w:trPr>
        <w:tc>
          <w:tcPr>
            <w:tcW w:w="6120" w:type="dxa"/>
            <w:vAlign w:val="bottom"/>
          </w:tcPr>
          <w:p>
            <w:pPr>
              <w:ind w:left="460"/>
              <w:spacing w:after="0"/>
              <w:rPr>
                <w:sz w:val="20"/>
                <w:szCs w:val="20"/>
                <w:color w:val="auto"/>
              </w:rPr>
            </w:pPr>
            <w:r>
              <w:rPr>
                <w:rFonts w:ascii="Arial" w:cs="Arial" w:eastAsia="Arial" w:hAnsi="Arial"/>
                <w:sz w:val="18"/>
                <w:szCs w:val="18"/>
                <w:color w:val="auto"/>
                <w:w w:val="94"/>
              </w:rPr>
              <w:t>We estimate that our total expenses for this offering will be approximately $</w:t>
            </w:r>
          </w:p>
        </w:tc>
        <w:tc>
          <w:tcPr>
            <w:tcW w:w="5300" w:type="dxa"/>
            <w:vAlign w:val="bottom"/>
            <w:gridSpan w:val="3"/>
          </w:tcPr>
          <w:p>
            <w:pPr>
              <w:jc w:val="right"/>
              <w:ind w:right="1990"/>
              <w:spacing w:after="0"/>
              <w:rPr>
                <w:sz w:val="20"/>
                <w:szCs w:val="20"/>
                <w:color w:val="auto"/>
              </w:rPr>
            </w:pPr>
            <w:r>
              <w:rPr>
                <w:rFonts w:ascii="Arial" w:cs="Arial" w:eastAsia="Arial" w:hAnsi="Arial"/>
                <w:sz w:val="18"/>
                <w:szCs w:val="18"/>
                <w:color w:val="auto"/>
                <w:w w:val="99"/>
              </w:rPr>
              <w:t>million, including underwriting discounts.</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8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right="54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2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92" w:lineRule="exact"/>
        <w:rPr>
          <w:sz w:val="20"/>
          <w:szCs w:val="20"/>
          <w:color w:val="auto"/>
        </w:rPr>
      </w:pPr>
    </w:p>
    <w:p>
      <w:pPr>
        <w:ind w:left="900" w:right="10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and the effectiveness of our internal control over financial reporting as of December 31, 2016, as set forth in their reports, which are incorporated by reference herein. Our financial statements and our management’s assessment of the effectiveness of internal control over financial reporting as of December 31, 2016, are incorporated by reference in reliance on Ernst &amp; Young LLP’s reports, given on their authority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2016, filed on February 23, 2017, the sections of the Definitive Proxy Statement on Schedule 14A for the 2017 annual meeting of stockholders, filed on March 6, 2017 and incorporated by reference in the Annual Report on Form 10-K for the year ended December 31, 2016, the Quarterly Reports on Form 10-Q for the quarters ended March 31, 2017 and June 30, 2017, filed on May 3, 2017 and August 3, 2017, respectively, the Current Reports on Form</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8-K filed on January 19, 2017 (the portion filed under Item 5.02), January 24, 2017 (the portion filed under Item 5.02), April 26, 2017, May 4, 2017, July 20, 2017 (the portion filed under Item 5.02) and September 22, 2017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9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408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408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788670</wp:posOffset>
            </wp:positionV>
            <wp:extent cx="2864485" cy="660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80" w:hanging="1221"/>
        <w:spacing w:after="0"/>
        <w:tabs>
          <w:tab w:leader="none" w:pos="5080" w:val="left"/>
        </w:tabs>
        <w:numPr>
          <w:ilvl w:val="0"/>
          <w:numId w:val="50"/>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1104900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jc w:val="center"/>
        <w:ind w:left="5060"/>
        <w:spacing w:after="0"/>
        <w:tabs>
          <w:tab w:leader="none" w:pos="200" w:val="left"/>
        </w:tabs>
        <w:rPr>
          <w:sz w:val="20"/>
          <w:szCs w:val="20"/>
          <w:color w:val="auto"/>
        </w:rPr>
      </w:pPr>
      <w:r>
        <w:rPr>
          <w:rFonts w:ascii="Arial" w:cs="Arial" w:eastAsia="Arial" w:hAnsi="Arial"/>
          <w:sz w:val="18"/>
          <w:szCs w:val="18"/>
          <w:b w:val="1"/>
          <w:bCs w:val="1"/>
          <w:color w:val="auto"/>
        </w:rPr>
        <w:t>October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274955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26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6860" w:type="dxa"/>
            <w:vAlign w:val="bottom"/>
            <w:gridSpan w:val="3"/>
          </w:tcPr>
          <w:p>
            <w:pPr>
              <w:ind w:left="2520"/>
              <w:spacing w:after="0"/>
              <w:rPr>
                <w:sz w:val="20"/>
                <w:szCs w:val="20"/>
                <w:color w:val="auto"/>
              </w:rPr>
            </w:pPr>
            <w:r>
              <w:rPr>
                <w:rFonts w:ascii="Arial" w:cs="Arial" w:eastAsia="Arial" w:hAnsi="Arial"/>
                <w:sz w:val="25"/>
                <w:szCs w:val="25"/>
                <w:b w:val="1"/>
                <w:bCs w:val="1"/>
                <w:color w:val="auto"/>
              </w:rPr>
              <w:t>BofA Merrill Lynch</w:t>
            </w:r>
          </w:p>
        </w:tc>
        <w:tc>
          <w:tcPr>
            <w:tcW w:w="2300" w:type="dxa"/>
            <w:vAlign w:val="bottom"/>
          </w:tcPr>
          <w:p>
            <w:pPr>
              <w:jc w:val="right"/>
              <w:spacing w:after="0"/>
              <w:rPr>
                <w:sz w:val="20"/>
                <w:szCs w:val="20"/>
                <w:color w:val="auto"/>
              </w:rPr>
            </w:pPr>
            <w:r>
              <w:rPr>
                <w:rFonts w:ascii="Arial" w:cs="Arial" w:eastAsia="Arial" w:hAnsi="Arial"/>
                <w:sz w:val="25"/>
                <w:szCs w:val="25"/>
                <w:b w:val="1"/>
                <w:bCs w:val="1"/>
                <w:color w:val="auto"/>
              </w:rPr>
              <w:t>J.P. Morgan</w:t>
            </w:r>
          </w:p>
        </w:tc>
      </w:tr>
      <w:tr>
        <w:trPr>
          <w:trHeight w:val="366"/>
        </w:trPr>
        <w:tc>
          <w:tcPr>
            <w:tcW w:w="226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4020" w:type="dxa"/>
            <w:vAlign w:val="bottom"/>
            <w:gridSpan w:val="2"/>
          </w:tcPr>
          <w:p>
            <w:pPr>
              <w:ind w:left="1320"/>
              <w:spacing w:after="0"/>
              <w:rPr>
                <w:sz w:val="20"/>
                <w:szCs w:val="20"/>
                <w:color w:val="auto"/>
              </w:rPr>
            </w:pPr>
            <w:r>
              <w:rPr>
                <w:rFonts w:ascii="Arial" w:cs="Arial" w:eastAsia="Arial" w:hAnsi="Arial"/>
                <w:sz w:val="22"/>
                <w:szCs w:val="22"/>
                <w:b w:val="1"/>
                <w:bCs w:val="1"/>
                <w:color w:val="auto"/>
              </w:rPr>
              <w:t>Mizuho Securities</w:t>
            </w:r>
          </w:p>
        </w:tc>
        <w:tc>
          <w:tcPr>
            <w:tcW w:w="2840" w:type="dxa"/>
            <w:vAlign w:val="bottom"/>
          </w:tcPr>
          <w:p>
            <w:pPr>
              <w:ind w:left="360"/>
              <w:spacing w:after="0"/>
              <w:rPr>
                <w:sz w:val="20"/>
                <w:szCs w:val="20"/>
                <w:color w:val="auto"/>
              </w:rPr>
            </w:pPr>
            <w:r>
              <w:rPr>
                <w:rFonts w:ascii="Arial" w:cs="Arial" w:eastAsia="Arial" w:hAnsi="Arial"/>
                <w:sz w:val="22"/>
                <w:szCs w:val="22"/>
                <w:b w:val="1"/>
                <w:bCs w:val="1"/>
                <w:color w:val="auto"/>
              </w:rPr>
              <w:t>Morgan Stanley</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MUFG</w:t>
            </w:r>
          </w:p>
        </w:tc>
      </w:tr>
      <w:tr>
        <w:trPr>
          <w:trHeight w:val="395"/>
        </w:trPr>
        <w:tc>
          <w:tcPr>
            <w:tcW w:w="2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33"/>
        </w:trPr>
        <w:tc>
          <w:tcPr>
            <w:tcW w:w="2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95"/>
        </w:trPr>
        <w:tc>
          <w:tcPr>
            <w:tcW w:w="226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3">
    <w:nsid w:val="6CEAF087"/>
    <w:multiLevelType w:val="hybridMultilevel"/>
    <w:lvl w:ilvl="0">
      <w:lvlJc w:val="left"/>
      <w:lvlText w:val="•"/>
      <w:numFmt w:val="bullet"/>
      <w:start w:val="1"/>
    </w:lvl>
    <w:lvl w:ilvl="1">
      <w:lvlJc w:val="left"/>
      <w:lvlText w:val="(%2)"/>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lvl w:ilvl="1">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2019-12-05T07:41:21Z</dcterms:created>
  <dcterms:modified xsi:type="dcterms:W3CDTF">2019-12-05T07:41:21Z</dcterms:modified>
</cp:coreProperties>
</file>