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1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5354320</wp:posOffset>
            </wp:positionH>
            <wp:positionV relativeFrom="paragraph">
              <wp:posOffset>-605790</wp:posOffset>
            </wp:positionV>
            <wp:extent cx="8255" cy="606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4034790</wp:posOffset>
            </wp:positionH>
            <wp:positionV relativeFrom="paragraph">
              <wp:posOffset>-614045</wp:posOffset>
            </wp:positionV>
            <wp:extent cx="825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4058920</wp:posOffset>
            </wp:positionH>
            <wp:positionV relativeFrom="paragraph">
              <wp:posOffset>-589915</wp:posOffset>
            </wp:positionV>
            <wp:extent cx="1278890" cy="5657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89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-1572260</wp:posOffset>
            </wp:positionH>
            <wp:positionV relativeFrom="paragraph">
              <wp:posOffset>36195</wp:posOffset>
            </wp:positionV>
            <wp:extent cx="6967855" cy="1614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20"/>
            <w:col w:w="86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Hsu Michael D.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62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200660</wp:posOffset>
            </wp:positionV>
            <wp:extent cx="6967855" cy="130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30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195.87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195.87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140.4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415.59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-1917065</wp:posOffset>
            </wp:positionV>
            <wp:extent cx="7033895" cy="19183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a joint revocable trust. The reporting person and his spouse are the trustees and beneficiaries.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09/22/2020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46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5433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2020-09-22T16:16:33Z</dcterms:created>
  <dcterms:modified xsi:type="dcterms:W3CDTF">2020-09-22T16:16:33Z</dcterms:modified>
</cp:coreProperties>
</file>