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77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772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26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520"/>
              <w:spacing w:after="0" w:line="155" w:lineRule="exact"/>
              <w:rPr>
                <w:sz w:val="20"/>
                <w:szCs w:val="20"/>
                <w:color w:val="auto"/>
              </w:rPr>
            </w:pPr>
            <w:r>
              <w:rPr>
                <w:rFonts w:ascii="Arial" w:cs="Arial" w:eastAsia="Arial" w:hAnsi="Arial"/>
                <w:sz w:val="14"/>
                <w:szCs w:val="14"/>
                <w:color w:val="auto"/>
              </w:rPr>
              <w:t>Line)</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56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75243</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6"/>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578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01/31/2019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24,757</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100.6991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199"/>
              <w:spacing w:after="0"/>
              <w:rPr>
                <w:sz w:val="20"/>
                <w:szCs w:val="20"/>
                <w:color w:val="auto"/>
              </w:rPr>
            </w:pPr>
            <w:r>
              <w:rPr>
                <w:rFonts w:ascii="Arial" w:cs="Arial" w:eastAsia="Arial" w:hAnsi="Arial"/>
                <w:sz w:val="18"/>
                <w:szCs w:val="18"/>
                <w:color w:val="0000FF"/>
                <w:w w:val="84"/>
              </w:rPr>
              <w:t>836,372</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01/31/2019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66,085</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101.3049</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199"/>
              <w:spacing w:after="0"/>
              <w:rPr>
                <w:sz w:val="20"/>
                <w:szCs w:val="20"/>
                <w:color w:val="auto"/>
              </w:rPr>
            </w:pPr>
            <w:r>
              <w:rPr>
                <w:rFonts w:ascii="Arial" w:cs="Arial" w:eastAsia="Arial" w:hAnsi="Arial"/>
                <w:sz w:val="18"/>
                <w:szCs w:val="18"/>
                <w:color w:val="0000FF"/>
                <w:w w:val="84"/>
              </w:rPr>
              <w:t>770,287</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vMerge w:val="restart"/>
          </w:tcPr>
          <w:p>
            <w:pPr>
              <w:jc w:val="center"/>
              <w:ind w:right="199"/>
              <w:spacing w:after="0"/>
              <w:rPr>
                <w:sz w:val="20"/>
                <w:szCs w:val="20"/>
                <w:color w:val="auto"/>
              </w:rPr>
            </w:pPr>
            <w:r>
              <w:rPr>
                <w:rFonts w:ascii="Arial" w:cs="Arial" w:eastAsia="Arial" w:hAnsi="Arial"/>
                <w:sz w:val="18"/>
                <w:szCs w:val="18"/>
                <w:color w:val="0000FF"/>
                <w:w w:val="84"/>
              </w:rPr>
              <w:t>46,551</w:t>
            </w:r>
            <w:r>
              <w:rPr>
                <w:rFonts w:ascii="Arial" w:cs="Arial" w:eastAsia="Arial" w:hAnsi="Arial"/>
                <w:sz w:val="22"/>
                <w:szCs w:val="22"/>
                <w:color w:val="008000"/>
                <w:w w:val="84"/>
                <w:vertAlign w:val="superscript"/>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12,806.35</w:t>
            </w:r>
            <w:r>
              <w:rPr>
                <w:rFonts w:ascii="Arial" w:cs="Arial" w:eastAsia="Arial" w:hAnsi="Arial"/>
                <w:sz w:val="22"/>
                <w:szCs w:val="22"/>
                <w:color w:val="008000"/>
                <w:w w:val="85"/>
                <w:vertAlign w:val="superscript"/>
              </w:rPr>
              <w:t>(4)</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310.9557</w:t>
            </w:r>
            <w:r>
              <w:rPr>
                <w:rFonts w:ascii="Arial" w:cs="Arial" w:eastAsia="Arial" w:hAnsi="Arial"/>
                <w:sz w:val="22"/>
                <w:szCs w:val="22"/>
                <w:color w:val="008000"/>
                <w:w w:val="85"/>
                <w:vertAlign w:val="superscript"/>
              </w:rPr>
              <w:t>(5)</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500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8"/>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10-25-2018. The price in Table 1 is a weighted average sale price. The sales were at prices ranging from $100.18 to $101.08.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10-25-2018. The price in Table 1 is a weighted average sale price. The sales were at prices ranging from $101.09 to $101.71.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12-31-2018. (Interests in this account are denominated in units. Consequently, share amount shown is an estimate.) This statement does not include changes in beneficial ownership of shares held in such account occurring after 12-31-2018 that are eligible for deferred reporting on Form 5.</w:t>
      </w: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12-31-2018. (Interests in this account are denominated in units. Consequently, share amount shown is an estimate.) This statement does not include changes in beneficial ownership of shares held in this account occurring after 12-31-2018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02/04/2019</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2019-12-23T21:23:23Z</dcterms:created>
  <dcterms:modified xsi:type="dcterms:W3CDTF">2019-12-23T21:23:23Z</dcterms:modified>
</cp:coreProperties>
</file>