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519430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15,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539115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544"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544" w:right="739" w:bottom="1440" w:gutter="0" w:footer="0" w:header="0"/>
          <w:type w:val="continuous"/>
        </w:sectPr>
      </w:pPr>
    </w:p>
    <w:p>
      <w:pPr>
        <w:spacing w:after="0" w:line="3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544" w:right="73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532130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44"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the annual meeting of stockholders held on April 15, 2010, the stockholders elected TI’s Board of Directors and voted upon one Board proposal contained within our Proxy Statement dated March 4,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Broker-Non</w:t>
            </w:r>
          </w:p>
        </w:tc>
      </w:tr>
      <w:tr>
        <w:trPr>
          <w:trHeight w:val="241"/>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Nominee</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For</w:t>
            </w:r>
          </w:p>
        </w:tc>
        <w:tc>
          <w:tcPr>
            <w:tcW w:w="240" w:type="dxa"/>
            <w:vAlign w:val="bottom"/>
            <w:gridSpan w:val="3"/>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Against</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Votes</w:t>
            </w:r>
          </w:p>
        </w:tc>
        <w:tc>
          <w:tcPr>
            <w:tcW w:w="100" w:type="dxa"/>
            <w:vAlign w:val="bottom"/>
          </w:tcPr>
          <w:p>
            <w:pPr>
              <w:spacing w:after="0"/>
              <w:rPr>
                <w:sz w:val="20"/>
                <w:szCs w:val="20"/>
                <w:color w:val="auto"/>
              </w:rPr>
            </w:pPr>
          </w:p>
        </w:tc>
      </w:tr>
      <w:tr>
        <w:trPr>
          <w:trHeight w:val="418"/>
        </w:trPr>
        <w:tc>
          <w:tcPr>
            <w:tcW w:w="5960" w:type="dxa"/>
            <w:vAlign w:val="bottom"/>
          </w:tcPr>
          <w:p>
            <w:pPr>
              <w:spacing w:after="0"/>
              <w:rPr>
                <w:sz w:val="20"/>
                <w:szCs w:val="20"/>
                <w:color w:val="auto"/>
              </w:rPr>
            </w:pPr>
            <w:r>
              <w:rPr>
                <w:rFonts w:ascii="Arial" w:cs="Arial" w:eastAsia="Arial" w:hAnsi="Arial"/>
                <w:sz w:val="18"/>
                <w:szCs w:val="18"/>
                <w:color w:val="auto"/>
              </w:rPr>
              <w:t>Ralph W. Babb</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916,925,799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6,443,670</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2,166,407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120,391,301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David L. Boren</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897,024,580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27,053,474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1,457,822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120,391,301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Daniel A. Carp</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905,825,426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17,533,450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2,177,000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120,391,301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Carrie S. Cox</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915,152,070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8,289,382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2,094,424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120,391,301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David R. Goode</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905,974,083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17,261,930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2,299,863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120,391,301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Stephen P. MacMillan</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917,157,141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6,233,688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2,145,047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120,391,301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Pamela H. Patsley</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902,008,869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21,397,290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2,129,717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120,391,301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Wayne R. Sanders</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908,819,762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14,,420,466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2,295,648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120,391,301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Ruth J. Simmons</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879,798,670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43,484,383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2,252,823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120,391,301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Richard K. Templeton</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894,995,483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28,692,867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1,847,526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120,391,301</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Christine Todd Whitman</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911,538,069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11,877,614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2,120,193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120,391,301</w:t>
            </w:r>
          </w:p>
        </w:tc>
      </w:tr>
      <w:tr>
        <w:trPr>
          <w:trHeight w:val="459"/>
        </w:trPr>
        <w:tc>
          <w:tcPr>
            <w:tcW w:w="5960" w:type="dxa"/>
            <w:vAlign w:val="bottom"/>
          </w:tcPr>
          <w:p>
            <w:pPr>
              <w:spacing w:after="0"/>
              <w:rPr>
                <w:sz w:val="20"/>
                <w:szCs w:val="20"/>
                <w:color w:val="auto"/>
              </w:rPr>
            </w:pPr>
            <w:r>
              <w:rPr>
                <w:rFonts w:ascii="Arial" w:cs="Arial" w:eastAsia="Arial" w:hAnsi="Arial"/>
                <w:sz w:val="18"/>
                <w:szCs w:val="18"/>
                <w:color w:val="auto"/>
              </w:rPr>
              <w:t>The Board proposal was approved with the following vote:</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For</w:t>
            </w:r>
          </w:p>
        </w:tc>
        <w:tc>
          <w:tcPr>
            <w:tcW w:w="2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100" w:type="dxa"/>
            <w:vAlign w:val="bottom"/>
          </w:tcPr>
          <w:p>
            <w:pPr>
              <w:spacing w:after="0"/>
              <w:rPr>
                <w:sz w:val="24"/>
                <w:szCs w:val="24"/>
                <w:color w:val="auto"/>
              </w:rPr>
            </w:pPr>
          </w:p>
        </w:tc>
      </w:tr>
      <w:tr>
        <w:trPr>
          <w:trHeight w:val="418"/>
        </w:trPr>
        <w:tc>
          <w:tcPr>
            <w:tcW w:w="7480" w:type="dxa"/>
            <w:vAlign w:val="bottom"/>
            <w:gridSpan w:val="6"/>
          </w:tcPr>
          <w:p>
            <w:pPr>
              <w:spacing w:after="0"/>
              <w:rPr>
                <w:sz w:val="20"/>
                <w:szCs w:val="20"/>
                <w:color w:val="auto"/>
              </w:rPr>
            </w:pPr>
            <w:r>
              <w:rPr>
                <w:rFonts w:ascii="Arial" w:cs="Arial" w:eastAsia="Arial" w:hAnsi="Arial"/>
                <w:sz w:val="18"/>
                <w:szCs w:val="18"/>
                <w:color w:val="auto"/>
                <w:w w:val="99"/>
              </w:rPr>
              <w:t>Board proposal to ratify the appointment of Ernst &amp; Young LLP as the company's independent</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registered public accounting firm for 2010</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1,033,217,323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10,446,177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2,263,675</w:t>
            </w:r>
          </w:p>
        </w:tc>
      </w:tr>
      <w:tr>
        <w:trPr>
          <w:trHeight w:val="1118"/>
        </w:trPr>
        <w:tc>
          <w:tcPr>
            <w:tcW w:w="59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70" w:lineRule="exact"/>
        <w:rPr>
          <w:sz w:val="20"/>
          <w:szCs w:val="20"/>
          <w:color w:val="auto"/>
        </w:rPr>
      </w:pPr>
    </w:p>
    <w:p>
      <w:pPr>
        <w:ind w:left="1100" w:hanging="322"/>
        <w:spacing w:after="0"/>
        <w:tabs>
          <w:tab w:leader="none" w:pos="110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entertainment electronics and computing;</w:t>
      </w:r>
    </w:p>
    <w:p>
      <w:pPr>
        <w:spacing w:after="0" w:line="236" w:lineRule="exact"/>
        <w:rPr>
          <w:rFonts w:ascii="Arial" w:cs="Arial" w:eastAsia="Arial" w:hAnsi="Arial"/>
          <w:sz w:val="17"/>
          <w:szCs w:val="17"/>
          <w:color w:val="auto"/>
        </w:rPr>
      </w:pPr>
    </w:p>
    <w:p>
      <w:pPr>
        <w:ind w:left="1100" w:right="340" w:hanging="322"/>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70"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25" w:lineRule="exact"/>
        <w:rPr>
          <w:rFonts w:ascii="Arial" w:cs="Arial" w:eastAsia="Arial" w:hAnsi="Arial"/>
          <w:sz w:val="18"/>
          <w:szCs w:val="18"/>
          <w:color w:val="auto"/>
        </w:rPr>
      </w:pPr>
    </w:p>
    <w:p>
      <w:pPr>
        <w:ind w:left="1100" w:right="240" w:hanging="322"/>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70"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248" w:lineRule="exact"/>
        <w:rPr>
          <w:rFonts w:ascii="Arial" w:cs="Arial" w:eastAsia="Arial" w:hAnsi="Arial"/>
          <w:sz w:val="16"/>
          <w:szCs w:val="16"/>
          <w:color w:val="auto"/>
        </w:rPr>
      </w:pPr>
    </w:p>
    <w:p>
      <w:pPr>
        <w:ind w:left="1100" w:right="180" w:hanging="322"/>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70" w:lineRule="exact"/>
        <w:rPr>
          <w:rFonts w:ascii="Arial" w:cs="Arial" w:eastAsia="Arial" w:hAnsi="Arial"/>
          <w:sz w:val="18"/>
          <w:szCs w:val="18"/>
          <w:color w:val="auto"/>
        </w:rPr>
      </w:pPr>
    </w:p>
    <w:p>
      <w:pPr>
        <w:ind w:left="1100" w:right="680" w:hanging="322"/>
        <w:spacing w:after="0" w:line="264"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81"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248" w:lineRule="exact"/>
        <w:rPr>
          <w:rFonts w:ascii="Arial" w:cs="Arial" w:eastAsia="Arial" w:hAnsi="Arial"/>
          <w:sz w:val="16"/>
          <w:szCs w:val="16"/>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ability of TI and its customers and suppliers to access their bank accounts and lines of credit or otherwise access the capital markets;</w:t>
      </w:r>
    </w:p>
    <w:p>
      <w:pPr>
        <w:spacing w:after="0" w:line="248" w:lineRule="exact"/>
        <w:rPr>
          <w:rFonts w:ascii="Arial" w:cs="Arial" w:eastAsia="Arial" w:hAnsi="Arial"/>
          <w:sz w:val="16"/>
          <w:szCs w:val="16"/>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248" w:lineRule="exact"/>
        <w:rPr>
          <w:rFonts w:ascii="Arial" w:cs="Arial" w:eastAsia="Arial" w:hAnsi="Arial"/>
          <w:sz w:val="16"/>
          <w:szCs w:val="16"/>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25" w:lineRule="exact"/>
        <w:rPr>
          <w:rFonts w:ascii="Arial" w:cs="Arial" w:eastAsia="Arial" w:hAnsi="Arial"/>
          <w:sz w:val="18"/>
          <w:szCs w:val="18"/>
          <w:color w:val="auto"/>
        </w:rPr>
      </w:pPr>
    </w:p>
    <w:p>
      <w:pPr>
        <w:ind w:left="1100" w:right="240" w:hanging="322"/>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3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April 15,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74"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2019-12-10T03:14:46Z</dcterms:created>
  <dcterms:modified xsi:type="dcterms:W3CDTF">2019-12-10T03:14:46Z</dcterms:modified>
</cp:coreProperties>
</file>