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8"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b w:val="1"/>
          <w:bCs w:val="1"/>
          <w:color w:val="FF0000"/>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7"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FF0000"/>
        </w:rPr>
        <w:t>SUBJECT TO COMPLETION, DATED APRIL 30, 2018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160020</wp:posOffset>
            </wp:positionV>
            <wp:extent cx="286448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140" w:hanging="1362"/>
        <w:spacing w:after="0"/>
        <w:tabs>
          <w:tab w:leader="none" w:pos="5140" w:val="left"/>
        </w:tabs>
        <w:numPr>
          <w:ilvl w:val="0"/>
          <w:numId w:val="1"/>
        </w:numPr>
        <w:rPr>
          <w:rFonts w:ascii="Arial" w:cs="Arial" w:eastAsia="Arial" w:hAnsi="Arial"/>
          <w:sz w:val="29"/>
          <w:szCs w:val="29"/>
          <w:b w:val="1"/>
          <w:bCs w:val="1"/>
          <w:color w:val="auto"/>
        </w:rPr>
      </w:pPr>
      <w:r>
        <w:rPr>
          <w:rFonts w:ascii="Arial" w:cs="Arial" w:eastAsia="Arial" w:hAnsi="Arial"/>
          <w:sz w:val="29"/>
          <w:szCs w:val="29"/>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245745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460"/>
        <w:spacing w:after="0"/>
        <w:tabs>
          <w:tab w:leader="none" w:pos="4040" w:val="left"/>
          <w:tab w:leader="none" w:pos="6660" w:val="left"/>
          <w:tab w:leader="none" w:pos="8020" w:val="left"/>
        </w:tabs>
        <w:rPr>
          <w:sz w:val="20"/>
          <w:szCs w:val="20"/>
          <w:color w:val="auto"/>
        </w:rPr>
      </w:pPr>
      <w:r>
        <w:rPr>
          <w:rFonts w:ascii="Arial" w:cs="Arial" w:eastAsia="Arial" w:hAnsi="Arial"/>
          <w:sz w:val="18"/>
          <w:szCs w:val="18"/>
          <w:color w:val="auto"/>
        </w:rPr>
        <w:t>Texas Instruments Incorporated is offering $</w:t>
      </w:r>
      <w:r>
        <w:rPr>
          <w:sz w:val="20"/>
          <w:szCs w:val="20"/>
          <w:color w:val="auto"/>
        </w:rPr>
        <w:tab/>
      </w:r>
      <w:r>
        <w:rPr>
          <w:rFonts w:ascii="Arial" w:cs="Arial" w:eastAsia="Arial" w:hAnsi="Arial"/>
          <w:sz w:val="18"/>
          <w:szCs w:val="18"/>
          <w:color w:val="auto"/>
        </w:rPr>
        <w:t>aggregate principal amount of its</w:t>
        <w:tab/>
        <w:t>% Notes due 20</w:t>
      </w:r>
      <w:r>
        <w:rPr>
          <w:sz w:val="20"/>
          <w:szCs w:val="20"/>
          <w:color w:val="auto"/>
        </w:rPr>
        <w:tab/>
      </w:r>
      <w:r>
        <w:rPr>
          <w:rFonts w:ascii="Arial" w:cs="Arial" w:eastAsia="Arial" w:hAnsi="Arial"/>
          <w:sz w:val="16"/>
          <w:szCs w:val="16"/>
          <w:color w:val="auto"/>
        </w:rPr>
        <w:t>(the “Notes”), which will bear interest at the</w:t>
      </w:r>
    </w:p>
    <w:p>
      <w:pPr>
        <w:spacing w:after="0" w:line="23" w:lineRule="exact"/>
        <w:rPr>
          <w:sz w:val="24"/>
          <w:szCs w:val="24"/>
          <w:color w:val="auto"/>
        </w:rPr>
      </w:pPr>
    </w:p>
    <w:p>
      <w:pPr>
        <w:spacing w:after="0"/>
        <w:tabs>
          <w:tab w:leader="none" w:pos="7740" w:val="left"/>
          <w:tab w:leader="none" w:pos="8780" w:val="left"/>
        </w:tabs>
        <w:rPr>
          <w:sz w:val="20"/>
          <w:szCs w:val="20"/>
          <w:color w:val="auto"/>
        </w:rPr>
      </w:pPr>
      <w:r>
        <w:rPr>
          <w:rFonts w:ascii="Arial" w:cs="Arial" w:eastAsia="Arial" w:hAnsi="Arial"/>
          <w:sz w:val="18"/>
          <w:szCs w:val="18"/>
          <w:color w:val="auto"/>
        </w:rPr>
        <w:t>rate per year as set forth above. Interest on the Notes will be payable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of each year, beginning</w:t>
      </w:r>
    </w:p>
    <w:p>
      <w:pPr>
        <w:spacing w:after="0" w:line="9"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2018.</w:t>
      </w:r>
    </w:p>
    <w:p>
      <w:pPr>
        <w:spacing w:after="0" w:line="211" w:lineRule="exact"/>
        <w:rPr>
          <w:sz w:val="24"/>
          <w:szCs w:val="24"/>
          <w:color w:val="auto"/>
        </w:rPr>
      </w:pPr>
    </w:p>
    <w:p>
      <w:pPr>
        <w:ind w:left="460"/>
        <w:spacing w:after="0"/>
        <w:tabs>
          <w:tab w:leader="none" w:pos="3040" w:val="left"/>
          <w:tab w:leader="none" w:pos="3540" w:val="left"/>
        </w:tabs>
        <w:rPr>
          <w:sz w:val="20"/>
          <w:szCs w:val="20"/>
          <w:color w:val="auto"/>
        </w:rPr>
      </w:pPr>
      <w:r>
        <w:rPr>
          <w:rFonts w:ascii="Arial" w:cs="Arial" w:eastAsia="Arial" w:hAnsi="Arial"/>
          <w:sz w:val="18"/>
          <w:szCs w:val="18"/>
          <w:color w:val="auto"/>
        </w:rPr>
        <w:t>The 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25" w:lineRule="exact"/>
        <w:rPr>
          <w:sz w:val="24"/>
          <w:szCs w:val="24"/>
          <w:color w:val="auto"/>
        </w:rPr>
      </w:pPr>
    </w:p>
    <w:p>
      <w:pPr>
        <w:ind w:right="700" w:firstLine="456"/>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4"/>
          <w:szCs w:val="24"/>
          <w:color w:val="auto"/>
        </w:rPr>
      </w:pPr>
    </w:p>
    <w:p>
      <w:pPr>
        <w:ind w:right="600" w:firstLine="456"/>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203200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234315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320"/>
        <w:spacing w:after="0" w:line="34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173355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4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w w:val="97"/>
              </w:rPr>
              <w:t>Per</w:t>
            </w: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w w:val="83"/>
              </w:rPr>
              <w:t>Note</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Underwriting discount</w:t>
            </w:r>
          </w:p>
        </w:tc>
        <w:tc>
          <w:tcPr>
            <w:tcW w:w="716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716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80" w:type="dxa"/>
            <w:vAlign w:val="bottom"/>
          </w:tcPr>
          <w:p>
            <w:pPr>
              <w:ind w:left="460"/>
              <w:spacing w:after="0"/>
              <w:rPr>
                <w:sz w:val="20"/>
                <w:szCs w:val="20"/>
                <w:color w:val="auto"/>
              </w:rPr>
            </w:pPr>
            <w:r>
              <w:rPr>
                <w:rFonts w:ascii="Arial" w:cs="Arial" w:eastAsia="Arial" w:hAnsi="Arial"/>
                <w:sz w:val="18"/>
                <w:szCs w:val="18"/>
                <w:color w:val="auto"/>
              </w:rPr>
              <w:t>Interest on the Notes will accrue from</w:t>
            </w:r>
          </w:p>
        </w:tc>
        <w:tc>
          <w:tcPr>
            <w:tcW w:w="7160" w:type="dxa"/>
            <w:vAlign w:val="bottom"/>
            <w:gridSpan w:val="3"/>
          </w:tcPr>
          <w:p>
            <w:pPr>
              <w:jc w:val="right"/>
              <w:ind w:right="4590"/>
              <w:spacing w:after="0"/>
              <w:rPr>
                <w:sz w:val="20"/>
                <w:szCs w:val="20"/>
                <w:color w:val="auto"/>
              </w:rPr>
            </w:pPr>
            <w:r>
              <w:rPr>
                <w:rFonts w:ascii="Arial" w:cs="Arial" w:eastAsia="Arial" w:hAnsi="Arial"/>
                <w:sz w:val="18"/>
                <w:szCs w:val="18"/>
                <w:color w:val="auto"/>
              </w:rPr>
              <w:t>, 2018 to the date of delivery.</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60"/>
        <w:spacing w:after="0"/>
        <w:rPr>
          <w:sz w:val="20"/>
          <w:szCs w:val="20"/>
          <w:color w:val="auto"/>
        </w:rPr>
      </w:pPr>
      <w:r>
        <w:rPr>
          <w:rFonts w:ascii="Arial" w:cs="Arial" w:eastAsia="Arial" w:hAnsi="Arial"/>
          <w:sz w:val="17"/>
          <w:szCs w:val="17"/>
          <w:color w:val="auto"/>
        </w:rPr>
        <w:t>The underwriters expect to deliver the Notes to purchasers only in book-entry form through the facilities of The Depository Trust Company and its</w:t>
      </w:r>
    </w:p>
    <w:p>
      <w:pPr>
        <w:spacing w:after="0" w:line="35" w:lineRule="exact"/>
        <w:rPr>
          <w:sz w:val="24"/>
          <w:szCs w:val="24"/>
          <w:color w:val="auto"/>
        </w:rPr>
      </w:pPr>
    </w:p>
    <w:p>
      <w:pPr>
        <w:jc w:val="both"/>
        <w:ind w:right="200"/>
        <w:spacing w:after="0" w:line="261" w:lineRule="auto"/>
        <w:rPr>
          <w:sz w:val="20"/>
          <w:szCs w:val="20"/>
          <w:color w:val="auto"/>
        </w:rPr>
      </w:pPr>
      <w:r>
        <w:rPr>
          <w:rFonts w:ascii="Arial" w:cs="Arial" w:eastAsia="Arial" w:hAnsi="Arial"/>
          <w:sz w:val="18"/>
          <w:szCs w:val="18"/>
          <w:color w:val="auto"/>
        </w:rPr>
        <w:t>participants, including Euroclear Bank S.A./N.V. and Clearstream Banking, S.A., on or about , 2018, which is the fifth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211455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223" w:lineRule="exact"/>
        <w:rPr>
          <w:sz w:val="24"/>
          <w:szCs w:val="24"/>
          <w:color w:val="auto"/>
        </w:rPr>
      </w:pPr>
    </w:p>
    <w:p>
      <w:pPr>
        <w:spacing w:after="0"/>
        <w:tabs>
          <w:tab w:leader="none" w:pos="4760" w:val="left"/>
          <w:tab w:leader="none" w:pos="9420" w:val="left"/>
        </w:tabs>
        <w:rPr>
          <w:sz w:val="20"/>
          <w:szCs w:val="20"/>
          <w:color w:val="auto"/>
        </w:rPr>
      </w:pP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9"/>
          <w:szCs w:val="29"/>
          <w:b w:val="1"/>
          <w:bCs w:val="1"/>
          <w:color w:val="auto"/>
        </w:rPr>
        <w:t>Mizuho Securities</w:t>
      </w:r>
      <w:r>
        <w:rPr>
          <w:sz w:val="20"/>
          <w:szCs w:val="20"/>
          <w:color w:val="auto"/>
        </w:rPr>
        <w:tab/>
      </w:r>
      <w:r>
        <w:rPr>
          <w:rFonts w:ascii="Arial" w:cs="Arial" w:eastAsia="Arial" w:hAnsi="Arial"/>
          <w:sz w:val="26"/>
          <w:szCs w:val="26"/>
          <w:b w:val="1"/>
          <w:bCs w:val="1"/>
          <w:color w:val="auto"/>
        </w:rPr>
        <w:t>Morgan Stanley</w:t>
      </w:r>
    </w:p>
    <w:p>
      <w:pPr>
        <w:spacing w:after="0" w:line="135" w:lineRule="exact"/>
        <w:rPr>
          <w:sz w:val="24"/>
          <w:szCs w:val="24"/>
          <w:color w:val="auto"/>
        </w:rPr>
      </w:pPr>
    </w:p>
    <w:p>
      <w:pPr>
        <w:spacing w:after="0"/>
        <w:tabs>
          <w:tab w:leader="none" w:pos="3440" w:val="left"/>
          <w:tab w:leader="none" w:pos="7740" w:val="left"/>
          <w:tab w:leader="none" w:pos="1064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MUFG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243840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99" w:lineRule="exact"/>
        <w:rPr>
          <w:sz w:val="24"/>
          <w:szCs w:val="24"/>
          <w:color w:val="auto"/>
        </w:rPr>
      </w:pPr>
    </w:p>
    <w:p>
      <w:pPr>
        <w:ind w:left="5940"/>
        <w:spacing w:after="0"/>
        <w:rPr>
          <w:sz w:val="20"/>
          <w:szCs w:val="20"/>
          <w:color w:val="auto"/>
        </w:rPr>
      </w:pPr>
      <w:r>
        <w:rPr>
          <w:rFonts w:ascii="Arial" w:cs="Arial" w:eastAsia="Arial" w:hAnsi="Arial"/>
          <w:sz w:val="15"/>
          <w:szCs w:val="15"/>
          <w:color w:val="auto"/>
        </w:rPr>
        <w:t>, 2018</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216535</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40" w:type="dxa"/>
            <w:vAlign w:val="bottom"/>
            <w:gridSpan w:val="5"/>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
            <w:vMerge w:val="restart"/>
          </w:tcPr>
          <w:p>
            <w:pPr>
              <w:jc w:val="center"/>
              <w:ind w:right="3740"/>
              <w:spacing w:after="0"/>
              <w:rPr>
                <w:sz w:val="20"/>
                <w:szCs w:val="20"/>
                <w:color w:val="auto"/>
              </w:rPr>
            </w:pPr>
            <w:r>
              <w:rPr>
                <w:rFonts w:ascii="Arial" w:cs="Arial" w:eastAsia="Arial" w:hAnsi="Arial"/>
                <w:sz w:val="18"/>
                <w:szCs w:val="18"/>
                <w:b w:val="1"/>
                <w:bCs w:val="1"/>
                <w:color w:val="auto"/>
                <w:w w:val="88"/>
              </w:rPr>
              <w:t>Prospectus Supplement</w:t>
            </w:r>
          </w:p>
        </w:tc>
        <w:tc>
          <w:tcPr>
            <w:tcW w:w="420" w:type="dxa"/>
            <w:vAlign w:val="bottom"/>
            <w:tcBorders>
              <w:bottom w:val="single" w:sz="8" w:color="auto"/>
            </w:tcBorders>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gridSpan w:val="21"/>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Notice Regarding Forward-Looking Statements</w:t>
              </w:r>
            </w:hyperlink>
          </w:p>
        </w:tc>
        <w:tc>
          <w:tcPr>
            <w:tcW w:w="7400" w:type="dxa"/>
            <w:vAlign w:val="bottom"/>
            <w:gridSpan w:val="3"/>
            <w:vMerge w:val="continue"/>
          </w:tcPr>
          <w:p>
            <w:pPr>
              <w:spacing w:after="0"/>
              <w:rPr>
                <w:sz w:val="17"/>
                <w:szCs w:val="17"/>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4"/>
        </w:trPr>
        <w:tc>
          <w:tcPr>
            <w:tcW w:w="3540" w:type="dxa"/>
            <w:vAlign w:val="bottom"/>
            <w:gridSpan w:val="21"/>
            <w:vMerge w:val="continue"/>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 Supplement</w:t>
              </w:r>
            </w:hyperlink>
          </w:p>
        </w:tc>
        <w:tc>
          <w:tcPr>
            <w:tcW w:w="94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Risk Factors</w:t>
              </w:r>
            </w:hyperlink>
          </w:p>
        </w:tc>
        <w:tc>
          <w:tcPr>
            <w:tcW w:w="2620" w:type="dxa"/>
            <w:vAlign w:val="bottom"/>
            <w:gridSpan w:val="18"/>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Use of Proceeds</w:t>
              </w:r>
            </w:hyperlink>
          </w:p>
        </w:tc>
        <w:tc>
          <w:tcPr>
            <w:tcW w:w="2360" w:type="dxa"/>
            <w:vAlign w:val="bottom"/>
            <w:gridSpan w:val="14"/>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Capitalization</w:t>
              </w:r>
            </w:hyperlink>
          </w:p>
        </w:tc>
        <w:tc>
          <w:tcPr>
            <w:tcW w:w="2520" w:type="dxa"/>
            <w:vAlign w:val="bottom"/>
            <w:gridSpan w:val="16"/>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Description of the Notes</w:t>
              </w:r>
            </w:hyperlink>
          </w:p>
        </w:tc>
        <w:tc>
          <w:tcPr>
            <w:tcW w:w="176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Material U.S. Federal Income Tax Consequences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Underwriting</w:t>
              </w:r>
            </w:hyperlink>
          </w:p>
        </w:tc>
        <w:tc>
          <w:tcPr>
            <w:tcW w:w="2560" w:type="dxa"/>
            <w:vAlign w:val="bottom"/>
            <w:gridSpan w:val="1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S-24</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Validity of Securities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80" w:type="dxa"/>
            <w:vAlign w:val="bottom"/>
            <w:gridSpan w:val="2"/>
            <w:vMerge w:val="restart"/>
          </w:tcPr>
          <w:p>
            <w:pPr>
              <w:jc w:val="center"/>
              <w:ind w:right="5060"/>
              <w:spacing w:after="0"/>
              <w:rPr>
                <w:sz w:val="20"/>
                <w:szCs w:val="20"/>
                <w:color w:val="auto"/>
              </w:rPr>
            </w:pPr>
            <w:r>
              <w:rPr>
                <w:rFonts w:ascii="Arial" w:cs="Arial" w:eastAsia="Arial" w:hAnsi="Arial"/>
                <w:sz w:val="18"/>
                <w:szCs w:val="18"/>
                <w:b w:val="1"/>
                <w:bCs w:val="1"/>
                <w:color w:val="auto"/>
                <w:w w:val="83"/>
              </w:rPr>
              <w:t>Prospectus</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80" w:type="dxa"/>
            <w:vAlign w:val="bottom"/>
            <w:gridSpan w:val="2"/>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The Company</w:t>
              </w:r>
            </w:hyperlink>
          </w:p>
        </w:tc>
        <w:tc>
          <w:tcPr>
            <w:tcW w:w="2500" w:type="dxa"/>
            <w:vAlign w:val="bottom"/>
            <w:gridSpan w:val="15"/>
          </w:tcPr>
          <w:p>
            <w:pPr>
              <w:spacing w:after="0"/>
              <w:rPr>
                <w:sz w:val="24"/>
                <w:szCs w:val="24"/>
                <w:color w:val="auto"/>
              </w:rPr>
            </w:pPr>
          </w:p>
        </w:tc>
        <w:tc>
          <w:tcPr>
            <w:tcW w:w="784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Where You Can Find More Information</w:t>
              </w:r>
            </w:hyperlink>
          </w:p>
        </w:tc>
        <w:tc>
          <w:tcPr>
            <w:tcW w:w="660" w:type="dxa"/>
            <w:vAlign w:val="bottom"/>
            <w:gridSpan w:val="2"/>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Notice Regarding Forward-Looking Statements</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Ratios of Earnings to Fixed Charges</w:t>
              </w:r>
            </w:hyperlink>
          </w:p>
        </w:tc>
        <w:tc>
          <w:tcPr>
            <w:tcW w:w="920" w:type="dxa"/>
            <w:vAlign w:val="bottom"/>
            <w:gridSpan w:val="3"/>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Debt Securities</w:t>
              </w:r>
            </w:hyperlink>
          </w:p>
        </w:tc>
        <w:tc>
          <w:tcPr>
            <w:tcW w:w="1340" w:type="dxa"/>
            <w:vAlign w:val="bottom"/>
            <w:gridSpan w:val="5"/>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Description of Warrants</w:t>
              </w:r>
            </w:hyperlink>
          </w:p>
        </w:tc>
        <w:tc>
          <w:tcPr>
            <w:tcW w:w="1800" w:type="dxa"/>
            <w:vAlign w:val="bottom"/>
            <w:gridSpan w:val="8"/>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Description of Units</w:t>
              </w:r>
            </w:hyperlink>
          </w:p>
        </w:tc>
        <w:tc>
          <w:tcPr>
            <w:tcW w:w="2060" w:type="dxa"/>
            <w:vAlign w:val="bottom"/>
            <w:gridSpan w:val="11"/>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Forms of Securities</w:t>
              </w:r>
            </w:hyperlink>
          </w:p>
        </w:tc>
        <w:tc>
          <w:tcPr>
            <w:tcW w:w="2120" w:type="dxa"/>
            <w:vAlign w:val="bottom"/>
            <w:gridSpan w:val="13"/>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Plan of Distribution</w:t>
              </w:r>
            </w:hyperlink>
          </w:p>
        </w:tc>
        <w:tc>
          <w:tcPr>
            <w:tcW w:w="2100" w:type="dxa"/>
            <w:vAlign w:val="bottom"/>
            <w:gridSpan w:val="12"/>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Validity of Securities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660" w:right="40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42" w:lineRule="exact"/>
        <w:rPr>
          <w:rFonts w:ascii="Arial" w:cs="Arial" w:eastAsia="Arial" w:hAnsi="Arial"/>
          <w:sz w:val="17"/>
          <w:szCs w:val="17"/>
          <w:color w:val="auto"/>
        </w:rPr>
      </w:pPr>
    </w:p>
    <w:p>
      <w:pPr>
        <w:ind w:left="660" w:right="640" w:hanging="20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660" w:right="380" w:hanging="206"/>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660" w:right="60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660" w:right="42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61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April 24, 2018, we announced our results of operations as of and for the three months ended March 31, 2018. A summary of these results is as follows: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1Q18 Results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640" w:type="dxa"/>
            <w:vAlign w:val="bottom"/>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28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1Q18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1Q17</w:t>
            </w:r>
          </w:p>
        </w:tc>
        <w:tc>
          <w:tcPr>
            <w:tcW w:w="4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shd w:val="clear" w:color="auto" w:fill="CCEEFF"/>
          </w:tcPr>
          <w:p>
            <w:pPr>
              <w:spacing w:after="0"/>
              <w:rPr>
                <w:sz w:val="18"/>
                <w:szCs w:val="18"/>
                <w:color w:val="auto"/>
              </w:rPr>
            </w:pPr>
          </w:p>
        </w:tc>
        <w:tc>
          <w:tcPr>
            <w:tcW w:w="2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3,789</w:t>
            </w:r>
          </w:p>
        </w:tc>
        <w:tc>
          <w:tcPr>
            <w:tcW w:w="2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3,402</w:t>
            </w:r>
          </w:p>
        </w:tc>
        <w:tc>
          <w:tcPr>
            <w:tcW w:w="46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profit</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1,548</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1,252</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0.97</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1Q18 Additional Financial Information</w:t>
      </w:r>
    </w:p>
    <w:p>
      <w:pPr>
        <w:spacing w:after="0" w:line="252" w:lineRule="exact"/>
        <w:rPr>
          <w:sz w:val="20"/>
          <w:szCs w:val="20"/>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short-term investments were $4.1 billion at the end of the quarter.</w:t>
      </w:r>
    </w:p>
    <w:p>
      <w:pPr>
        <w:spacing w:after="0" w:line="130" w:lineRule="exact"/>
        <w:rPr>
          <w:rFonts w:ascii="Arial" w:cs="Arial" w:eastAsia="Arial" w:hAnsi="Arial"/>
          <w:sz w:val="18"/>
          <w:szCs w:val="18"/>
          <w:color w:val="auto"/>
        </w:rPr>
      </w:pPr>
    </w:p>
    <w:p>
      <w:pPr>
        <w:ind w:left="840" w:right="22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flows from operating activities in the first quarter were $1.1 billion. For the trailing twelve months, cash flows from operating activities were $5.7 billion, as compared with $4.8 billion in the year-ago trailing twelve-month period.</w:t>
      </w:r>
    </w:p>
    <w:p>
      <w:pPr>
        <w:spacing w:after="0" w:line="75" w:lineRule="exact"/>
        <w:rPr>
          <w:rFonts w:ascii="Arial" w:cs="Arial" w:eastAsia="Arial" w:hAnsi="Arial"/>
          <w:sz w:val="18"/>
          <w:szCs w:val="18"/>
          <w:color w:val="auto"/>
        </w:rPr>
      </w:pPr>
    </w:p>
    <w:p>
      <w:pPr>
        <w:ind w:left="840" w:right="12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in the first quarter was $0.9 billion. For the trailing twelve months, free cash flow was $4.9 billion, or 32 percent of revenue, as compared with $4.2 billion, or 31 percent of revenue, in the year-ago trailing twelve-month period.</w:t>
      </w:r>
    </w:p>
    <w:p>
      <w:pPr>
        <w:spacing w:after="0" w:line="75" w:lineRule="exact"/>
        <w:rPr>
          <w:rFonts w:ascii="Arial" w:cs="Arial" w:eastAsia="Arial" w:hAnsi="Arial"/>
          <w:sz w:val="18"/>
          <w:szCs w:val="18"/>
          <w:color w:val="auto"/>
        </w:rPr>
      </w:pPr>
    </w:p>
    <w:p>
      <w:pPr>
        <w:ind w:left="840" w:right="14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returned $1.5 billion in the first quarter to shareholders through dividends and stock repurchases. For the trailing twelve months, the return to shareholders totaled $5.1 billion.</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Free cash flow is Cash flow from operations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340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340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1Q18 Segment Results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2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33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1Q18</w:t>
            </w:r>
          </w:p>
        </w:tc>
        <w:tc>
          <w:tcPr>
            <w:tcW w:w="46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1Q17</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3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2,566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2,256</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Embedded Processing:</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240</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343</w:t>
            </w: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175" w:lineRule="exact"/>
        <w:rPr>
          <w:sz w:val="20"/>
          <w:szCs w:val="20"/>
          <w:color w:val="auto"/>
        </w:rPr>
      </w:pPr>
    </w:p>
    <w:p>
      <w:pPr>
        <w:ind w:left="620" w:hanging="42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Acquisition charges and Restructuring charges/other</w:t>
      </w:r>
    </w:p>
    <w:p>
      <w:pPr>
        <w:spacing w:after="0" w:line="200" w:lineRule="exact"/>
        <w:rPr>
          <w:sz w:val="20"/>
          <w:szCs w:val="20"/>
          <w:color w:val="auto"/>
        </w:rPr>
      </w:pPr>
    </w:p>
    <w:p>
      <w:pPr>
        <w:spacing w:after="0" w:line="390" w:lineRule="exact"/>
        <w:rPr>
          <w:sz w:val="20"/>
          <w:szCs w:val="20"/>
          <w:color w:val="auto"/>
        </w:rPr>
      </w:pPr>
    </w:p>
    <w:p>
      <w:pPr>
        <w:jc w:val="both"/>
        <w:ind w:left="200" w:right="66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52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552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Issuer</w:t>
            </w:r>
          </w:p>
        </w:tc>
        <w:tc>
          <w:tcPr>
            <w:tcW w:w="3660" w:type="dxa"/>
            <w:vAlign w:val="bottom"/>
            <w:gridSpan w:val="2"/>
          </w:tcPr>
          <w:p>
            <w:pPr>
              <w:ind w:left="1200"/>
              <w:spacing w:after="0"/>
              <w:rPr>
                <w:sz w:val="20"/>
                <w:szCs w:val="20"/>
                <w:color w:val="auto"/>
              </w:rPr>
            </w:pPr>
            <w:r>
              <w:rPr>
                <w:rFonts w:ascii="Arial" w:cs="Arial" w:eastAsia="Arial" w:hAnsi="Arial"/>
                <w:sz w:val="18"/>
                <w:szCs w:val="18"/>
                <w:color w:val="auto"/>
                <w:w w:val="94"/>
              </w:rPr>
              <w:t>Texas Instruments Incorporated.</w:t>
            </w:r>
          </w:p>
        </w:tc>
        <w:tc>
          <w:tcPr>
            <w:tcW w:w="19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Securities Offered</w:t>
            </w:r>
          </w:p>
        </w:tc>
        <w:tc>
          <w:tcPr>
            <w:tcW w:w="1600" w:type="dxa"/>
            <w:vAlign w:val="bottom"/>
          </w:tcPr>
          <w:p>
            <w:pPr>
              <w:ind w:left="1200"/>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60"/>
              <w:spacing w:after="0"/>
              <w:rPr>
                <w:sz w:val="20"/>
                <w:szCs w:val="20"/>
                <w:color w:val="auto"/>
              </w:rPr>
            </w:pPr>
            <w:r>
              <w:rPr>
                <w:rFonts w:ascii="Arial" w:cs="Arial" w:eastAsia="Arial" w:hAnsi="Arial"/>
                <w:sz w:val="18"/>
                <w:szCs w:val="18"/>
                <w:color w:val="auto"/>
                <w:w w:val="98"/>
              </w:rPr>
              <w:t>aggregate principal amount of   % Notes due 20  .</w:t>
            </w:r>
          </w:p>
        </w:tc>
        <w:tc>
          <w:tcPr>
            <w:tcW w:w="2400" w:type="dxa"/>
            <w:vAlign w:val="bottom"/>
          </w:tcPr>
          <w:p>
            <w:pPr>
              <w:spacing w:after="0"/>
              <w:rPr>
                <w:sz w:val="24"/>
                <w:szCs w:val="24"/>
                <w:color w:val="auto"/>
              </w:rPr>
            </w:pP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Maturity Date</w:t>
            </w:r>
          </w:p>
        </w:tc>
        <w:tc>
          <w:tcPr>
            <w:tcW w:w="1600" w:type="dxa"/>
            <w:vAlign w:val="bottom"/>
          </w:tcPr>
          <w:p>
            <w:pPr>
              <w:spacing w:after="0"/>
              <w:rPr>
                <w:sz w:val="24"/>
                <w:szCs w:val="24"/>
                <w:color w:val="auto"/>
              </w:rPr>
            </w:pPr>
          </w:p>
        </w:tc>
        <w:tc>
          <w:tcPr>
            <w:tcW w:w="2060" w:type="dxa"/>
            <w:vAlign w:val="bottom"/>
          </w:tcPr>
          <w:p>
            <w:pPr>
              <w:jc w:val="right"/>
              <w:ind w:right="970"/>
              <w:spacing w:after="0"/>
              <w:rPr>
                <w:sz w:val="20"/>
                <w:szCs w:val="20"/>
                <w:color w:val="auto"/>
              </w:rPr>
            </w:pPr>
            <w:r>
              <w:rPr>
                <w:rFonts w:ascii="Arial" w:cs="Arial" w:eastAsia="Arial" w:hAnsi="Arial"/>
                <w:sz w:val="18"/>
                <w:szCs w:val="18"/>
                <w:color w:val="auto"/>
              </w:rPr>
              <w:t>, 20  .</w:t>
            </w:r>
          </w:p>
        </w:tc>
        <w:tc>
          <w:tcPr>
            <w:tcW w:w="19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Original Issue Date</w:t>
            </w:r>
          </w:p>
        </w:tc>
        <w:tc>
          <w:tcPr>
            <w:tcW w:w="1600" w:type="dxa"/>
            <w:vAlign w:val="bottom"/>
          </w:tcPr>
          <w:p>
            <w:pPr>
              <w:spacing w:after="0"/>
              <w:rPr>
                <w:sz w:val="24"/>
                <w:szCs w:val="24"/>
                <w:color w:val="auto"/>
              </w:rPr>
            </w:pPr>
          </w:p>
        </w:tc>
        <w:tc>
          <w:tcPr>
            <w:tcW w:w="2060" w:type="dxa"/>
            <w:vAlign w:val="bottom"/>
          </w:tcPr>
          <w:p>
            <w:pPr>
              <w:jc w:val="right"/>
              <w:ind w:right="970"/>
              <w:spacing w:after="0"/>
              <w:rPr>
                <w:sz w:val="20"/>
                <w:szCs w:val="20"/>
                <w:color w:val="auto"/>
              </w:rPr>
            </w:pPr>
            <w:r>
              <w:rPr>
                <w:rFonts w:ascii="Arial" w:cs="Arial" w:eastAsia="Arial" w:hAnsi="Arial"/>
                <w:sz w:val="18"/>
                <w:szCs w:val="18"/>
                <w:color w:val="auto"/>
              </w:rPr>
              <w:t>, 2018.</w:t>
            </w:r>
          </w:p>
        </w:tc>
        <w:tc>
          <w:tcPr>
            <w:tcW w:w="19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Interest Rate</w:t>
            </w:r>
          </w:p>
        </w:tc>
        <w:tc>
          <w:tcPr>
            <w:tcW w:w="3660" w:type="dxa"/>
            <w:vAlign w:val="bottom"/>
            <w:gridSpan w:val="2"/>
          </w:tcPr>
          <w:p>
            <w:pPr>
              <w:ind w:left="1200"/>
              <w:spacing w:after="0"/>
              <w:rPr>
                <w:sz w:val="20"/>
                <w:szCs w:val="20"/>
                <w:color w:val="auto"/>
              </w:rPr>
            </w:pPr>
            <w:r>
              <w:rPr>
                <w:rFonts w:ascii="Arial" w:cs="Arial" w:eastAsia="Arial" w:hAnsi="Arial"/>
                <w:sz w:val="18"/>
                <w:szCs w:val="18"/>
                <w:color w:val="auto"/>
              </w:rPr>
              <w:t>Fixed rate of   %.</w:t>
            </w:r>
          </w:p>
        </w:tc>
        <w:tc>
          <w:tcPr>
            <w:tcW w:w="19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58"/>
        </w:trPr>
        <w:tc>
          <w:tcPr>
            <w:tcW w:w="29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600" w:type="dxa"/>
            <w:vAlign w:val="bottom"/>
          </w:tcPr>
          <w:p>
            <w:pPr>
              <w:ind w:left="1200"/>
              <w:spacing w:after="0"/>
              <w:rPr>
                <w:sz w:val="20"/>
                <w:szCs w:val="20"/>
                <w:color w:val="auto"/>
              </w:rPr>
            </w:pPr>
            <w:r>
              <w:rPr>
                <w:rFonts w:ascii="Arial" w:cs="Arial" w:eastAsia="Arial" w:hAnsi="Arial"/>
                <w:sz w:val="18"/>
                <w:szCs w:val="18"/>
                <w:color w:val="auto"/>
                <w:w w:val="92"/>
              </w:rPr>
              <w:t>Each</w:t>
            </w:r>
          </w:p>
        </w:tc>
        <w:tc>
          <w:tcPr>
            <w:tcW w:w="2060" w:type="dxa"/>
            <w:vAlign w:val="bottom"/>
          </w:tcPr>
          <w:p>
            <w:pPr>
              <w:jc w:val="right"/>
              <w:ind w:right="750"/>
              <w:spacing w:after="0"/>
              <w:rPr>
                <w:sz w:val="20"/>
                <w:szCs w:val="20"/>
                <w:color w:val="auto"/>
              </w:rPr>
            </w:pPr>
            <w:r>
              <w:rPr>
                <w:rFonts w:ascii="Arial" w:cs="Arial" w:eastAsia="Arial" w:hAnsi="Arial"/>
                <w:sz w:val="18"/>
                <w:szCs w:val="18"/>
                <w:color w:val="auto"/>
              </w:rPr>
              <w:t>and</w:t>
            </w:r>
          </w:p>
        </w:tc>
        <w:tc>
          <w:tcPr>
            <w:tcW w:w="1940" w:type="dxa"/>
            <w:vAlign w:val="bottom"/>
          </w:tcPr>
          <w:p>
            <w:pPr>
              <w:ind w:left="140"/>
              <w:spacing w:after="0"/>
              <w:rPr>
                <w:sz w:val="20"/>
                <w:szCs w:val="20"/>
                <w:color w:val="auto"/>
              </w:rPr>
            </w:pPr>
            <w:r>
              <w:rPr>
                <w:rFonts w:ascii="Arial" w:cs="Arial" w:eastAsia="Arial" w:hAnsi="Arial"/>
                <w:sz w:val="18"/>
                <w:szCs w:val="18"/>
                <w:color w:val="auto"/>
              </w:rPr>
              <w:t>, beginning on</w:t>
            </w:r>
          </w:p>
        </w:tc>
        <w:tc>
          <w:tcPr>
            <w:tcW w:w="2400" w:type="dxa"/>
            <w:vAlign w:val="bottom"/>
          </w:tcPr>
          <w:p>
            <w:pPr>
              <w:ind w:left="180"/>
              <w:spacing w:after="0"/>
              <w:rPr>
                <w:sz w:val="20"/>
                <w:szCs w:val="20"/>
                <w:color w:val="auto"/>
              </w:rPr>
            </w:pPr>
            <w:r>
              <w:rPr>
                <w:rFonts w:ascii="Arial" w:cs="Arial" w:eastAsia="Arial" w:hAnsi="Arial"/>
                <w:sz w:val="18"/>
                <w:szCs w:val="18"/>
                <w:color w:val="auto"/>
              </w:rPr>
              <w:t>, 2018, and on the maturity</w:t>
            </w:r>
          </w:p>
        </w:tc>
      </w:tr>
      <w:tr>
        <w:trPr>
          <w:trHeight w:val="230"/>
        </w:trPr>
        <w:tc>
          <w:tcPr>
            <w:tcW w:w="2980" w:type="dxa"/>
            <w:vAlign w:val="bottom"/>
          </w:tcPr>
          <w:p>
            <w:pPr>
              <w:spacing w:after="0"/>
              <w:rPr>
                <w:sz w:val="20"/>
                <w:szCs w:val="20"/>
                <w:color w:val="auto"/>
              </w:rPr>
            </w:pPr>
          </w:p>
        </w:tc>
        <w:tc>
          <w:tcPr>
            <w:tcW w:w="1600" w:type="dxa"/>
            <w:vAlign w:val="bottom"/>
          </w:tcPr>
          <w:p>
            <w:pPr>
              <w:ind w:left="1200"/>
              <w:spacing w:after="0"/>
              <w:rPr>
                <w:sz w:val="20"/>
                <w:szCs w:val="20"/>
                <w:color w:val="auto"/>
              </w:rPr>
            </w:pPr>
            <w:r>
              <w:rPr>
                <w:rFonts w:ascii="Arial" w:cs="Arial" w:eastAsia="Arial" w:hAnsi="Arial"/>
                <w:sz w:val="18"/>
                <w:szCs w:val="18"/>
                <w:color w:val="auto"/>
                <w:w w:val="94"/>
              </w:rPr>
              <w:t>date.</w:t>
            </w:r>
          </w:p>
        </w:tc>
        <w:tc>
          <w:tcPr>
            <w:tcW w:w="2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45"/>
        </w:trPr>
        <w:tc>
          <w:tcPr>
            <w:tcW w:w="2980" w:type="dxa"/>
            <w:vAlign w:val="bottom"/>
          </w:tcPr>
          <w:p>
            <w:pPr>
              <w:spacing w:after="0"/>
              <w:rPr>
                <w:sz w:val="20"/>
                <w:szCs w:val="20"/>
                <w:color w:val="auto"/>
              </w:rPr>
            </w:pPr>
            <w:r>
              <w:rPr>
                <w:rFonts w:ascii="Arial" w:cs="Arial" w:eastAsia="Arial" w:hAnsi="Arial"/>
                <w:sz w:val="18"/>
                <w:szCs w:val="18"/>
                <w:color w:val="auto"/>
              </w:rPr>
              <w:t>Ranking</w:t>
            </w: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w w:val="90"/>
              </w:rPr>
              <w:t>The Notes will be the senior unsecured obligations of Texas Instruments Incorporated and will</w:t>
            </w:r>
          </w:p>
        </w:tc>
      </w:tr>
      <w:tr>
        <w:trPr>
          <w:trHeight w:val="216"/>
        </w:trPr>
        <w:tc>
          <w:tcPr>
            <w:tcW w:w="2980" w:type="dxa"/>
            <w:vAlign w:val="bottom"/>
          </w:tcPr>
          <w:p>
            <w:pPr>
              <w:spacing w:after="0"/>
              <w:rPr>
                <w:sz w:val="18"/>
                <w:szCs w:val="18"/>
                <w:color w:val="auto"/>
              </w:rPr>
            </w:pP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rPr>
              <w:t>rank equally with all of its existing and future senior indebtedness from time to time</w:t>
            </w:r>
          </w:p>
        </w:tc>
      </w:tr>
      <w:tr>
        <w:trPr>
          <w:trHeight w:val="216"/>
        </w:trPr>
        <w:tc>
          <w:tcPr>
            <w:tcW w:w="2980" w:type="dxa"/>
            <w:vAlign w:val="bottom"/>
          </w:tcPr>
          <w:p>
            <w:pPr>
              <w:spacing w:after="0"/>
              <w:rPr>
                <w:sz w:val="18"/>
                <w:szCs w:val="18"/>
                <w:color w:val="auto"/>
              </w:rPr>
            </w:pP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2980" w:type="dxa"/>
            <w:vAlign w:val="bottom"/>
          </w:tcPr>
          <w:p>
            <w:pPr>
              <w:spacing w:after="0"/>
              <w:rPr>
                <w:sz w:val="20"/>
                <w:szCs w:val="20"/>
                <w:color w:val="auto"/>
              </w:rPr>
            </w:pPr>
          </w:p>
        </w:tc>
        <w:tc>
          <w:tcPr>
            <w:tcW w:w="5600" w:type="dxa"/>
            <w:vAlign w:val="bottom"/>
            <w:gridSpan w:val="3"/>
          </w:tcPr>
          <w:p>
            <w:pPr>
              <w:ind w:left="1200"/>
              <w:spacing w:after="0"/>
              <w:rPr>
                <w:sz w:val="20"/>
                <w:szCs w:val="20"/>
                <w:color w:val="auto"/>
              </w:rPr>
            </w:pPr>
            <w:r>
              <w:rPr>
                <w:rFonts w:ascii="Arial" w:cs="Arial" w:eastAsia="Arial" w:hAnsi="Arial"/>
                <w:sz w:val="18"/>
                <w:szCs w:val="18"/>
                <w:color w:val="auto"/>
              </w:rPr>
              <w:t>Incorporated will be effectively senior to the Notes.</w:t>
            </w:r>
          </w:p>
        </w:tc>
        <w:tc>
          <w:tcPr>
            <w:tcW w:w="2400" w:type="dxa"/>
            <w:vAlign w:val="bottom"/>
          </w:tcPr>
          <w:p>
            <w:pPr>
              <w:spacing w:after="0"/>
              <w:rPr>
                <w:sz w:val="20"/>
                <w:szCs w:val="20"/>
                <w:color w:val="auto"/>
              </w:rPr>
            </w:pPr>
          </w:p>
        </w:tc>
      </w:tr>
      <w:tr>
        <w:trPr>
          <w:trHeight w:val="445"/>
        </w:trPr>
        <w:tc>
          <w:tcPr>
            <w:tcW w:w="2980" w:type="dxa"/>
            <w:vAlign w:val="bottom"/>
          </w:tcPr>
          <w:p>
            <w:pPr>
              <w:spacing w:after="0"/>
              <w:rPr>
                <w:sz w:val="24"/>
                <w:szCs w:val="24"/>
                <w:color w:val="auto"/>
              </w:rPr>
            </w:pP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w w:val="92"/>
              </w:rPr>
              <w:t>As of December 31, 2017, Texas Instruments Incorporated had approximately $4.1 billion of</w:t>
            </w:r>
          </w:p>
        </w:tc>
      </w:tr>
      <w:tr>
        <w:trPr>
          <w:trHeight w:val="216"/>
        </w:trPr>
        <w:tc>
          <w:tcPr>
            <w:tcW w:w="2980" w:type="dxa"/>
            <w:vAlign w:val="bottom"/>
          </w:tcPr>
          <w:p>
            <w:pPr>
              <w:spacing w:after="0"/>
              <w:rPr>
                <w:sz w:val="18"/>
                <w:szCs w:val="18"/>
                <w:color w:val="auto"/>
              </w:rPr>
            </w:pP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w w:val="92"/>
              </w:rPr>
              <w:t>outstanding indebtedness. As of December 31, 2017, Texas Instruments had approximately</w:t>
            </w:r>
          </w:p>
        </w:tc>
      </w:tr>
      <w:tr>
        <w:trPr>
          <w:trHeight w:val="216"/>
        </w:trPr>
        <w:tc>
          <w:tcPr>
            <w:tcW w:w="2980" w:type="dxa"/>
            <w:vAlign w:val="bottom"/>
          </w:tcPr>
          <w:p>
            <w:pPr>
              <w:spacing w:after="0"/>
              <w:rPr>
                <w:sz w:val="18"/>
                <w:szCs w:val="18"/>
                <w:color w:val="auto"/>
              </w:rPr>
            </w:pP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w w:val="94"/>
              </w:rPr>
              <w:t>$7.3 billion of total liabilities on a consolidated basis. Of this amount, subsidiaries of Texas</w:t>
            </w:r>
          </w:p>
        </w:tc>
      </w:tr>
      <w:tr>
        <w:trPr>
          <w:trHeight w:val="216"/>
        </w:trPr>
        <w:tc>
          <w:tcPr>
            <w:tcW w:w="2980" w:type="dxa"/>
            <w:vAlign w:val="bottom"/>
          </w:tcPr>
          <w:p>
            <w:pPr>
              <w:spacing w:after="0"/>
              <w:rPr>
                <w:sz w:val="18"/>
                <w:szCs w:val="18"/>
                <w:color w:val="auto"/>
              </w:rPr>
            </w:pP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rPr>
              <w:t>Instruments Incorporated had approximately $1.0 billion of liabilities (including trade</w:t>
            </w:r>
          </w:p>
        </w:tc>
      </w:tr>
      <w:tr>
        <w:trPr>
          <w:trHeight w:val="216"/>
        </w:trPr>
        <w:tc>
          <w:tcPr>
            <w:tcW w:w="2980" w:type="dxa"/>
            <w:vAlign w:val="bottom"/>
          </w:tcPr>
          <w:p>
            <w:pPr>
              <w:spacing w:after="0"/>
              <w:rPr>
                <w:sz w:val="18"/>
                <w:szCs w:val="18"/>
                <w:color w:val="auto"/>
              </w:rPr>
            </w:pP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rPr>
              <w:t>payables and excluding intercompany debt) to which the Notes will be effectively</w:t>
            </w:r>
          </w:p>
        </w:tc>
      </w:tr>
      <w:tr>
        <w:trPr>
          <w:trHeight w:val="230"/>
        </w:trPr>
        <w:tc>
          <w:tcPr>
            <w:tcW w:w="2980" w:type="dxa"/>
            <w:vAlign w:val="bottom"/>
          </w:tcPr>
          <w:p>
            <w:pPr>
              <w:spacing w:after="0"/>
              <w:rPr>
                <w:sz w:val="20"/>
                <w:szCs w:val="20"/>
                <w:color w:val="auto"/>
              </w:rPr>
            </w:pPr>
          </w:p>
        </w:tc>
        <w:tc>
          <w:tcPr>
            <w:tcW w:w="3660" w:type="dxa"/>
            <w:vAlign w:val="bottom"/>
            <w:gridSpan w:val="2"/>
          </w:tcPr>
          <w:p>
            <w:pPr>
              <w:ind w:left="1200"/>
              <w:spacing w:after="0"/>
              <w:rPr>
                <w:sz w:val="20"/>
                <w:szCs w:val="20"/>
                <w:color w:val="auto"/>
              </w:rPr>
            </w:pPr>
            <w:r>
              <w:rPr>
                <w:rFonts w:ascii="Arial" w:cs="Arial" w:eastAsia="Arial" w:hAnsi="Arial"/>
                <w:sz w:val="18"/>
                <w:szCs w:val="18"/>
                <w:color w:val="auto"/>
              </w:rPr>
              <w:t>subordinated.</w:t>
            </w:r>
          </w:p>
        </w:tc>
        <w:tc>
          <w:tcPr>
            <w:tcW w:w="19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45"/>
        </w:trPr>
        <w:tc>
          <w:tcPr>
            <w:tcW w:w="2980" w:type="dxa"/>
            <w:vAlign w:val="bottom"/>
          </w:tcPr>
          <w:p>
            <w:pPr>
              <w:spacing w:after="0"/>
              <w:rPr>
                <w:sz w:val="20"/>
                <w:szCs w:val="20"/>
                <w:color w:val="auto"/>
              </w:rPr>
            </w:pPr>
            <w:r>
              <w:rPr>
                <w:rFonts w:ascii="Arial" w:cs="Arial" w:eastAsia="Arial" w:hAnsi="Arial"/>
                <w:sz w:val="18"/>
                <w:szCs w:val="18"/>
                <w:color w:val="auto"/>
              </w:rPr>
              <w:t>Form and Denomination</w:t>
            </w: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w w:val="92"/>
              </w:rPr>
              <w:t>The Notes will be issued in the form of one or more fully registered global securities, without</w:t>
            </w:r>
          </w:p>
        </w:tc>
      </w:tr>
      <w:tr>
        <w:trPr>
          <w:trHeight w:val="216"/>
        </w:trPr>
        <w:tc>
          <w:tcPr>
            <w:tcW w:w="2980" w:type="dxa"/>
            <w:vAlign w:val="bottom"/>
          </w:tcPr>
          <w:p>
            <w:pPr>
              <w:spacing w:after="0"/>
              <w:rPr>
                <w:sz w:val="18"/>
                <w:szCs w:val="18"/>
                <w:color w:val="auto"/>
              </w:rPr>
            </w:pP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w w:val="93"/>
              </w:rPr>
              <w:t>coupons, in denominations of $2,000 in principal amount and integral multiples of $1,000 in</w:t>
            </w:r>
          </w:p>
        </w:tc>
      </w:tr>
      <w:tr>
        <w:trPr>
          <w:trHeight w:val="230"/>
        </w:trPr>
        <w:tc>
          <w:tcPr>
            <w:tcW w:w="2980" w:type="dxa"/>
            <w:vAlign w:val="bottom"/>
          </w:tcPr>
          <w:p>
            <w:pPr>
              <w:spacing w:after="0"/>
              <w:rPr>
                <w:sz w:val="20"/>
                <w:szCs w:val="20"/>
                <w:color w:val="auto"/>
              </w:rPr>
            </w:pPr>
          </w:p>
        </w:tc>
        <w:tc>
          <w:tcPr>
            <w:tcW w:w="8000" w:type="dxa"/>
            <w:vAlign w:val="bottom"/>
            <w:gridSpan w:val="4"/>
          </w:tcPr>
          <w:p>
            <w:pPr>
              <w:ind w:left="1200"/>
              <w:spacing w:after="0"/>
              <w:rPr>
                <w:sz w:val="20"/>
                <w:szCs w:val="20"/>
                <w:color w:val="auto"/>
              </w:rPr>
            </w:pPr>
            <w:r>
              <w:rPr>
                <w:rFonts w:ascii="Arial" w:cs="Arial" w:eastAsia="Arial" w:hAnsi="Arial"/>
                <w:sz w:val="18"/>
                <w:szCs w:val="18"/>
                <w:color w:val="auto"/>
                <w:w w:val="94"/>
              </w:rPr>
              <w:t>excess thereof. These global notes will be deposited with the trustee as custodian for, and</w:t>
            </w:r>
          </w:p>
        </w:tc>
      </w:tr>
    </w:tbl>
    <w:p>
      <w:pPr>
        <w:ind w:left="4380"/>
        <w:spacing w:after="0" w:line="254" w:lineRule="auto"/>
        <w:rPr>
          <w:sz w:val="20"/>
          <w:szCs w:val="20"/>
          <w:color w:val="auto"/>
        </w:rPr>
      </w:pPr>
      <w:r>
        <w:rPr>
          <w:rFonts w:ascii="Arial" w:cs="Arial" w:eastAsia="Arial" w:hAnsi="Arial"/>
          <w:sz w:val="18"/>
          <w:szCs w:val="18"/>
          <w:color w:val="auto"/>
        </w:rPr>
        <w:t>registered in the name of, a nominee of The Depository Trust Company, or DTC. Except in the limited circumstances described under “Description of the Notes—Book-Entry; Delivery and Form; Global Note,” Notes in certificated form will not be issued or exchanged for interests in global securities.</w:t>
      </w:r>
    </w:p>
    <w:p>
      <w:pPr>
        <w:spacing w:after="0" w:line="1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30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We expect to use the net proceeds of this offering for general corporate purposes, including to</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replenish our cash on hand following the repayment at maturity of $500 million principal</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5"/>
              </w:rPr>
              <w:t>amount of our 1.00% Notes due May 1, 2018. See “Use of Proceeds.” In connection with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issuance of the Notes, we may enter into interest rate swap agreements with financial</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institutions, which may include one or more of the underwriters or their affiliates.</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Texas Instruments Incorporated may create and issue further notes ranking equally and ratably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with the Notes offered by this prospectus supplement in all respects, so that such further notes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will be consolidated and form a single series with the Notes offered by this prospectus</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supplement.</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None.</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Texas Instruments Incorporated may redeem some or all of the Notes at any time at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The Notes are a new issue of securities with no established trading market. We do not intend to</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apply for listing of the Notes on any securities exchange. The underwriters have advised us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that they intend to make a market in the Notes, but they are not obligated to do so and may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discontinue market-making at any time without notice. See “Underwriting” in this prospectus</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supplement for more information about possible market-making by the underwriters.</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8"/>
              </w:rPr>
              <w:t>You should carefully consider all of the information in this prospectus supplement and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accompanying prospectus and the documents incorporated herein by reference. In particular,</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you should evaluate the information set forth under “Notice Regarding Forward-Looking</w:t>
            </w:r>
          </w:p>
        </w:tc>
      </w:tr>
      <w:tr>
        <w:trPr>
          <w:trHeight w:val="241"/>
        </w:trPr>
        <w:tc>
          <w:tcPr>
            <w:tcW w:w="3060" w:type="dxa"/>
            <w:vAlign w:val="bottom"/>
            <w:tcBorders>
              <w:left w:val="single" w:sz="8" w:color="auto"/>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Statements” and “Risk Factors” before deciding whether to invest in the Notes.</w:t>
            </w:r>
          </w:p>
        </w:tc>
      </w:tr>
      <w:tr>
        <w:trPr>
          <w:trHeight w:val="361"/>
        </w:trPr>
        <w:tc>
          <w:tcPr>
            <w:tcW w:w="306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720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720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229" w:lineRule="exact"/>
        <w:rPr>
          <w:sz w:val="20"/>
          <w:szCs w:val="20"/>
          <w:color w:val="auto"/>
        </w:rPr>
      </w:pPr>
    </w:p>
    <w:p>
      <w:pPr>
        <w:ind w:left="200" w:right="580" w:firstLine="441"/>
        <w:spacing w:after="0" w:line="286" w:lineRule="auto"/>
        <w:rPr>
          <w:sz w:val="20"/>
          <w:szCs w:val="20"/>
          <w:color w:val="auto"/>
        </w:rPr>
      </w:pPr>
      <w:r>
        <w:rPr>
          <w:rFonts w:ascii="Arial" w:cs="Arial" w:eastAsia="Arial" w:hAnsi="Arial"/>
          <w:sz w:val="17"/>
          <w:szCs w:val="17"/>
          <w:color w:val="auto"/>
        </w:rPr>
        <w:t>The following tables set forth our summary historical financial information. The summary historical financial information for the years ended December 31, 2017, 2016 and 2015 and as of December 31, 2017 and 2016 has been derived from our audited consolidated financial statements included or incorporated by reference into this prospectus supplement and the accompanying prospectus.</w:t>
      </w:r>
    </w:p>
    <w:p>
      <w:pPr>
        <w:spacing w:after="0" w:line="166" w:lineRule="exact"/>
        <w:rPr>
          <w:sz w:val="20"/>
          <w:szCs w:val="20"/>
          <w:color w:val="auto"/>
        </w:rPr>
      </w:pPr>
    </w:p>
    <w:p>
      <w:pPr>
        <w:ind w:left="200" w:right="740" w:firstLine="441"/>
        <w:spacing w:after="0" w:line="259"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into this prospectus supplement and the accompanying prospectus.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11"/>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4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revenue</w:t>
            </w:r>
          </w:p>
        </w:tc>
        <w:tc>
          <w:tcPr>
            <w:tcW w:w="4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Acquisition charges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200"/>
              <w:spacing w:after="0"/>
              <w:rPr>
                <w:sz w:val="20"/>
                <w:szCs w:val="20"/>
                <w:color w:val="auto"/>
              </w:rPr>
            </w:pPr>
            <w:r>
              <w:rPr>
                <w:rFonts w:ascii="Arial" w:cs="Arial" w:eastAsia="Arial" w:hAnsi="Arial"/>
                <w:sz w:val="18"/>
                <w:szCs w:val="18"/>
                <w:color w:val="auto"/>
              </w:rPr>
              <w:t>Operating profit</w:t>
            </w:r>
          </w:p>
        </w:tc>
        <w:tc>
          <w:tcPr>
            <w:tcW w:w="4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ind w:left="200"/>
              <w:spacing w:after="0"/>
              <w:rPr>
                <w:sz w:val="20"/>
                <w:szCs w:val="20"/>
                <w:color w:val="auto"/>
              </w:rPr>
            </w:pPr>
            <w:r>
              <w:rPr>
                <w:rFonts w:ascii="Arial" w:cs="Arial" w:eastAsia="Arial" w:hAnsi="Arial"/>
                <w:sz w:val="18"/>
                <w:szCs w:val="18"/>
                <w:color w:val="auto"/>
              </w:rPr>
              <w:t>Earnings per common share:</w:t>
            </w: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Basic</w:t>
            </w:r>
          </w:p>
        </w:tc>
        <w:tc>
          <w:tcPr>
            <w:tcW w:w="4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0" w:type="dxa"/>
            <w:vAlign w:val="bottom"/>
            <w:gridSpan w:val="2"/>
          </w:tcPr>
          <w:p>
            <w:pPr>
              <w:jc w:val="right"/>
              <w:ind w:right="2910"/>
              <w:spacing w:after="0"/>
              <w:rPr>
                <w:sz w:val="20"/>
                <w:szCs w:val="20"/>
                <w:color w:val="auto"/>
              </w:rPr>
            </w:pPr>
            <w:r>
              <w:rPr>
                <w:rFonts w:ascii="Arial" w:cs="Arial" w:eastAsia="Arial" w:hAnsi="Arial"/>
                <w:sz w:val="18"/>
                <w:szCs w:val="18"/>
                <w:color w:val="auto"/>
              </w:rPr>
              <w:t>S-5</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61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5613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vMerge w:val="continue"/>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Inventories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1,957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Long-term debt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3,577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0" w:type="dxa"/>
            <w:vAlign w:val="bottom"/>
          </w:tcPr>
          <w:p>
            <w:pPr>
              <w:spacing w:after="0"/>
              <w:rPr>
                <w:sz w:val="3"/>
                <w:szCs w:val="3"/>
                <w:color w:val="auto"/>
              </w:rPr>
            </w:pPr>
          </w:p>
        </w:tc>
        <w:tc>
          <w:tcPr>
            <w:tcW w:w="48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Twelve Months</w:t>
            </w: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6"/>
            <w:vMerge w:val="continue"/>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Ended</w:t>
            </w:r>
          </w:p>
        </w:tc>
        <w:tc>
          <w:tcPr>
            <w:tcW w:w="4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gridSpan w:val="6"/>
            <w:vMerge w:val="continue"/>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48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Ended March 31,</w:t>
            </w: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March 31,</w:t>
            </w:r>
          </w:p>
        </w:tc>
        <w:tc>
          <w:tcPr>
            <w:tcW w:w="4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(Millions of dollars, except percentages)</w:t>
            </w: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line="20" w:lineRule="exact"/>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2018</w:t>
            </w:r>
          </w:p>
        </w:tc>
        <w:tc>
          <w:tcPr>
            <w:tcW w:w="420" w:type="dxa"/>
            <w:vAlign w:val="bottom"/>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flows from operations (GAAP)</w:t>
            </w:r>
          </w:p>
        </w:tc>
        <w:tc>
          <w:tcPr>
            <w:tcW w:w="17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tcBorders>
              <w:left w:val="single" w:sz="8" w:color="auto"/>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420" w:type="dxa"/>
            <w:vAlign w:val="bottom"/>
            <w:shd w:val="clear" w:color="auto" w:fill="CCEEFF"/>
          </w:tcPr>
          <w:p>
            <w:pPr>
              <w:spacing w:after="0"/>
              <w:rPr>
                <w:sz w:val="18"/>
                <w:szCs w:val="18"/>
                <w:color w:val="auto"/>
              </w:rPr>
            </w:pPr>
          </w:p>
        </w:tc>
        <w:tc>
          <w:tcPr>
            <w:tcW w:w="480" w:type="dxa"/>
            <w:vAlign w:val="bottom"/>
            <w:tcBorders>
              <w:left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Capital expenditures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(189)</w:t>
            </w: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420" w:type="dxa"/>
            <w:vAlign w:val="bottom"/>
            <w:shd w:val="clear" w:color="auto" w:fill="CCEEFF"/>
          </w:tcPr>
          <w:p>
            <w:pPr>
              <w:spacing w:after="0"/>
              <w:rPr>
                <w:sz w:val="18"/>
                <w:szCs w:val="18"/>
                <w:color w:val="auto"/>
              </w:rPr>
            </w:pPr>
          </w:p>
        </w:tc>
        <w:tc>
          <w:tcPr>
            <w:tcW w:w="5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200"/>
              <w:spacing w:after="0"/>
              <w:rPr>
                <w:sz w:val="20"/>
                <w:szCs w:val="20"/>
                <w:color w:val="auto"/>
              </w:rPr>
            </w:pPr>
            <w:r>
              <w:rPr>
                <w:rFonts w:ascii="Arial" w:cs="Arial" w:eastAsia="Arial" w:hAnsi="Arial"/>
                <w:sz w:val="18"/>
                <w:szCs w:val="18"/>
                <w:color w:val="auto"/>
              </w:rPr>
              <w:t>Revenue</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13,764</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Free cash flow as a percent of revenue (non-GAAP)</w:t>
            </w:r>
          </w:p>
        </w:tc>
        <w:tc>
          <w:tcPr>
            <w:tcW w:w="1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8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30.7%</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60" w:type="dxa"/>
            <w:vAlign w:val="bottom"/>
            <w:gridSpan w:val="2"/>
          </w:tcPr>
          <w:p>
            <w:pPr>
              <w:jc w:val="right"/>
              <w:ind w:right="976"/>
              <w:spacing w:after="0"/>
              <w:rPr>
                <w:sz w:val="20"/>
                <w:szCs w:val="20"/>
                <w:color w:val="auto"/>
              </w:rPr>
            </w:pPr>
            <w:r>
              <w:rPr>
                <w:rFonts w:ascii="Arial" w:cs="Arial" w:eastAsia="Arial" w:hAnsi="Arial"/>
                <w:sz w:val="18"/>
                <w:szCs w:val="18"/>
                <w:color w:val="auto"/>
              </w:rPr>
              <w:t>S-6</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564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1564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Year Ended December 31,</w:t>
      </w:r>
    </w:p>
    <w:p>
      <w:pPr>
        <w:spacing w:after="0" w:line="11" w:lineRule="exact"/>
        <w:rPr>
          <w:sz w:val="20"/>
          <w:szCs w:val="20"/>
          <w:color w:val="auto"/>
        </w:rPr>
      </w:pPr>
    </w:p>
    <w:p>
      <w:pPr>
        <w:ind w:left="9320"/>
        <w:spacing w:after="0"/>
        <w:tabs>
          <w:tab w:leader="none" w:pos="10040" w:val="left"/>
          <w:tab w:leader="none" w:pos="107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tbl>
      <w:tblPr>
        <w:tblLayout w:type="fixed"/>
        <w:tblInd w:w="200" w:type="dxa"/>
        <w:tblCellMar>
          <w:top w:w="0" w:type="dxa"/>
          <w:left w:w="0" w:type="dxa"/>
          <w:bottom w:w="0" w:type="dxa"/>
          <w:right w:w="0" w:type="dxa"/>
        </w:tblCellMar>
      </w:tblPr>
      <w:tr>
        <w:trPr>
          <w:trHeight w:val="210"/>
        </w:trPr>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266"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2017, we had approximately $7.3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74"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an as adjusted basis after giving effect to this offering and the repayment at maturity of our 1.00% Notes due May 1, 2018, as of December 31,</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2017, Texas Instruments Incorporated would have had approximately $ billion of total long-term indebtedness (including the Notes), all of which would have been unsecured and unsubordinated.</w:t>
      </w:r>
    </w:p>
    <w:p>
      <w:pPr>
        <w:spacing w:after="0" w:line="184"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53"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including to replenish our cash on hand following the repayment at maturity of $500 million principal amount of our 1.00% Notes due May 1, 2018. Initially we intend to invest the net proceeds of this offering in certificates of deposit, United States government securities and certain other interest-bearing securities.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2017. Our consolidated capitalization, as adjusted, gives effect to the issuance of the Notes offered by this prospectus supplement and the repayment of $500 million aggregate principal amount of our 1.00% Notes due May 1, 2018 at maturity. This table should be read in conjunction with our consolidated financial statements and the related notes incorporated by reference into this prospectus supplement and the accompanying prospectus.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00" w:type="dxa"/>
            <w:vAlign w:val="bottom"/>
          </w:tcPr>
          <w:p>
            <w:pPr>
              <w:spacing w:after="0"/>
              <w:rPr>
                <w:sz w:val="14"/>
                <w:szCs w:val="14"/>
                <w:color w:val="auto"/>
              </w:rPr>
            </w:pPr>
          </w:p>
        </w:tc>
        <w:tc>
          <w:tcPr>
            <w:tcW w:w="2440" w:type="dxa"/>
            <w:vAlign w:val="bottom"/>
            <w:gridSpan w:val="6"/>
          </w:tcPr>
          <w:p>
            <w:pPr>
              <w:ind w:left="300"/>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142"/>
        </w:trPr>
        <w:tc>
          <w:tcPr>
            <w:tcW w:w="88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Actual</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offered hereby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p>
        </w:tc>
        <w:tc>
          <w:tcPr>
            <w:tcW w:w="10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3,577</w:t>
            </w:r>
            <w:r>
              <w:rPr>
                <w:rFonts w:ascii="Arial" w:cs="Arial" w:eastAsia="Arial" w:hAnsi="Arial"/>
                <w:sz w:val="15"/>
                <w:szCs w:val="15"/>
                <w:color w:val="auto"/>
              </w:rPr>
              <w:t>(2)</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3,577</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72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720"/>
              <w:spacing w:after="0"/>
              <w:rPr>
                <w:sz w:val="20"/>
                <w:szCs w:val="20"/>
                <w:color w:val="auto"/>
              </w:rPr>
            </w:pPr>
            <w:r>
              <w:rPr>
                <w:rFonts w:ascii="Arial" w:cs="Arial" w:eastAsia="Arial" w:hAnsi="Arial"/>
                <w:sz w:val="18"/>
                <w:szCs w:val="18"/>
                <w:color w:val="auto"/>
              </w:rPr>
              <w:t>Shares issued–1,740,815,939</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46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1,776</w:t>
            </w:r>
          </w:p>
        </w:tc>
        <w:tc>
          <w:tcPr>
            <w:tcW w:w="4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34,662</w:t>
            </w:r>
          </w:p>
        </w:tc>
        <w:tc>
          <w:tcPr>
            <w:tcW w:w="46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34,662</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(757,657,217 shares)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(27,458)</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23"/>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10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(384)</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10,337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13,914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40" w:hanging="452"/>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with all offering expenses (including underwriting discounts) shown as paid out of cash.</w:t>
      </w:r>
    </w:p>
    <w:p>
      <w:pPr>
        <w:spacing w:after="0" w:line="1" w:lineRule="exact"/>
        <w:rPr>
          <w:rFonts w:ascii="Arial" w:cs="Arial" w:eastAsia="Arial" w:hAnsi="Arial"/>
          <w:sz w:val="18"/>
          <w:szCs w:val="18"/>
          <w:color w:val="auto"/>
        </w:rPr>
      </w:pPr>
    </w:p>
    <w:p>
      <w:pPr>
        <w:ind w:left="460" w:right="5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$4.1 billion of our existing outstanding notes less net unamortized discount and debt issuance costs of $23 million, less $500 million representing the current portion of long-term debt.</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$3.6 billion of our existing outstanding notes less net unamortized discount and debt issuance costs of $23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Notes will mature on , 20 . The Notes will be issued in book-entry form only, in denominations of $2,000 and multiples of $1,000 thereafter. Interest on the Notes will accrue from , 2018 at the rate per annum shown on the cover of this prospectus supplement. Interest on the Notes will be payable semi-annually on and , commencing on , 2018 to the persons in whose names the Notes are registered at the close of business on the preceding or , as the case may be. Interest on the Notes will be paid to but excluding the relevant interest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payment date. Interest on the Notes will be calculated on the basis of a 360-day year comprised of twelve 30-day months.</w:t>
      </w:r>
    </w:p>
    <w:p>
      <w:pPr>
        <w:spacing w:after="0" w:line="21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2017, Texas Instruments Incorporated had approximately $4.1 billion of outstanding indebtedness. As of December 31, 2017, we had approximately $7.3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an as adjusted basis after giving effect to this offering and the repayment at maturity of our 1.00% Notes due May 1, 2018,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16" w:lineRule="exact"/>
        <w:rPr>
          <w:sz w:val="20"/>
          <w:szCs w:val="20"/>
          <w:color w:val="auto"/>
        </w:rPr>
      </w:pPr>
    </w:p>
    <w:p>
      <w:pPr>
        <w:ind w:left="660" w:right="360" w:hanging="20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would have had approximately $</w:t>
      </w:r>
      <w:r>
        <w:rPr>
          <w:rFonts w:ascii="Arial" w:cs="Arial" w:eastAsia="Arial" w:hAnsi="Arial"/>
          <w:sz w:val="16"/>
          <w:szCs w:val="16"/>
          <w:color w:val="auto"/>
        </w:rPr>
        <w:t>billion of total liabilities on a consolidated basis;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ectPr>
          <w:pgSz w:w="11900" w:h="16838" w:orient="portrait"/>
          <w:cols w:equalWidth="0" w:num="1">
            <w:col w:w="11360"/>
          </w:cols>
          <w:pgMar w:left="240" w:top="459" w:right="299" w:bottom="1440" w:gutter="0" w:footer="0" w:header="0"/>
        </w:sectPr>
      </w:pPr>
    </w:p>
    <w:p>
      <w:pPr>
        <w:spacing w:after="0" w:line="154" w:lineRule="exact"/>
        <w:rPr>
          <w:sz w:val="20"/>
          <w:szCs w:val="20"/>
          <w:color w:val="auto"/>
        </w:rPr>
      </w:pPr>
    </w:p>
    <w:p>
      <w:pPr>
        <w:ind w:left="660" w:hanging="199"/>
        <w:spacing w:after="0" w:line="342" w:lineRule="auto"/>
        <w:tabs>
          <w:tab w:leader="none" w:pos="640" w:val="left"/>
        </w:tabs>
        <w:rPr>
          <w:sz w:val="20"/>
          <w:szCs w:val="20"/>
          <w:color w:val="auto"/>
        </w:rPr>
      </w:pPr>
      <w:r>
        <w:rPr>
          <w:rFonts w:ascii="Arial" w:cs="Arial" w:eastAsia="Arial" w:hAnsi="Arial"/>
          <w:sz w:val="16"/>
          <w:szCs w:val="16"/>
          <w:color w:val="auto"/>
        </w:rPr>
        <w:t>•</w:t>
        <w:tab/>
        <w:t>Texas Instruments Incorporated’s subsidiaries would have had approximately $ intercompany debt) to which the Notes would have been structurally subordinated.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billion of liabilities (including trade payables but excluding</w:t>
      </w:r>
    </w:p>
    <w:p>
      <w:pPr>
        <w:spacing w:after="0" w:line="540" w:lineRule="exact"/>
        <w:rPr>
          <w:sz w:val="20"/>
          <w:szCs w:val="20"/>
          <w:color w:val="auto"/>
        </w:rPr>
      </w:pPr>
    </w:p>
    <w:p>
      <w:pPr>
        <w:sectPr>
          <w:pgSz w:w="11900" w:h="16838" w:orient="portrait"/>
          <w:cols w:equalWidth="0" w:num="2">
            <w:col w:w="6620" w:space="100"/>
            <w:col w:w="4640"/>
          </w:cols>
          <w:pgMar w:left="240" w:top="459" w:right="29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issue price and interest accrued prior to the issue date of the additional Notes. The additional Notes will have the same CUSIP number as the Notes;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additional Notes that are not fungible with the Notes for U.S. federal income tax purposes will be issued under a separate CUSIP number.</w:t>
      </w:r>
      <w:r>
        <w:rPr>
          <w:rFonts w:ascii="Arial" w:cs="Arial" w:eastAsia="Arial" w:hAnsi="Arial"/>
          <w:sz w:val="18"/>
          <w:szCs w:val="18"/>
          <w:i w:val="1"/>
          <w:iCs w:val="1"/>
          <w:color w:val="auto"/>
        </w:rPr>
        <w:t xml:space="preserve"> </w:t>
      </w: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460"/>
        <w:spacing w:after="0"/>
        <w:tabs>
          <w:tab w:leader="none" w:pos="1760" w:val="left"/>
          <w:tab w:leader="none" w:pos="2240" w:val="left"/>
          <w:tab w:leader="none" w:pos="4080" w:val="left"/>
        </w:tabs>
        <w:rPr>
          <w:sz w:val="20"/>
          <w:szCs w:val="20"/>
          <w:color w:val="auto"/>
        </w:rPr>
      </w:pPr>
      <w:r>
        <w:rPr>
          <w:rFonts w:ascii="Arial" w:cs="Arial" w:eastAsia="Arial" w:hAnsi="Arial"/>
          <w:sz w:val="18"/>
          <w:szCs w:val="18"/>
          <w:color w:val="auto"/>
        </w:rPr>
        <w:t>Prior to</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 maturity date of the Notes), the Notes will be redeemable, in whole or in part at</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any time, or from time to time, at Texas Instruments Incorporated’s option, at a “make-whole premium” redemption price calculated by Texas Instruments Incorporated equal to the greater of:</w:t>
      </w:r>
    </w:p>
    <w:p>
      <w:pPr>
        <w:spacing w:after="0" w:line="76" w:lineRule="exact"/>
        <w:rPr>
          <w:sz w:val="20"/>
          <w:szCs w:val="20"/>
          <w:color w:val="auto"/>
        </w:rPr>
      </w:pPr>
    </w:p>
    <w:p>
      <w:pPr>
        <w:ind w:left="1120" w:hanging="2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 thereon (not including any portion</w:t>
      </w:r>
    </w:p>
    <w:p>
      <w:pPr>
        <w:spacing w:after="0" w:line="46" w:lineRule="exact"/>
        <w:rPr>
          <w:sz w:val="20"/>
          <w:szCs w:val="20"/>
          <w:color w:val="auto"/>
        </w:rPr>
      </w:pPr>
    </w:p>
    <w:p>
      <w:pPr>
        <w:ind w:left="460" w:right="140"/>
        <w:spacing w:after="0" w:line="265" w:lineRule="auto"/>
        <w:rPr>
          <w:sz w:val="20"/>
          <w:szCs w:val="20"/>
          <w:color w:val="auto"/>
        </w:rPr>
      </w:pPr>
      <w:r>
        <w:rPr>
          <w:rFonts w:ascii="Arial" w:cs="Arial" w:eastAsia="Arial" w:hAnsi="Arial"/>
          <w:sz w:val="17"/>
          <w:szCs w:val="17"/>
          <w:color w:val="auto"/>
        </w:rPr>
        <w:t>of such payments of interest accrued as of the date of redemption) from the date of redemption to , 20 (the date that is months prior to the maturity date of the Notes), in each case discounted to the date of redemption on a semi-annual basis (assuming a 360-day year consisting</w:t>
      </w:r>
    </w:p>
    <w:p>
      <w:pPr>
        <w:ind w:left="460"/>
        <w:spacing w:after="0"/>
        <w:tabs>
          <w:tab w:leader="none" w:pos="6280" w:val="left"/>
        </w:tabs>
        <w:rPr>
          <w:sz w:val="20"/>
          <w:szCs w:val="20"/>
          <w:color w:val="auto"/>
        </w:rPr>
      </w:pPr>
      <w:r>
        <w:rPr>
          <w:rFonts w:ascii="Arial" w:cs="Arial" w:eastAsia="Arial" w:hAnsi="Arial"/>
          <w:sz w:val="18"/>
          <w:szCs w:val="18"/>
          <w:color w:val="auto"/>
        </w:rPr>
        <w:t>of twelve 30-day months) at the Treasury Rate (as defined below), plus</w:t>
      </w:r>
      <w:r>
        <w:rPr>
          <w:sz w:val="20"/>
          <w:szCs w:val="20"/>
          <w:color w:val="auto"/>
        </w:rPr>
        <w:tab/>
      </w:r>
      <w:r>
        <w:rPr>
          <w:rFonts w:ascii="Arial" w:cs="Arial" w:eastAsia="Arial" w:hAnsi="Arial"/>
          <w:sz w:val="16"/>
          <w:szCs w:val="16"/>
          <w:color w:val="auto"/>
        </w:rPr>
        <w:t>basis points;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At any time on or after , 20 (the date that is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Treasury Dealer Quotations, or (ii) if the Quotation Agent obtains fewer than three such Reference Treasury Dealer Quotations, the average of all such quotations, or (iii) if only one Reference Treasury Dealer Quotation is received, such quotation.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“Reference Treasury Dealer” means (i) Citigroup Global Markets Inc., Mizuho Securities USA LLC and Morgan Stanley &amp; Co. LLC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660" w:right="160" w:hanging="206"/>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660" w:right="200" w:hanging="20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jc w:val="both"/>
        <w:ind w:left="660" w:right="80" w:hanging="206"/>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99"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6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66"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7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of a Note and are:</w:t>
      </w:r>
    </w:p>
    <w:p>
      <w:pPr>
        <w:spacing w:after="0" w:line="7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discussion assumes, that the Notes will be issued without original issue discount for U.S. federal income tax purposes. If, however, the principal amount of a Note exceeds its issue price by at least a de minimis amount, as 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you do not own, actually or constructively, ten percent or more of the total combined voting power of all classes of our stock entitled to vote;</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and (for dispositions after December 31, 2018)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Citigroup Global Markets Inc., Mizuho Securities USA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91"/>
        </w:trPr>
        <w:tc>
          <w:tcPr>
            <w:tcW w:w="10100" w:type="dxa"/>
            <w:vAlign w:val="bottom"/>
            <w:gridSpan w:val="2"/>
            <w:vMerge w:val="continue"/>
          </w:tcPr>
          <w:p>
            <w:pPr>
              <w:spacing w:after="0"/>
              <w:rPr>
                <w:sz w:val="16"/>
                <w:szCs w:val="16"/>
                <w:color w:val="auto"/>
              </w:rPr>
            </w:pP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190"/>
        </w:trPr>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Citigroup</w:t>
            </w:r>
          </w:p>
        </w:tc>
        <w:tc>
          <w:tcPr>
            <w:tcW w:w="9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Global Markets Inc.</w:t>
            </w:r>
          </w:p>
        </w:tc>
        <w:tc>
          <w:tcPr>
            <w:tcW w:w="126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10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rPr>
              <w:t>Incorporated</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2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1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Note. Any such securities dealers may resell any Notes purchased from the underwriters to certain other brokers or dealers at a discount from the initial public offering price not to exceed % per Note. If all the Notes are not sold at the initial offering price, the underwriters may change the offering price and the other selling terms.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2"/>
              </w:rPr>
              <w:t>Paid by Texas</w:t>
            </w:r>
          </w:p>
        </w:tc>
      </w:tr>
      <w:tr>
        <w:trPr>
          <w:trHeight w:val="149"/>
        </w:trPr>
        <w:tc>
          <w:tcPr>
            <w:tcW w:w="6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Instruments</w:t>
            </w:r>
          </w:p>
        </w:tc>
      </w:tr>
      <w:tr>
        <w:trPr>
          <w:trHeight w:val="171"/>
        </w:trPr>
        <w:tc>
          <w:tcPr>
            <w:tcW w:w="6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5"/>
              </w:rPr>
              <w:t>Incorporated</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4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432"/>
        </w:trPr>
        <w:tc>
          <w:tcPr>
            <w:tcW w:w="6120" w:type="dxa"/>
            <w:vAlign w:val="bottom"/>
          </w:tcPr>
          <w:p>
            <w:pPr>
              <w:ind w:left="460"/>
              <w:spacing w:after="0"/>
              <w:rPr>
                <w:sz w:val="20"/>
                <w:szCs w:val="20"/>
                <w:color w:val="auto"/>
              </w:rPr>
            </w:pPr>
            <w:r>
              <w:rPr>
                <w:rFonts w:ascii="Arial" w:cs="Arial" w:eastAsia="Arial" w:hAnsi="Arial"/>
                <w:sz w:val="18"/>
                <w:szCs w:val="18"/>
                <w:color w:val="auto"/>
                <w:w w:val="94"/>
              </w:rPr>
              <w:t>We estimate that our total expenses for this offering will be approximately $</w:t>
            </w:r>
          </w:p>
        </w:tc>
        <w:tc>
          <w:tcPr>
            <w:tcW w:w="5300" w:type="dxa"/>
            <w:vAlign w:val="bottom"/>
            <w:gridSpan w:val="3"/>
          </w:tcPr>
          <w:p>
            <w:pPr>
              <w:jc w:val="right"/>
              <w:ind w:right="1990"/>
              <w:spacing w:after="0"/>
              <w:rPr>
                <w:sz w:val="20"/>
                <w:szCs w:val="20"/>
                <w:color w:val="auto"/>
              </w:rPr>
            </w:pPr>
            <w:r>
              <w:rPr>
                <w:rFonts w:ascii="Arial" w:cs="Arial" w:eastAsia="Arial" w:hAnsi="Arial"/>
                <w:sz w:val="18"/>
                <w:szCs w:val="18"/>
                <w:color w:val="auto"/>
                <w:w w:val="99"/>
              </w:rPr>
              <w:t>million, including underwriting discounts.</w:t>
            </w:r>
          </w:p>
        </w:tc>
      </w:tr>
    </w:tbl>
    <w:p>
      <w:pPr>
        <w:spacing w:after="0" w:line="20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53" w:lineRule="exact"/>
        <w:rPr>
          <w:rFonts w:ascii="Arial" w:cs="Arial" w:eastAsia="Arial" w:hAnsi="Arial"/>
          <w:sz w:val="16"/>
          <w:szCs w:val="16"/>
          <w:color w:val="auto"/>
        </w:rPr>
      </w:pPr>
    </w:p>
    <w:p>
      <w:pPr>
        <w:jc w:val="center"/>
        <w:ind w:left="5540" w:right="160" w:hanging="5086"/>
        <w:spacing w:after="0" w:line="449" w:lineRule="auto"/>
        <w:tabs>
          <w:tab w:leader="none" w:pos="6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 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Stabilizing transactions involve bids to purchase the Notes so long as the stabilizing bids do not exceed a specified maximum.</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T+5, to specify alternative settlement arrangements to prevent a failed settlement.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6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Directive from the requirement to publish a prospectus for offers of Notes. This prospectus is not a prospectus for the purposes of the Prospectus Directive.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291"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(Ontario); and (iii) is a “permitted client” as such term is defined in section 1.1 of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 faisant foi</w:t>
      </w:r>
      <w:r>
        <w:rPr>
          <w:rFonts w:ascii="Arial" w:cs="Arial" w:eastAsia="Arial" w:hAnsi="Arial"/>
          <w:sz w:val="18"/>
          <w:szCs w:val="18"/>
          <w:color w:val="auto"/>
        </w:rPr>
        <w:t xml:space="preserve"> </w:t>
      </w:r>
      <w:r>
        <w:rPr>
          <w:rFonts w:ascii="Arial" w:cs="Arial" w:eastAsia="Arial" w:hAnsi="Arial"/>
          <w:sz w:val="18"/>
          <w:szCs w:val="18"/>
          <w:i w:val="1"/>
          <w:iCs w:val="1"/>
          <w:color w:val="auto"/>
        </w:rPr>
        <w:t>ou se rapportant de quelque manière que ce soit à la vente des valeurs mobilières décrites aux présentes (incluant, pour plus de certitude, toute confirmation d’achat ou tout avis) soient rédigés en anglais seulement.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or of the competent authority of another member state of the European Economic Area and notified to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7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660" w:right="340" w:hanging="206"/>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660" w:right="40" w:hanging="206"/>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in a transaction that, in accordance with article L.411-2-II-1° -or-2° -or 3°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xml:space="preserve">)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660" w:right="240" w:hanging="20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4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9" w:lineRule="exact"/>
        <w:rPr>
          <w:sz w:val="20"/>
          <w:szCs w:val="20"/>
          <w:color w:val="auto"/>
        </w:rPr>
      </w:pPr>
    </w:p>
    <w:p>
      <w:pPr>
        <w:ind w:left="660" w:right="220" w:hanging="206"/>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purchaser of the Notes that is (1) an employee benefit plan subject to Title I of the Employee Retirement Income Security Act of 1974, as amended (“ERISA”), (2) a plan or account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92" w:lineRule="exact"/>
        <w:rPr>
          <w:sz w:val="20"/>
          <w:szCs w:val="20"/>
          <w:color w:val="auto"/>
        </w:rPr>
      </w:pPr>
    </w:p>
    <w:p>
      <w:pPr>
        <w:ind w:left="900" w:right="8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Is a bank, an insurance carrier, a registered investment adviser, a registered broker-dealer or an independent fiduciary with at least $50 million of assets under management or control as specified in 29 CFR Section 2510.3-21(c)(1)(i) (excluding an IRA owner if the purchaser is an IRA);</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underwriter and their respective affiliates (the “Transaction Parties”);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ind w:left="900" w:right="28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29" w:lineRule="exact"/>
        <w:rPr>
          <w:rFonts w:ascii="Arial" w:cs="Arial" w:eastAsia="Arial" w:hAnsi="Arial"/>
          <w:sz w:val="16"/>
          <w:szCs w:val="16"/>
          <w:color w:val="auto"/>
        </w:rPr>
      </w:pPr>
    </w:p>
    <w:p>
      <w:pPr>
        <w:ind w:left="900" w:hanging="446"/>
        <w:spacing w:after="0" w:line="273"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2017, and the effectiveness of our internal control over financial reporting as of December 31, 2017, as set forth in their reports, which are incorporated by reference herein. Our financial statements are incorporated by reference in reliance on Ernst &amp; Young LLP’s reports, given on their authority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2017, filed on February 22, 2018, the sections of the Definitive Proxy Statement on Schedule 14A for the 2018 annual meeting of stockholders, filed on March 13, 2018 and incorporated by reference in the Annual Report on Form 10-K for the year ended December 31, 2017, the Current Reports on Form 8-K filed on January 22, 2018 and April 13, 2018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79"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Warrants</w:t>
      </w:r>
    </w:p>
    <w:p>
      <w:pPr>
        <w:spacing w:after="0" w:line="139" w:lineRule="exact"/>
        <w:rPr>
          <w:sz w:val="20"/>
          <w:szCs w:val="20"/>
          <w:color w:val="auto"/>
        </w:rPr>
      </w:pPr>
    </w:p>
    <w:p>
      <w:pPr>
        <w:sectPr>
          <w:pgSz w:w="11900" w:h="16838" w:orient="portrait"/>
          <w:cols w:equalWidth="0" w:num="4">
            <w:col w:w="80" w:space="280"/>
            <w:col w:w="4740" w:space="720"/>
            <w:col w:w="80" w:space="260"/>
            <w:col w:w="52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39" w:lineRule="exact"/>
        <w:rPr>
          <w:sz w:val="20"/>
          <w:szCs w:val="20"/>
          <w:color w:val="auto"/>
        </w:rPr>
      </w:pPr>
    </w:p>
    <w:p>
      <w:pPr>
        <w:sectPr>
          <w:pgSz w:w="11900" w:h="16838" w:orient="portrait"/>
          <w:cols w:equalWidth="0" w:num="4">
            <w:col w:w="80" w:space="280"/>
            <w:col w:w="4740" w:space="720"/>
            <w:col w:w="80" w:space="280"/>
            <w:col w:w="5240"/>
          </w:cols>
          <w:pgMar w:left="240" w:top="459" w:right="239" w:bottom="1440" w:gutter="0" w:footer="0" w:header="0"/>
          <w:type w:val="continuous"/>
        </w:sect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8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Notice Regarding Forward-Looking Statements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Validity of Securities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314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314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jc w:val="both"/>
        <w:ind w:left="200" w:right="64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548640</wp:posOffset>
            </wp:positionV>
            <wp:extent cx="2864485" cy="660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080" w:hanging="1545"/>
        <w:spacing w:after="0"/>
        <w:tabs>
          <w:tab w:leader="none" w:pos="5080" w:val="left"/>
        </w:tabs>
        <w:numPr>
          <w:ilvl w:val="0"/>
          <w:numId w:val="49"/>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873125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 SUPPLEMENT</w:t>
      </w:r>
    </w:p>
    <w:p>
      <w:pPr>
        <w:spacing w:after="0" w:line="33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317500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471"/>
        </w:trPr>
        <w:tc>
          <w:tcPr>
            <w:tcW w:w="2300" w:type="dxa"/>
            <w:vAlign w:val="bottom"/>
          </w:tcPr>
          <w:p>
            <w:pPr>
              <w:spacing w:after="0"/>
              <w:rPr>
                <w:sz w:val="20"/>
                <w:szCs w:val="20"/>
                <w:color w:val="auto"/>
              </w:rPr>
            </w:pPr>
            <w:r>
              <w:rPr>
                <w:rFonts w:ascii="Arial" w:cs="Arial" w:eastAsia="Arial" w:hAnsi="Arial"/>
                <w:sz w:val="36"/>
                <w:szCs w:val="36"/>
                <w:b w:val="1"/>
                <w:bCs w:val="1"/>
                <w:color w:val="auto"/>
              </w:rPr>
              <w:t>Citigroup</w:t>
            </w:r>
          </w:p>
        </w:tc>
        <w:tc>
          <w:tcPr>
            <w:tcW w:w="4720" w:type="dxa"/>
            <w:vAlign w:val="bottom"/>
          </w:tcPr>
          <w:p>
            <w:pPr>
              <w:ind w:left="1580"/>
              <w:spacing w:after="0"/>
              <w:rPr>
                <w:sz w:val="20"/>
                <w:szCs w:val="20"/>
                <w:color w:val="auto"/>
              </w:rPr>
            </w:pPr>
            <w:r>
              <w:rPr>
                <w:rFonts w:ascii="Arial" w:cs="Arial" w:eastAsia="Arial" w:hAnsi="Arial"/>
                <w:sz w:val="36"/>
                <w:szCs w:val="36"/>
                <w:b w:val="1"/>
                <w:bCs w:val="1"/>
                <w:color w:val="auto"/>
              </w:rPr>
              <w:t>Mizuho Securities</w:t>
            </w:r>
          </w:p>
        </w:tc>
        <w:tc>
          <w:tcPr>
            <w:tcW w:w="4400" w:type="dxa"/>
            <w:vAlign w:val="bottom"/>
            <w:gridSpan w:val="2"/>
          </w:tcPr>
          <w:p>
            <w:pPr>
              <w:jc w:val="right"/>
              <w:spacing w:after="0"/>
              <w:rPr>
                <w:sz w:val="20"/>
                <w:szCs w:val="20"/>
                <w:color w:val="auto"/>
              </w:rPr>
            </w:pPr>
            <w:r>
              <w:rPr>
                <w:rFonts w:ascii="Arial" w:cs="Arial" w:eastAsia="Arial" w:hAnsi="Arial"/>
                <w:sz w:val="36"/>
                <w:szCs w:val="36"/>
                <w:b w:val="1"/>
                <w:bCs w:val="1"/>
                <w:color w:val="auto"/>
              </w:rPr>
              <w:t>Morgan Stanley</w:t>
            </w:r>
          </w:p>
        </w:tc>
      </w:tr>
      <w:tr>
        <w:trPr>
          <w:trHeight w:val="488"/>
        </w:trPr>
        <w:tc>
          <w:tcPr>
            <w:tcW w:w="230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4720" w:type="dxa"/>
            <w:vAlign w:val="bottom"/>
          </w:tcPr>
          <w:p>
            <w:pPr>
              <w:ind w:left="800"/>
              <w:spacing w:after="0"/>
              <w:rPr>
                <w:sz w:val="20"/>
                <w:szCs w:val="20"/>
                <w:color w:val="auto"/>
              </w:rPr>
            </w:pPr>
            <w:r>
              <w:rPr>
                <w:rFonts w:ascii="Arial" w:cs="Arial" w:eastAsia="Arial" w:hAnsi="Arial"/>
                <w:sz w:val="32"/>
                <w:szCs w:val="32"/>
                <w:b w:val="1"/>
                <w:bCs w:val="1"/>
                <w:color w:val="auto"/>
              </w:rPr>
              <w:t>BofA Merrill Lynch</w:t>
            </w:r>
          </w:p>
        </w:tc>
        <w:tc>
          <w:tcPr>
            <w:tcW w:w="2740" w:type="dxa"/>
            <w:vAlign w:val="bottom"/>
          </w:tcPr>
          <w:p>
            <w:pPr>
              <w:ind w:left="380"/>
              <w:spacing w:after="0"/>
              <w:rPr>
                <w:sz w:val="20"/>
                <w:szCs w:val="20"/>
                <w:color w:val="auto"/>
              </w:rPr>
            </w:pPr>
            <w:r>
              <w:rPr>
                <w:rFonts w:ascii="Arial" w:cs="Arial" w:eastAsia="Arial" w:hAnsi="Arial"/>
                <w:sz w:val="32"/>
                <w:szCs w:val="32"/>
                <w:b w:val="1"/>
                <w:bCs w:val="1"/>
                <w:color w:val="auto"/>
              </w:rPr>
              <w:t>J.P. Morgan</w:t>
            </w:r>
          </w:p>
        </w:tc>
        <w:tc>
          <w:tcPr>
            <w:tcW w:w="166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r>
        <w:trPr>
          <w:trHeight w:val="1038"/>
        </w:trPr>
        <w:tc>
          <w:tcPr>
            <w:tcW w:w="2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95"/>
        </w:trPr>
        <w:tc>
          <w:tcPr>
            <w:tcW w:w="2300" w:type="dxa"/>
            <w:vAlign w:val="bottom"/>
            <w:tcBorders>
              <w:bottom w:val="single" w:sz="8" w:color="auto"/>
            </w:tcBorders>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lowerRoman"/>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lvl w:ilvl="1">
      <w:lvlJc w:val="left"/>
      <w:lvlText w:val="(%2)"/>
      <w:numFmt w:val="decimal"/>
      <w:start w:val="1"/>
    </w:lvl>
  </w:abstractNum>
  <w:abstractNum w:abstractNumId="12">
    <w:nsid w:val="7C3DBD3D"/>
    <w:multiLevelType w:val="hybridMultilevel"/>
    <w:lvl w:ilvl="0">
      <w:lvlJc w:val="left"/>
      <w:lvlText w:val="•"/>
      <w:numFmt w:val="bullet"/>
      <w:start w:val="1"/>
    </w:lvl>
    <w:lvl w:ilvl="1">
      <w:lvlJc w:val="left"/>
      <w:lvlText w:val="(%2)"/>
      <w:numFmt w:val="decimal"/>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1)"/>
      <w:numFmt w:val="lowerRoman"/>
      <w:start w:val="2"/>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lvl w:ilvl="1">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lvl w:ilvl="1">
      <w:lvlJc w:val="left"/>
      <w:lvlText w:val="•"/>
      <w:numFmt w:val="bullet"/>
      <w:start w:val="1"/>
    </w:lvl>
  </w:abstractNum>
  <w:abstractNum w:abstractNumId="40">
    <w:nsid w:val="57E4CCAF"/>
    <w:multiLevelType w:val="hybridMultilevel"/>
    <w:lvl w:ilvl="0">
      <w:lvlJc w:val="left"/>
      <w:lvlText w:val="•"/>
      <w:numFmt w:val="bullet"/>
      <w:start w:val="1"/>
    </w:lvl>
    <w:lvl w:ilvl="1">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2019-12-05T09:45:10Z</dcterms:created>
  <dcterms:modified xsi:type="dcterms:W3CDTF">2019-12-05T09:45:10Z</dcterms:modified>
</cp:coreProperties>
</file>