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36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365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Bluedorn Todd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2"/>
          </w:tcPr>
          <w:p>
            <w:pPr>
              <w:jc w:val="center"/>
              <w:ind w:left="573"/>
              <w:spacing w:after="0"/>
              <w:rPr>
                <w:sz w:val="20"/>
                <w:szCs w:val="20"/>
                <w:color w:val="auto"/>
              </w:rPr>
            </w:pPr>
            <w:r>
              <w:rPr>
                <w:rFonts w:ascii="Arial" w:cs="Arial" w:eastAsia="Arial" w:hAnsi="Arial"/>
                <w:sz w:val="18"/>
                <w:szCs w:val="18"/>
                <w:color w:val="0000FF"/>
                <w:w w:val="88"/>
              </w:rPr>
              <w:t>01/25/2018</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907</w:t>
            </w:r>
            <w:r>
              <w:rPr>
                <w:rFonts w:ascii="Arial" w:cs="Arial" w:eastAsia="Arial" w:hAnsi="Arial"/>
                <w:sz w:val="22"/>
                <w:szCs w:val="22"/>
                <w:color w:val="008000"/>
                <w:vertAlign w:val="superscript"/>
              </w:rPr>
              <w:t>(1)</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520"/>
              <w:spacing w:after="0"/>
              <w:rPr>
                <w:sz w:val="20"/>
                <w:szCs w:val="20"/>
                <w:color w:val="auto"/>
              </w:rPr>
            </w:pPr>
            <w:r>
              <w:rPr>
                <w:rFonts w:ascii="Arial" w:cs="Arial" w:eastAsia="Arial" w:hAnsi="Arial"/>
                <w:sz w:val="18"/>
                <w:szCs w:val="18"/>
                <w:color w:val="0000FF"/>
              </w:rPr>
              <w:t>2,907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1"/>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110.15</w:t>
            </w:r>
          </w:p>
        </w:tc>
        <w:tc>
          <w:tcPr>
            <w:tcW w:w="1140" w:type="dxa"/>
            <w:vAlign w:val="bottom"/>
            <w:vMerge w:val="restart"/>
          </w:tcPr>
          <w:p>
            <w:pPr>
              <w:ind w:left="260"/>
              <w:spacing w:after="0"/>
              <w:rPr>
                <w:sz w:val="20"/>
                <w:szCs w:val="20"/>
                <w:color w:val="auto"/>
              </w:rPr>
            </w:pPr>
            <w:r>
              <w:rPr>
                <w:rFonts w:ascii="Arial" w:cs="Arial" w:eastAsia="Arial" w:hAnsi="Arial"/>
                <w:sz w:val="14"/>
                <w:szCs w:val="14"/>
                <w:color w:val="0000FF"/>
              </w:rPr>
              <w:t>01/25/2018</w:t>
            </w:r>
          </w:p>
        </w:tc>
        <w:tc>
          <w:tcPr>
            <w:tcW w:w="114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Arial" w:cs="Arial" w:eastAsia="Arial" w:hAnsi="Arial"/>
                <w:sz w:val="14"/>
                <w:szCs w:val="14"/>
                <w:color w:val="0000FF"/>
              </w:rPr>
              <w:t>A</w:t>
            </w:r>
          </w:p>
        </w:tc>
        <w:tc>
          <w:tcPr>
            <w:tcW w:w="580" w:type="dxa"/>
            <w:vAlign w:val="bottom"/>
            <w:vMerge w:val="restart"/>
          </w:tcPr>
          <w:p>
            <w:pPr>
              <w:ind w:left="180"/>
              <w:spacing w:after="0"/>
              <w:rPr>
                <w:sz w:val="20"/>
                <w:szCs w:val="20"/>
                <w:color w:val="auto"/>
              </w:rPr>
            </w:pPr>
            <w:r>
              <w:rPr>
                <w:rFonts w:ascii="Arial" w:cs="Arial" w:eastAsia="Arial" w:hAnsi="Arial"/>
                <w:sz w:val="14"/>
                <w:szCs w:val="14"/>
                <w:color w:val="0000FF"/>
              </w:rPr>
              <w:t>4,306</w:t>
            </w:r>
          </w:p>
        </w:tc>
        <w:tc>
          <w:tcPr>
            <w:tcW w:w="340" w:type="dxa"/>
            <w:vAlign w:val="bottom"/>
          </w:tcPr>
          <w:p>
            <w:pPr>
              <w:spacing w:after="0"/>
              <w:rPr>
                <w:sz w:val="12"/>
                <w:szCs w:val="12"/>
                <w:color w:val="auto"/>
              </w:rPr>
            </w:pP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80" w:type="dxa"/>
            <w:vAlign w:val="bottom"/>
            <w:gridSpan w:val="2"/>
            <w:vMerge w:val="restart"/>
          </w:tcPr>
          <w:p>
            <w:pPr>
              <w:jc w:val="right"/>
              <w:ind w:right="74"/>
              <w:spacing w:after="0"/>
              <w:rPr>
                <w:sz w:val="20"/>
                <w:szCs w:val="20"/>
                <w:color w:val="auto"/>
              </w:rPr>
            </w:pPr>
            <w:r>
              <w:rPr>
                <w:rFonts w:ascii="Arial" w:cs="Arial" w:eastAsia="Arial" w:hAnsi="Arial"/>
                <w:sz w:val="14"/>
                <w:szCs w:val="14"/>
                <w:color w:val="0000FF"/>
                <w:w w:val="88"/>
              </w:rPr>
              <w:t>01/25/2028</w:t>
            </w: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4,306</w:t>
            </w:r>
          </w:p>
        </w:tc>
        <w:tc>
          <w:tcPr>
            <w:tcW w:w="40" w:type="dxa"/>
            <w:vAlign w:val="bottom"/>
          </w:tcPr>
          <w:p>
            <w:pPr>
              <w:spacing w:after="0"/>
              <w:rPr>
                <w:sz w:val="12"/>
                <w:szCs w:val="12"/>
                <w:color w:val="auto"/>
              </w:rPr>
            </w:pPr>
          </w:p>
        </w:tc>
        <w:tc>
          <w:tcPr>
            <w:tcW w:w="74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rPr>
                <w:sz w:val="20"/>
                <w:szCs w:val="20"/>
                <w:color w:val="auto"/>
              </w:rPr>
            </w:pPr>
            <w:r>
              <w:rPr>
                <w:rFonts w:ascii="Arial" w:cs="Arial" w:eastAsia="Arial" w:hAnsi="Arial"/>
                <w:sz w:val="14"/>
                <w:szCs w:val="14"/>
                <w:color w:val="0000FF"/>
                <w:w w:val="91"/>
              </w:rPr>
              <w:t>4,306</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Award of restricted stock units granted under the Texas Instruments 2009 Director Compensation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01/29/2018</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AUTHORIZATION</w:t>
      </w:r>
    </w:p>
    <w:p>
      <w:pPr>
        <w:spacing w:after="0" w:line="200" w:lineRule="exact"/>
        <w:rPr>
          <w:sz w:val="20"/>
          <w:szCs w:val="20"/>
          <w:color w:val="auto"/>
        </w:rPr>
      </w:pPr>
    </w:p>
    <w:p>
      <w:pPr>
        <w:spacing w:after="0" w:line="209" w:lineRule="exact"/>
        <w:rPr>
          <w:sz w:val="20"/>
          <w:szCs w:val="20"/>
          <w:color w:val="auto"/>
        </w:rPr>
      </w:pPr>
    </w:p>
    <w:p>
      <w:pPr>
        <w:ind w:right="2199"/>
        <w:spacing w:after="0" w:line="270" w:lineRule="auto"/>
        <w:rPr>
          <w:sz w:val="20"/>
          <w:szCs w:val="20"/>
          <w:color w:val="auto"/>
        </w:rPr>
      </w:pPr>
      <w:r>
        <w:rPr>
          <w:rFonts w:ascii="Courier New" w:cs="Courier New" w:eastAsia="Courier New" w:hAnsi="Courier New"/>
          <w:sz w:val="16"/>
          <w:szCs w:val="16"/>
          <w:color w:val="auto"/>
        </w:rPr>
        <w:t>I hereby authorize Cynthia Hoff Trochu, Katharine Kane, Muriel C. McFarling, Jane S. Nahra, Leslie O. Mba, Ben M. Carter, and Erin E. Hilton or any one of them to sign and file on my behalf any and all forms required by the Securities and Exchange Commission pursuant to Section 16 of the Securities Exchange Act of 1934 (the ?Exchange Act?) relating to the reporting 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38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 acknowledge that the persons authorized hereunder are not assuming, nor is the Company assuming, any of my responsibilities to comply with Section 16 of the Exchange Act and other relevant securities laws.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the 18th day of January 2018.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Todd M. Bluedorn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5277"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2019-12-23T21:06:47Z</dcterms:created>
  <dcterms:modified xsi:type="dcterms:W3CDTF">2019-12-23T21:06:47Z</dcterms:modified>
</cp:coreProperties>
</file>