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60"/>
        <w:jc w:val="center"/>
        <w:rPr>
          <w:rFonts w:ascii="Arial;sans-serif" w:hAnsi="Arial;sans-serif"/>
          <w:b/>
          <w:color w:val="000000"/>
          <w:sz w:val="24"/>
        </w:rPr>
      </w:pPr>
      <w:r>
        <w:rPr>
          <w:rFonts w:ascii="Arial;sans-serif" w:hAnsi="Arial;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QUARTERLY REPORT PURSUANT TO SECTION 13 OR 15(d) OF THE SECURITIES EXCHANGE ACT OF 1934</w:t>
            </w:r>
          </w:p>
        </w:tc>
      </w:tr>
    </w:tbl>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For the quarterly period ended March 31, 2024</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For the transition period from ___________ to ___________</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Commission File Number 001-03761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48"/>
        </w:rPr>
      </w:pPr>
      <w:r>
        <w:rPr>
          <w:rFonts w:ascii="Arial;sans-serif" w:hAnsi="Arial;sans-serif"/>
          <w:b/>
          <w:color w:val="000000"/>
          <w:sz w:val="48"/>
        </w:rPr>
        <w:t>TEXAS INSTRUMENTS INCORPORATED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01" w:type="dxa"/>
        <w:jc w:val="center"/>
        <w:tblInd w:w="0" w:type="dxa"/>
        <w:tblLayout w:type="fixed"/>
        <w:tblCellMar>
          <w:top w:w="28" w:type="dxa"/>
          <w:left w:w="28" w:type="dxa"/>
          <w:bottom w:w="28" w:type="dxa"/>
          <w:right w:w="28" w:type="dxa"/>
        </w:tblCellMar>
      </w:tblPr>
      <w:tblGrid>
        <w:gridCol w:w="124"/>
        <w:gridCol w:w="109"/>
        <w:gridCol w:w="109"/>
        <w:gridCol w:w="1072"/>
        <w:gridCol w:w="1072"/>
        <w:gridCol w:w="1081"/>
        <w:gridCol w:w="109"/>
        <w:gridCol w:w="109"/>
        <w:gridCol w:w="109"/>
        <w:gridCol w:w="942"/>
        <w:gridCol w:w="942"/>
        <w:gridCol w:w="95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75-0289970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12500 TI Boulevard, Dallas,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75243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Registrant’s telephone number, including area code 214-479-3773 </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8157" w:type="dxa"/>
        <w:jc w:val="left"/>
        <w:tblInd w:w="0" w:type="dxa"/>
        <w:tblLayout w:type="fixed"/>
        <w:tblCellMar>
          <w:top w:w="28" w:type="dxa"/>
          <w:left w:w="28" w:type="dxa"/>
          <w:bottom w:w="28" w:type="dxa"/>
          <w:right w:w="28" w:type="dxa"/>
        </w:tblCellMar>
      </w:tblPr>
      <w:tblGrid>
        <w:gridCol w:w="1057"/>
        <w:gridCol w:w="928"/>
        <w:gridCol w:w="939"/>
        <w:gridCol w:w="524"/>
        <w:gridCol w:w="524"/>
        <w:gridCol w:w="526"/>
        <w:gridCol w:w="1071"/>
        <w:gridCol w:w="1071"/>
        <w:gridCol w:w="1517"/>
      </w:tblGrid>
      <w:tr>
        <w:trPr/>
        <w:tc>
          <w:tcPr>
            <w:tcW w:w="105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6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29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par value $1.00</w:t>
            </w:r>
          </w:p>
        </w:tc>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TXN</w:t>
            </w:r>
          </w:p>
        </w:tc>
        <w:tc>
          <w:tcPr>
            <w:tcW w:w="365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Global Select Market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80" w:after="283"/>
        <w:jc w:val="left"/>
        <w:rPr/>
      </w:pPr>
      <w:r>
        <w:rPr>
          <w:rFonts w:ascii="Arial;sans-serif" w:hAnsi="Arial;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20"/>
        </w:rPr>
        <w:t>No</w:t>
      </w:r>
      <w:r>
        <w:rPr>
          <w:color w:val="000000"/>
        </w:rPr>
        <w:t> ☐</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706"/>
        <w:gridCol w:w="1354"/>
        <w:gridCol w:w="1314"/>
        <w:gridCol w:w="222"/>
        <w:gridCol w:w="222"/>
        <w:gridCol w:w="222"/>
        <w:gridCol w:w="222"/>
        <w:gridCol w:w="222"/>
        <w:gridCol w:w="222"/>
        <w:gridCol w:w="1372"/>
        <w:gridCol w:w="1372"/>
        <w:gridCol w:w="1377"/>
        <w:gridCol w:w="109"/>
        <w:gridCol w:w="109"/>
        <w:gridCol w:w="160"/>
      </w:tblGrid>
      <w:tr>
        <w:trPr/>
        <w:tc>
          <w:tcPr>
            <w:tcW w:w="170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60" w:after="283"/>
        <w:jc w:val="left"/>
        <w:rPr/>
      </w:pPr>
      <w:r>
        <w:rPr>
          <w:rFonts w:ascii="Arial;sans-serif" w:hAnsi="Arial;sans-serif"/>
          <w:b w:val="false"/>
          <w:color w:val="000000"/>
          <w:sz w:val="20"/>
        </w:rPr>
        <w:t>Indicate by check mark whether the Registrant is a shell company (as defined in Rule 12b-2 of the Exchange Act). Yes</w:t>
      </w:r>
      <w:r>
        <w:rPr>
          <w:color w:val="000000"/>
        </w:rPr>
        <w:t> ☐ </w:t>
      </w:r>
      <w:r>
        <w:rPr>
          <w:rFonts w:ascii="Arial;sans-serif" w:hAnsi="Arial;sans-serif"/>
          <w:b w:val="false"/>
          <w:color w:val="000000"/>
          <w:sz w:val="20"/>
        </w:rPr>
        <w:t>No</w:t>
      </w:r>
      <w:r>
        <w:rPr>
          <w:color w:val="000000"/>
        </w:rPr>
        <w:t xml:space="preserve"> ☒ </w:t>
      </w:r>
    </w:p>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910,482,146</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Number of shares of Registrant’s common stock outstanding as of</w:t>
      </w:r>
    </w:p>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April 16,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TEXAS INSTRUMENTS INCORPORATED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956"/>
        <w:gridCol w:w="1721"/>
        <w:gridCol w:w="1724"/>
        <w:gridCol w:w="182"/>
        <w:gridCol w:w="182"/>
        <w:gridCol w:w="182"/>
        <w:gridCol w:w="352"/>
        <w:gridCol w:w="1079"/>
        <w:gridCol w:w="182"/>
        <w:gridCol w:w="182"/>
        <w:gridCol w:w="182"/>
        <w:gridCol w:w="182"/>
        <w:gridCol w:w="352"/>
        <w:gridCol w:w="1079"/>
        <w:gridCol w:w="182"/>
        <w:gridCol w:w="109"/>
        <w:gridCol w:w="109"/>
        <w:gridCol w:w="109"/>
        <w:gridCol w:w="159"/>
      </w:tblGrid>
      <w:tr>
        <w:trPr/>
        <w:tc>
          <w:tcPr>
            <w:tcW w:w="1956"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5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Consolidated Statements of Income</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5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 except per-share amounts)</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3,661</w:t>
            </w:r>
            <w:r>
              <w:rPr>
                <w:color w:val="000000"/>
              </w:rPr>
              <w:t> </w:t>
            </w:r>
          </w:p>
        </w:tc>
        <w:tc>
          <w:tcPr>
            <w:tcW w:w="1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4,379 </w:t>
            </w:r>
          </w:p>
        </w:tc>
        <w:tc>
          <w:tcPr>
            <w:tcW w:w="1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 (COR)</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1,566</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2,095</w:t>
            </w:r>
            <w:r>
              <w:rPr>
                <w:color w:val="000000"/>
              </w:rPr>
              <w:t> </w:t>
            </w:r>
          </w:p>
        </w:tc>
        <w:tc>
          <w:tcPr>
            <w:tcW w:w="1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2,863 </w:t>
            </w:r>
          </w:p>
        </w:tc>
        <w:tc>
          <w:tcPr>
            <w:tcW w:w="1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(R&amp;D)</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478</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(SG&amp;A)</w:t>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455</w:t>
            </w:r>
            <w:r>
              <w:rPr>
                <w:color w:val="000000"/>
              </w:rPr>
              <w:t>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charges/other</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1,286</w:t>
            </w:r>
            <w:r>
              <w:rPr>
                <w:color w:val="000000"/>
              </w:rPr>
              <w:t> </w:t>
            </w:r>
          </w:p>
        </w:tc>
        <w:tc>
          <w:tcPr>
            <w:tcW w:w="1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1,934 </w:t>
            </w:r>
          </w:p>
        </w:tc>
        <w:tc>
          <w:tcPr>
            <w:tcW w:w="1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 (OI&amp;E)</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123</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debt expense</w:t>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116</w:t>
            </w:r>
            <w:r>
              <w:rPr>
                <w:color w:val="000000"/>
              </w:rPr>
              <w:t>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1,293</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1,946 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188</w:t>
            </w:r>
            <w:r>
              <w:rPr>
                <w:color w:val="000000"/>
              </w:rPr>
              <w:t>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1,105</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common share (EPS):</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w:t>
            </w:r>
            <w:r>
              <w:rPr>
                <w:color w:val="000000"/>
              </w:rPr>
              <w:t>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w:t>
            </w:r>
            <w:r>
              <w:rPr>
                <w:color w:val="000000"/>
              </w:rPr>
              <w:t> </w:t>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shares outstanding:</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910</w:t>
            </w:r>
            <w:r>
              <w:rPr>
                <w:color w:val="000000"/>
              </w:rPr>
              <w:t>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907 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917</w:t>
            </w:r>
            <w:r>
              <w:rPr>
                <w:color w:val="000000"/>
              </w:rPr>
              <w:t> </w:t>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916 </w:t>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71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 portion of net income is allocated to unvested restricted stock units (RSUs) on which we pay dividend equivalents. Diluted EPS is calculated using the following:</w:t>
            </w:r>
          </w:p>
        </w:tc>
        <w:tc>
          <w:tcPr>
            <w:tcW w:w="486" w:type="dxa"/>
            <w:gridSpan w:val="4"/>
            <w:tcBorders/>
          </w:tcPr>
          <w:p>
            <w:pPr>
              <w:pStyle w:val="TableContents"/>
              <w:bidi w:val="0"/>
              <w:spacing w:before="0" w:after="283"/>
              <w:jc w:val="left"/>
              <w:rPr>
                <w:sz w:val="4"/>
                <w:szCs w:val="4"/>
              </w:rPr>
            </w:pPr>
            <w:r>
              <w:rPr>
                <w:sz w:val="4"/>
                <w:szCs w:val="4"/>
              </w:rPr>
            </w:r>
          </w:p>
        </w:tc>
      </w:tr>
      <w:tr>
        <w:trPr/>
        <w:tc>
          <w:tcPr>
            <w:tcW w:w="5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1,105</w:t>
            </w:r>
            <w:r>
              <w:rPr>
                <w:color w:val="000000"/>
              </w:rPr>
              <w:t>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RSUs</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common stock for diluted EPS</w:t>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1,100</w:t>
            </w:r>
            <w:r>
              <w:rPr>
                <w:color w:val="000000"/>
              </w:rPr>
              <w:t> </w:t>
            </w:r>
          </w:p>
        </w:tc>
        <w:tc>
          <w:tcPr>
            <w:tcW w:w="1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1,699 </w:t>
            </w:r>
          </w:p>
        </w:tc>
        <w:tc>
          <w:tcPr>
            <w:tcW w:w="1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See accompanying notes.</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TEXAS INSTRUMENTS INCORPORATED AND SUBSIDIARIES </w:t>
      </w:r>
    </w:p>
    <w:tbl>
      <w:tblPr>
        <w:tblW w:w="8662" w:type="dxa"/>
        <w:jc w:val="left"/>
        <w:tblInd w:w="0" w:type="dxa"/>
        <w:tblLayout w:type="fixed"/>
        <w:tblCellMar>
          <w:top w:w="28" w:type="dxa"/>
          <w:left w:w="28" w:type="dxa"/>
          <w:bottom w:w="28" w:type="dxa"/>
          <w:right w:w="28" w:type="dxa"/>
        </w:tblCellMar>
      </w:tblPr>
      <w:tblGrid>
        <w:gridCol w:w="2028"/>
        <w:gridCol w:w="1782"/>
        <w:gridCol w:w="1785"/>
        <w:gridCol w:w="109"/>
        <w:gridCol w:w="109"/>
        <w:gridCol w:w="109"/>
        <w:gridCol w:w="211"/>
        <w:gridCol w:w="646"/>
        <w:gridCol w:w="109"/>
        <w:gridCol w:w="109"/>
        <w:gridCol w:w="109"/>
        <w:gridCol w:w="109"/>
        <w:gridCol w:w="211"/>
        <w:gridCol w:w="646"/>
        <w:gridCol w:w="109"/>
        <w:gridCol w:w="109"/>
        <w:gridCol w:w="109"/>
        <w:gridCol w:w="109"/>
        <w:gridCol w:w="154"/>
      </w:tblGrid>
      <w:tr>
        <w:trPr/>
        <w:tc>
          <w:tcPr>
            <w:tcW w:w="2028"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Consolidated Statements of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1,105</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actuarial losses of defined benefit plans: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Adjustments, net of tax effect of ($2) and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Recognized within net income, net of tax effect of ($1) and ($1)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 in fair value, net of tax effect of $0 and $1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Available-for-sale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Unrealized gains (losses), net of tax effect of $2 and $0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comprehensive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1,107</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See accompanying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TEXAS INSTRUMENTS INCORPORATED AND SUBSIDIARIES </w:t>
      </w:r>
    </w:p>
    <w:tbl>
      <w:tblPr>
        <w:tblW w:w="10003" w:type="dxa"/>
        <w:jc w:val="left"/>
        <w:tblInd w:w="0" w:type="dxa"/>
        <w:tblLayout w:type="fixed"/>
        <w:tblCellMar>
          <w:top w:w="28" w:type="dxa"/>
          <w:left w:w="28" w:type="dxa"/>
          <w:bottom w:w="28" w:type="dxa"/>
          <w:right w:w="28" w:type="dxa"/>
        </w:tblCellMar>
      </w:tblPr>
      <w:tblGrid>
        <w:gridCol w:w="2558"/>
        <w:gridCol w:w="2251"/>
        <w:gridCol w:w="2255"/>
        <w:gridCol w:w="109"/>
        <w:gridCol w:w="109"/>
        <w:gridCol w:w="109"/>
        <w:gridCol w:w="211"/>
        <w:gridCol w:w="751"/>
        <w:gridCol w:w="109"/>
        <w:gridCol w:w="109"/>
        <w:gridCol w:w="109"/>
        <w:gridCol w:w="109"/>
        <w:gridCol w:w="229"/>
        <w:gridCol w:w="818"/>
        <w:gridCol w:w="167"/>
      </w:tblGrid>
      <w:tr>
        <w:trPr/>
        <w:tc>
          <w:tcPr>
            <w:tcW w:w="2558"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7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 except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2,483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2,964 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receivable, net of allowances of ($20) and ($16)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1,671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1,787 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 in process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2,129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2,109 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4,083</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3,999 </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17,448</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15,122 </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13,739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depreciation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(3,297)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(3,269)</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4,362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4,362 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licenses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Overfunded 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1,412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1,712 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34,885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32,348 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378</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3,553</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3,320 </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Underfunded retirement plans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1,343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1,336 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17,902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15,451 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$25 par value. Shares authorized – 10; none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$1 par value. Shares authorized – 2,400; shares issued – 1,741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1,741 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52,199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52,283 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Treasury common stock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Shares: March 31, 2024 – 831; December 31, 2023 – 832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(40,193)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(40,284)</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 (loss), net of taxes (AOCI)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16,983</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16,897 </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34,885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32,348 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See accompanying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TEXAS INSTRUMENTS INCORPORATED AND SUBSIDIARIES </w:t>
      </w:r>
    </w:p>
    <w:tbl>
      <w:tblPr>
        <w:tblW w:w="7025" w:type="dxa"/>
        <w:jc w:val="left"/>
        <w:tblInd w:w="0" w:type="dxa"/>
        <w:tblLayout w:type="fixed"/>
        <w:tblCellMar>
          <w:top w:w="28" w:type="dxa"/>
          <w:left w:w="28" w:type="dxa"/>
          <w:bottom w:w="28" w:type="dxa"/>
          <w:right w:w="28" w:type="dxa"/>
        </w:tblCellMar>
      </w:tblPr>
      <w:tblGrid>
        <w:gridCol w:w="1591"/>
        <w:gridCol w:w="1400"/>
        <w:gridCol w:w="1403"/>
        <w:gridCol w:w="109"/>
        <w:gridCol w:w="109"/>
        <w:gridCol w:w="109"/>
        <w:gridCol w:w="211"/>
        <w:gridCol w:w="646"/>
        <w:gridCol w:w="109"/>
        <w:gridCol w:w="109"/>
        <w:gridCol w:w="109"/>
        <w:gridCol w:w="109"/>
        <w:gridCol w:w="211"/>
        <w:gridCol w:w="646"/>
        <w:gridCol w:w="154"/>
      </w:tblGrid>
      <w:tr>
        <w:trPr/>
        <w:tc>
          <w:tcPr>
            <w:tcW w:w="1591"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Three Months Ended</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Consolidated Statements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r>
      <w:tr>
        <w:trPr/>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3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net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capitalized software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on sales of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from changes in: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funded status of 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(1,248)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asset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short-term investments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(4,864)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long-term debt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2,980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repurchases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common stock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beginning of period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2,964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See accompanying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TEXAS INSTRUMENTS INCORPORATED AND SUBSIDIARIES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val="false"/>
          <w:color w:val="000000"/>
          <w:sz w:val="20"/>
        </w:rPr>
        <w:t xml:space="preserve">1. </w:t>
      </w:r>
      <w:r>
        <w:rPr>
          <w:rFonts w:ascii="Arial;sans-serif" w:hAnsi="Arial;sans-serif"/>
          <w:b w:val="false"/>
          <w:color w:val="000000"/>
          <w:sz w:val="20"/>
          <w:u w:val="single"/>
        </w:rPr>
        <w:t>Description of business, including segment and geographic area information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design and manufacture semiconductors that we sell to electronics designers and manufacturers all over the world. We have two reportable segments, Analog and Embedded Processing, each of which represents groups of similar products that are combined on the basis of similar design and development requirements, product characteristics, manufacturing processes and distribution channels. Our segments also reflect how management allocates resources and measures results.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Our Analog segment consists of two major product lines: Power and Signal Chain.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Embedded Processing products are the digital “brains” of many types of electronic equipment. They are designed to handle specific tasks and can be optimized for various combinations of performance, power and cost, depending on the application.</w:t>
      </w:r>
    </w:p>
    <w:p>
      <w:pPr>
        <w:pStyle w:val="TextBody"/>
        <w:bidi w:val="0"/>
        <w:spacing w:lineRule="auto" w:line="288" w:before="240" w:after="283"/>
        <w:jc w:val="left"/>
        <w:rPr/>
      </w:pPr>
      <w:r>
        <w:rPr>
          <w:rFonts w:ascii="Arial;sans-serif" w:hAnsi="Arial;sans-serif"/>
          <w:b w:val="false"/>
          <w:color w:val="000000"/>
          <w:sz w:val="20"/>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sans-serif" w:hAnsi="Arial;sans-serif"/>
          <w:b w:val="false"/>
          <w:color w:val="000000"/>
          <w:sz w:val="12"/>
        </w:rPr>
        <w:t>®</w:t>
      </w:r>
      <w:r>
        <w:rPr>
          <w:color w:val="000000"/>
        </w:rPr>
        <w:t xml:space="preserve"> </w:t>
      </w:r>
      <w:r>
        <w:rPr>
          <w:rFonts w:ascii="Arial;sans-serif" w:hAnsi="Arial;sans-serif"/>
          <w:b w:val="false"/>
          <w:color w:val="000000"/>
          <w:sz w:val="20"/>
        </w:rPr>
        <w:t>products, calculators and custom ASIC products.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pStyle w:val="TextBody"/>
        <w:bidi w:val="0"/>
        <w:spacing w:lineRule="auto" w:line="288" w:before="240" w:after="240"/>
        <w:jc w:val="left"/>
        <w:rPr>
          <w:rFonts w:ascii="Arial;sans-serif" w:hAnsi="Arial;sans-serif"/>
          <w:b w:val="false"/>
          <w:i/>
          <w:color w:val="000000"/>
          <w:sz w:val="20"/>
        </w:rPr>
      </w:pPr>
      <w:r>
        <w:rPr>
          <w:rFonts w:ascii="Arial;sans-serif" w:hAnsi="Arial;sans-serif"/>
          <w:b w:val="false"/>
          <w:i/>
          <w:color w:val="000000"/>
          <w:sz w:val="20"/>
        </w:rPr>
        <w:t>Segment information</w:t>
      </w:r>
    </w:p>
    <w:tbl>
      <w:tblPr>
        <w:tblW w:w="4825" w:type="dxa"/>
        <w:jc w:val="left"/>
        <w:tblInd w:w="0" w:type="dxa"/>
        <w:tblLayout w:type="fixed"/>
        <w:tblCellMar>
          <w:top w:w="28" w:type="dxa"/>
          <w:left w:w="28" w:type="dxa"/>
          <w:bottom w:w="28" w:type="dxa"/>
          <w:right w:w="28" w:type="dxa"/>
        </w:tblCellMar>
      </w:tblPr>
      <w:tblGrid>
        <w:gridCol w:w="755"/>
        <w:gridCol w:w="662"/>
        <w:gridCol w:w="668"/>
        <w:gridCol w:w="211"/>
        <w:gridCol w:w="646"/>
        <w:gridCol w:w="109"/>
        <w:gridCol w:w="109"/>
        <w:gridCol w:w="109"/>
        <w:gridCol w:w="109"/>
        <w:gridCol w:w="211"/>
        <w:gridCol w:w="646"/>
        <w:gridCol w:w="109"/>
        <w:gridCol w:w="109"/>
        <w:gridCol w:w="109"/>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9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Analog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Embedded Processing</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3,661</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profit:</w:t>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Analog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Embedded Processing</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profit</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1,286</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hanging="360"/>
        <w:jc w:val="left"/>
        <w:rPr>
          <w:rFonts w:ascii="Arial;sans-serif" w:hAnsi="Arial;sans-serif"/>
          <w:b w:val="false"/>
          <w:color w:val="000000"/>
          <w:sz w:val="20"/>
        </w:rPr>
      </w:pPr>
      <w:r>
        <w:rPr>
          <w:rFonts w:ascii="Arial;sans-serif" w:hAnsi="Arial;sans-serif"/>
          <w:b w:val="false"/>
          <w:color w:val="000000"/>
          <w:sz w:val="20"/>
        </w:rPr>
        <w:t>(a)Includes restructuring charges/other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TEXAS INSTRUMENTS INCORPORATED AND SUBSIDIARIES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Geographic area information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estimate for revenue based on the geographic location of our end customers’ headquarters, which represents where critical decisions are made, is as follows:</w:t>
      </w:r>
    </w:p>
    <w:tbl>
      <w:tblPr>
        <w:tblW w:w="8484" w:type="dxa"/>
        <w:jc w:val="left"/>
        <w:tblInd w:w="0" w:type="dxa"/>
        <w:tblLayout w:type="fixed"/>
        <w:tblCellMar>
          <w:top w:w="28" w:type="dxa"/>
          <w:left w:w="28" w:type="dxa"/>
          <w:bottom w:w="28" w:type="dxa"/>
          <w:right w:w="28" w:type="dxa"/>
        </w:tblCellMar>
      </w:tblPr>
      <w:tblGrid>
        <w:gridCol w:w="1129"/>
        <w:gridCol w:w="993"/>
        <w:gridCol w:w="998"/>
        <w:gridCol w:w="211"/>
        <w:gridCol w:w="646"/>
        <w:gridCol w:w="109"/>
        <w:gridCol w:w="109"/>
        <w:gridCol w:w="109"/>
        <w:gridCol w:w="109"/>
        <w:gridCol w:w="240"/>
        <w:gridCol w:w="241"/>
        <w:gridCol w:w="286"/>
        <w:gridCol w:w="109"/>
        <w:gridCol w:w="109"/>
        <w:gridCol w:w="109"/>
        <w:gridCol w:w="211"/>
        <w:gridCol w:w="646"/>
        <w:gridCol w:w="109"/>
        <w:gridCol w:w="109"/>
        <w:gridCol w:w="109"/>
        <w:gridCol w:w="109"/>
        <w:gridCol w:w="240"/>
        <w:gridCol w:w="241"/>
        <w:gridCol w:w="286"/>
        <w:gridCol w:w="109"/>
        <w:gridCol w:w="109"/>
        <w:gridCol w:w="109"/>
        <w:gridCol w:w="109"/>
        <w:gridCol w:w="109"/>
        <w:gridCol w:w="109"/>
        <w:gridCol w:w="109"/>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31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9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 of Asia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 Middle East and Africa (a)</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 of world</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3,661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(a)Revenue from end customers headquartered in Germany was 13% in the first quarters of both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val="false"/>
          <w:color w:val="000000"/>
          <w:sz w:val="20"/>
        </w:rPr>
        <w:t xml:space="preserve">2. </w:t>
      </w:r>
      <w:r>
        <w:rPr>
          <w:rFonts w:ascii="Arial;sans-serif" w:hAnsi="Arial;sans-serif"/>
          <w:b w:val="false"/>
          <w:color w:val="000000"/>
          <w:sz w:val="20"/>
          <w:u w:val="single"/>
        </w:rPr>
        <w:t>Basis of presentation and significant accounting policies and practices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Basis of presentation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consolidated financial statements have been prepared in accordance with accounting principles generally accepted in the United States (GAAP) and on the same basis as the audited financial statements included in our annual report on Form 10-K for the year ended December 31, 2023. The Consolidated Statements of Income, Comprehensive Income and Cash Flows for the periods ended March 31, 2024 and 2023, and the Consolidated Balance Sheet as of March 31, 2024,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2023. The results for the three-month periods are not necessarily indicative of a full year’s results.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Significant accounting policies and practices</w:t>
      </w:r>
    </w:p>
    <w:p>
      <w:pPr>
        <w:pStyle w:val="TextBody"/>
        <w:bidi w:val="0"/>
        <w:spacing w:lineRule="auto" w:line="288" w:before="240" w:after="283"/>
        <w:jc w:val="left"/>
        <w:rPr>
          <w:rFonts w:ascii="Arial;sans-serif" w:hAnsi="Arial;sans-serif"/>
          <w:b w:val="false"/>
          <w:i/>
          <w:color w:val="000000"/>
          <w:sz w:val="20"/>
          <w:u w:val="single"/>
        </w:rPr>
      </w:pPr>
      <w:r>
        <w:rPr>
          <w:rFonts w:ascii="Arial;sans-serif" w:hAnsi="Arial;sans-serif"/>
          <w:b w:val="false"/>
          <w:i/>
          <w:color w:val="000000"/>
          <w:sz w:val="20"/>
          <w:u w:val="single"/>
        </w:rPr>
        <w:t>Earnings per share (EPS)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TEXAS INSTRUMENTS INCORPORATED AND SUBSIDIARIES </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Computation and reconciliation of earnings per common share are as follows:</w:t>
      </w:r>
    </w:p>
    <w:tbl>
      <w:tblPr>
        <w:tblW w:w="10205" w:type="dxa"/>
        <w:jc w:val="left"/>
        <w:tblInd w:w="0" w:type="dxa"/>
        <w:tblLayout w:type="fixed"/>
        <w:tblCellMar>
          <w:top w:w="28" w:type="dxa"/>
          <w:left w:w="28" w:type="dxa"/>
          <w:bottom w:w="28" w:type="dxa"/>
          <w:right w:w="28" w:type="dxa"/>
        </w:tblCellMar>
      </w:tblPr>
      <w:tblGrid>
        <w:gridCol w:w="1300"/>
        <w:gridCol w:w="1061"/>
        <w:gridCol w:w="1053"/>
        <w:gridCol w:w="217"/>
        <w:gridCol w:w="667"/>
        <w:gridCol w:w="112"/>
        <w:gridCol w:w="109"/>
        <w:gridCol w:w="109"/>
        <w:gridCol w:w="109"/>
        <w:gridCol w:w="240"/>
        <w:gridCol w:w="241"/>
        <w:gridCol w:w="216"/>
        <w:gridCol w:w="109"/>
        <w:gridCol w:w="109"/>
        <w:gridCol w:w="109"/>
        <w:gridCol w:w="211"/>
        <w:gridCol w:w="541"/>
        <w:gridCol w:w="109"/>
        <w:gridCol w:w="109"/>
        <w:gridCol w:w="109"/>
        <w:gridCol w:w="109"/>
        <w:gridCol w:w="217"/>
        <w:gridCol w:w="667"/>
        <w:gridCol w:w="112"/>
        <w:gridCol w:w="109"/>
        <w:gridCol w:w="109"/>
        <w:gridCol w:w="109"/>
        <w:gridCol w:w="240"/>
        <w:gridCol w:w="241"/>
        <w:gridCol w:w="216"/>
        <w:gridCol w:w="109"/>
        <w:gridCol w:w="109"/>
        <w:gridCol w:w="109"/>
        <w:gridCol w:w="211"/>
        <w:gridCol w:w="541"/>
        <w:gridCol w:w="157"/>
      </w:tblGrid>
      <w:tr>
        <w:trPr/>
        <w:tc>
          <w:tcPr>
            <w:tcW w:w="130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9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Three Months Ended March 31,</w:t>
            </w:r>
          </w:p>
        </w:tc>
      </w:tr>
      <w:tr>
        <w:trPr/>
        <w:tc>
          <w:tcPr>
            <w:tcW w:w="34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EPS</w:t>
            </w:r>
          </w:p>
        </w:tc>
      </w:tr>
      <w:tr>
        <w:trPr/>
        <w:tc>
          <w:tcPr>
            <w:tcW w:w="3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 EPS:</w:t>
            </w:r>
          </w:p>
        </w:tc>
        <w:tc>
          <w:tcPr>
            <w:tcW w:w="9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1,105</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RSUs</w:t>
            </w:r>
          </w:p>
        </w:tc>
        <w:tc>
          <w:tcPr>
            <w:tcW w:w="8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common stock</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1,100</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910</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stock compensation plans</w:t>
            </w:r>
          </w:p>
        </w:tc>
        <w:tc>
          <w:tcPr>
            <w:tcW w:w="9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EPS:</w:t>
            </w:r>
          </w:p>
        </w:tc>
        <w:tc>
          <w:tcPr>
            <w:tcW w:w="9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1,105</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RSUs</w:t>
            </w:r>
          </w:p>
        </w:tc>
        <w:tc>
          <w:tcPr>
            <w:tcW w:w="8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common stock</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1,100</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917</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1,699 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41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5795" w:type="dxa"/>
            <w:gridSpan w:val="30"/>
            <w:tcBorders/>
          </w:tcPr>
          <w:p>
            <w:pPr>
              <w:pStyle w:val="TableContents"/>
              <w:bidi w:val="0"/>
              <w:spacing w:before="0" w:after="283"/>
              <w:jc w:val="left"/>
              <w:rPr>
                <w:sz w:val="4"/>
                <w:szCs w:val="4"/>
              </w:rPr>
            </w:pPr>
            <w:r>
              <w:rPr>
                <w:sz w:val="4"/>
                <w:szCs w:val="4"/>
              </w:rPr>
            </w:r>
          </w:p>
        </w:tc>
      </w:tr>
      <w:tr>
        <w:trPr/>
        <w:tc>
          <w:tcPr>
            <w:tcW w:w="341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4771" w:type="dxa"/>
            <w:gridSpan w:val="24"/>
            <w:tcBorders/>
          </w:tcPr>
          <w:p>
            <w:pPr>
              <w:pStyle w:val="TableContents"/>
              <w:bidi w:val="0"/>
              <w:spacing w:before="0" w:after="283"/>
              <w:jc w:val="left"/>
              <w:rPr>
                <w:sz w:val="4"/>
                <w:szCs w:val="4"/>
              </w:rPr>
            </w:pPr>
            <w:r>
              <w:rPr>
                <w:sz w:val="4"/>
                <w:szCs w:val="4"/>
              </w:rPr>
            </w:r>
          </w:p>
        </w:tc>
      </w:tr>
      <w:tr>
        <w:trPr/>
        <w:tc>
          <w:tcPr>
            <w:tcW w:w="341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41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41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41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41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41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41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41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41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41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41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Potentially dilutive securities representing 14 million and 8 million shares of common stock that were outstanding during the first quarters of 2024 and 2023, respectively, were excluded from the computation of diluted earnings per common share during these periods because their effect would have been anti-dilutive.</w:t>
      </w:r>
    </w:p>
    <w:p>
      <w:pPr>
        <w:pStyle w:val="TextBody"/>
        <w:bidi w:val="0"/>
        <w:spacing w:lineRule="auto" w:line="288" w:before="240" w:after="283"/>
        <w:jc w:val="left"/>
        <w:rPr>
          <w:rFonts w:ascii="Arial;sans-serif" w:hAnsi="Arial;sans-serif"/>
          <w:b w:val="false"/>
          <w:i/>
          <w:color w:val="000000"/>
          <w:sz w:val="20"/>
          <w:u w:val="single"/>
        </w:rPr>
      </w:pPr>
      <w:r>
        <w:rPr>
          <w:rFonts w:ascii="Arial;sans-serif" w:hAnsi="Arial;sans-serif"/>
          <w:b w:val="false"/>
          <w:i/>
          <w:color w:val="000000"/>
          <w:sz w:val="20"/>
          <w:u w:val="single"/>
        </w:rPr>
        <w:t>Derivatives and hedging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are exposed to variability in compensation charges related to certain deferred compensation obligations to employees. We use total return swaps to economically hedge this exposure and offset the related compensation expense, recognizing changes in the value of the swaps and the related deferred compensation liabilities in SG&amp;A.</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In connection with the issuance of long-term debt, we may use financial derivatives such as treasury-rate lock agreements that are recognized in AOCI and amortized over the life of the related debt.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results of these derivative transactions were not material. We do not use derivatives for speculative or trading purposes.</w:t>
      </w:r>
    </w:p>
    <w:p>
      <w:pPr>
        <w:pStyle w:val="TextBody"/>
        <w:bidi w:val="0"/>
        <w:spacing w:lineRule="auto" w:line="288" w:before="240" w:after="283"/>
        <w:jc w:val="left"/>
        <w:rPr>
          <w:rFonts w:ascii="Arial;sans-serif" w:hAnsi="Arial;sans-serif"/>
          <w:b w:val="false"/>
          <w:i/>
          <w:color w:val="000000"/>
          <w:sz w:val="20"/>
          <w:u w:val="single"/>
        </w:rPr>
      </w:pPr>
      <w:r>
        <w:rPr>
          <w:rFonts w:ascii="Arial;sans-serif" w:hAnsi="Arial;sans-serif"/>
          <w:b w:val="false"/>
          <w:i/>
          <w:color w:val="000000"/>
          <w:sz w:val="20"/>
          <w:u w:val="single"/>
        </w:rPr>
        <w:t>Fair values of financial instruments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fair values of our derivative financial instruments were not material as of March 31, 2024.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As of March 31, 2024, the carrying value of long-term debt, including the current portion, was $14.19 billion, and the estimated fair value was $13.33 billion. The estimated fair value is measured using broker-dealer quotes, which are Level 2 inputs. See Note 4 for a description of fair value and the definition of Level 2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TEXAS INSTRUMENTS INCORPORATED AND SUBSIDIARIES </w:t>
      </w:r>
    </w:p>
    <w:p>
      <w:pPr>
        <w:pStyle w:val="TextBody"/>
        <w:bidi w:val="0"/>
        <w:spacing w:lineRule="auto" w:line="288" w:before="240" w:after="283"/>
        <w:jc w:val="left"/>
        <w:rPr/>
      </w:pPr>
      <w:r>
        <w:rPr>
          <w:rFonts w:ascii="Arial;sans-serif" w:hAnsi="Arial;sans-serif"/>
          <w:b w:val="false"/>
          <w:color w:val="000000"/>
          <w:sz w:val="20"/>
        </w:rPr>
        <w:t xml:space="preserve">3. </w:t>
      </w:r>
      <w:r>
        <w:rPr>
          <w:rFonts w:ascii="Arial;sans-serif" w:hAnsi="Arial;sans-serif"/>
          <w:b w:val="false"/>
          <w:color w:val="000000"/>
          <w:sz w:val="20"/>
          <w:u w:val="single"/>
        </w:rPr>
        <w:t>Income taxes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Provision for income taxes is based on the following:</w:t>
      </w:r>
    </w:p>
    <w:tbl>
      <w:tblPr>
        <w:tblW w:w="8298" w:type="dxa"/>
        <w:jc w:val="left"/>
        <w:tblInd w:w="0" w:type="dxa"/>
        <w:tblLayout w:type="fixed"/>
        <w:tblCellMar>
          <w:top w:w="28" w:type="dxa"/>
          <w:left w:w="28" w:type="dxa"/>
          <w:bottom w:w="28" w:type="dxa"/>
          <w:right w:w="28" w:type="dxa"/>
        </w:tblCellMar>
      </w:tblPr>
      <w:tblGrid>
        <w:gridCol w:w="2003"/>
        <w:gridCol w:w="1760"/>
        <w:gridCol w:w="1771"/>
        <w:gridCol w:w="211"/>
        <w:gridCol w:w="481"/>
        <w:gridCol w:w="286"/>
        <w:gridCol w:w="109"/>
        <w:gridCol w:w="109"/>
        <w:gridCol w:w="109"/>
        <w:gridCol w:w="211"/>
        <w:gridCol w:w="481"/>
        <w:gridCol w:w="286"/>
        <w:gridCol w:w="109"/>
        <w:gridCol w:w="109"/>
        <w:gridCol w:w="109"/>
        <w:gridCol w:w="154"/>
      </w:tblGrid>
      <w:tr>
        <w:trPr/>
        <w:tc>
          <w:tcPr>
            <w:tcW w:w="2003"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calculated using the estimated annual effective tax rate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176</w:t>
            </w:r>
            <w:r>
              <w:rPr>
                <w:color w:val="000000"/>
              </w:rPr>
              <w:t>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Discrete tax items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188</w:t>
            </w:r>
            <w:r>
              <w:rPr>
                <w:color w:val="000000"/>
              </w:rPr>
              <w:t>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14.5</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effective tax rate differs from the 21% U.S. statutory corporate tax rate due to the effect of U.S.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val="false"/>
          <w:color w:val="000000"/>
          <w:sz w:val="20"/>
        </w:rPr>
        <w:t xml:space="preserve">4. </w:t>
      </w:r>
      <w:r>
        <w:rPr>
          <w:rFonts w:ascii="Arial;sans-serif" w:hAnsi="Arial;sans-serif"/>
          <w:b w:val="false"/>
          <w:color w:val="000000"/>
          <w:sz w:val="20"/>
          <w:u w:val="single"/>
        </w:rPr>
        <w:t>Valuation of debt and equity investments and certain liabilities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Investments measured at fair value</w:t>
      </w:r>
    </w:p>
    <w:p>
      <w:pPr>
        <w:pStyle w:val="TextBody"/>
        <w:bidi w:val="0"/>
        <w:spacing w:lineRule="auto" w:line="288" w:before="240" w:after="283"/>
        <w:jc w:val="left"/>
        <w:rPr/>
      </w:pPr>
      <w:r>
        <w:rPr>
          <w:rFonts w:ascii="Arial;sans-serif" w:hAnsi="Arial;sans-serif"/>
          <w:b w:val="false"/>
          <w:color w:val="000000"/>
          <w:sz w:val="20"/>
        </w:rPr>
        <w:t xml:space="preserve">Money market funds, debt investments and mutual funds are stated at fair value, which is generally based on market prices or broker quotes. We classify all debt investments as available-for-sale. See </w:t>
      </w:r>
      <w:r>
        <w:rPr>
          <w:rFonts w:ascii="Arial;sans-serif" w:hAnsi="Arial;sans-serif"/>
          <w:b w:val="false"/>
          <w:i/>
          <w:color w:val="000000"/>
          <w:sz w:val="20"/>
        </w:rPr>
        <w:t>Fair-value considerations</w:t>
      </w:r>
      <w:r>
        <w:rPr>
          <w:rFonts w:ascii="Arial;sans-serif" w:hAnsi="Arial;sans-serif"/>
          <w:b w:val="false"/>
          <w:color w:val="000000"/>
          <w:sz w:val="20"/>
        </w:rPr>
        <w:t>. Unrealized gains and losses are recorded as an increase or decrease, net of taxes, in AOCI on our Consolidated Balance Sheets, and any credit losses are recorded as an allowance for credit losses with an offset recognized in OI&amp;E in our Consolidated Statements of Income.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Other investments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other investments include equity-method investments and nonmarketable investments, which are not measured at fair value. These investments consist of interests in venture capital funds and other nonmarketable securities. Gains and losses from equity-method investments are recognized in OI&amp;E based on our ownership share of the investee’s financial results. Nonmarketable securities are measured at cost with adjustments for observable changes in price or impairments. Gains and losses on nonmarketable investments are recognized in OI&amp;E.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TEXAS INSTRUMENTS INCORPORATED AND SUBSIDIARIES </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Details of our investments are as follows:</w:t>
      </w:r>
    </w:p>
    <w:tbl>
      <w:tblPr>
        <w:tblW w:w="10205" w:type="dxa"/>
        <w:jc w:val="left"/>
        <w:tblInd w:w="0" w:type="dxa"/>
        <w:tblLayout w:type="fixed"/>
        <w:tblCellMar>
          <w:top w:w="28" w:type="dxa"/>
          <w:left w:w="28" w:type="dxa"/>
          <w:bottom w:w="28" w:type="dxa"/>
          <w:right w:w="28" w:type="dxa"/>
        </w:tblCellMar>
      </w:tblPr>
      <w:tblGrid>
        <w:gridCol w:w="827"/>
        <w:gridCol w:w="399"/>
        <w:gridCol w:w="401"/>
        <w:gridCol w:w="247"/>
        <w:gridCol w:w="758"/>
        <w:gridCol w:w="129"/>
        <w:gridCol w:w="109"/>
        <w:gridCol w:w="109"/>
        <w:gridCol w:w="109"/>
        <w:gridCol w:w="252"/>
        <w:gridCol w:w="772"/>
        <w:gridCol w:w="131"/>
        <w:gridCol w:w="109"/>
        <w:gridCol w:w="109"/>
        <w:gridCol w:w="109"/>
        <w:gridCol w:w="335"/>
        <w:gridCol w:w="645"/>
        <w:gridCol w:w="174"/>
        <w:gridCol w:w="109"/>
        <w:gridCol w:w="109"/>
        <w:gridCol w:w="109"/>
        <w:gridCol w:w="247"/>
        <w:gridCol w:w="758"/>
        <w:gridCol w:w="129"/>
        <w:gridCol w:w="109"/>
        <w:gridCol w:w="109"/>
        <w:gridCol w:w="109"/>
        <w:gridCol w:w="252"/>
        <w:gridCol w:w="772"/>
        <w:gridCol w:w="131"/>
        <w:gridCol w:w="109"/>
        <w:gridCol w:w="109"/>
        <w:gridCol w:w="109"/>
        <w:gridCol w:w="328"/>
        <w:gridCol w:w="631"/>
        <w:gridCol w:w="252"/>
      </w:tblGrid>
      <w:tr>
        <w:trPr/>
        <w:tc>
          <w:tcPr>
            <w:tcW w:w="82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Long-Term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Long-Term Investments</w:t>
            </w:r>
          </w:p>
        </w:tc>
      </w:tr>
      <w:tr>
        <w:trPr/>
        <w:tc>
          <w:tcPr>
            <w:tcW w:w="16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Measured at fair value:</w:t>
            </w:r>
          </w:p>
        </w:tc>
        <w:tc>
          <w:tcPr>
            <w:tcW w:w="11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1,473</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obligations</w:t>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130</w:t>
            </w: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2,322</w:t>
            </w: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1,605 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and agency securities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5,292</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Non-U.S. government and agency securities</w:t>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296</w:t>
            </w: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Mutual funds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00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1,777</w:t>
            </w:r>
            <w:r>
              <w:rPr>
                <w:color w:val="000000"/>
              </w:rPr>
              <w:t> </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7,910</w:t>
            </w:r>
            <w:r>
              <w:rPr>
                <w:color w:val="000000"/>
              </w:rPr>
              <w:t>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2,163 </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5,611 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5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measurement basis:</w:t>
            </w:r>
          </w:p>
        </w:tc>
        <w:tc>
          <w:tcPr>
            <w:tcW w:w="11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Equity-method investments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Nonmarketable investments</w:t>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on hand</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706</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4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2,483</w:t>
            </w:r>
            <w:r>
              <w:rPr>
                <w:color w:val="000000"/>
              </w:rPr>
              <w:t> </w:t>
            </w:r>
          </w:p>
        </w:tc>
        <w:tc>
          <w:tcPr>
            <w:tcW w:w="12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7,910</w:t>
            </w:r>
            <w:r>
              <w:rPr>
                <w:color w:val="000000"/>
              </w:rPr>
              <w:t> </w:t>
            </w:r>
          </w:p>
        </w:tc>
        <w:tc>
          <w:tcPr>
            <w:tcW w:w="1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w:t>
            </w:r>
            <w:r>
              <w:rPr>
                <w:color w:val="000000"/>
              </w:rPr>
              <w:t> </w:t>
            </w:r>
          </w:p>
        </w:tc>
        <w:tc>
          <w:tcPr>
            <w:tcW w:w="17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2,964 </w:t>
            </w:r>
          </w:p>
        </w:tc>
        <w:tc>
          <w:tcPr>
            <w:tcW w:w="12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5,611 </w:t>
            </w:r>
          </w:p>
        </w:tc>
        <w:tc>
          <w:tcPr>
            <w:tcW w:w="1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5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As of March 31, 2024, and December 31, 2023, unrealized gains and losses associated with our debt investments were not material. We did not recognize any credit losses related to debt investments for the first three months of 2024 and 2023.</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presents the aggregate maturities of our available-for-sale debt investments as of March 31, 2024:</w:t>
      </w:r>
    </w:p>
    <w:tbl>
      <w:tblPr>
        <w:tblW w:w="4250" w:type="dxa"/>
        <w:jc w:val="left"/>
        <w:tblInd w:w="0" w:type="dxa"/>
        <w:tblLayout w:type="fixed"/>
        <w:tblCellMar>
          <w:top w:w="28" w:type="dxa"/>
          <w:left w:w="28" w:type="dxa"/>
          <w:bottom w:w="28" w:type="dxa"/>
          <w:right w:w="28" w:type="dxa"/>
        </w:tblCellMar>
      </w:tblPr>
      <w:tblGrid>
        <w:gridCol w:w="579"/>
        <w:gridCol w:w="511"/>
        <w:gridCol w:w="514"/>
        <w:gridCol w:w="109"/>
        <w:gridCol w:w="109"/>
        <w:gridCol w:w="109"/>
        <w:gridCol w:w="109"/>
        <w:gridCol w:w="109"/>
        <w:gridCol w:w="109"/>
        <w:gridCol w:w="109"/>
        <w:gridCol w:w="109"/>
        <w:gridCol w:w="109"/>
        <w:gridCol w:w="109"/>
        <w:gridCol w:w="109"/>
        <w:gridCol w:w="109"/>
        <w:gridCol w:w="109"/>
        <w:gridCol w:w="109"/>
        <w:gridCol w:w="109"/>
        <w:gridCol w:w="211"/>
        <w:gridCol w:w="646"/>
        <w:gridCol w:w="154"/>
      </w:tblGrid>
      <w:tr>
        <w:trPr/>
        <w:tc>
          <w:tcPr>
            <w:tcW w:w="57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16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One year or less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7,585 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One to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Proceeds from sales, redemptions and maturities of short-term available-for-sale investments were $2.63 billion and $4.03 billion for the first quarters of 2024 and 2023, respectively. Gross realized gains and losses from these sales were not material.</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Fair-value considerations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three-level hierarchy described below indicates the extent and level of judgment used to estimate fair-value measurements.</w:t>
      </w:r>
    </w:p>
    <w:p>
      <w:pPr>
        <w:pStyle w:val="TextBody"/>
        <w:bidi w:val="0"/>
        <w:spacing w:lineRule="auto" w:line="288" w:before="240" w:after="120"/>
        <w:ind w:left="0" w:right="0" w:hanging="360"/>
        <w:jc w:val="left"/>
        <w:rPr/>
      </w:pPr>
      <w:r>
        <w:rPr>
          <w:color w:val="000000"/>
        </w:rPr>
        <w:t>•</w:t>
      </w:r>
      <w:r>
        <w:rPr>
          <w:rFonts w:ascii="Arial;sans-serif" w:hAnsi="Arial;sans-serif"/>
          <w:b w:val="false"/>
          <w:i/>
          <w:color w:val="000000"/>
          <w:sz w:val="20"/>
        </w:rPr>
        <w:t>Level 1</w:t>
      </w:r>
      <w:r>
        <w:rPr>
          <w:color w:val="000000"/>
        </w:rPr>
        <w:t xml:space="preserve"> – </w:t>
      </w:r>
      <w:r>
        <w:rPr>
          <w:rFonts w:ascii="Arial;sans-serif" w:hAnsi="Arial;sans-serif"/>
          <w:b w:val="false"/>
          <w:color w:val="000000"/>
          <w:sz w:val="20"/>
        </w:rPr>
        <w:t>Uses unadjusted quoted prices that are available in active markets for identical assets or liabilities as of the reporting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TEXAS INSTRUMENTS INCORPORATED AND SUBSIDIARIES </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Level 2</w:t>
      </w:r>
      <w:r>
        <w:rPr>
          <w:color w:val="000000"/>
        </w:rPr>
        <w:t xml:space="preserve"> – </w:t>
      </w:r>
      <w:r>
        <w:rPr>
          <w:rFonts w:ascii="Arial;sans-serif" w:hAnsi="Arial;sans-serif"/>
          <w:b w:val="false"/>
          <w:color w:val="000000"/>
          <w:sz w:val="20"/>
        </w:rPr>
        <w:t>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Level 3</w:t>
      </w:r>
      <w:r>
        <w:rPr>
          <w:color w:val="000000"/>
        </w:rPr>
        <w:t xml:space="preserve"> – </w:t>
      </w:r>
      <w:r>
        <w:rPr>
          <w:rFonts w:ascii="Arial;sans-serif" w:hAnsi="Arial;sans-serif"/>
          <w:b w:val="false"/>
          <w:color w:val="000000"/>
          <w:sz w:val="20"/>
        </w:rPr>
        <w:t>Uses inputs that are unobservable, supported by little or no market activity and reflect the use of significant management judgment. These values are generally determined using pricing models that utilize management estimates of market participant assumptions. As of March 31, 2024, and December 31, 2023, we had no Level 3 assets or liabilities.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tbl>
      <w:tblPr>
        <w:tblW w:w="10205" w:type="dxa"/>
        <w:jc w:val="left"/>
        <w:tblInd w:w="0" w:type="dxa"/>
        <w:tblLayout w:type="fixed"/>
        <w:tblCellMar>
          <w:top w:w="28" w:type="dxa"/>
          <w:left w:w="28" w:type="dxa"/>
          <w:bottom w:w="28" w:type="dxa"/>
          <w:right w:w="28" w:type="dxa"/>
        </w:tblCellMar>
      </w:tblPr>
      <w:tblGrid>
        <w:gridCol w:w="1165"/>
        <w:gridCol w:w="778"/>
        <w:gridCol w:w="784"/>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6"/>
      </w:tblGrid>
      <w:tr>
        <w:trPr/>
        <w:tc>
          <w:tcPr>
            <w:tcW w:w="116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7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9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obligations</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2,452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2,452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1,954 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and agency securities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Non-U.S. government and agency securities</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Mutual funds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5,076</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4,622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9,698</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7,786 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395</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395</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1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val="false"/>
          <w:color w:val="000000"/>
          <w:sz w:val="20"/>
        </w:rPr>
        <w:t xml:space="preserve">5. </w:t>
      </w:r>
      <w:r>
        <w:rPr>
          <w:rFonts w:ascii="Arial;sans-serif" w:hAnsi="Arial;sans-serif"/>
          <w:b w:val="false"/>
          <w:color w:val="000000"/>
          <w:sz w:val="20"/>
          <w:u w:val="single"/>
        </w:rPr>
        <w:t>Postretirement benefit plans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Expenses related to defined benefit and retiree health care benefit plans are as follows:</w:t>
      </w:r>
    </w:p>
    <w:tbl>
      <w:tblPr>
        <w:tblW w:w="9990" w:type="dxa"/>
        <w:jc w:val="left"/>
        <w:tblInd w:w="0" w:type="dxa"/>
        <w:tblLayout w:type="fixed"/>
        <w:tblCellMar>
          <w:top w:w="28" w:type="dxa"/>
          <w:left w:w="28" w:type="dxa"/>
          <w:bottom w:w="28" w:type="dxa"/>
          <w:right w:w="28" w:type="dxa"/>
        </w:tblCellMar>
      </w:tblPr>
      <w:tblGrid>
        <w:gridCol w:w="1281"/>
        <w:gridCol w:w="1125"/>
        <w:gridCol w:w="1134"/>
        <w:gridCol w:w="237"/>
        <w:gridCol w:w="304"/>
        <w:gridCol w:w="122"/>
        <w:gridCol w:w="122"/>
        <w:gridCol w:w="122"/>
        <w:gridCol w:w="122"/>
        <w:gridCol w:w="237"/>
        <w:gridCol w:w="304"/>
        <w:gridCol w:w="122"/>
        <w:gridCol w:w="109"/>
        <w:gridCol w:w="109"/>
        <w:gridCol w:w="109"/>
        <w:gridCol w:w="234"/>
        <w:gridCol w:w="452"/>
        <w:gridCol w:w="121"/>
        <w:gridCol w:w="121"/>
        <w:gridCol w:w="121"/>
        <w:gridCol w:w="121"/>
        <w:gridCol w:w="234"/>
        <w:gridCol w:w="452"/>
        <w:gridCol w:w="121"/>
        <w:gridCol w:w="109"/>
        <w:gridCol w:w="109"/>
        <w:gridCol w:w="109"/>
        <w:gridCol w:w="289"/>
        <w:gridCol w:w="371"/>
        <w:gridCol w:w="149"/>
        <w:gridCol w:w="149"/>
        <w:gridCol w:w="149"/>
        <w:gridCol w:w="149"/>
        <w:gridCol w:w="289"/>
        <w:gridCol w:w="371"/>
        <w:gridCol w:w="211"/>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Defined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Retiree Health 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Non-U.S. Defined Benefit</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For Three Months Ended March 31,</w:t>
            </w:r>
          </w:p>
        </w:tc>
        <w:tc>
          <w:tcPr>
            <w:tcW w:w="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5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23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5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4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Recognized net actuarial losses (gains)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costs (credits)</w:t>
            </w:r>
          </w:p>
        </w:tc>
        <w:tc>
          <w:tcPr>
            <w:tcW w:w="23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0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2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0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5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4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624" w:type="dxa"/>
            <w:gridSpan w:val="18"/>
            <w:tcBorders/>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val="false"/>
          <w:color w:val="000000"/>
          <w:sz w:val="20"/>
        </w:rPr>
        <w:t xml:space="preserve">6. </w:t>
      </w:r>
      <w:r>
        <w:rPr>
          <w:rFonts w:ascii="Arial;sans-serif" w:hAnsi="Arial;sans-serif"/>
          <w:b w:val="false"/>
          <w:color w:val="000000"/>
          <w:sz w:val="20"/>
          <w:u w:val="single"/>
        </w:rPr>
        <w:t>Debt and lines of credit</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Short-term borrowings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maintain a line of credit to provide additional liquidity through bank loans and, if necessary, to support commercial paper borrowings. As of March 31, 2024, the aforementioned line of credit was a variable-rate, revolving credit facility from a consortium of investment-grade banks that allows us to borrow up to $1 billion until March 2025. The interest rate on borrowings under this credit facility, if drawn, is indexed to the applicable Term Secured Overnight Financing Rate (Term SOFR). As of March 31, 2024, our credit facility was undrawn, and we had no commercial paper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TEXAS INSTRUMENTS INCORPORATED AND SUBSIDIARIES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Long-term debt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February 2024, we issued five series of senior unsecured notes for an aggregate principal amount of $3.00 billion, consisting of:</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$650 million of 4.60% notes due in 2027;</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$650 million of 4.60% notes due in 2029;</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$600 million of 4.85% notes due in 2034;</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$750 million of 5.15% notes due in 2054;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$350 million further issuance of existing 5.05% notes due in 2063.</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incurred $16 million of issuance and other related costs. The proceeds of the offering were $2.98 billion, net of the original issuance discounts, which will be used for general corporate purposes.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Long-term debt outstanding is as follows:</w:t>
      </w:r>
    </w:p>
    <w:tbl>
      <w:tblPr>
        <w:tblW w:w="9572" w:type="dxa"/>
        <w:jc w:val="left"/>
        <w:tblInd w:w="0" w:type="dxa"/>
        <w:tblLayout w:type="fixed"/>
        <w:tblCellMar>
          <w:top w:w="28" w:type="dxa"/>
          <w:left w:w="28" w:type="dxa"/>
          <w:bottom w:w="28" w:type="dxa"/>
          <w:right w:w="28" w:type="dxa"/>
        </w:tblCellMar>
      </w:tblPr>
      <w:tblGrid>
        <w:gridCol w:w="2515"/>
        <w:gridCol w:w="2216"/>
        <w:gridCol w:w="2228"/>
        <w:gridCol w:w="211"/>
        <w:gridCol w:w="751"/>
        <w:gridCol w:w="109"/>
        <w:gridCol w:w="109"/>
        <w:gridCol w:w="109"/>
        <w:gridCol w:w="109"/>
        <w:gridCol w:w="229"/>
        <w:gridCol w:w="818"/>
        <w:gridCol w:w="168"/>
      </w:tblGrid>
      <w:tr>
        <w:trPr/>
        <w:tc>
          <w:tcPr>
            <w:tcW w:w="2515"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2024 at 2.625%</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300</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2024 at 4.70%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2025 at 1.375%</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2026 at 1.125%</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2027 at 4.60%</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2027 at 2.90%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2028 at 4.60%</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2029 at 4.60%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2029 at 2.25%</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2030 at 1.75%</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2031 at 1.90%</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2032 at 3.65%</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2033 at 4.90%</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2034 at 4.85%</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2039 at 3.875%</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2048 at 4.15%</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2051 at 2.70%</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2052 at 4.10%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2053 at 5.00%</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2054 at 5.15%</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2063 at 5.05%</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1,550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debt</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14,300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unamortized discounts, premiums and issuance costs</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debt, including net unamortized discounts, premiums and issuance costs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14,189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(1,349)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12,840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Interest and debt expense was $116 million and $68 million for the first quarters of 2024 and 2023, respectively. This was net of the amortized discounts, premiums, issuance and other related costs. Capitalized interest was $6 million and $2 million for the first quarters of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TEXAS INSTRUMENTS INCORPORATED AND SUBSIDIARIES</w:t>
      </w:r>
    </w:p>
    <w:p>
      <w:pPr>
        <w:pStyle w:val="TextBody"/>
        <w:bidi w:val="0"/>
        <w:spacing w:lineRule="auto" w:line="288" w:before="240" w:after="283"/>
        <w:jc w:val="left"/>
        <w:rPr/>
      </w:pPr>
      <w:r>
        <w:rPr>
          <w:rFonts w:ascii="Arial;sans-serif" w:hAnsi="Arial;sans-serif"/>
          <w:b w:val="false"/>
          <w:color w:val="000000"/>
          <w:sz w:val="20"/>
        </w:rPr>
        <w:t xml:space="preserve">7. </w:t>
      </w:r>
      <w:r>
        <w:rPr>
          <w:rFonts w:ascii="Arial;sans-serif" w:hAnsi="Arial;sans-serif"/>
          <w:b w:val="false"/>
          <w:color w:val="000000"/>
          <w:sz w:val="20"/>
          <w:u w:val="single"/>
        </w:rPr>
        <w:t>Stockholders’ equity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Changes in equity are as follows:</w:t>
      </w:r>
    </w:p>
    <w:tbl>
      <w:tblPr>
        <w:tblW w:w="10205" w:type="dxa"/>
        <w:jc w:val="left"/>
        <w:tblInd w:w="0" w:type="dxa"/>
        <w:tblLayout w:type="fixed"/>
        <w:tblCellMar>
          <w:top w:w="28" w:type="dxa"/>
          <w:left w:w="28" w:type="dxa"/>
          <w:bottom w:w="28" w:type="dxa"/>
          <w:right w:w="28" w:type="dxa"/>
        </w:tblCellMar>
      </w:tblPr>
      <w:tblGrid>
        <w:gridCol w:w="1299"/>
        <w:gridCol w:w="828"/>
        <w:gridCol w:w="831"/>
        <w:gridCol w:w="247"/>
        <w:gridCol w:w="759"/>
        <w:gridCol w:w="127"/>
        <w:gridCol w:w="109"/>
        <w:gridCol w:w="109"/>
        <w:gridCol w:w="109"/>
        <w:gridCol w:w="240"/>
        <w:gridCol w:w="736"/>
        <w:gridCol w:w="124"/>
        <w:gridCol w:w="109"/>
        <w:gridCol w:w="109"/>
        <w:gridCol w:w="109"/>
        <w:gridCol w:w="255"/>
        <w:gridCol w:w="908"/>
        <w:gridCol w:w="131"/>
        <w:gridCol w:w="109"/>
        <w:gridCol w:w="109"/>
        <w:gridCol w:w="109"/>
        <w:gridCol w:w="291"/>
        <w:gridCol w:w="1088"/>
        <w:gridCol w:w="150"/>
        <w:gridCol w:w="109"/>
        <w:gridCol w:w="109"/>
        <w:gridCol w:w="109"/>
        <w:gridCol w:w="211"/>
        <w:gridCol w:w="508"/>
        <w:gridCol w:w="164"/>
      </w:tblGrid>
      <w:tr>
        <w:trPr/>
        <w:tc>
          <w:tcPr>
            <w:tcW w:w="129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AOCI</w:t>
            </w:r>
          </w:p>
        </w:tc>
      </w:tr>
      <w:tr>
        <w:trPr/>
        <w:tc>
          <w:tcPr>
            <w:tcW w:w="29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December 31, 2023</w:t>
            </w:r>
          </w:p>
        </w:tc>
        <w:tc>
          <w:tcPr>
            <w:tcW w:w="2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1,741 </w:t>
            </w:r>
          </w:p>
        </w:tc>
        <w:tc>
          <w:tcPr>
            <w:tcW w:w="1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3,362 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52,283 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(40,284)</w:t>
            </w:r>
          </w:p>
        </w:tc>
        <w:tc>
          <w:tcPr>
            <w:tcW w:w="1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2024</w:t>
            </w:r>
          </w:p>
        </w:tc>
        <w:tc>
          <w:tcPr>
            <w:tcW w:w="11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1,105</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Dividends declared and paid ($1.30 per share)</w:t>
            </w:r>
          </w:p>
        </w:tc>
        <w:tc>
          <w:tcPr>
            <w:tcW w:w="10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(1,183)</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Common stock issued for stock-based awards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 repurchases</w:t>
            </w:r>
          </w:p>
        </w:tc>
        <w:tc>
          <w:tcPr>
            <w:tcW w:w="10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 compensation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106</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comprehensive income (loss), net of taxes</w:t>
            </w:r>
          </w:p>
        </w:tc>
        <w:tc>
          <w:tcPr>
            <w:tcW w:w="10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Dividend equivalents on RSUs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w:t>
            </w:r>
          </w:p>
        </w:tc>
        <w:tc>
          <w:tcPr>
            <w:tcW w:w="10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March 31, 2024</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1,741</w:t>
            </w: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3,439</w:t>
            </w: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52,199</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(40,193)</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(203)</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24"/>
        <w:gridCol w:w="829"/>
        <w:gridCol w:w="832"/>
        <w:gridCol w:w="250"/>
        <w:gridCol w:w="768"/>
        <w:gridCol w:w="129"/>
        <w:gridCol w:w="109"/>
        <w:gridCol w:w="109"/>
        <w:gridCol w:w="109"/>
        <w:gridCol w:w="242"/>
        <w:gridCol w:w="743"/>
        <w:gridCol w:w="125"/>
        <w:gridCol w:w="109"/>
        <w:gridCol w:w="109"/>
        <w:gridCol w:w="109"/>
        <w:gridCol w:w="258"/>
        <w:gridCol w:w="920"/>
        <w:gridCol w:w="133"/>
        <w:gridCol w:w="109"/>
        <w:gridCol w:w="109"/>
        <w:gridCol w:w="109"/>
        <w:gridCol w:w="297"/>
        <w:gridCol w:w="1113"/>
        <w:gridCol w:w="153"/>
        <w:gridCol w:w="109"/>
        <w:gridCol w:w="109"/>
        <w:gridCol w:w="109"/>
        <w:gridCol w:w="211"/>
        <w:gridCol w:w="510"/>
        <w:gridCol w:w="160"/>
      </w:tblGrid>
      <w:tr>
        <w:trPr/>
        <w:tc>
          <w:tcPr>
            <w:tcW w:w="122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AOCI</w:t>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December 31, 2022</w:t>
            </w:r>
          </w:p>
        </w:tc>
        <w:tc>
          <w:tcPr>
            <w:tcW w:w="25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1,741 </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2,951 </w:t>
            </w:r>
          </w:p>
        </w:tc>
        <w:tc>
          <w:tcPr>
            <w:tcW w:w="1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50,353 </w:t>
            </w:r>
          </w:p>
        </w:tc>
        <w:tc>
          <w:tcPr>
            <w:tcW w:w="13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(40,214)</w:t>
            </w:r>
          </w:p>
        </w:tc>
        <w:tc>
          <w:tcPr>
            <w:tcW w:w="15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2023</w:t>
            </w:r>
          </w:p>
        </w:tc>
        <w:tc>
          <w:tcPr>
            <w:tcW w:w="11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and paid ($1.24 per share)</w:t>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issued for stock-based awards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repurchases</w:t>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net of taxes</w:t>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equivalents on RSUs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March 31, 2023</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3,016 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50,930 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(40,192)</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val="false"/>
          <w:color w:val="000000"/>
          <w:sz w:val="20"/>
        </w:rPr>
        <w:t xml:space="preserve">8. </w:t>
      </w:r>
      <w:r>
        <w:rPr>
          <w:rFonts w:ascii="Arial;sans-serif" w:hAnsi="Arial;sans-serif"/>
          <w:b w:val="false"/>
          <w:color w:val="000000"/>
          <w:sz w:val="20"/>
          <w:u w:val="single"/>
        </w:rPr>
        <w:t>Contingencies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Indemnification guarantees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Warranty costs/product liabilities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 xml:space="preserve">Our stated warranties for semiconductor products obligate us to repair, replace or credit the purchase price of a covered product back to the buyer. Product claim consideration may exceed the price of our products. Historically, we have experienced a low rate of payments on product claims. Although we cannot predict the likelihood or amount of any future claims, we do not believe they will have a material adverse effect on our consolidated financial statements. We accrue for known product-related claims if a loss is probable and can be reasonably estimated. During the periods presented, there have been no material accruals or payments regarding product warranty or product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TEXAS INSTRUMENTS INCORPORATED AND SUBSIDIARIES</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General</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are subject to various legal and administrative proceedings. Although it is not possible to predict the outcome of these matters, we believe that the results of these proceedings will not have a material adverse effect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val="false"/>
          <w:color w:val="000000"/>
          <w:sz w:val="20"/>
        </w:rPr>
        <w:t xml:space="preserve">9. </w:t>
      </w:r>
      <w:r>
        <w:rPr>
          <w:rFonts w:ascii="Arial;sans-serif" w:hAnsi="Arial;sans-serif"/>
          <w:b w:val="false"/>
          <w:color w:val="000000"/>
          <w:sz w:val="20"/>
          <w:u w:val="single"/>
        </w:rPr>
        <w:t>Supplemental financial information</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Restructuring charges/other</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During the first quarter of 2024, restructuring charges/other was a credit of $124 million primarily due to a gain on the sale of a property.</w:t>
      </w:r>
    </w:p>
    <w:tbl>
      <w:tblPr>
        <w:tblW w:w="7068" w:type="dxa"/>
        <w:jc w:val="left"/>
        <w:tblInd w:w="0" w:type="dxa"/>
        <w:tblLayout w:type="fixed"/>
        <w:tblCellMar>
          <w:top w:w="28" w:type="dxa"/>
          <w:left w:w="28" w:type="dxa"/>
          <w:bottom w:w="28" w:type="dxa"/>
          <w:right w:w="28" w:type="dxa"/>
        </w:tblCellMar>
      </w:tblPr>
      <w:tblGrid>
        <w:gridCol w:w="1652"/>
        <w:gridCol w:w="1452"/>
        <w:gridCol w:w="1456"/>
        <w:gridCol w:w="211"/>
        <w:gridCol w:w="646"/>
        <w:gridCol w:w="109"/>
        <w:gridCol w:w="109"/>
        <w:gridCol w:w="109"/>
        <w:gridCol w:w="109"/>
        <w:gridCol w:w="303"/>
        <w:gridCol w:w="690"/>
        <w:gridCol w:w="222"/>
      </w:tblGrid>
      <w:tr>
        <w:trPr/>
        <w:tc>
          <w:tcPr>
            <w:tcW w:w="1652"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240" w:after="240"/>
              <w:jc w:val="left"/>
              <w:rPr>
                <w:rFonts w:ascii="Arial;sans-serif" w:hAnsi="Arial;sans-serif"/>
                <w:b w:val="false"/>
                <w:i/>
                <w:color w:val="000000"/>
                <w:sz w:val="20"/>
              </w:rPr>
            </w:pPr>
            <w:r>
              <w:rPr>
                <w:rFonts w:ascii="Arial;sans-serif" w:hAnsi="Arial;sans-serif"/>
                <w:b w:val="false"/>
                <w:i/>
                <w:color w:val="000000"/>
                <w:sz w:val="20"/>
              </w:rPr>
              <w:t>Prepaid expenses and other current assets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5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CHIPS and Science Act investment tax credit</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999</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497 </w:t>
            </w:r>
          </w:p>
        </w:tc>
        <w:tc>
          <w:tcPr>
            <w:tcW w:w="2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1,301</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761 </w:t>
            </w:r>
          </w:p>
        </w:tc>
        <w:tc>
          <w:tcPr>
            <w:tcW w:w="22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Other long-term assets</w:t>
      </w:r>
    </w:p>
    <w:tbl>
      <w:tblPr>
        <w:tblW w:w="7066" w:type="dxa"/>
        <w:jc w:val="left"/>
        <w:tblInd w:w="0" w:type="dxa"/>
        <w:tblLayout w:type="fixed"/>
        <w:tblCellMar>
          <w:top w:w="28" w:type="dxa"/>
          <w:left w:w="28" w:type="dxa"/>
          <w:bottom w:w="28" w:type="dxa"/>
          <w:right w:w="28" w:type="dxa"/>
        </w:tblCellMar>
      </w:tblPr>
      <w:tblGrid>
        <w:gridCol w:w="1649"/>
        <w:gridCol w:w="1451"/>
        <w:gridCol w:w="1459"/>
        <w:gridCol w:w="211"/>
        <w:gridCol w:w="646"/>
        <w:gridCol w:w="109"/>
        <w:gridCol w:w="109"/>
        <w:gridCol w:w="109"/>
        <w:gridCol w:w="109"/>
        <w:gridCol w:w="253"/>
        <w:gridCol w:w="776"/>
        <w:gridCol w:w="185"/>
      </w:tblGrid>
      <w:tr>
        <w:trPr/>
        <w:tc>
          <w:tcPr>
            <w:tcW w:w="1649"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5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CHIPS and Science Act investment tax credit</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498</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859 </w:t>
            </w:r>
          </w:p>
        </w:tc>
        <w:tc>
          <w:tcPr>
            <w:tcW w:w="18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1,412</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1,712 </w:t>
            </w:r>
          </w:p>
        </w:tc>
        <w:tc>
          <w:tcPr>
            <w:tcW w:w="18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Details on amounts reclassified out of accumulated other comprehensive income (loss), net of taxes, to net income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Consolidated Statements of Comprehensive Income include items that have been recognized within net income during the first quarters of 2024 and 2023. The table below details where these transactions are recorded in our Consolidated Statements of Income.</w:t>
      </w:r>
    </w:p>
    <w:tbl>
      <w:tblPr>
        <w:tblW w:w="10205" w:type="dxa"/>
        <w:jc w:val="left"/>
        <w:tblInd w:w="0" w:type="dxa"/>
        <w:tblLayout w:type="fixed"/>
        <w:tblCellMar>
          <w:top w:w="28" w:type="dxa"/>
          <w:left w:w="28" w:type="dxa"/>
          <w:bottom w:w="28" w:type="dxa"/>
          <w:right w:w="28" w:type="dxa"/>
        </w:tblCellMar>
      </w:tblPr>
      <w:tblGrid>
        <w:gridCol w:w="1081"/>
        <w:gridCol w:w="842"/>
        <w:gridCol w:w="848"/>
        <w:gridCol w:w="255"/>
        <w:gridCol w:w="328"/>
        <w:gridCol w:w="131"/>
        <w:gridCol w:w="131"/>
        <w:gridCol w:w="131"/>
        <w:gridCol w:w="131"/>
        <w:gridCol w:w="255"/>
        <w:gridCol w:w="328"/>
        <w:gridCol w:w="131"/>
        <w:gridCol w:w="109"/>
        <w:gridCol w:w="109"/>
        <w:gridCol w:w="109"/>
        <w:gridCol w:w="109"/>
        <w:gridCol w:w="109"/>
        <w:gridCol w:w="2497"/>
        <w:gridCol w:w="109"/>
        <w:gridCol w:w="716"/>
        <w:gridCol w:w="716"/>
        <w:gridCol w:w="1030"/>
      </w:tblGrid>
      <w:tr>
        <w:trPr/>
        <w:tc>
          <w:tcPr>
            <w:tcW w:w="108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2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7"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Impact to Related Statement of Income Lines</w:t>
            </w:r>
          </w:p>
        </w:tc>
        <w:tc>
          <w:tcPr>
            <w:tcW w:w="2571" w:type="dxa"/>
            <w:gridSpan w:val="4"/>
            <w:tcBorders/>
          </w:tcPr>
          <w:p>
            <w:pPr>
              <w:pStyle w:val="TableContents"/>
              <w:bidi w:val="0"/>
              <w:spacing w:before="0" w:after="283"/>
              <w:jc w:val="left"/>
              <w:rPr>
                <w:sz w:val="4"/>
                <w:szCs w:val="4"/>
              </w:rPr>
            </w:pPr>
            <w:r>
              <w:rPr>
                <w:sz w:val="4"/>
                <w:szCs w:val="4"/>
              </w:rPr>
            </w:r>
          </w:p>
        </w:tc>
      </w:tr>
      <w:tr>
        <w:trPr/>
        <w:tc>
          <w:tcPr>
            <w:tcW w:w="2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7" w:type="dxa"/>
            <w:vMerge w:val="continue"/>
            <w:tcBorders/>
            <w:tcMar>
              <w:top w:w="0" w:type="dxa"/>
              <w:left w:w="0" w:type="dxa"/>
              <w:bottom w:w="0" w:type="dxa"/>
              <w:right w:w="0" w:type="dxa"/>
            </w:tcMar>
            <w:vAlign w:val="center"/>
          </w:tcPr>
          <w:p>
            <w:pPr>
              <w:pStyle w:val="Normal"/>
              <w:bidi w:val="0"/>
              <w:jc w:val="left"/>
              <w:rPr/>
            </w:pPr>
            <w:r>
              <w:rPr/>
            </w:r>
          </w:p>
        </w:tc>
        <w:tc>
          <w:tcPr>
            <w:tcW w:w="2571" w:type="dxa"/>
            <w:gridSpan w:val="4"/>
            <w:tcBorders/>
          </w:tcPr>
          <w:p>
            <w:pPr>
              <w:pStyle w:val="TableContents"/>
              <w:bidi w:val="0"/>
              <w:spacing w:before="0" w:after="283"/>
              <w:jc w:val="left"/>
              <w:rPr>
                <w:sz w:val="4"/>
                <w:szCs w:val="4"/>
              </w:rPr>
            </w:pPr>
            <w:r>
              <w:rPr>
                <w:sz w:val="4"/>
                <w:szCs w:val="4"/>
              </w:rPr>
            </w:r>
          </w:p>
        </w:tc>
      </w:tr>
      <w:tr>
        <w:trPr/>
        <w:tc>
          <w:tcPr>
            <w:tcW w:w="27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7"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2462" w:type="dxa"/>
            <w:gridSpan w:val="3"/>
            <w:tcBorders/>
            <w:vAlign w:val="center"/>
          </w:tcPr>
          <w:p>
            <w:pPr>
              <w:pStyle w:val="TableContents"/>
              <w:bidi w:val="0"/>
              <w:spacing w:before="0" w:after="283"/>
              <w:jc w:val="left"/>
              <w:rPr>
                <w:sz w:val="4"/>
                <w:szCs w:val="4"/>
              </w:rPr>
            </w:pPr>
            <w:r>
              <w:rPr>
                <w:sz w:val="4"/>
                <w:szCs w:val="4"/>
              </w:rPr>
            </w:r>
          </w:p>
        </w:tc>
      </w:tr>
      <w:tr>
        <w:trPr/>
        <w:tc>
          <w:tcPr>
            <w:tcW w:w="27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actuarial losses of defined benefit plans:</w:t>
            </w:r>
          </w:p>
        </w:tc>
        <w:tc>
          <w:tcPr>
            <w:tcW w:w="7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Recognized net actuarial losses (a)</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to OI&amp;E</w:t>
            </w:r>
          </w:p>
        </w:tc>
      </w:tr>
      <w:tr>
        <w:trPr/>
        <w:tc>
          <w:tcPr>
            <w:tcW w:w="27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effect</w:t>
            </w:r>
          </w:p>
        </w:tc>
        <w:tc>
          <w:tcPr>
            <w:tcW w:w="5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to provision for income taxes</w:t>
            </w:r>
          </w:p>
        </w:tc>
      </w:tr>
      <w:tr>
        <w:trPr/>
        <w:tc>
          <w:tcPr>
            <w:tcW w:w="2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Recognized within net income, net of taxes</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to net income</w:t>
            </w:r>
          </w:p>
        </w:tc>
      </w:tr>
      <w:tr>
        <w:trPr/>
        <w:tc>
          <w:tcPr>
            <w:tcW w:w="2771"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2" w:type="dxa"/>
            <w:gridSpan w:val="3"/>
            <w:tcBorders/>
            <w:vAlign w:val="center"/>
          </w:tcPr>
          <w:p>
            <w:pPr>
              <w:pStyle w:val="TableContents"/>
              <w:bidi w:val="0"/>
              <w:spacing w:before="0" w:after="283"/>
              <w:jc w:val="left"/>
              <w:rPr>
                <w:sz w:val="4"/>
                <w:szCs w:val="4"/>
              </w:rPr>
            </w:pPr>
            <w:r>
              <w:rPr>
                <w:sz w:val="4"/>
                <w:szCs w:val="4"/>
              </w:rPr>
            </w:r>
          </w:p>
        </w:tc>
      </w:tr>
      <w:tr>
        <w:trPr/>
        <w:tc>
          <w:tcPr>
            <w:tcW w:w="2771"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2" w:type="dxa"/>
            <w:gridSpan w:val="3"/>
            <w:tcBorders/>
            <w:vAlign w:val="center"/>
          </w:tcPr>
          <w:p>
            <w:pPr>
              <w:pStyle w:val="TableContents"/>
              <w:bidi w:val="0"/>
              <w:spacing w:before="0" w:after="283"/>
              <w:jc w:val="left"/>
              <w:rPr>
                <w:sz w:val="4"/>
                <w:szCs w:val="4"/>
              </w:rPr>
            </w:pPr>
            <w:r>
              <w:rPr>
                <w:sz w:val="4"/>
                <w:szCs w:val="4"/>
              </w:rPr>
            </w:r>
          </w:p>
        </w:tc>
      </w:tr>
      <w:tr>
        <w:trPr/>
        <w:tc>
          <w:tcPr>
            <w:tcW w:w="2771"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2" w:type="dxa"/>
            <w:gridSpan w:val="3"/>
            <w:tcBorders/>
            <w:vAlign w:val="center"/>
          </w:tcPr>
          <w:p>
            <w:pPr>
              <w:pStyle w:val="TableContents"/>
              <w:bidi w:val="0"/>
              <w:spacing w:before="0" w:after="283"/>
              <w:jc w:val="left"/>
              <w:rPr>
                <w:sz w:val="4"/>
                <w:szCs w:val="4"/>
              </w:rPr>
            </w:pPr>
            <w:r>
              <w:rPr>
                <w:sz w:val="4"/>
                <w:szCs w:val="4"/>
              </w:rPr>
            </w:r>
          </w:p>
        </w:tc>
      </w:tr>
      <w:tr>
        <w:trPr/>
        <w:tc>
          <w:tcPr>
            <w:tcW w:w="2771"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2" w:type="dxa"/>
            <w:gridSpan w:val="3"/>
            <w:tcBorders/>
            <w:vAlign w:val="center"/>
          </w:tcPr>
          <w:p>
            <w:pPr>
              <w:pStyle w:val="TableContents"/>
              <w:bidi w:val="0"/>
              <w:spacing w:before="0" w:after="283"/>
              <w:jc w:val="left"/>
              <w:rPr>
                <w:sz w:val="4"/>
                <w:szCs w:val="4"/>
              </w:rPr>
            </w:pPr>
            <w:r>
              <w:rPr>
                <w:sz w:val="4"/>
                <w:szCs w:val="4"/>
              </w:rPr>
            </w:r>
          </w:p>
        </w:tc>
      </w:tr>
      <w:tr>
        <w:trPr/>
        <w:tc>
          <w:tcPr>
            <w:tcW w:w="2771"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hanging="360"/>
        <w:jc w:val="left"/>
        <w:rPr>
          <w:rFonts w:ascii="Arial;sans-serif" w:hAnsi="Arial;sans-serif"/>
          <w:b w:val="false"/>
          <w:color w:val="000000"/>
          <w:sz w:val="20"/>
        </w:rPr>
      </w:pPr>
      <w:r>
        <w:rPr>
          <w:rFonts w:ascii="Arial;sans-serif" w:hAnsi="Arial;sans-serif"/>
          <w:b w:val="false"/>
          <w:color w:val="000000"/>
          <w:sz w:val="20"/>
        </w:rPr>
        <w:t>(a)Detailed in Note 5</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Effect on shares outstanding and treasury shares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reflects the changes in treasury shares:</w:t>
      </w:r>
    </w:p>
    <w:tbl>
      <w:tblPr>
        <w:tblW w:w="4159" w:type="dxa"/>
        <w:jc w:val="left"/>
        <w:tblInd w:w="0" w:type="dxa"/>
        <w:tblLayout w:type="fixed"/>
        <w:tblCellMar>
          <w:top w:w="28" w:type="dxa"/>
          <w:left w:w="28" w:type="dxa"/>
          <w:bottom w:w="28" w:type="dxa"/>
          <w:right w:w="28" w:type="dxa"/>
        </w:tblCellMar>
      </w:tblPr>
      <w:tblGrid>
        <w:gridCol w:w="1255"/>
        <w:gridCol w:w="1103"/>
        <w:gridCol w:w="1107"/>
        <w:gridCol w:w="240"/>
        <w:gridCol w:w="241"/>
        <w:gridCol w:w="213"/>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4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January 1</w:t>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832 </w:t>
            </w:r>
          </w:p>
        </w:tc>
        <w:tc>
          <w:tcPr>
            <w:tcW w:w="21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for stock compensation</w:t>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March 31</w:t>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We design and manufacture semiconductors that we sell to electronics designers and manufacturers all over the world. Technology is the foundation of our company, but ultimately, our objective and the best metric for owners to measure our progress is through the growth of free cash flow per share over the long term.</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strategy to maximize long-term free cash flow per share growth has three elements:</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1.A great business model that is focused on analog and embedded processing products and built around four sustainable competitive advantages. The four sustainable competitive advantages are powerful in combination and provide tangible benefits: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i.A strong foundation of manufacturing and technology that provides lower costs and greater control of our supply chain.</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ii.A broad portfolio of analog and embedded processing products that offers more opportunity per customer and more value for our investments.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iii.The reach of our market channels that gives access to more customers and more of their design projects, leading to the opportunity to sell more of our products into each design and gives us better insight and knowledge of customer needs.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iv.Diversity and longevity of our products, markets and customer positions that provide less single point dependency and longer returns on our investments.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2.Discipline in allocating capital to the best opportunities. This spans how we select R&amp;D projects, develop new capabilities like TI.com, invest in new manufacturing capacity or how we think about acquisitions and returning cash to our owners.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3.Efficiency, which means constantly striving for more output for every dollar spent.</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When we discuss our results: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Unless otherwise noted, changes in our revenue are attributable to changes in customer demand, which are evidenced by fluctuations in shipment volumes.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New products do not tend to have a significant impact on our revenue in any given period because we sell such a large number of products.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From time to time, our revenue and gross profit are affected by changes in demand for higher-priced or lower-priced products, which we refer to as changes in the “mix” of products shipped.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For an explanation of free cash flow, see the Non-GAAP financial information section.</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All dollar amounts in the tables are stated in millions of U.S.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Performance summary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first quarter revenue was $3.66 billion, net income was $1.11 billion and earnings per share (EPS) were $1.20.</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Revenue decreased 16% from the same quarter a year ago and 10% sequentially, as revenue declined across all end markets.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cash flow from operations of $6.3 billion for the trailing 12 months again underscored the strength of our business model, the quality of our product portfolio and the benefit of 300mm production. Free cash flow for the same period was $940 million.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Over the past 12 months we invested $3.7 billion in R&amp;D and SG&amp;A, invested $5.3 billion in capital expenditures and returned $4.8 billion to shareholders.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Results of operations – first quarter 2024 compared with first quarter 2023</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Revenue of $3.66 billion decreased $718 million, or 16%, primarily due to lower revenue from Analog and, to a lesser extent, Embedded Processing.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Gross profit of $2.10 billion was down $768 million, or 27%, primarily due to lower revenue and, to a lesser extent, higher manufacturing costs associated with reduced factory loadings and our planned capacity expansions. As a percentage of revenue, gross profit decreased to 57.2% from 65.4%.</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Operating expenses (R&amp;D and SG&amp;A) were $933 million compared with $929 million.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Restructuring charges/other was a credit of $124 million primarily due to a gain on the sale of a property during 2024.</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Operating profit was $1.29 billion, or 35.1% of revenue, compared with $1.93 billion, or 44.2% of revenue.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OI&amp;E was $123 million of income compared with $80 million of income, primarily due to higher interest income.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Interest and debt expense of $116 million increased $48 million due to the issuance of additional long-term debt. See Note 6 to the financial statements.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provision for income taxes was $188 million compared with $238 million. This decrease was due to lower income before income taxes, partially offset by discrete tax items.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Net income was $1.11 billion compared with $1.71 billion. EPS was $1.20 compared with $1.85.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u w:val="single"/>
        </w:rPr>
      </w:pPr>
      <w:r>
        <w:rPr>
          <w:rFonts w:ascii="Arial;sans-serif" w:hAnsi="Arial;sans-serif"/>
          <w:b w:val="false"/>
          <w:color w:val="000000"/>
          <w:sz w:val="20"/>
          <w:u w:val="single"/>
        </w:rPr>
        <w:t>First quarter 2024 segment results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segment results compared with the year-ago quarter are as follows: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Analog (includes Power and Signal Chain product lines)</w:t>
      </w:r>
    </w:p>
    <w:tbl>
      <w:tblPr>
        <w:tblW w:w="6508" w:type="dxa"/>
        <w:jc w:val="left"/>
        <w:tblInd w:w="0" w:type="dxa"/>
        <w:tblLayout w:type="fixed"/>
        <w:tblCellMar>
          <w:top w:w="28" w:type="dxa"/>
          <w:left w:w="28" w:type="dxa"/>
          <w:bottom w:w="28" w:type="dxa"/>
          <w:right w:w="28" w:type="dxa"/>
        </w:tblCellMar>
      </w:tblPr>
      <w:tblGrid>
        <w:gridCol w:w="967"/>
        <w:gridCol w:w="848"/>
        <w:gridCol w:w="855"/>
        <w:gridCol w:w="211"/>
        <w:gridCol w:w="646"/>
        <w:gridCol w:w="286"/>
        <w:gridCol w:w="109"/>
        <w:gridCol w:w="109"/>
        <w:gridCol w:w="109"/>
        <w:gridCol w:w="211"/>
        <w:gridCol w:w="646"/>
        <w:gridCol w:w="286"/>
        <w:gridCol w:w="109"/>
        <w:gridCol w:w="109"/>
        <w:gridCol w:w="109"/>
        <w:gridCol w:w="218"/>
        <w:gridCol w:w="218"/>
        <w:gridCol w:w="462"/>
      </w:tblGrid>
      <w:tr>
        <w:trPr/>
        <w:tc>
          <w:tcPr>
            <w:tcW w:w="96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2,836</w:t>
            </w:r>
            <w:r>
              <w:rPr>
                <w:color w:val="000000"/>
              </w:rPr>
              <w:t>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3,289 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46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 % of revenue</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35.5</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Analog revenue decreased in both product lines, led by Signal Chain. Operating profit decreased primarily due to lower revenue and higher manufacturing costs.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Embedded Processing (includes microcontrollers and processors)</w:t>
      </w:r>
    </w:p>
    <w:tbl>
      <w:tblPr>
        <w:tblW w:w="6178" w:type="dxa"/>
        <w:jc w:val="left"/>
        <w:tblInd w:w="0" w:type="dxa"/>
        <w:tblLayout w:type="fixed"/>
        <w:tblCellMar>
          <w:top w:w="28" w:type="dxa"/>
          <w:left w:w="28" w:type="dxa"/>
          <w:bottom w:w="28" w:type="dxa"/>
          <w:right w:w="28" w:type="dxa"/>
        </w:tblCellMar>
      </w:tblPr>
      <w:tblGrid>
        <w:gridCol w:w="967"/>
        <w:gridCol w:w="848"/>
        <w:gridCol w:w="855"/>
        <w:gridCol w:w="211"/>
        <w:gridCol w:w="481"/>
        <w:gridCol w:w="286"/>
        <w:gridCol w:w="109"/>
        <w:gridCol w:w="109"/>
        <w:gridCol w:w="109"/>
        <w:gridCol w:w="211"/>
        <w:gridCol w:w="481"/>
        <w:gridCol w:w="286"/>
        <w:gridCol w:w="109"/>
        <w:gridCol w:w="109"/>
        <w:gridCol w:w="109"/>
        <w:gridCol w:w="218"/>
        <w:gridCol w:w="218"/>
        <w:gridCol w:w="462"/>
      </w:tblGrid>
      <w:tr>
        <w:trPr/>
        <w:tc>
          <w:tcPr>
            <w:tcW w:w="96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652</w:t>
            </w:r>
            <w:r>
              <w:rPr>
                <w:color w:val="000000"/>
              </w:rPr>
              <w:t>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46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 % of revenue</w:t>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16.1</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Embedded Processing revenue decreased. Operating profit decreased primarily due to lower revenue and associated gross profit.</w:t>
      </w:r>
    </w:p>
    <w:p>
      <w:pPr>
        <w:pStyle w:val="TextBody"/>
        <w:bidi w:val="0"/>
        <w:spacing w:lineRule="auto" w:line="288" w:before="240" w:after="283"/>
        <w:jc w:val="left"/>
        <w:rPr/>
      </w:pPr>
      <w:r>
        <w:rPr>
          <w:rFonts w:ascii="Arial;sans-serif" w:hAnsi="Arial;sans-serif"/>
          <w:b w:val="false"/>
          <w:i/>
          <w:color w:val="000000"/>
          <w:sz w:val="20"/>
        </w:rPr>
        <w:t>Other (includes DLP</w:t>
      </w:r>
      <w:r>
        <w:rPr>
          <w:rFonts w:ascii="Arial;sans-serif" w:hAnsi="Arial;sans-serif"/>
          <w:b w:val="false"/>
          <w:i/>
          <w:color w:val="000000"/>
          <w:sz w:val="12"/>
        </w:rPr>
        <w:t>®</w:t>
      </w:r>
      <w:r>
        <w:rPr>
          <w:color w:val="000000"/>
        </w:rPr>
        <w:t xml:space="preserve"> </w:t>
      </w:r>
      <w:r>
        <w:rPr>
          <w:rFonts w:ascii="Arial;sans-serif" w:hAnsi="Arial;sans-serif"/>
          <w:b w:val="false"/>
          <w:i/>
          <w:color w:val="000000"/>
          <w:sz w:val="20"/>
        </w:rPr>
        <w:t>products, calculators and custom ASIC products)</w:t>
      </w:r>
    </w:p>
    <w:tbl>
      <w:tblPr>
        <w:tblW w:w="6177" w:type="dxa"/>
        <w:jc w:val="left"/>
        <w:tblInd w:w="0" w:type="dxa"/>
        <w:tblLayout w:type="fixed"/>
        <w:tblCellMar>
          <w:top w:w="28" w:type="dxa"/>
          <w:left w:w="28" w:type="dxa"/>
          <w:bottom w:w="28" w:type="dxa"/>
          <w:right w:w="28" w:type="dxa"/>
        </w:tblCellMar>
      </w:tblPr>
      <w:tblGrid>
        <w:gridCol w:w="967"/>
        <w:gridCol w:w="847"/>
        <w:gridCol w:w="855"/>
        <w:gridCol w:w="211"/>
        <w:gridCol w:w="481"/>
        <w:gridCol w:w="286"/>
        <w:gridCol w:w="109"/>
        <w:gridCol w:w="109"/>
        <w:gridCol w:w="109"/>
        <w:gridCol w:w="211"/>
        <w:gridCol w:w="481"/>
        <w:gridCol w:w="286"/>
        <w:gridCol w:w="109"/>
        <w:gridCol w:w="109"/>
        <w:gridCol w:w="109"/>
        <w:gridCol w:w="218"/>
        <w:gridCol w:w="218"/>
        <w:gridCol w:w="462"/>
      </w:tblGrid>
      <w:tr>
        <w:trPr/>
        <w:tc>
          <w:tcPr>
            <w:tcW w:w="96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6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173</w:t>
            </w:r>
            <w:r>
              <w:rPr>
                <w:color w:val="000000"/>
              </w:rPr>
              <w:t>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46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 % of revenue</w:t>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100.0</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Includes restructuring charges/other</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Other revenue decreased $85 million, and operating profit increased $50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Financial condition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At the end of the first quarter of 2024, total cash (cash and cash equivalents plus short-term investments) was $10.39 billion, an increase of $1.82 billion from the end of 2023.</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Accounts receivable were $1.67 billion, a decrease of $116 million compared with the end of 2023. Days sales outstanding for the first quarter of 2024 were 41 compared with 39 at the end of 2023.</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Inventory was $4.08 billion, an increase of $84 million from the end of 2023. Days of inventory for the first quarter of 2024 were 235 compared with 219 at the end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primary source of liquidity is cash flow from operations. Additional sources of liquidity are cash and cash equivalents, short-term investments and access to debt markets. We also have a variable-rate, revolving credit facility. As of March 31, 2024, our credit facility was undrawn, and we had no commercial paper outstanding. Cash flows from operating activities for the first three months of 2024 were $1.02 billion, a decrease of $143 million from the year-ago period primarily due to lower net income, partially offset by lower cash used for working capital.</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Investing activities for the first three months of 2024 used $3.33 billion compared with $28 million of cash provided in the year-ago period. Capital expenditures were $1.25 billion compared with $982 million in the year-ago period and were primarily for semiconductor manufacturing equipment and facilities in both periods. Short-term investments used cash of $2.23 billion compared with $1.01 billion of cash provided in the year-ago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As we continue to invest to strengthen our competitive advantage in manufacturing and technology as part of our long-term capacity planning, our capital expenditures are expected to remain at elevated levels. In August 2022, the U.S. government enacted the U.S. CHIPS and Science Act, which provides funding for manufacturing grants and research investments and establishes a 25% investment tax credit for certain investments in U.S. semiconductor manufacturing. We will begin receiving the cash benefit associated with the investment tax credit for qualifying capital expenditures in the second quarter of 2024. See Note 9 to the financial statements. We have also submitted applications for the manufacturing grants provided by the legislation.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Financing activities for the first three months of 2024 provided $1.83 billion compared with $239 million in the year-ago period. In 2024, we received net proceeds of $2.98 billion from the issuance of fixed-rate, long-term debt. In the year-ago period, we received net proceeds of $1.40 billion from the issuance of fixed-rate, long-term debt. Dividends paid were $1.18 billion compared with $1.13 billion in the year-ago period, reflecting an increased dividend rate. We used $3 million to repurchase shares of our common stock compared with $103 million in the year-ago period. Employee exercises of stock options provided cash proceeds of $65 million compared with $85 million in the year-ago period.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had $2.48 billion of cash and cash equivalents and $7.91 billion of short-term investments as of March 31, 2024. We believe we have the necessary financial resources and operating plans to fund our working capital needs, capital expenditures, dividend and debt-related payments, and other business requirements for at least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Non-GAAP financial information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Reconciliation to the most directly comparable GAAP measures is provided in the table below.</w:t>
      </w:r>
    </w:p>
    <w:tbl>
      <w:tblPr>
        <w:tblW w:w="9598" w:type="dxa"/>
        <w:jc w:val="left"/>
        <w:tblInd w:w="0" w:type="dxa"/>
        <w:tblLayout w:type="fixed"/>
        <w:tblCellMar>
          <w:top w:w="28" w:type="dxa"/>
          <w:left w:w="28" w:type="dxa"/>
          <w:bottom w:w="28" w:type="dxa"/>
          <w:right w:w="28" w:type="dxa"/>
        </w:tblCellMar>
      </w:tblPr>
      <w:tblGrid>
        <w:gridCol w:w="2012"/>
        <w:gridCol w:w="1766"/>
        <w:gridCol w:w="1772"/>
        <w:gridCol w:w="211"/>
        <w:gridCol w:w="751"/>
        <w:gridCol w:w="286"/>
        <w:gridCol w:w="109"/>
        <w:gridCol w:w="109"/>
        <w:gridCol w:w="109"/>
        <w:gridCol w:w="211"/>
        <w:gridCol w:w="751"/>
        <w:gridCol w:w="286"/>
        <w:gridCol w:w="109"/>
        <w:gridCol w:w="109"/>
        <w:gridCol w:w="109"/>
        <w:gridCol w:w="218"/>
        <w:gridCol w:w="218"/>
        <w:gridCol w:w="462"/>
      </w:tblGrid>
      <w:tr>
        <w:trPr/>
        <w:tc>
          <w:tcPr>
            <w:tcW w:w="2012"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12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5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from operations (GAAP)</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6,277</w:t>
            </w:r>
            <w:r>
              <w:rPr>
                <w:color w:val="000000"/>
              </w:rPr>
              <w:t>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7,736 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46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(5,337)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 (non-GAAP)</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940</w:t>
            </w:r>
            <w:r>
              <w:rPr>
                <w:color w:val="000000"/>
              </w:rPr>
              <w:t>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4,400 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46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16,801</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19,502 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from operations as a percentage of revenue (GAAP)</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37.4</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 as a percentage of revenue (non-GAAP)</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Information concerning our risk factors is contained in Item 1A of our Form 10-K for the year ended December 31, 2023, and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The following table contains information regarding our purchases of our common stock during the quarter.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ISSUER PURCHASES OF EQUITY SECURITIES</w:t>
      </w:r>
    </w:p>
    <w:tbl>
      <w:tblPr>
        <w:tblW w:w="10205" w:type="dxa"/>
        <w:jc w:val="center"/>
        <w:tblInd w:w="0" w:type="dxa"/>
        <w:tblLayout w:type="fixed"/>
        <w:tblCellMar>
          <w:top w:w="28" w:type="dxa"/>
          <w:left w:w="28" w:type="dxa"/>
          <w:bottom w:w="28" w:type="dxa"/>
          <w:right w:w="28" w:type="dxa"/>
        </w:tblCellMar>
      </w:tblPr>
      <w:tblGrid>
        <w:gridCol w:w="495"/>
        <w:gridCol w:w="378"/>
        <w:gridCol w:w="381"/>
        <w:gridCol w:w="109"/>
        <w:gridCol w:w="109"/>
        <w:gridCol w:w="109"/>
        <w:gridCol w:w="475"/>
        <w:gridCol w:w="392"/>
        <w:gridCol w:w="195"/>
        <w:gridCol w:w="195"/>
        <w:gridCol w:w="195"/>
        <w:gridCol w:w="200"/>
        <w:gridCol w:w="109"/>
        <w:gridCol w:w="109"/>
        <w:gridCol w:w="109"/>
        <w:gridCol w:w="228"/>
        <w:gridCol w:w="814"/>
        <w:gridCol w:w="118"/>
        <w:gridCol w:w="118"/>
        <w:gridCol w:w="118"/>
        <w:gridCol w:w="118"/>
        <w:gridCol w:w="109"/>
        <w:gridCol w:w="109"/>
        <w:gridCol w:w="109"/>
        <w:gridCol w:w="650"/>
        <w:gridCol w:w="293"/>
        <w:gridCol w:w="293"/>
        <w:gridCol w:w="293"/>
        <w:gridCol w:w="293"/>
        <w:gridCol w:w="300"/>
        <w:gridCol w:w="109"/>
        <w:gridCol w:w="109"/>
        <w:gridCol w:w="109"/>
        <w:gridCol w:w="332"/>
        <w:gridCol w:w="1017"/>
        <w:gridCol w:w="171"/>
        <w:gridCol w:w="412"/>
        <w:gridCol w:w="171"/>
        <w:gridCol w:w="252"/>
      </w:tblGrid>
      <w:tr>
        <w:trPr/>
        <w:tc>
          <w:tcPr>
            <w:tcW w:w="49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Total Number of Shares Purchased as Part of Publicly Announced Plans or Programs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Approximate Dollar Value of Shares that May Yet Be Purchased Under the Plans or Programs (a)</w:t>
            </w:r>
          </w:p>
        </w:tc>
      </w:tr>
      <w:tr>
        <w:trPr/>
        <w:tc>
          <w:tcPr>
            <w:tcW w:w="125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1, 2024 through January 31,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206,420 </w:t>
            </w:r>
          </w:p>
        </w:tc>
        <w:tc>
          <w:tcPr>
            <w:tcW w:w="19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162.04 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1,323 </w:t>
            </w:r>
          </w:p>
        </w:tc>
        <w:tc>
          <w:tcPr>
            <w:tcW w:w="29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21.20 </w:t>
            </w:r>
          </w:p>
        </w:tc>
        <w:tc>
          <w:tcPr>
            <w:tcW w:w="1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billion</w:t>
            </w:r>
          </w:p>
        </w:tc>
      </w:tr>
      <w:tr>
        <w:trPr/>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 2024 through February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17,106 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17,106 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billion</w:t>
            </w:r>
          </w:p>
        </w:tc>
      </w:tr>
      <w:tr>
        <w:trPr/>
        <w:tc>
          <w:tcPr>
            <w:tcW w:w="12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1, 2024 through March 31,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21.19 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billion</w:t>
            </w:r>
          </w:p>
        </w:tc>
      </w:tr>
      <w:tr>
        <w:trPr/>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223,526 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18,429 </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billion (c)</w:t>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(a)All open-market purchases during the quarter were made under the authorizations from our board of directors to purchase up to $12.0 billion and $15.0 billion of additional shares of TI common stock announced September 20, 2018, and September 15, 2022, respectively.</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(b)In addition to open-market purchases, 205,097 shares of common stock were surrendered by employees to satisfy tax withholding obligations in connection with the vesting of restricted stock units.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(c)As of March 31, 2024, this amount consisted of the remaining portion of the $12.0 billion authorized in September 2018 and the $15.0 billion authorized in September 2022. No expiration date has been specified for these authorizations.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73"/>
        <w:gridCol w:w="592"/>
        <w:gridCol w:w="595"/>
        <w:gridCol w:w="109"/>
        <w:gridCol w:w="109"/>
        <w:gridCol w:w="109"/>
        <w:gridCol w:w="2439"/>
        <w:gridCol w:w="2308"/>
        <w:gridCol w:w="3271"/>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Designation of Exhibits in This Report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Description of Exhibit</w:t>
            </w:r>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Arial;sans-serif" w:hAnsi="Arial;sans-serif"/>
                  <w:b w:val="false"/>
                  <w:color w:val="0000FF"/>
                  <w:sz w:val="20"/>
                  <w:u w:val="single"/>
                </w:rPr>
                <w:t>Restated Certificate of Incorporation of the Registrant, dated April 18, 1985, as amended (incorporated by reference to Exhibit 3(a) of the Registrant’s Annual Report on Form 10-K for the year ended December 31, 2014).</w:t>
              </w:r>
            </w:hyperlink>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Arial;sans-serif" w:hAnsi="Arial;sans-serif"/>
                  <w:b w:val="false"/>
                  <w:color w:val="0000FF"/>
                  <w:sz w:val="20"/>
                  <w:u w:val="single"/>
                </w:rPr>
                <w:t>By-Laws of the Registrant (incorporated by reference to Exhibit 3 of the Registrant’s Current Report on Form 8-K filed January 26, 2022).</w:t>
              </w:r>
            </w:hyperlink>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Arial;sans-serif" w:hAnsi="Arial;sans-serif"/>
                  <w:b w:val="false"/>
                  <w:color w:val="000080"/>
                  <w:sz w:val="20"/>
                  <w:u w:val="single"/>
                </w:rPr>
                <w:t xml:space="preserve">Officers’ Certificate, dated February 8, 2024 (incorporated by reference to Exhibit 4.1 of the Registrant’s Current Report on Form 8-K filed February </w:t>
              </w:r>
            </w:hyperlink>
            <w:hyperlink r:id="rId5">
              <w:r>
                <w:rPr>
                  <w:rStyle w:val="InternetLink"/>
                  <w:rFonts w:ascii="Arial;sans-serif" w:hAnsi="Arial;sans-serif"/>
                  <w:b w:val="false"/>
                  <w:color w:val="000080"/>
                  <w:sz w:val="20"/>
                  <w:u w:val="single"/>
                </w:rPr>
                <w:t>8</w:t>
              </w:r>
            </w:hyperlink>
            <w:hyperlink r:id="rId6">
              <w:r>
                <w:rPr>
                  <w:rStyle w:val="InternetLink"/>
                  <w:rFonts w:ascii="Arial;sans-serif" w:hAnsi="Arial;sans-serif"/>
                  <w:b w:val="false"/>
                  <w:color w:val="000080"/>
                  <w:sz w:val="20"/>
                  <w:u w:val="single"/>
                </w:rPr>
                <w:t>, 2024).</w:t>
              </w:r>
            </w:hyperlink>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q12024txnex31a.htm">
              <w:r>
                <w:rPr>
                  <w:rStyle w:val="InternetLink"/>
                  <w:rFonts w:ascii="Arial;sans-serif" w:hAnsi="Arial;sans-serif"/>
                  <w:b w:val="false"/>
                  <w:color w:val="0000FF"/>
                  <w:sz w:val="20"/>
                  <w:u w:val="single"/>
                </w:rPr>
                <w:t>Certification of Chief Executive Officer of Periodic Report Pursuant to Rule 13a-14(a) or Rule 15d-14(a).†</w:t>
              </w:r>
            </w:hyperlink>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31(b)</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q12024txnex31b.htm">
              <w:r>
                <w:rPr>
                  <w:rStyle w:val="InternetLink"/>
                  <w:rFonts w:ascii="Arial;sans-serif" w:hAnsi="Arial;sans-serif"/>
                  <w:b w:val="false"/>
                  <w:color w:val="0000FF"/>
                  <w:sz w:val="20"/>
                  <w:u w:val="single"/>
                </w:rPr>
                <w:t>Certification of Chief Financial Officer of Periodic Report Pursuant to Rule 13a-14(a) or Rule 15d-14(a).†</w:t>
              </w:r>
            </w:hyperlink>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32(a)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q12024txnex32a.htm">
              <w:r>
                <w:rPr>
                  <w:rStyle w:val="InternetLink"/>
                  <w:rFonts w:ascii="Arial;sans-serif" w:hAnsi="Arial;sans-serif"/>
                  <w:b w:val="false"/>
                  <w:color w:val="0000FF"/>
                  <w:sz w:val="20"/>
                  <w:u w:val="single"/>
                </w:rPr>
                <w:t>Certification by Chief Executive Officer of Periodic Report Pursuant to 18 U.S.C. Section 1350.†</w:t>
              </w:r>
            </w:hyperlink>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32(b)</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q12024txnex32b.htm">
              <w:r>
                <w:rPr>
                  <w:rStyle w:val="InternetLink"/>
                  <w:rFonts w:ascii="Arial;sans-serif" w:hAnsi="Arial;sans-serif"/>
                  <w:b w:val="false"/>
                  <w:color w:val="0000FF"/>
                  <w:sz w:val="20"/>
                  <w:u w:val="single"/>
                </w:rPr>
                <w:t>Certification by Chief Financial Officer of Periodic Report Pursuant to 18 U.S.C. Section 1350.†</w:t>
              </w:r>
            </w:hyperlink>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XBRL Instance Document – the instance document does not appear in the Interactive Data File because its XBRL tags are embedded within the Inline XBRL document.†</w:t>
            </w:r>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XBRL Taxonomy Extension Definition Linkbase Document.†</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XBRL Taxonomy Extension Schema Document.†</w:t>
            </w:r>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XBRL Taxonomy Extension Calculation Linkbase Document.†</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XBRL Taxonomy Extension Label Linkbase Document.†</w:t>
            </w:r>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XBRL Taxonomy Extension Presentation Linkbase Document.†</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Cover Page Interactive Data File (embedded within the Inline XBRL document).†</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20"/>
              </w:rPr>
              <w:t>Filed or furnished herewith.</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Notice regarding forward-looking statements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 </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We urge you to carefully consider the following important factors that could cause actual results to differ materially from the expectations of TI or our management:</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Economic, social and political conditions, and natural events in the countries in which we, our customers or our suppliers operate, including global trade policies;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Market demand for semiconductors, particularly in the industrial and automotive markets, and customer demand that differs from forecasts;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compete in products and prices in an intensely competitive industry;</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Evolving cybersecurity and other threats relating to our information technology systems or those of our customers, suppliers and other third parties;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successfully implement and realize opportunities from strategic, business and organizational changes, or our ability to realize our expectations regarding the amount and timing of associated restructuring charges and cost savings;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Availability and cost of key materials, utilities, manufacturing equipment, third-party manufacturing services and manufacturing technology;</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recruit and retain skilled personnel, and effectively manage key employee succession;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Product liability, warranty or other claims relating to our products, software, manufacturing, delivery, services, design or communications, or recalls by our customers for a product containing one of our parts;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Compliance with or changes in the complex laws, rules and regulations to which we are or may become subject, or actions of enforcement authorities, that restrict our ability to operate our business or subject us to fines, penalties or other legal liability;</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Financial difficulties of our distributors or semiconductor distributors’ promotion of competing product lines to our detriment; or disputes with current or former distributors;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Losses or curtailments of purchases from key customers or the timing and amount of customer inventory adjustments;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maintain or improve profit margins, including our ability to utilize our manufacturing facilities at sufficient levels to cover our fixed operating costs, in an intensely competitive and cyclical industry and changing regulatory environment;</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maintain and enforce a strong intellectual property portfolio and maintain freedom of operation in all jurisdictions where we conduct business; or our exposure to infringement claims;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Instability in the global credit and financial markets;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Impairments of our non-financial assets.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lineRule="auto" w:line="288" w:before="440" w:after="24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7634" w:type="dxa"/>
        <w:jc w:val="left"/>
        <w:tblInd w:w="0" w:type="dxa"/>
        <w:tblLayout w:type="fixed"/>
        <w:tblCellMar>
          <w:top w:w="28" w:type="dxa"/>
          <w:left w:w="28" w:type="dxa"/>
          <w:bottom w:w="28" w:type="dxa"/>
          <w:right w:w="28" w:type="dxa"/>
        </w:tblCellMar>
      </w:tblPr>
      <w:tblGrid>
        <w:gridCol w:w="124"/>
        <w:gridCol w:w="109"/>
        <w:gridCol w:w="109"/>
        <w:gridCol w:w="412"/>
        <w:gridCol w:w="412"/>
        <w:gridCol w:w="412"/>
        <w:gridCol w:w="883"/>
        <w:gridCol w:w="883"/>
        <w:gridCol w:w="883"/>
        <w:gridCol w:w="986"/>
        <w:gridCol w:w="986"/>
        <w:gridCol w:w="14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TEXAS INSTRUMENTS INCORPORATED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w:t>
            </w:r>
          </w:p>
        </w:tc>
        <w:tc>
          <w:tcPr>
            <w:tcW w:w="34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Rafael R. Lizardi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Rafael R. Lizardi,</w:t>
            </w:r>
            <w:r>
              <w:rPr>
                <w:color w:val="000000"/>
              </w:rPr>
              <w:t xml:space="preserve"> </w:t>
            </w:r>
            <w:r>
              <w:rPr>
                <w:rFonts w:ascii="Arial;sans-serif" w:hAnsi="Arial;sans-serif"/>
                <w:b w:val="false"/>
                <w:color w:val="000000"/>
                <w:sz w:val="20"/>
              </w:rPr>
              <w:t>Senior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40" w:after="240"/>
        <w:jc w:val="left"/>
        <w:rPr>
          <w:rFonts w:ascii="Arial;sans-serif" w:hAnsi="Arial;sans-serif"/>
          <w:b w:val="false"/>
          <w:color w:val="000000"/>
          <w:sz w:val="20"/>
        </w:rPr>
      </w:pPr>
      <w:r>
        <w:rPr>
          <w:rFonts w:ascii="Arial;sans-serif" w:hAnsi="Arial;sans-serif"/>
          <w:b w:val="false"/>
          <w:color w:val="000000"/>
          <w:sz w:val="20"/>
        </w:rPr>
        <w:t>Date: April 24,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u w:val="single"/>
        </w:rPr>
      </w:pPr>
      <w:r>
        <w:rPr>
          <w:rFonts w:ascii="Arial;sans-serif" w:hAnsi="Arial;sans-serif"/>
          <w:b w:val="false"/>
          <w:color w:val="000000"/>
          <w:sz w:val="20"/>
          <w:u w:val="single"/>
        </w:rPr>
        <w:t>Exhibit 31(a)</w:t>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CERTIFICATIONS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I, Haviv Ilan, certify that:</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1.I have reviewed this report on Form 10-Q of Texas Instruments Incorporated;</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 April 24, 2024</w:t>
      </w:r>
    </w:p>
    <w:p>
      <w:pPr>
        <w:pStyle w:val="TextBody"/>
        <w:bidi w:val="0"/>
        <w:spacing w:lineRule="auto" w:line="288" w:before="0" w:after="0"/>
        <w:jc w:val="left"/>
        <w:rPr>
          <w:color w:val="000000"/>
        </w:rPr>
      </w:pPr>
      <w:r>
        <w:rPr>
          <w:color w:val="000000"/>
        </w:rPr>
        <w:t> </w:t>
      </w:r>
    </w:p>
    <w:tbl>
      <w:tblPr>
        <w:tblW w:w="2517" w:type="dxa"/>
        <w:jc w:val="left"/>
        <w:tblInd w:w="0" w:type="dxa"/>
        <w:tblLayout w:type="fixed"/>
        <w:tblCellMar>
          <w:top w:w="28" w:type="dxa"/>
          <w:left w:w="28" w:type="dxa"/>
          <w:bottom w:w="28" w:type="dxa"/>
          <w:right w:w="28" w:type="dxa"/>
        </w:tblCellMar>
      </w:tblPr>
      <w:tblGrid>
        <w:gridCol w:w="124"/>
        <w:gridCol w:w="109"/>
        <w:gridCol w:w="109"/>
        <w:gridCol w:w="635"/>
        <w:gridCol w:w="635"/>
        <w:gridCol w:w="9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Haviv Ilan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Haviv Ilan</w:t>
              <w:br/>
              <w:t xml:space="preserve">President and </w:t>
              <w:br/>
              <w:t>Chief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u w:val="single"/>
        </w:rPr>
      </w:pPr>
      <w:r>
        <w:rPr>
          <w:rFonts w:ascii="Arial;sans-serif" w:hAnsi="Arial;sans-serif"/>
          <w:b w:val="false"/>
          <w:color w:val="000000"/>
          <w:sz w:val="20"/>
          <w:u w:val="single"/>
        </w:rPr>
        <w:t>Exhibit 31(b)</w:t>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CERTIFICATIONS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I, Rafael R. Lizardi, certify that:</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1.I have reviewed this report on Form 10-Q of Texas Instruments Incorporated;</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 April 24, 2024</w:t>
      </w:r>
    </w:p>
    <w:p>
      <w:pPr>
        <w:pStyle w:val="TextBody"/>
        <w:bidi w:val="0"/>
        <w:spacing w:lineRule="auto" w:line="288" w:before="0" w:after="0"/>
        <w:jc w:val="left"/>
        <w:rPr>
          <w:color w:val="000000"/>
        </w:rPr>
      </w:pPr>
      <w:r>
        <w:rPr>
          <w:color w:val="000000"/>
        </w:rPr>
        <w:t> </w:t>
      </w:r>
    </w:p>
    <w:tbl>
      <w:tblPr>
        <w:tblW w:w="2757" w:type="dxa"/>
        <w:jc w:val="left"/>
        <w:tblInd w:w="0" w:type="dxa"/>
        <w:tblLayout w:type="fixed"/>
        <w:tblCellMar>
          <w:top w:w="28" w:type="dxa"/>
          <w:left w:w="28" w:type="dxa"/>
          <w:bottom w:w="28" w:type="dxa"/>
          <w:right w:w="28" w:type="dxa"/>
        </w:tblCellMar>
      </w:tblPr>
      <w:tblGrid>
        <w:gridCol w:w="124"/>
        <w:gridCol w:w="109"/>
        <w:gridCol w:w="109"/>
        <w:gridCol w:w="707"/>
        <w:gridCol w:w="707"/>
        <w:gridCol w:w="10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Rafael R. Lizardi</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Rafael R. Lizardi</w:t>
              <w:br/>
              <w:t>Senior Vice President and</w:t>
              <w:br/>
              <w:t>Chief Financial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u w:val="single"/>
        </w:rPr>
      </w:pPr>
      <w:r>
        <w:rPr>
          <w:rFonts w:ascii="Arial;sans-serif" w:hAnsi="Arial;sans-serif"/>
          <w:b w:val="false"/>
          <w:color w:val="000000"/>
          <w:sz w:val="20"/>
          <w:u w:val="single"/>
        </w:rPr>
        <w:t>Exhibit 32(a)</w:t>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Certification of Periodic Report</w:t>
      </w:r>
    </w:p>
    <w:p>
      <w:pPr>
        <w:pStyle w:val="TextBody"/>
        <w:bidi w:val="0"/>
        <w:spacing w:lineRule="auto" w:line="288" w:before="0" w:after="360"/>
        <w:jc w:val="center"/>
        <w:rPr/>
      </w:pPr>
      <w:r>
        <w:rPr>
          <w:rFonts w:ascii="Arial;sans-serif" w:hAnsi="Arial;sans-serif"/>
          <w:b w:val="false"/>
          <w:color w:val="000000"/>
          <w:sz w:val="20"/>
        </w:rPr>
        <w:t>Pursuant to 18 U.S.C. Section 1350</w:t>
      </w:r>
      <w:r>
        <w:rPr>
          <w:color w:val="000000"/>
        </w:rPr>
        <w:t> </w:t>
      </w:r>
    </w:p>
    <w:p>
      <w:pPr>
        <w:pStyle w:val="TextBody"/>
        <w:bidi w:val="0"/>
        <w:spacing w:lineRule="auto" w:line="288" w:before="360" w:after="240"/>
        <w:ind w:left="0" w:right="0" w:firstLine="540"/>
        <w:jc w:val="left"/>
        <w:rPr>
          <w:rFonts w:ascii="Arial;sans-serif" w:hAnsi="Arial;sans-serif"/>
          <w:b w:val="false"/>
          <w:color w:val="000000"/>
          <w:sz w:val="20"/>
        </w:rPr>
      </w:pPr>
      <w:r>
        <w:rPr>
          <w:rFonts w:ascii="Arial;sans-serif" w:hAnsi="Arial;sans-serif"/>
          <w:b w:val="false"/>
          <w:color w:val="000000"/>
          <w:sz w:val="20"/>
        </w:rPr>
        <w:t>For purposes of 18 U.S.C. Section 1350, as adopted pursuant to Section 906 of the Sarbanes-Oxley Act of 2002, the undersigned, Haviv Ilan, President and Chief Executive Officer of Texas Instruments Incorporated (the “Company”), hereby certifies that, to his knowledge:</w:t>
      </w:r>
    </w:p>
    <w:p>
      <w:pPr>
        <w:pStyle w:val="TextBody"/>
        <w:bidi w:val="0"/>
        <w:spacing w:lineRule="auto" w:line="288" w:before="0" w:after="240"/>
        <w:ind w:left="0" w:right="0" w:firstLine="540"/>
        <w:jc w:val="left"/>
        <w:rPr>
          <w:rFonts w:ascii="Arial;sans-serif" w:hAnsi="Arial;sans-serif"/>
          <w:b w:val="false"/>
          <w:color w:val="000000"/>
          <w:sz w:val="20"/>
        </w:rPr>
      </w:pPr>
      <w:r>
        <w:rPr>
          <w:rFonts w:ascii="Arial;sans-serif" w:hAnsi="Arial;sans-serif"/>
          <w:b w:val="false"/>
          <w:color w:val="000000"/>
          <w:sz w:val="20"/>
        </w:rPr>
        <w:t>(i) the Quarterly Report on Form 10-Q of the Company for the quarter ended March 31, 2024, as filed with the Securities and Exchange Commission on the date hereof (the “Report”) fully complies with the requirements of Section 13(a) or 15(d) of the Securities Exchange Act of 1934; and</w:t>
      </w:r>
    </w:p>
    <w:p>
      <w:pPr>
        <w:pStyle w:val="TextBody"/>
        <w:bidi w:val="0"/>
        <w:spacing w:lineRule="auto" w:line="288" w:before="0" w:after="240"/>
        <w:ind w:left="0" w:right="0" w:firstLine="540"/>
        <w:jc w:val="left"/>
        <w:rPr>
          <w:rFonts w:ascii="Arial;sans-serif" w:hAnsi="Arial;sans-serif"/>
          <w:b w:val="false"/>
          <w:color w:val="000000"/>
          <w:sz w:val="20"/>
        </w:rPr>
      </w:pPr>
      <w:r>
        <w:rPr>
          <w:rFonts w:ascii="Arial;sans-serif" w:hAnsi="Arial;sans-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Dated:  April 24, 2024</w:t>
      </w:r>
    </w:p>
    <w:p>
      <w:pPr>
        <w:pStyle w:val="TextBody"/>
        <w:bidi w:val="0"/>
        <w:spacing w:lineRule="auto" w:line="288" w:before="0" w:after="0"/>
        <w:jc w:val="left"/>
        <w:rPr>
          <w:color w:val="000000"/>
        </w:rPr>
      </w:pPr>
      <w:r>
        <w:rPr>
          <w:color w:val="000000"/>
        </w:rPr>
        <w:t> </w:t>
      </w:r>
    </w:p>
    <w:tbl>
      <w:tblPr>
        <w:tblW w:w="2517" w:type="dxa"/>
        <w:jc w:val="left"/>
        <w:tblInd w:w="0" w:type="dxa"/>
        <w:tblLayout w:type="fixed"/>
        <w:tblCellMar>
          <w:top w:w="28" w:type="dxa"/>
          <w:left w:w="28" w:type="dxa"/>
          <w:bottom w:w="28" w:type="dxa"/>
          <w:right w:w="28" w:type="dxa"/>
        </w:tblCellMar>
      </w:tblPr>
      <w:tblGrid>
        <w:gridCol w:w="124"/>
        <w:gridCol w:w="109"/>
        <w:gridCol w:w="109"/>
        <w:gridCol w:w="635"/>
        <w:gridCol w:w="635"/>
        <w:gridCol w:w="9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Haviv Ilan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Haviv Ilan</w:t>
              <w:br/>
              <w:t xml:space="preserve">President and </w:t>
              <w:br/>
              <w:t>Chief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u w:val="single"/>
        </w:rPr>
      </w:pPr>
      <w:r>
        <w:rPr>
          <w:rFonts w:ascii="Arial;sans-serif" w:hAnsi="Arial;sans-serif"/>
          <w:b w:val="false"/>
          <w:color w:val="000000"/>
          <w:sz w:val="20"/>
          <w:u w:val="single"/>
        </w:rPr>
        <w:t>Exhibit 32(b)</w:t>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Certification of Periodic Report</w:t>
      </w:r>
    </w:p>
    <w:p>
      <w:pPr>
        <w:pStyle w:val="TextBody"/>
        <w:bidi w:val="0"/>
        <w:spacing w:lineRule="auto" w:line="288" w:before="0" w:after="360"/>
        <w:jc w:val="center"/>
        <w:rPr>
          <w:rFonts w:ascii="Arial;sans-serif" w:hAnsi="Arial;sans-serif"/>
          <w:b w:val="false"/>
          <w:color w:val="000000"/>
          <w:sz w:val="20"/>
        </w:rPr>
      </w:pPr>
      <w:r>
        <w:rPr>
          <w:rFonts w:ascii="Arial;sans-serif" w:hAnsi="Arial;sans-serif"/>
          <w:b w:val="false"/>
          <w:color w:val="000000"/>
          <w:sz w:val="20"/>
        </w:rPr>
        <w:t>Pursuant to 18 U.S.C. Section 1350</w:t>
      </w:r>
    </w:p>
    <w:p>
      <w:pPr>
        <w:pStyle w:val="TextBody"/>
        <w:bidi w:val="0"/>
        <w:spacing w:lineRule="auto" w:line="288" w:before="0" w:after="240"/>
        <w:ind w:left="0" w:right="0" w:firstLine="540"/>
        <w:jc w:val="left"/>
        <w:rPr>
          <w:rFonts w:ascii="Arial;sans-serif" w:hAnsi="Arial;sans-serif"/>
          <w:b w:val="false"/>
          <w:color w:val="000000"/>
          <w:sz w:val="20"/>
        </w:rPr>
      </w:pPr>
      <w:r>
        <w:rPr>
          <w:rFonts w:ascii="Arial;sans-serif" w:hAnsi="Arial;sans-serif"/>
          <w:b w:val="false"/>
          <w:color w:val="000000"/>
          <w:sz w:val="20"/>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pStyle w:val="TextBody"/>
        <w:bidi w:val="0"/>
        <w:spacing w:lineRule="auto" w:line="288" w:before="0" w:after="240"/>
        <w:ind w:left="0" w:right="0" w:firstLine="540"/>
        <w:jc w:val="left"/>
        <w:rPr>
          <w:rFonts w:ascii="Arial;sans-serif" w:hAnsi="Arial;sans-serif"/>
          <w:b w:val="false"/>
          <w:color w:val="000000"/>
          <w:sz w:val="20"/>
        </w:rPr>
      </w:pPr>
      <w:r>
        <w:rPr>
          <w:rFonts w:ascii="Arial;sans-serif" w:hAnsi="Arial;sans-serif"/>
          <w:b w:val="false"/>
          <w:color w:val="000000"/>
          <w:sz w:val="20"/>
        </w:rPr>
        <w:t>(i) the Quarterly Report on Form 10-Q of the Company for the quarter ended March 31, 2024, as filed with the Securities and Exchange Commission on the date hereof (the “Report”) fully complies with the requirements of Section 13(a) or 15(d) of the Securities Exchange Act of 1934; and</w:t>
      </w:r>
    </w:p>
    <w:p>
      <w:pPr>
        <w:pStyle w:val="TextBody"/>
        <w:bidi w:val="0"/>
        <w:spacing w:lineRule="auto" w:line="288" w:before="0" w:after="240"/>
        <w:ind w:left="0" w:right="0" w:firstLine="540"/>
        <w:jc w:val="left"/>
        <w:rPr>
          <w:rFonts w:ascii="Arial;sans-serif" w:hAnsi="Arial;sans-serif"/>
          <w:b w:val="false"/>
          <w:color w:val="000000"/>
          <w:sz w:val="20"/>
        </w:rPr>
      </w:pPr>
      <w:r>
        <w:rPr>
          <w:rFonts w:ascii="Arial;sans-serif" w:hAnsi="Arial;sans-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Dated: April 24, 2024</w:t>
      </w:r>
    </w:p>
    <w:p>
      <w:pPr>
        <w:pStyle w:val="TextBody"/>
        <w:bidi w:val="0"/>
        <w:spacing w:lineRule="auto" w:line="288" w:before="0" w:after="0"/>
        <w:jc w:val="left"/>
        <w:rPr>
          <w:color w:val="000000"/>
        </w:rPr>
      </w:pPr>
      <w:r>
        <w:rPr>
          <w:color w:val="000000"/>
        </w:rPr>
        <w:t> </w:t>
      </w:r>
    </w:p>
    <w:tbl>
      <w:tblPr>
        <w:tblW w:w="2757" w:type="dxa"/>
        <w:jc w:val="left"/>
        <w:tblInd w:w="0" w:type="dxa"/>
        <w:tblLayout w:type="fixed"/>
        <w:tblCellMar>
          <w:top w:w="28" w:type="dxa"/>
          <w:left w:w="28" w:type="dxa"/>
          <w:bottom w:w="28" w:type="dxa"/>
          <w:right w:w="28" w:type="dxa"/>
        </w:tblCellMar>
      </w:tblPr>
      <w:tblGrid>
        <w:gridCol w:w="124"/>
        <w:gridCol w:w="109"/>
        <w:gridCol w:w="109"/>
        <w:gridCol w:w="707"/>
        <w:gridCol w:w="707"/>
        <w:gridCol w:w="10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Rafael R. Lizardi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Rafael R. Lizardi</w:t>
              <w:br/>
              <w:t>Senior Vice President and</w:t>
              <w:br/>
              <w:t>Chief Financial Officer</w:t>
            </w:r>
          </w:p>
        </w:tc>
      </w:tr>
    </w:tbl>
    <w:p>
      <w:pPr>
        <w:pStyle w:val="TextBody"/>
        <w:bidi w:val="0"/>
        <w:spacing w:before="24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7476/000009747615000003/txn-12312014xexhibit3a.htm" TargetMode="External"/><Relationship Id="rId3" Type="http://schemas.openxmlformats.org/officeDocument/2006/relationships/hyperlink" Target="https://www.sec.gov/Archives/edgar/data/97476/000119312522018409/d252810dex3.htm" TargetMode="External"/><Relationship Id="rId4" Type="http://schemas.openxmlformats.org/officeDocument/2006/relationships/hyperlink" Target="https://www.sec.gov/Archives/edgar/data/97476/000119312524028127/d770733dex41.htm" TargetMode="External"/><Relationship Id="rId5" Type="http://schemas.openxmlformats.org/officeDocument/2006/relationships/hyperlink" Target="https://www.sec.gov/Archives/edgar/data/97476/000119312524028127/d770733dex41.htm" TargetMode="External"/><Relationship Id="rId6" Type="http://schemas.openxmlformats.org/officeDocument/2006/relationships/hyperlink" Target="https://www.sec.gov/Archives/edgar/data/97476/000119312524028127/d770733dex4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8901</Words>
  <Characters>48805</Characters>
  <CharactersWithSpaces>56954</CharactersWithSpaces>
  <Paragraphs>1649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