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DATE OF REPORT (DATE OF EARLIEST EVENT REPORTED): September 9,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Registrant's news release dated September 9, 2008, regarding the Registrant's outlook for the third quarter of 2008 attached hereto as Exhibit 99 is incorporated by reference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9220" w:type="dxa"/>
            <w:vAlign w:val="bottom"/>
          </w:tcPr>
          <w:p>
            <w:pPr>
              <w:spacing w:after="0"/>
              <w:rPr>
                <w:sz w:val="20"/>
                <w:szCs w:val="20"/>
                <w:color w:val="auto"/>
              </w:rPr>
            </w:pPr>
          </w:p>
        </w:tc>
      </w:tr>
      <w:tr>
        <w:trPr>
          <w:trHeight w:val="418"/>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2"/>
              </w:rPr>
              <w:t>Designation</w:t>
            </w:r>
          </w:p>
        </w:tc>
        <w:tc>
          <w:tcPr>
            <w:tcW w:w="9220" w:type="dxa"/>
            <w:vAlign w:val="bottom"/>
          </w:tcPr>
          <w:p>
            <w:pPr>
              <w:spacing w:after="0"/>
              <w:rPr>
                <w:sz w:val="24"/>
                <w:szCs w:val="24"/>
                <w:color w:val="auto"/>
              </w:rPr>
            </w:pPr>
          </w:p>
        </w:tc>
      </w:tr>
      <w:tr>
        <w:trPr>
          <w:trHeight w:val="216"/>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7"/>
              </w:rPr>
              <w:t>of Exhibit</w:t>
            </w:r>
          </w:p>
        </w:tc>
        <w:tc>
          <w:tcPr>
            <w:tcW w:w="9220" w:type="dxa"/>
            <w:vAlign w:val="bottom"/>
          </w:tcPr>
          <w:p>
            <w:pPr>
              <w:spacing w:after="0"/>
              <w:rPr>
                <w:sz w:val="18"/>
                <w:szCs w:val="18"/>
                <w:color w:val="auto"/>
              </w:rPr>
            </w:pPr>
          </w:p>
        </w:tc>
      </w:tr>
      <w:tr>
        <w:trPr>
          <w:trHeight w:val="216"/>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93"/>
              </w:rPr>
              <w:t>in this</w:t>
            </w:r>
          </w:p>
        </w:tc>
        <w:tc>
          <w:tcPr>
            <w:tcW w:w="9220" w:type="dxa"/>
            <w:vAlign w:val="bottom"/>
          </w:tcPr>
          <w:p>
            <w:pPr>
              <w:spacing w:after="0"/>
              <w:rPr>
                <w:sz w:val="18"/>
                <w:szCs w:val="18"/>
                <w:color w:val="auto"/>
              </w:rPr>
            </w:pPr>
          </w:p>
        </w:tc>
      </w:tr>
      <w:tr>
        <w:trPr>
          <w:trHeight w:val="237"/>
        </w:trPr>
        <w:tc>
          <w:tcPr>
            <w:tcW w:w="2200" w:type="dxa"/>
            <w:vAlign w:val="bottom"/>
            <w:gridSpan w:val="2"/>
          </w:tcPr>
          <w:p>
            <w:pPr>
              <w:jc w:val="center"/>
              <w:ind w:right="1000"/>
              <w:spacing w:after="0"/>
              <w:rPr>
                <w:sz w:val="20"/>
                <w:szCs w:val="20"/>
                <w:color w:val="auto"/>
              </w:rPr>
            </w:pPr>
            <w:r>
              <w:rPr>
                <w:rFonts w:ascii="Arial" w:cs="Arial" w:eastAsia="Arial" w:hAnsi="Arial"/>
                <w:sz w:val="18"/>
                <w:szCs w:val="18"/>
                <w:color w:val="auto"/>
                <w:w w:val="88"/>
              </w:rPr>
              <w:t>Report</w:t>
            </w:r>
          </w:p>
        </w:tc>
        <w:tc>
          <w:tcPr>
            <w:tcW w:w="9220" w:type="dxa"/>
            <w:vAlign w:val="bottom"/>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9, 2008 (furnished pursuant to Item 7.01)</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740" w:right="360" w:hanging="44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740" w:right="660" w:hanging="44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740" w:hanging="448"/>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740" w:right="120" w:hanging="44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740" w:hanging="448"/>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740" w:hanging="448"/>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740" w:hanging="44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740" w:right="300" w:hanging="448"/>
        <w:spacing w:after="0" w:line="261"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a more detailed discussion of these factors, see the text under the heading “Risk Factors” in Part II, Item 1A of the Company’s Form 10-Q for the second quarter of 2008, which was filed on July 31, 2008. The forward-looking statements included in this report on Form 8-K are made only as of the date of this report, and the Company undertakes no obligation to update the forward-looking statements to reflect subsequent events or circumstances.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third-quarter 2008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DALLAS (Sept. 9, 2008) – In a scheduled update to its business outlook for the third quarter of 2008, Texas Instruments Incorporated (TI) (NYSE: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expects its financial results to fall within the following ranges:</w:t>
      </w:r>
    </w:p>
    <w:p>
      <w:pPr>
        <w:spacing w:after="0" w:line="252" w:lineRule="exact"/>
        <w:rPr>
          <w:sz w:val="20"/>
          <w:szCs w:val="20"/>
          <w:color w:val="auto"/>
        </w:rPr>
      </w:pPr>
    </w:p>
    <w:p>
      <w:pPr>
        <w:ind w:left="1000" w:hanging="14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$3.33 – 3.47 billion, compared with the prior range of $3.26 – 3.54 billion</w:t>
      </w:r>
    </w:p>
    <w:p>
      <w:pPr>
        <w:spacing w:after="0" w:line="252" w:lineRule="exact"/>
        <w:rPr>
          <w:rFonts w:ascii="Arial" w:cs="Arial" w:eastAsia="Arial" w:hAnsi="Arial"/>
          <w:sz w:val="18"/>
          <w:szCs w:val="18"/>
          <w:color w:val="auto"/>
        </w:rPr>
      </w:pPr>
    </w:p>
    <w:p>
      <w:pPr>
        <w:ind w:left="1000" w:hanging="141"/>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$0.42 – 0.46, compared with the prior range of $0.41 – 0.47.</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company will hold a conference call at 4 p.m. Central time today to discuss this update. This conference call will be available live at </w:t>
      </w:r>
      <w:r>
        <w:rPr>
          <w:rFonts w:ascii="Arial" w:cs="Arial" w:eastAsia="Arial" w:hAnsi="Arial"/>
          <w:sz w:val="18"/>
          <w:szCs w:val="18"/>
          <w:u w:val="single" w:color="auto"/>
          <w:color w:val="auto"/>
        </w:rPr>
        <w:t>www.ti.com/ir</w:t>
      </w:r>
      <w:r>
        <w:rPr>
          <w:rFonts w:ascii="Arial" w:cs="Arial" w:eastAsia="Arial" w:hAnsi="Arial"/>
          <w:sz w:val="18"/>
          <w:szCs w:val="18"/>
          <w:color w:val="auto"/>
        </w:rPr>
        <w:t xml:space="preserve">. TI’s original third-quarter outlook was published in the company’s second-quarter 2008 earnings release on July 21, available at </w:t>
      </w:r>
      <w:r>
        <w:rPr>
          <w:rFonts w:ascii="Arial" w:cs="Arial" w:eastAsia="Arial" w:hAnsi="Arial"/>
          <w:sz w:val="18"/>
          <w:szCs w:val="18"/>
          <w:u w:val="single" w:color="auto"/>
          <w:color w:val="auto"/>
        </w:rPr>
        <w:t>www.ti.com/ir</w:t>
      </w:r>
      <w:r>
        <w:rPr>
          <w:rFonts w:ascii="Arial" w:cs="Arial" w:eastAsia="Arial" w:hAnsi="Arial"/>
          <w:sz w:val="18"/>
          <w:szCs w:val="18"/>
          <w:color w:val="auto"/>
        </w:rPr>
        <w:t>. TI’s third quarter ends on Sept. 30.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Part II, Item 1A the Company’s Form 10-Q for the second quarter of 2008, which was filed on July 31, 2008.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www.ti.com.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2019-12-11T14:09:56Z</dcterms:created>
  <dcterms:modified xsi:type="dcterms:W3CDTF">2019-12-11T14:09:56Z</dcterms:modified>
</cp:coreProperties>
</file>