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433</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333-229797</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Issuer Free Writing Prospectus dated August 26, 2019</w:t>
            </w:r>
          </w:p>
        </w:tc>
      </w:tr>
      <w:tr>
        <w:trPr>
          <w:trHeight w:val="234"/>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Relating to Preliminary Prospectus Supplement dated August 26, 2019</w:t>
            </w:r>
          </w:p>
        </w:tc>
      </w:tr>
      <w:tr>
        <w:trPr>
          <w:trHeight w:val="432"/>
        </w:trPr>
        <w:tc>
          <w:tcPr>
            <w:tcW w:w="3240" w:type="dxa"/>
            <w:vAlign w:val="bottom"/>
          </w:tcPr>
          <w:p>
            <w:pPr>
              <w:spacing w:after="0"/>
              <w:rPr>
                <w:sz w:val="24"/>
                <w:szCs w:val="24"/>
                <w:color w:val="auto"/>
              </w:rPr>
            </w:pPr>
          </w:p>
        </w:tc>
        <w:tc>
          <w:tcPr>
            <w:tcW w:w="7780" w:type="dxa"/>
            <w:vAlign w:val="bottom"/>
            <w:gridSpan w:val="3"/>
          </w:tcPr>
          <w:p>
            <w:pPr>
              <w:jc w:val="center"/>
              <w:ind w:right="313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380" w:type="dxa"/>
            <w:vAlign w:val="bottom"/>
            <w:gridSpan w:val="2"/>
          </w:tcPr>
          <w:p>
            <w:pPr>
              <w:jc w:val="center"/>
              <w:ind w:right="453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r>
              <w:rPr>
                <w:rFonts w:ascii="Arial" w:cs="Arial" w:eastAsia="Arial" w:hAnsi="Arial"/>
                <w:sz w:val="18"/>
                <w:szCs w:val="18"/>
                <w:u w:val="single" w:color="auto"/>
                <w:color w:val="auto"/>
                <w:w w:val="90"/>
              </w:rPr>
              <w:t>250%</w:t>
            </w:r>
            <w:r>
              <w:rPr>
                <w:rFonts w:ascii="Arial" w:cs="Arial" w:eastAsia="Arial" w:hAnsi="Arial"/>
                <w:sz w:val="18"/>
                <w:szCs w:val="18"/>
                <w:color w:val="auto"/>
                <w:w w:val="90"/>
              </w:rPr>
              <w:t xml:space="preserve"> Notes due 2029</w:t>
            </w:r>
          </w:p>
        </w:tc>
        <w:tc>
          <w:tcPr>
            <w:tcW w:w="4640" w:type="dxa"/>
            <w:vAlign w:val="bottom"/>
          </w:tcPr>
          <w:p>
            <w:pPr>
              <w:spacing w:after="0"/>
              <w:rPr>
                <w:sz w:val="24"/>
                <w:szCs w:val="24"/>
                <w:color w:val="auto"/>
              </w:rPr>
            </w:pPr>
          </w:p>
        </w:tc>
      </w:tr>
      <w:tr>
        <w:trPr>
          <w:trHeight w:val="480"/>
        </w:trPr>
        <w:tc>
          <w:tcPr>
            <w:tcW w:w="3240" w:type="dxa"/>
            <w:vAlign w:val="bottom"/>
          </w:tcPr>
          <w:p>
            <w:pPr>
              <w:spacing w:after="0"/>
              <w:rPr>
                <w:sz w:val="20"/>
                <w:szCs w:val="20"/>
                <w:color w:val="auto"/>
              </w:rPr>
            </w:pPr>
            <w:r>
              <w:rPr>
                <w:rFonts w:ascii="Arial" w:cs="Arial" w:eastAsia="Arial" w:hAnsi="Arial"/>
                <w:sz w:val="18"/>
                <w:szCs w:val="18"/>
                <w:color w:val="auto"/>
              </w:rPr>
              <w:t>Issuer:</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Principal Amount:</w:t>
            </w:r>
          </w:p>
        </w:tc>
        <w:tc>
          <w:tcPr>
            <w:tcW w:w="3140" w:type="dxa"/>
            <w:vAlign w:val="bottom"/>
            <w:gridSpan w:val="2"/>
          </w:tcPr>
          <w:p>
            <w:pPr>
              <w:ind w:left="1940"/>
              <w:spacing w:after="0"/>
              <w:rPr>
                <w:sz w:val="20"/>
                <w:szCs w:val="20"/>
                <w:color w:val="auto"/>
              </w:rPr>
            </w:pPr>
            <w:r>
              <w:rPr>
                <w:rFonts w:ascii="Arial" w:cs="Arial" w:eastAsia="Arial" w:hAnsi="Arial"/>
                <w:sz w:val="18"/>
                <w:szCs w:val="18"/>
                <w:color w:val="auto"/>
              </w:rPr>
              <w:t>$750,000,000</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Maturity:</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September 4, 2029</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Coupon:</w:t>
            </w:r>
          </w:p>
        </w:tc>
        <w:tc>
          <w:tcPr>
            <w:tcW w:w="3140" w:type="dxa"/>
            <w:vAlign w:val="bottom"/>
            <w:gridSpan w:val="2"/>
          </w:tcPr>
          <w:p>
            <w:pPr>
              <w:ind w:left="1940"/>
              <w:spacing w:after="0"/>
              <w:rPr>
                <w:sz w:val="20"/>
                <w:szCs w:val="20"/>
                <w:color w:val="auto"/>
              </w:rPr>
            </w:pPr>
            <w:r>
              <w:rPr>
                <w:rFonts w:ascii="Arial" w:cs="Arial" w:eastAsia="Arial" w:hAnsi="Arial"/>
                <w:sz w:val="18"/>
                <w:szCs w:val="18"/>
                <w:color w:val="auto"/>
              </w:rPr>
              <w:t>2.250%</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Price to Public:</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99.689% of principal amount</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0"/>
              </w:rPr>
              <w:t>March 4 and September 4, beginning on March 4, 2020, and on the maturity date</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Day Count Convention:</w:t>
            </w:r>
          </w:p>
        </w:tc>
        <w:tc>
          <w:tcPr>
            <w:tcW w:w="3140" w:type="dxa"/>
            <w:vAlign w:val="bottom"/>
            <w:gridSpan w:val="2"/>
          </w:tcPr>
          <w:p>
            <w:pPr>
              <w:ind w:left="1940"/>
              <w:spacing w:after="0"/>
              <w:rPr>
                <w:sz w:val="20"/>
                <w:szCs w:val="20"/>
                <w:color w:val="auto"/>
              </w:rPr>
            </w:pPr>
            <w:r>
              <w:rPr>
                <w:rFonts w:ascii="Arial" w:cs="Arial" w:eastAsia="Arial" w:hAnsi="Arial"/>
                <w:sz w:val="18"/>
                <w:szCs w:val="18"/>
                <w:color w:val="auto"/>
              </w:rPr>
              <w:t>30/360</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140" w:type="dxa"/>
            <w:vAlign w:val="bottom"/>
            <w:gridSpan w:val="2"/>
          </w:tcPr>
          <w:p>
            <w:pPr>
              <w:ind w:left="1940"/>
              <w:spacing w:after="0"/>
              <w:rPr>
                <w:sz w:val="20"/>
                <w:szCs w:val="20"/>
                <w:color w:val="auto"/>
              </w:rPr>
            </w:pPr>
            <w:r>
              <w:rPr>
                <w:rFonts w:ascii="Arial" w:cs="Arial" w:eastAsia="Arial" w:hAnsi="Arial"/>
                <w:sz w:val="18"/>
                <w:szCs w:val="18"/>
                <w:color w:val="auto"/>
              </w:rPr>
              <w:t>$744,292,500</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Benchmark Treasury:</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1.625% due August 15, 2029</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75 basis points</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Yield to Maturity:</w:t>
            </w:r>
          </w:p>
        </w:tc>
        <w:tc>
          <w:tcPr>
            <w:tcW w:w="3140" w:type="dxa"/>
            <w:vAlign w:val="bottom"/>
            <w:gridSpan w:val="2"/>
          </w:tcPr>
          <w:p>
            <w:pPr>
              <w:ind w:left="1940"/>
              <w:spacing w:after="0"/>
              <w:rPr>
                <w:sz w:val="20"/>
                <w:szCs w:val="20"/>
                <w:color w:val="auto"/>
              </w:rPr>
            </w:pPr>
            <w:r>
              <w:rPr>
                <w:rFonts w:ascii="Arial" w:cs="Arial" w:eastAsia="Arial" w:hAnsi="Arial"/>
                <w:sz w:val="18"/>
                <w:szCs w:val="18"/>
                <w:color w:val="auto"/>
              </w:rPr>
              <w:t>2.285%</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780" w:type="dxa"/>
            <w:vAlign w:val="bottom"/>
            <w:gridSpan w:val="3"/>
          </w:tcPr>
          <w:p>
            <w:pPr>
              <w:ind w:left="1940"/>
              <w:spacing w:after="0"/>
              <w:rPr>
                <w:sz w:val="20"/>
                <w:szCs w:val="20"/>
                <w:color w:val="auto"/>
              </w:rPr>
            </w:pPr>
            <w:r>
              <w:rPr>
                <w:rFonts w:ascii="Arial" w:cs="Arial" w:eastAsia="Arial" w:hAnsi="Arial"/>
                <w:sz w:val="18"/>
                <w:szCs w:val="18"/>
                <w:color w:val="auto"/>
              </w:rPr>
              <w:t>100-26+;1.535%</w:t>
            </w:r>
          </w:p>
        </w:tc>
      </w:tr>
      <w:tr>
        <w:trPr>
          <w:trHeight w:val="310"/>
        </w:trPr>
        <w:tc>
          <w:tcPr>
            <w:tcW w:w="3240" w:type="dxa"/>
            <w:vAlign w:val="bottom"/>
          </w:tcPr>
          <w:p>
            <w:pPr>
              <w:spacing w:after="0"/>
              <w:rPr>
                <w:sz w:val="20"/>
                <w:szCs w:val="20"/>
                <w:color w:val="auto"/>
              </w:rPr>
            </w:pPr>
            <w:r>
              <w:rPr>
                <w:rFonts w:ascii="Arial" w:cs="Arial" w:eastAsia="Arial" w:hAnsi="Arial"/>
                <w:sz w:val="18"/>
                <w:szCs w:val="18"/>
                <w:color w:val="auto"/>
              </w:rPr>
              <w:t>Make-Whole Call:</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3"/>
              </w:rPr>
              <w:t>At any time before June 4, 2029 (three months before the maturity date) at the</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4"/>
              </w:rPr>
              <w:t>greater of: (i) 100% of the principal amount of the notes being redeemed; and</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3"/>
              </w:rPr>
              <w:t>(ii) the sum of the present values of the principal amount of such notes and the</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9"/>
              </w:rPr>
              <w:t>scheduled payments of interest thereon (not including any portion of such</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7"/>
              </w:rPr>
              <w:t>payments of interest accrued as of the date of redemption) from the date of</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89"/>
              </w:rPr>
              <w:t>redemption to June 4, 2029 (three months before the maturity date), in each case</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8"/>
              </w:rPr>
              <w:t>discounted to the date of redemption on a semi-annual basis at the rate of</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Treasury plus 12.5 basis points</w:t>
            </w:r>
          </w:p>
        </w:tc>
      </w:tr>
      <w:tr>
        <w:trPr>
          <w:trHeight w:val="310"/>
        </w:trPr>
        <w:tc>
          <w:tcPr>
            <w:tcW w:w="3240" w:type="dxa"/>
            <w:vAlign w:val="bottom"/>
          </w:tcPr>
          <w:p>
            <w:pPr>
              <w:spacing w:after="0"/>
              <w:rPr>
                <w:sz w:val="20"/>
                <w:szCs w:val="20"/>
                <w:color w:val="auto"/>
              </w:rPr>
            </w:pPr>
            <w:r>
              <w:rPr>
                <w:rFonts w:ascii="Arial" w:cs="Arial" w:eastAsia="Arial" w:hAnsi="Arial"/>
                <w:sz w:val="18"/>
                <w:szCs w:val="18"/>
                <w:color w:val="auto"/>
              </w:rPr>
              <w:t>Par Call:</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3"/>
              </w:rPr>
              <w:t>At any time on or after June 4, 2029 (three months before the maturity date) at</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100% of the principal amount of notes being redeemed</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Trade Date:</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August 26, 2019</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Settlement Date:</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September 4, 2019 (T+6)</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Denominations:</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CUSIP/ISIN:</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882508 BG8 / US882508BG82</w:t>
            </w:r>
          </w:p>
        </w:tc>
      </w:tr>
      <w:tr>
        <w:trPr>
          <w:trHeight w:val="310"/>
        </w:trPr>
        <w:tc>
          <w:tcPr>
            <w:tcW w:w="3240" w:type="dxa"/>
            <w:vAlign w:val="bottom"/>
          </w:tcPr>
          <w:p>
            <w:pPr>
              <w:spacing w:after="0"/>
              <w:rPr>
                <w:sz w:val="20"/>
                <w:szCs w:val="20"/>
                <w:color w:val="auto"/>
              </w:rPr>
            </w:pPr>
            <w:r>
              <w:rPr>
                <w:rFonts w:ascii="Arial" w:cs="Arial" w:eastAsia="Arial" w:hAnsi="Arial"/>
                <w:sz w:val="18"/>
                <w:szCs w:val="18"/>
                <w:color w:val="auto"/>
              </w:rPr>
              <w:t>Ratings:*</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Moody’s: A1 (stable outlook)</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S&amp;P: A+ (stable outlook)</w:t>
            </w:r>
          </w:p>
        </w:tc>
      </w:tr>
      <w:tr>
        <w:trPr>
          <w:trHeight w:val="310"/>
        </w:trPr>
        <w:tc>
          <w:tcPr>
            <w:tcW w:w="32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Barclays Capital Inc.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BofA Securities, Inc.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J.P. Morgan Securities LLC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Mizuho Securities USA LLC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Morgan Stanley &amp; Co. LLC</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MUFG Securities Americas Inc.</w:t>
            </w:r>
          </w:p>
        </w:tc>
      </w:tr>
      <w:tr>
        <w:trPr>
          <w:trHeight w:val="323"/>
        </w:trPr>
        <w:tc>
          <w:tcPr>
            <w:tcW w:w="3240" w:type="dxa"/>
            <w:vAlign w:val="bottom"/>
          </w:tcPr>
          <w:p>
            <w:pPr>
              <w:spacing w:after="0"/>
              <w:rPr>
                <w:sz w:val="20"/>
                <w:szCs w:val="20"/>
                <w:color w:val="auto"/>
              </w:rPr>
            </w:pPr>
            <w:r>
              <w:rPr>
                <w:rFonts w:ascii="Arial" w:cs="Arial" w:eastAsia="Arial" w:hAnsi="Arial"/>
                <w:sz w:val="18"/>
                <w:szCs w:val="18"/>
                <w:color w:val="auto"/>
              </w:rPr>
              <w:t>Co-Managers:</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U.S. Bancorp Investments, Inc.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The Williams Capital Group, L.P.</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BNP Paribas Securities Corp.</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HSBC Securities (USA) Inc.</w:t>
            </w:r>
          </w:p>
        </w:tc>
      </w:tr>
    </w:tbl>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A securities rating is not a recommendation to buy, sell or hold securities and may be subject to revision or withdrawal at any time.</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It is expected that delivery of the notes will be made against payment therefore on or about September 4, 2019,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T+6,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7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BofA Securities, Inc. at (800) 294-1322 and J.P. Morgan Securities LLC at (212) 834-4533.</w:t>
      </w:r>
    </w:p>
    <w:p>
      <w:pPr>
        <w:spacing w:after="0" w:line="189"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2019-11-29T21:28:01Z</dcterms:created>
  <dcterms:modified xsi:type="dcterms:W3CDTF">2019-11-29T21:28:01Z</dcterms:modified>
</cp:coreProperties>
</file>