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DATE OF REPORT (DATE OF EARLIEST EVENT REPORTED): April 18,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6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20" w:space="720"/>
            <w:col w:w="1400"/>
          </w:cols>
          <w:pgMar w:left="240" w:top="355" w:right="1059" w:bottom="1440" w:gutter="0" w:footer="0" w:header="0"/>
          <w:type w:val="continuous"/>
        </w:sectPr>
      </w:pPr>
    </w:p>
    <w:p>
      <w:pPr>
        <w:jc w:val="center"/>
        <w:ind w:right="4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60" w:space="720"/>
            <w:col w:w="3280" w:space="720"/>
            <w:col w:w="1520"/>
          </w:cols>
          <w:pgMar w:left="240" w:top="355"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4" w:lineRule="exact"/>
        <w:rPr>
          <w:sz w:val="24"/>
          <w:szCs w:val="24"/>
          <w:color w:val="auto"/>
        </w:rPr>
      </w:pPr>
    </w:p>
    <w:p>
      <w:pPr>
        <w:ind w:left="3200"/>
        <w:spacing w:after="0"/>
        <w:rPr>
          <w:sz w:val="20"/>
          <w:szCs w:val="20"/>
          <w:color w:val="auto"/>
        </w:rPr>
      </w:pPr>
      <w:r>
        <w:rPr>
          <w:rFonts w:ascii="Arial" w:cs="Arial" w:eastAsia="Arial" w:hAnsi="Arial"/>
          <w:sz w:val="15"/>
          <w:szCs w:val="15"/>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Registrant’s earnings release dated April 18, 2005, regarding its first quarter 2005 results of operations and financial condition attached hereto as Exhibit 99 is incorporated by reference herein.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00"/>
          </w:cols>
          <w:pgMar w:left="240" w:top="280" w:right="3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Designation of</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w:t>
      </w:r>
    </w:p>
    <w:p>
      <w:pPr>
        <w:spacing w:after="0"/>
        <w:rPr>
          <w:sz w:val="20"/>
          <w:szCs w:val="20"/>
          <w:color w:val="auto"/>
        </w:rPr>
      </w:pPr>
      <w:r>
        <w:rPr>
          <w:rFonts w:ascii="Arial" w:cs="Arial" w:eastAsia="Arial" w:hAnsi="Arial"/>
          <w:sz w:val="14"/>
          <w:szCs w:val="14"/>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37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71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1260" w:space="720"/>
            <w:col w:w="9320"/>
          </w:cols>
          <w:pgMar w:left="240" w:top="280" w:right="359" w:bottom="1440" w:gutter="0" w:footer="0" w:header="0"/>
          <w:type w:val="continuous"/>
        </w:sectPr>
      </w:pPr>
    </w:p>
    <w:p>
      <w:pPr>
        <w:spacing w:after="0" w:line="8" w:lineRule="exact"/>
        <w:rPr>
          <w:sz w:val="20"/>
          <w:szCs w:val="20"/>
          <w:color w:val="auto"/>
        </w:rPr>
      </w:pPr>
    </w:p>
    <w:p>
      <w:pPr>
        <w:ind w:left="1980" w:hanging="1479"/>
        <w:spacing w:after="0"/>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15"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Dated April 18, 2005 (furnished pursuant to Item 2.02)</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Market demand for semiconductors, particularly for analog chips and digital signal processors in key markets such as telecommunications and computers;</w:t>
      </w:r>
    </w:p>
    <w:p>
      <w:pPr>
        <w:spacing w:after="0" w:line="13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type w:val="continuous"/>
        </w:sectPr>
      </w:pPr>
    </w:p>
    <w:bookmarkStart w:id="2" w:name="page3"/>
    <w:bookmarkEnd w:id="2"/>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80" w:right="4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April 18, 2005</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75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1Q05 Financial Results</w:t>
      </w:r>
    </w:p>
    <w:p>
      <w:pPr>
        <w:spacing w:after="0" w:line="16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1Q Revenue down 6% Sequentially and about Even with Year Ago</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Expands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Remain at Reduced 4Q04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EPS of $0.24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1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DALLAS (April 18, 2005) – Texas Instruments Incorporated (TI) (NYSE: TXN) today reported revenue for the first quarter of 2005 of $2972 million, about even with the year-ago period. Sequentially, revenue decreased 6 percent as gains in the company’s Sensors &amp; Controls and Educational &amp; Productivity Solutions (E&amp;PS) businesses were more than offset by an expected decline in Semiconductor.</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Sequentially, TI’s gross and operating profit margins increased despite the decline in revenue. TI’s gross profit margin expanded 2.6 percentage points to 44.9 percent of revenue, and TI’s operating margin increased 1.3 percentage points to 16.7 percent of revenue.</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TI inventories declined slightly from the fourth quarter, a period in which they were significantly reduced by $100 million. Having adjusted inventories to desired levels during the fourth quarter, TI increased production in its Semiconductor factories in the first quarter to realign factory output with its shipments.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Earnings per share (EPS) were $0.24 in the first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started 2005 with stronger profit performance despite a slower semiconductor market environment. Higher utilization of the company’s owned factories as well as lower manufacturing and operating expenses were largely responsible for improved profitability in a quarter where revenue declined sequentially,” said Rich Templeton, president and chief executive officer.</w:t>
      </w:r>
    </w:p>
    <w:p>
      <w:pPr>
        <w:spacing w:after="0" w:line="127"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market environment is improving. We believe the inventory correction in TI’s standard semiconductor products at distributors that began in the third quarter of 2004 is complete, as demonstrated by sequential growth in revenue and orders for these products. We expect that the inventory correction associated with our DLP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products used in high-definition televisions and projectors will continue into the second quarter, although the rate of reductions should subside,” he said.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“While the overall environment for cell phones will likely support a lower growth rate than last year, we continue to have high expectations for our wireless operations in 2005. In the first quarter, TI’s wireless revenue grew 15 percent from a year ago and declined 14 percent sequentially following a strong fourth quarter. Recent market reports have confirmed that TI is the world’s top provider of semiconductors used in the wireless market, and we expect to gain additional share this year in the fast-growing market for 3G UMTS modems based on the strength of our digital signal processors,” he said.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aggressively repurchased its common stock during the quarter, and we are now more than halfway through the $3 billion of repurchase plans announced in September and January. We remain committed to returning value to our shareholders,” he said.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first quarter, TI’s gross profit of $1336 million, or 44.9 percent of revenue, was about even sequentially. Compared with a year ago, gross profit increased $14 million primarily due to higher gross profit in E&amp;PS and a gain on the sale of assets associated with the company’s commodity liquid crystal display (LCD) driver product line.</w:t>
      </w:r>
    </w:p>
    <w:p>
      <w:pPr>
        <w:spacing w:after="0" w:line="1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80"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Expenses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Research and development (R&amp;D) expense of $495 million, or 16.6 percent of revenue, increased $8 million sequentially due to higher Semiconductor product development expenses and was about even with a year ago.</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Selling, general and administrative (SG&amp;A) expense of $344 million, or 11.6 percent of revenue, decreased $19 million sequentially and $10 million from a year ago due to the combination of a gain recognized on the disposition of a sales facility and lower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Operating profit of $497 million, or 16.7 percent of revenue, increased $13 million sequentially and $23 million from a year ago due to the combination of lower SG&amp;A expenses and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OI&amp;E of $48 million decreased $38 million sequentially primarily due to the impact in the previous quarter of a partial settlement of matters related to grants from the Italian government regarding TI’s former memory business operations and the resolution of an open sales-tax item associated with the company’s previously divested defense electronics business. OI&amp;E decreased $2 million from a year ago.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was $411 million, or $0.24 per share.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effective tax rate for the first quarter was 24 percent, as expected, compared with the previous quarter’s 14 percent tax rate that included a cumulative catch-up reduction in tax expense. The effective tax rate in the year-ago quarter was 29 percent.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TI orders of $3028 million increased $84 million sequentially primarily due to seasonally higher demand for E&amp;PS graphing calculators as well as higher demand for Sensors &amp; Controls products. Compared with a year ago, TI orders decreased $203 million due to lower demand for Semiconductor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At the end of the first quarter, total cash (cash and cash equivalents plus short-term investments and long-term cash investments) was $5140 million, a decrease of $1218 million from the end of the previous quarter and a decrease of $353 million from the end of the year-ago period. During the quarter, the company used $1493 million in cash to repurchase 58 million shares of TI common stock.</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Cash flow from operations in the first quarter of $523 million decreased $782 million sequentially primarily due to a significant reduction in accounts receivable in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4" w:right="379" w:bottom="1440" w:gutter="0" w:footer="0" w:header="0"/>
        </w:sectPr>
      </w:pPr>
    </w:p>
    <w:bookmarkStart w:id="9" w:name="page10"/>
    <w:bookmarkEnd w:id="9"/>
    <w:p>
      <w:pPr>
        <w:ind w:right="182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fourth quarter that was not repeated in the first quarter and payment of employee profit sharing in the first quarter for 2004 performance. </w:t>
      </w:r>
      <w:r>
        <w:rPr>
          <w:rFonts w:ascii="Arial" w:cs="Arial" w:eastAsia="Arial" w:hAnsi="Arial"/>
          <w:sz w:val="18"/>
          <w:szCs w:val="18"/>
          <w:b w:val="1"/>
          <w:bCs w:val="1"/>
          <w:color w:val="auto"/>
        </w:rPr>
        <w:t>Capital Spending and Depreciation</w:t>
      </w:r>
    </w:p>
    <w:p>
      <w:pPr>
        <w:spacing w:after="0" w:line="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Capital expenditures in the first quarter of $277 million increased by $66 million sequentially and decreased by $124 million from a year ago. TI’s capital expenditures in the first quarter were primarily for equipment used for 65- and 90-nanometer wafer fabrication, and assembly and test operations.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in the first quarter of $347 million decreased $43 million sequentially and $1 million from a year ago.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Accounts receivable at the end of the first quarter of $1696 million were the same as at the end of the previous quarter. Accounts receivable increased $18 million from the end of the year-ago quarter due to higher sales. Days sales outstanding were 51 at the end of the first quarter compared with 48 at the end of the previous quarter and 51 at the end of the year-ago quarter.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of $1245 million at the end of the first quarter declined $11 million from the end of the previous quarter. Compared with the end of the year-ago quarter, inventories increased $97 million due to inventories the company built in the first three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quarters of 2004 to increase its ability to quickly deliver products to customers. Days of inventory at the end of the first quarter were 69, up from 62 days at the end of the previous quarter and 64 days at the end of the year-ago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7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June 7, 2005, by issuing a press release and holding a conference call. Both will be available on the company’s web site.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second quarter of 2005, TI expects revenue to be in the following ranges:</w:t>
      </w:r>
    </w:p>
    <w:p>
      <w:pPr>
        <w:spacing w:after="0" w:line="7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TI, $3000 million to $3240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$2550 million to $2750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Sensors &amp; Controls, $290 million to $310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E&amp;PS, $160 million to $180 million.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EPS to be in the range of $0.25 to $0.29.</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outlook comprehends the sale of the company’s commodity LCD driver product line, which was completed effective March 18, 2005. Revenue from this product line was about $200 million in 2004 and was $39 million for the abbreviated period during the first quarter of 2005 in which it was owned by TI.</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280" w:right="399" w:bottom="1440" w:gutter="0" w:footer="0" w:header="0"/>
        </w:sectPr>
      </w:pPr>
    </w:p>
    <w:bookmarkStart w:id="11" w:name="page12"/>
    <w:bookmarkEnd w:id="11"/>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2005, TI continues to expect: R&amp;D to be about $2.1 billion, capital expenditures to be about $1.3 billion and depreciation to be about $1.4 billion. The effective tax rate for the year is expected to be about 24 percent, unchanged from the prior estimate. This tax rate does not include any impact related to the expensing of stock options under the Financial Accounting Standards Board’s Statement 123(R), which the company expects to implement beginning in the third quarter of 2005. In addition, this outlook does not reflect the impact of any potential repatriation of cash under the American Jobs Creation Act.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For Three Months Ended</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1336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1334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 of revenue</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44.9%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42.3%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R&amp;D % of revenue</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16.6%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15.5%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SG&amp;A % of revenue</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11.6%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Operating profit % of revenue</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w w:val="93"/>
              </w:rPr>
              <w:t>16.7%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15.4%</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on loans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1735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1759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140" w:type="dxa"/>
            <w:vAlign w:val="bottom"/>
          </w:tcPr>
          <w:p>
            <w:pPr>
              <w:jc w:val="right"/>
              <w:ind w:right="29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-1337945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-1337945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-1337945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-1337945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-1337945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-1337945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-1337945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-1337945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-1337945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-1037590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-1037590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-1037590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-1037590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-1037590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-1037590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-1037590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-1037590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-1037590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-737870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-737870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-737870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-737870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-737870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-737870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-737870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-737870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-737870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Mar. 31</w:t>
            </w:r>
          </w:p>
        </w:tc>
        <w:tc>
          <w:tcPr>
            <w:tcW w:w="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Dec. 31</w:t>
            </w:r>
          </w:p>
        </w:tc>
        <w:tc>
          <w:tcPr>
            <w:tcW w:w="2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Accounts receivable, net of allowances for customer adjustments and doubtful accounts of $42 million at March 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2005, $41 million at December 31, 2004, and $44 million at March 31, 2004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(5564)</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(5655)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(5550)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Profit sharing contributions and accrued retirement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$1 par value. Authorized — 2,400,000,000 shares. Shares issued; March 31, 2005 — 1,738,491,029;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2004 — 1,738,156,615; March 31, 2004 —1,738,115,567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Shares: March 31, 2005 — 76,326,181; December 31, 2004 — 20,041,497; March 31, 2004 — 7,012,862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(1929)</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60" w:type="dxa"/>
            <w:vAlign w:val="bottom"/>
            <w:gridSpan w:val="2"/>
            <w:vMerge w:val="restart"/>
          </w:tcPr>
          <w:p>
            <w:pPr>
              <w:jc w:val="right"/>
              <w:ind w:right="327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-4502150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-4502150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-4502150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-4502150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-4502150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-4502150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-4502150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-4502150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-4502150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92"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5"/>
              </w:rPr>
              <w:t>Mar. 31</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 31</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 on sales of equity and debt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Gains on sales of assets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(Increase) decrease: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(116)</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accrued retirement costs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(211)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(652)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1204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(1493)</w:t>
            </w:r>
          </w:p>
        </w:tc>
        <w:tc>
          <w:tcPr>
            <w:tcW w:w="1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(370)</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(339)</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2668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60" w:type="dxa"/>
            <w:vAlign w:val="bottom"/>
            <w:gridSpan w:val="2"/>
            <w:vMerge w:val="restart"/>
          </w:tcPr>
          <w:p>
            <w:pPr>
              <w:jc w:val="right"/>
              <w:ind w:right="327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-325755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w w:val="90"/>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Mar. 31</w:t>
            </w:r>
          </w:p>
        </w:tc>
        <w:tc>
          <w:tcPr>
            <w:tcW w:w="80" w:type="dxa"/>
            <w:vAlign w:val="bottom"/>
          </w:tcPr>
          <w:p>
            <w:pPr>
              <w:spacing w:after="0"/>
              <w:rPr>
                <w:sz w:val="20"/>
                <w:szCs w:val="20"/>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Dec. 31</w:t>
            </w: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300"/>
              <w:spacing w:after="0"/>
              <w:rPr>
                <w:sz w:val="20"/>
                <w:szCs w:val="20"/>
                <w:color w:val="auto"/>
              </w:rPr>
            </w:pPr>
            <w:r>
              <w:rPr>
                <w:rFonts w:ascii="Arial" w:cs="Arial" w:eastAsia="Arial" w:hAnsi="Arial"/>
                <w:sz w:val="18"/>
                <w:szCs w:val="18"/>
                <w:color w:val="auto"/>
              </w:rPr>
              <w:t>$2595</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$2797</w:t>
            </w: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$2573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2597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300"/>
              <w:spacing w:after="0"/>
              <w:rPr>
                <w:sz w:val="20"/>
                <w:szCs w:val="20"/>
                <w:color w:val="auto"/>
              </w:rPr>
            </w:pPr>
            <w:r>
              <w:rPr>
                <w:rFonts w:ascii="Arial" w:cs="Arial" w:eastAsia="Arial" w:hAnsi="Arial"/>
                <w:sz w:val="18"/>
                <w:szCs w:val="18"/>
                <w:color w:val="auto"/>
              </w:rPr>
              <w:t>295</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5"/>
          </w:tcPr>
          <w:p>
            <w:pPr>
              <w:jc w:val="right"/>
              <w:ind w:right="300"/>
              <w:spacing w:after="0"/>
              <w:rPr>
                <w:sz w:val="20"/>
                <w:szCs w:val="20"/>
                <w:color w:val="auto"/>
              </w:rPr>
            </w:pPr>
            <w:r>
              <w:rPr>
                <w:rFonts w:ascii="Arial" w:cs="Arial" w:eastAsia="Arial" w:hAnsi="Arial"/>
                <w:sz w:val="18"/>
                <w:szCs w:val="18"/>
                <w:color w:val="auto"/>
              </w:rPr>
              <w:t>82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$2972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5040" w:type="dxa"/>
            <w:vAlign w:val="bottom"/>
            <w:gridSpan w:val="2"/>
            <w:vMerge w:val="restart"/>
          </w:tcPr>
          <w:p>
            <w:pPr>
              <w:jc w:val="center"/>
              <w:ind w:right="1752"/>
              <w:spacing w:after="0"/>
              <w:rPr>
                <w:sz w:val="20"/>
                <w:szCs w:val="20"/>
                <w:color w:val="auto"/>
              </w:rPr>
            </w:pPr>
            <w:r>
              <w:rPr>
                <w:rFonts w:ascii="Arial" w:cs="Arial" w:eastAsia="Arial" w:hAnsi="Arial"/>
                <w:sz w:val="18"/>
                <w:szCs w:val="18"/>
                <w:color w:val="auto"/>
                <w:w w:val="88"/>
              </w:rPr>
              <w:t>Business Segment Profit (Loss)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040" w:type="dxa"/>
            <w:vAlign w:val="bottom"/>
            <w:gridSpan w:val="2"/>
          </w:tcPr>
          <w:p>
            <w:pPr>
              <w:jc w:val="center"/>
              <w:ind w:right="1732"/>
              <w:spacing w:after="0"/>
              <w:rPr>
                <w:sz w:val="20"/>
                <w:szCs w:val="20"/>
                <w:color w:val="auto"/>
              </w:rPr>
            </w:pPr>
            <w:r>
              <w:rPr>
                <w:rFonts w:ascii="Arial" w:cs="Arial" w:eastAsia="Arial" w:hAnsi="Arial"/>
                <w:sz w:val="18"/>
                <w:szCs w:val="18"/>
                <w:color w:val="auto"/>
                <w:w w:val="94"/>
              </w:rPr>
              <w:t>(In millions of dollars)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8"/>
          </w:tcPr>
          <w:p>
            <w:pPr>
              <w:jc w:val="center"/>
              <w:ind w:left="12"/>
              <w:spacing w:after="0"/>
              <w:rPr>
                <w:sz w:val="20"/>
                <w:szCs w:val="20"/>
                <w:color w:val="auto"/>
              </w:rPr>
            </w:pPr>
            <w:r>
              <w:rPr>
                <w:rFonts w:ascii="Arial" w:cs="Arial" w:eastAsia="Arial" w:hAnsi="Arial"/>
                <w:sz w:val="14"/>
                <w:szCs w:val="14"/>
                <w:b w:val="1"/>
                <w:bCs w:val="1"/>
                <w:color w:val="auto"/>
                <w:w w:val="89"/>
              </w:rPr>
              <w:t>For Three Months Ended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40" w:type="dxa"/>
            <w:vAlign w:val="bottom"/>
            <w:tcBorders>
              <w:bottom w:val="single" w:sz="8" w:color="auto"/>
            </w:tcBorders>
            <w:gridSpan w:val="4"/>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20" w:type="dxa"/>
            <w:vAlign w:val="bottom"/>
            <w:gridSpan w:val="6"/>
          </w:tcPr>
          <w:p>
            <w:pPr>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Dec. 31</w:t>
            </w: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5040" w:type="dxa"/>
            <w:vAlign w:val="bottom"/>
            <w:gridSpan w:val="2"/>
            <w:shd w:val="clear" w:color="auto" w:fill="CCEEFF"/>
          </w:tcPr>
          <w:p>
            <w:pPr>
              <w:ind w:left="4960"/>
              <w:spacing w:after="0"/>
              <w:rPr>
                <w:sz w:val="20"/>
                <w:szCs w:val="20"/>
                <w:color w:val="auto"/>
              </w:rPr>
            </w:pPr>
            <w:r>
              <w:rPr>
                <w:rFonts w:ascii="Arial" w:cs="Arial" w:eastAsia="Arial" w:hAnsi="Arial"/>
                <w:sz w:val="15"/>
                <w:szCs w:val="15"/>
                <w:color w:val="auto"/>
                <w:w w:val="71"/>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Sensors &amp; Controls</w:t>
            </w: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activities</w:t>
            </w: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52"/>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4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3"/>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040" w:type="dxa"/>
            <w:vAlign w:val="bottom"/>
            <w:gridSpan w:val="2"/>
            <w:shd w:val="clear" w:color="auto" w:fill="CCEEFF"/>
          </w:tcPr>
          <w:p>
            <w:pPr>
              <w:ind w:left="4960"/>
              <w:spacing w:after="0"/>
              <w:rPr>
                <w:sz w:val="20"/>
                <w:szCs w:val="20"/>
                <w:color w:val="auto"/>
              </w:rPr>
            </w:pPr>
            <w:r>
              <w:rPr>
                <w:rFonts w:ascii="Arial" w:cs="Arial" w:eastAsia="Arial" w:hAnsi="Arial"/>
                <w:sz w:val="15"/>
                <w:szCs w:val="15"/>
                <w:color w:val="auto"/>
                <w:w w:val="71"/>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960" w:type="dxa"/>
            <w:vAlign w:val="bottom"/>
            <w:vMerge w:val="restart"/>
          </w:tcPr>
          <w:p>
            <w:pPr>
              <w:jc w:val="center"/>
              <w:ind w:right="1657"/>
              <w:spacing w:after="0"/>
              <w:rPr>
                <w:sz w:val="20"/>
                <w:szCs w:val="20"/>
                <w:color w:val="auto"/>
              </w:rPr>
            </w:pPr>
            <w:r>
              <w:rPr>
                <w:rFonts w:ascii="Arial" w:cs="Arial" w:eastAsia="Arial" w:hAnsi="Arial"/>
                <w:sz w:val="18"/>
                <w:szCs w:val="18"/>
                <w:color w:val="auto"/>
                <w:w w:val="89"/>
              </w:rPr>
              <w:t>12</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-2495550</wp:posOffset>
            </wp:positionV>
            <wp:extent cx="31305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-2495550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-2495550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-2495550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-2495550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-2495550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-2495550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left="900" w:right="26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Semiconductor revenue of $2597 million decreased $201 million sequentially primarily due to a decline in wireless revenue as well as lower DLP product revenue. Compared with a year ago, revenue was about even as gains in wireless were offset by declines in most other product areas.</w:t>
      </w:r>
    </w:p>
    <w:p>
      <w:pPr>
        <w:spacing w:after="0" w:line="1" w:lineRule="exact"/>
        <w:rPr>
          <w:rFonts w:ascii="Arial" w:cs="Arial" w:eastAsia="Arial" w:hAnsi="Arial"/>
          <w:sz w:val="16"/>
          <w:szCs w:val="16"/>
          <w:color w:val="auto"/>
        </w:rPr>
      </w:pPr>
    </w:p>
    <w:p>
      <w:pPr>
        <w:jc w:val="both"/>
        <w:ind w:left="900" w:right="24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profit was $1189 million, or 45.8 percent of revenue. Gross profit declined $17 million sequentially as a combination of cost reductions and higher utilization of Semiconductor’s manufacturing assets mostly offset the impact of lower revenue. Compared with a year ago, gross profit was about even as cost reductions and the impact of higher shipments offset the effect of lower factory utilization.</w:t>
      </w:r>
    </w:p>
    <w:p>
      <w:pPr>
        <w:spacing w:after="0" w:line="12"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was $460 million, or 17.7 percent of revenue, down $18 million sequentially due to lower gross profit. Compared with a year ago, operating profit was about the same.</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Analog revenue decreased 3 percent sequentially primarily due to lower demand from wireless customers. Compared with a year ago, analog revenue decreased 8 percent due to broad-based declines in demand. High-performance analog revenue increased 5 percent sequentially and declined 2 percent from a year ago.</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DSP revenue decreased 12 percent sequentially and grew 16 percent compared with a year ago due to demand from wireless customers.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left="90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remaining Semiconductor revenue decreased 6 percent sequentially due to reductions of excess inventory at TI’s DLP product customers and their distribution channels, which more than offset growth in revenue from commodity standard logic products, microcontrollers and RISC microprocessors. This revenue declined 4 percent compared with a year ago due to lower DLP product and commodity standard logic revenue, which more than offset growth in microcontrollers and RISC microprocessors.</w:t>
      </w:r>
    </w:p>
    <w:p>
      <w:pPr>
        <w:spacing w:after="0" w:line="48"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orders of $2567 million were about even sequentially as lower demand for wireless and DLP products offset gains in most other areas. Compared with a year ago, orders decreased 9 percent as growth in demand for wireless products was more than offset by declines in most other product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 Semiconductor Highlights</w:t>
      </w:r>
    </w:p>
    <w:p>
      <w:pPr>
        <w:spacing w:after="0" w:line="83" w:lineRule="exact"/>
        <w:rPr>
          <w:sz w:val="20"/>
          <w:szCs w:val="20"/>
          <w:color w:val="auto"/>
        </w:rPr>
      </w:pPr>
    </w:p>
    <w:p>
      <w:pPr>
        <w:ind w:left="900" w:right="380" w:hanging="446"/>
        <w:spacing w:after="0" w:line="22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Samsung Electronics selected TI’s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digital imaging processor technology for four new camera phone models, including the world’s first camera phone with a hard-disk drive.</w:t>
      </w:r>
    </w:p>
    <w:p>
      <w:pPr>
        <w:spacing w:after="0" w:line="62"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Kodak selected TI’s digital media processing technology for the Kodak EasyShare-One digital camera, which can store up to 1,500 pictures and offers in-camera editing, wireless e-mailing and picture printing without using a computer.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 w:name="page19"/>
    <w:bookmarkEnd w:id="18"/>
    <w:p>
      <w:pPr>
        <w:ind w:left="900" w:right="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Siemens Communications Group chose TI’s 1-GHz DSP for a new mobile media gateway that delivers a 4x increase in channel density per card and targets 2G, 2.5G and 3G infrastructure deployments.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Vonage</w:t>
      </w:r>
      <w:r>
        <w:rPr>
          <w:rFonts w:ascii="Arial" w:cs="Arial" w:eastAsia="Arial" w:hAnsi="Arial"/>
          <w:sz w:val="19"/>
          <w:szCs w:val="19"/>
          <w:color w:val="auto"/>
          <w:vertAlign w:val="superscript"/>
        </w:rPr>
        <w:t>®</w:t>
      </w:r>
      <w:r>
        <w:rPr>
          <w:rFonts w:ascii="Arial" w:cs="Arial" w:eastAsia="Arial" w:hAnsi="Arial"/>
          <w:sz w:val="15"/>
          <w:szCs w:val="15"/>
          <w:color w:val="auto"/>
        </w:rPr>
        <w:t>, the leading broadband telephony provider, selected TI as its preferred supplier for VoIP (Voice over Internet Protocol) silicon and software.</w:t>
      </w:r>
    </w:p>
    <w:p>
      <w:pPr>
        <w:spacing w:after="0" w:line="92" w:lineRule="exact"/>
        <w:rPr>
          <w:rFonts w:ascii="Arial" w:cs="Arial" w:eastAsia="Arial" w:hAnsi="Arial"/>
          <w:sz w:val="15"/>
          <w:szCs w:val="15"/>
          <w:color w:val="auto"/>
        </w:rPr>
      </w:pPr>
    </w:p>
    <w:p>
      <w:pPr>
        <w:ind w:left="900" w:right="320" w:hanging="446"/>
        <w:spacing w:after="0" w:line="22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announced its new line of Fusion Digital Power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solutions, which combine the company’s expertise in DSP and high-performance analog to bring digital capabilities to the traditionally analog power-management function.</w:t>
      </w:r>
    </w:p>
    <w:p>
      <w:pPr>
        <w:spacing w:after="0" w:line="62"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 began sampling the industry’s first wireless digital baseband processor developed on the company’s advanced 65-nanometer manufacturing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900" w:right="4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Sensors &amp; Controls revenue was a quarterly record of $296 million, up $19 million sequentially and $12 million from a year ago due to higher shipments of sensor products.</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$106 million, or 35.8 percent of revenue, up $7 million sequentially primarily due to higher revenue. Compared with a year ago, gross profit decreased $4 million due to price reductions, primarily for automotive sensor products.</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was $69 million, or 23.2 percent of revenue, up $7 million sequentially and down $6 million from a year ago primarily due to gross profit.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w:t>
      </w:r>
    </w:p>
    <w:p>
      <w:pPr>
        <w:spacing w:after="0" w:line="83"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E&amp;PS revenue was $82 million, up $2 million from the prior quarter and $3 million from a year ago.</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$44 million, or 54.2 percent of revenue, up $2 million sequentially due to higher revenue, and $7 million from a year ago due to lower manufacturing costs.</w:t>
      </w:r>
    </w:p>
    <w:p>
      <w:pPr>
        <w:spacing w:after="0" w:line="37"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profit was $20 million, or 24.1 percent of revenue, up $4 million sequentially due to the combination of higher gross profit and lower SG&amp;A expenses. Compared with a year ago, operating profit increased $11 million primarily due to higher gross profit.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900" w:right="3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280" w:right="39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is traded on the New York Stock Exchange under the symbol TXN. More information is located on the World Wide Web at www.ti.com.</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OMAP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Fusion Digital Power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9"/>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2019-12-13T07:30:52Z</dcterms:created>
  <dcterms:modified xsi:type="dcterms:W3CDTF">2019-12-13T07:30:52Z</dcterms:modified>
</cp:coreProperties>
</file>