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1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TEMPLETON RICHARD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02/02/2021</w:t>
      </w:r>
    </w:p>
    <w:p>
      <w:pPr>
        <w:spacing w:after="0" w:line="20" w:lineRule="exact"/>
        <w:rPr>
          <w:sz w:val="24"/>
          <w:szCs w:val="24"/>
          <w:color w:val="auto"/>
        </w:rPr>
      </w:pPr>
      <w:r>
        <w:rPr>
          <w:sz w:val="24"/>
          <w:szCs w:val="24"/>
          <w:color w:val="auto"/>
        </w:rPr>
        <w:br w:type="column"/>
      </w:r>
    </w:p>
    <w:p>
      <w:pPr>
        <w:ind w:left="-4" w:right="660" w:firstLine="4"/>
        <w:spacing w:after="0" w:line="25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36"/>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262" w:lineRule="exact"/>
        <w:rPr>
          <w:sz w:val="24"/>
          <w:szCs w:val="24"/>
          <w:color w:val="auto"/>
        </w:rPr>
      </w:pPr>
    </w:p>
    <w:p>
      <w:pPr>
        <w:sectPr>
          <w:pgSz w:w="11900" w:h="16838" w:orient="portrait"/>
          <w:cols w:equalWidth="0" w:num="3">
            <w:col w:w="3200" w:space="720"/>
            <w:col w:w="3160" w:space="664"/>
            <w:col w:w="3336"/>
          </w:cols>
          <w:pgMar w:left="460" w:top="216" w:right="359" w:bottom="117"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440" w:type="dxa"/>
            <w:vAlign w:val="bottom"/>
            <w:gridSpan w:val="8"/>
            <w:vMerge w:val="restart"/>
          </w:tcPr>
          <w:p>
            <w:pPr>
              <w:jc w:val="center"/>
              <w:ind w:left="36"/>
              <w:spacing w:after="0"/>
              <w:rPr>
                <w:sz w:val="20"/>
                <w:szCs w:val="20"/>
                <w:color w:val="auto"/>
              </w:rPr>
            </w:pPr>
            <w:r>
              <w:rPr>
                <w:rFonts w:ascii="Arial" w:cs="Arial" w:eastAsia="Arial" w:hAnsi="Arial"/>
                <w:sz w:val="13"/>
                <w:szCs w:val="13"/>
                <w:color w:val="auto"/>
                <w:w w:val="97"/>
              </w:rPr>
              <w:t>4. If Amendment, Date of Original Filed (Month/Day/Year)</w:t>
            </w:r>
          </w:p>
        </w:tc>
        <w:tc>
          <w:tcPr>
            <w:tcW w:w="3880" w:type="dxa"/>
            <w:vAlign w:val="bottom"/>
            <w:gridSpan w:val="11"/>
            <w:vMerge w:val="restart"/>
          </w:tcPr>
          <w:p>
            <w:pPr>
              <w:ind w:left="5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gridSpan w:val="8"/>
            <w:vMerge w:val="continue"/>
          </w:tcPr>
          <w:p>
            <w:pPr>
              <w:spacing w:after="0"/>
              <w:rPr>
                <w:sz w:val="9"/>
                <w:szCs w:val="9"/>
                <w:color w:val="auto"/>
              </w:rPr>
            </w:pPr>
          </w:p>
        </w:tc>
        <w:tc>
          <w:tcPr>
            <w:tcW w:w="38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80" w:type="dxa"/>
            <w:vAlign w:val="bottom"/>
            <w:gridSpan w:val="11"/>
          </w:tcPr>
          <w:p>
            <w:pPr>
              <w:ind w:left="7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20" w:type="dxa"/>
            <w:vAlign w:val="bottom"/>
            <w:gridSpan w:val="8"/>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6"/>
                <w:szCs w:val="16"/>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9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600" w:type="dxa"/>
            <w:vAlign w:val="bottom"/>
          </w:tcPr>
          <w:p>
            <w:pPr>
              <w:spacing w:after="0"/>
              <w:rPr>
                <w:sz w:val="14"/>
                <w:szCs w:val="14"/>
                <w:color w:val="auto"/>
              </w:rPr>
            </w:pPr>
          </w:p>
        </w:tc>
        <w:tc>
          <w:tcPr>
            <w:tcW w:w="22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3"/>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rPr>
              <w:t>(A) or</w:t>
            </w: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vMerge w:val="continue"/>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02/02/2021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112,500</w:t>
            </w:r>
          </w:p>
        </w:tc>
        <w:tc>
          <w:tcPr>
            <w:tcW w:w="50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Pr>
          <w:p>
            <w:pPr>
              <w:jc w:val="center"/>
              <w:ind w:left="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622,167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38,543</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172.6586</w:t>
            </w:r>
            <w:r>
              <w:rPr>
                <w:rFonts w:ascii="Times New Roman" w:cs="Times New Roman" w:eastAsia="Times New Roman" w:hAnsi="Times New Roman"/>
                <w:sz w:val="21"/>
                <w:szCs w:val="21"/>
                <w:color w:val="008000"/>
                <w:w w:val="93"/>
                <w:vertAlign w:val="superscript"/>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583,624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30,162</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173.5142</w:t>
            </w:r>
            <w:r>
              <w:rPr>
                <w:rFonts w:ascii="Times New Roman" w:cs="Times New Roman" w:eastAsia="Times New Roman" w:hAnsi="Times New Roman"/>
                <w:sz w:val="21"/>
                <w:szCs w:val="21"/>
                <w:color w:val="008000"/>
                <w:w w:val="93"/>
                <w:vertAlign w:val="superscript"/>
              </w:rPr>
              <w:t>(2)</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553,462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40,352</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174.7008</w:t>
            </w:r>
            <w:r>
              <w:rPr>
                <w:rFonts w:ascii="Times New Roman" w:cs="Times New Roman" w:eastAsia="Times New Roman" w:hAnsi="Times New Roman"/>
                <w:sz w:val="21"/>
                <w:szCs w:val="21"/>
                <w:color w:val="008000"/>
                <w:w w:val="93"/>
                <w:vertAlign w:val="superscript"/>
              </w:rPr>
              <w:t>(3)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513,110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3,443</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175.26</w:t>
            </w:r>
            <w:r>
              <w:rPr>
                <w:rFonts w:ascii="Times New Roman" w:cs="Times New Roman" w:eastAsia="Times New Roman" w:hAnsi="Times New Roman"/>
                <w:sz w:val="21"/>
                <w:szCs w:val="21"/>
                <w:color w:val="008000"/>
                <w:w w:val="93"/>
                <w:vertAlign w:val="superscript"/>
              </w:rPr>
              <w:t>(4)</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509,667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112,500</w:t>
            </w:r>
          </w:p>
        </w:tc>
        <w:tc>
          <w:tcPr>
            <w:tcW w:w="50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Pr>
          <w:p>
            <w:pPr>
              <w:jc w:val="center"/>
              <w:ind w:left="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622,167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34,551</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168.9663</w:t>
            </w:r>
            <w:r>
              <w:rPr>
                <w:rFonts w:ascii="Times New Roman" w:cs="Times New Roman" w:eastAsia="Times New Roman" w:hAnsi="Times New Roman"/>
                <w:sz w:val="21"/>
                <w:szCs w:val="21"/>
                <w:color w:val="008000"/>
                <w:w w:val="93"/>
                <w:vertAlign w:val="superscript"/>
              </w:rPr>
              <w:t>(5)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587,616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39,643</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170.0463</w:t>
            </w:r>
            <w:r>
              <w:rPr>
                <w:rFonts w:ascii="Times New Roman" w:cs="Times New Roman" w:eastAsia="Times New Roman" w:hAnsi="Times New Roman"/>
                <w:sz w:val="21"/>
                <w:szCs w:val="21"/>
                <w:color w:val="008000"/>
                <w:w w:val="93"/>
                <w:vertAlign w:val="superscript"/>
              </w:rPr>
              <w:t>(6)</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547,973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15,468</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170.8979</w:t>
            </w:r>
            <w:r>
              <w:rPr>
                <w:rFonts w:ascii="Times New Roman" w:cs="Times New Roman" w:eastAsia="Times New Roman" w:hAnsi="Times New Roman"/>
                <w:sz w:val="21"/>
                <w:szCs w:val="21"/>
                <w:color w:val="008000"/>
                <w:w w:val="93"/>
                <w:vertAlign w:val="superscript"/>
              </w:rPr>
              <w:t>(7)</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532,505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6,851</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172.0305</w:t>
            </w:r>
            <w:r>
              <w:rPr>
                <w:rFonts w:ascii="Times New Roman" w:cs="Times New Roman" w:eastAsia="Times New Roman" w:hAnsi="Times New Roman"/>
                <w:sz w:val="21"/>
                <w:szCs w:val="21"/>
                <w:color w:val="008000"/>
                <w:w w:val="93"/>
                <w:vertAlign w:val="superscript"/>
              </w:rPr>
              <w:t>(8)</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525,654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5,412</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173.1924</w:t>
            </w:r>
            <w:r>
              <w:rPr>
                <w:rFonts w:ascii="Times New Roman" w:cs="Times New Roman" w:eastAsia="Times New Roman" w:hAnsi="Times New Roman"/>
                <w:sz w:val="21"/>
                <w:szCs w:val="21"/>
                <w:color w:val="008000"/>
                <w:w w:val="93"/>
                <w:vertAlign w:val="superscript"/>
              </w:rPr>
              <w:t>(9)</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520,242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8,875</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174.1614</w:t>
            </w:r>
            <w:r>
              <w:rPr>
                <w:rFonts w:ascii="Times New Roman" w:cs="Times New Roman" w:eastAsia="Times New Roman" w:hAnsi="Times New Roman"/>
                <w:sz w:val="21"/>
                <w:szCs w:val="21"/>
                <w:color w:val="008000"/>
                <w:w w:val="91"/>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511,367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02/03/2021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1,700</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174.78</w:t>
            </w:r>
            <w:r>
              <w:rPr>
                <w:rFonts w:ascii="Times New Roman" w:cs="Times New Roman" w:eastAsia="Times New Roman" w:hAnsi="Times New Roman"/>
                <w:sz w:val="21"/>
                <w:szCs w:val="21"/>
                <w:color w:val="008000"/>
                <w:w w:val="90"/>
                <w:vertAlign w:val="superscript"/>
              </w:rPr>
              <w:t>(11)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509,667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02/04/2021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112,500</w:t>
            </w:r>
          </w:p>
        </w:tc>
        <w:tc>
          <w:tcPr>
            <w:tcW w:w="500" w:type="dxa"/>
            <w:vAlign w:val="bottom"/>
          </w:tcPr>
          <w:p>
            <w:pPr>
              <w:jc w:val="center"/>
              <w:ind w:right="6"/>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Pr>
          <w:p>
            <w:pPr>
              <w:jc w:val="center"/>
              <w:ind w:left="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622,167</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6,205</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168.5666</w:t>
            </w:r>
            <w:r>
              <w:rPr>
                <w:rFonts w:ascii="Times New Roman" w:cs="Times New Roman" w:eastAsia="Times New Roman" w:hAnsi="Times New Roman"/>
                <w:sz w:val="21"/>
                <w:szCs w:val="21"/>
                <w:color w:val="008000"/>
                <w:w w:val="91"/>
                <w:vertAlign w:val="superscript"/>
              </w:rPr>
              <w:t>(12)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615,962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11,402</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169.5099</w:t>
            </w:r>
            <w:r>
              <w:rPr>
                <w:rFonts w:ascii="Times New Roman" w:cs="Times New Roman" w:eastAsia="Times New Roman" w:hAnsi="Times New Roman"/>
                <w:sz w:val="21"/>
                <w:szCs w:val="21"/>
                <w:color w:val="008000"/>
                <w:w w:val="91"/>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604,560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57,502</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170.7869</w:t>
            </w:r>
            <w:r>
              <w:rPr>
                <w:rFonts w:ascii="Times New Roman" w:cs="Times New Roman" w:eastAsia="Times New Roman" w:hAnsi="Times New Roman"/>
                <w:sz w:val="21"/>
                <w:szCs w:val="21"/>
                <w:color w:val="008000"/>
                <w:w w:val="91"/>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547,058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02/04/2021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37,391</w:t>
            </w:r>
          </w:p>
        </w:tc>
        <w:tc>
          <w:tcPr>
            <w:tcW w:w="500" w:type="dxa"/>
            <w:vAlign w:val="bottom"/>
            <w:tcBorders>
              <w:bottom w:val="single" w:sz="8" w:color="2C2C2C"/>
            </w:tcBorders>
          </w:tcPr>
          <w:p>
            <w:pPr>
              <w:jc w:val="center"/>
              <w:ind w:right="6"/>
              <w:spacing w:after="0"/>
              <w:rPr>
                <w:sz w:val="20"/>
                <w:szCs w:val="20"/>
                <w:color w:val="auto"/>
              </w:rPr>
            </w:pPr>
            <w:r>
              <w:rPr>
                <w:rFonts w:ascii="Times New Roman" w:cs="Times New Roman" w:eastAsia="Times New Roman" w:hAnsi="Times New Roman"/>
                <w:sz w:val="17"/>
                <w:szCs w:val="17"/>
                <w:color w:val="0000FF"/>
                <w:w w:val="81"/>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171.3921</w:t>
            </w:r>
            <w:r>
              <w:rPr>
                <w:rFonts w:ascii="Times New Roman" w:cs="Times New Roman" w:eastAsia="Times New Roman" w:hAnsi="Times New Roman"/>
                <w:sz w:val="21"/>
                <w:szCs w:val="21"/>
                <w:color w:val="008000"/>
                <w:w w:val="91"/>
                <w:vertAlign w:val="superscript"/>
              </w:rPr>
              <w:t>(15)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509,667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308.5012</w:t>
            </w:r>
            <w:r>
              <w:rPr>
                <w:rFonts w:ascii="Times New Roman" w:cs="Times New Roman" w:eastAsia="Times New Roman" w:hAnsi="Times New Roman"/>
                <w:sz w:val="21"/>
                <w:szCs w:val="21"/>
                <w:color w:val="008000"/>
                <w:w w:val="89"/>
                <w:vertAlign w:val="superscript"/>
              </w:rPr>
              <w:t>(16)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47,826</w:t>
            </w:r>
            <w:r>
              <w:rPr>
                <w:rFonts w:ascii="Times New Roman" w:cs="Times New Roman" w:eastAsia="Times New Roman" w:hAnsi="Times New Roman"/>
                <w:sz w:val="21"/>
                <w:szCs w:val="21"/>
                <w:color w:val="008000"/>
                <w:w w:val="88"/>
                <w:vertAlign w:val="superscript"/>
              </w:rPr>
              <w:t>(17)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12,704.84</w:t>
            </w:r>
            <w:r>
              <w:rPr>
                <w:rFonts w:ascii="Times New Roman" w:cs="Times New Roman" w:eastAsia="Times New Roman" w:hAnsi="Times New Roman"/>
                <w:sz w:val="21"/>
                <w:szCs w:val="21"/>
                <w:color w:val="008000"/>
                <w:w w:val="91"/>
                <w:vertAlign w:val="superscript"/>
              </w:rPr>
              <w:t>(18)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12"/>
          </w:tcPr>
          <w:p>
            <w:pPr>
              <w:jc w:val="center"/>
              <w:ind w:left="40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Acquired (A)</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8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  (D)</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vMerge w:val="continue"/>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44.09</w:t>
            </w:r>
          </w:p>
        </w:tc>
        <w:tc>
          <w:tcPr>
            <w:tcW w:w="14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02/02/2021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0000FF"/>
                <w:w w:val="86"/>
              </w:rPr>
              <w:t>M</w:t>
            </w:r>
          </w:p>
        </w:tc>
        <w:tc>
          <w:tcPr>
            <w:tcW w:w="420" w:type="dxa"/>
            <w:vAlign w:val="bottom"/>
          </w:tcPr>
          <w:p>
            <w:pPr>
              <w:spacing w:after="0"/>
              <w:rPr>
                <w:sz w:val="17"/>
                <w:szCs w:val="17"/>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112,500</w:t>
            </w:r>
          </w:p>
        </w:tc>
        <w:tc>
          <w:tcPr>
            <w:tcW w:w="6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(19)</w:t>
            </w:r>
          </w:p>
        </w:tc>
        <w:tc>
          <w:tcPr>
            <w:tcW w:w="84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7"/>
              </w:rPr>
              <w:t>01/23/2024</w:t>
            </w:r>
          </w:p>
        </w:tc>
        <w:tc>
          <w:tcPr>
            <w:tcW w:w="1380" w:type="dxa"/>
            <w:vAlign w:val="bottom"/>
            <w:gridSpan w:val="3"/>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perscript"/>
              </w:rPr>
              <w:t>Common</w:t>
            </w:r>
            <w:r>
              <w:rPr>
                <w:rFonts w:ascii="Times New Roman" w:cs="Times New Roman" w:eastAsia="Times New Roman" w:hAnsi="Times New Roman"/>
                <w:sz w:val="15"/>
                <w:szCs w:val="15"/>
                <w:color w:val="0000FF"/>
              </w:rPr>
              <w:t xml:space="preserve">  112,500</w:t>
            </w:r>
          </w:p>
        </w:tc>
        <w:tc>
          <w:tcPr>
            <w:tcW w:w="8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ind w:left="2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-7358380</wp:posOffset>
            </wp:positionV>
            <wp:extent cx="7034530" cy="7811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7811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11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2256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5615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02/03/2021</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112,500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(19)</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01/23/2024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112,500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color w:val="0000FF"/>
              </w:rPr>
              <w:t>112,500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ind w:left="16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02/04/2021</w:t>
            </w:r>
          </w:p>
        </w:tc>
        <w:tc>
          <w:tcPr>
            <w:tcW w:w="106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112,500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(19)</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01/23/2024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112,500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$172.04 to $173.04.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$173.045 to $174.04.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$174.05 to $175.05.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$175.055 to $175.64.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$168.52 to $169.52.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$169.53 to $170.53.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$170.54 to $171.52.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$171.55 to $172.54.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50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$172.60 to $173.51.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$173.61 to $174.61.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380"/>
        <w:spacing w:after="0" w:line="250" w:lineRule="auto"/>
        <w:tabs>
          <w:tab w:leader="none" w:pos="20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$174.62 to $175.115.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$168.05 to $169.05. The Issuer undertakes to provide upon request a detailed breakout of the sale prices and the number of shares sold at each price. CancelAttach</w:t>
      </w:r>
    </w:p>
    <w:p>
      <w:pPr>
        <w:spacing w:after="0" w:line="19" w:lineRule="exact"/>
        <w:rPr>
          <w:rFonts w:ascii="Times New Roman" w:cs="Times New Roman" w:eastAsia="Times New Roman" w:hAnsi="Times New Roman"/>
          <w:sz w:val="13"/>
          <w:szCs w:val="13"/>
          <w:color w:val="008000"/>
        </w:rPr>
      </w:pPr>
    </w:p>
    <w:p>
      <w:pPr>
        <w:ind w:left="20" w:right="38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$169.07 to $170.065.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$170.12 to $171.12.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$171.13 to $171.96.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20" w:right="44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12-31-2020. (Interests in this account are denominated in units. Consequently, share amount shown is an estimate.) This statement does not include changes in beneficial ownership of shares held in this account occurring after 12-31-2020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1" w:lineRule="exact"/>
        <w:rPr>
          <w:rFonts w:ascii="Times New Roman" w:cs="Times New Roman" w:eastAsia="Times New Roman" w:hAnsi="Times New Roman"/>
          <w:sz w:val="13"/>
          <w:szCs w:val="13"/>
          <w:color w:val="008000"/>
        </w:rPr>
      </w:pPr>
    </w:p>
    <w:p>
      <w:pPr>
        <w:ind w:left="20" w:right="120"/>
        <w:spacing w:after="0" w:line="250" w:lineRule="auto"/>
        <w:tabs>
          <w:tab w:leader="none" w:pos="21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12-31-2020. (Interests in this account are denominated in units. Consequently, share amount shown is an estimate.) This statement does not include changes in beneficial ownership of shares held in such account occurring after 12-31-2020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220" w:hanging="20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23, 2015.</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Katharine Kane, Attorney In  </w:t>
      </w:r>
      <w:r>
        <w:rPr>
          <w:rFonts w:ascii="Times New Roman" w:cs="Times New Roman" w:eastAsia="Times New Roman" w:hAnsi="Times New Roman"/>
          <w:sz w:val="33"/>
          <w:szCs w:val="33"/>
          <w:color w:val="0000FF"/>
          <w:vertAlign w:val="subscript"/>
        </w:rPr>
        <w:t>02/04/2021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-26035</wp:posOffset>
            </wp:positionV>
            <wp:extent cx="1327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-21590</wp:posOffset>
            </wp:positionV>
            <wp:extent cx="180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5575935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80"/>
        <w:spacing w:after="0" w:line="330"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2021-02-04T18:41:01Z</dcterms:created>
  <dcterms:modified xsi:type="dcterms:W3CDTF">2021-02-04T18:41:01Z</dcterms:modified>
</cp:coreProperties>
</file>