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 2009</w:t>
      </w:r>
    </w:p>
    <w:p>
      <w:pPr>
        <w:spacing w:after="0" w:line="27" w:lineRule="exact"/>
        <w:rPr>
          <w:sz w:val="24"/>
          <w:szCs w:val="24"/>
          <w:color w:val="auto"/>
        </w:rPr>
      </w:pPr>
    </w:p>
    <w:p>
      <w:pPr>
        <w:ind w:left="9620"/>
        <w:spacing w:after="0"/>
        <w:rPr>
          <w:sz w:val="20"/>
          <w:szCs w:val="20"/>
          <w:color w:val="auto"/>
        </w:rPr>
      </w:pPr>
      <w:r>
        <w:rPr>
          <w:rFonts w:ascii="Arial" w:cs="Arial" w:eastAsia="Arial" w:hAnsi="Arial"/>
          <w:sz w:val="18"/>
          <w:szCs w:val="18"/>
          <w:b w:val="1"/>
          <w:bCs w:val="1"/>
          <w:color w:val="auto"/>
        </w:rPr>
        <w:t>Registration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43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Delaware</w:t>
            </w:r>
          </w:p>
        </w:tc>
        <w:tc>
          <w:tcPr>
            <w:tcW w:w="340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75-0289970</w:t>
            </w:r>
          </w:p>
        </w:tc>
      </w:tr>
      <w:tr>
        <w:trPr>
          <w:trHeight w:val="216"/>
        </w:trPr>
        <w:tc>
          <w:tcPr>
            <w:tcW w:w="43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0"/>
              </w:rPr>
              <w:t>(State or other jurisdiction of</w:t>
            </w:r>
          </w:p>
        </w:tc>
        <w:tc>
          <w:tcPr>
            <w:tcW w:w="3400" w:type="dxa"/>
            <w:vAlign w:val="bottom"/>
          </w:tcPr>
          <w:p>
            <w:pPr>
              <w:jc w:val="center"/>
              <w:ind w:left="18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3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incorporation or organization)</w:t>
            </w:r>
          </w:p>
        </w:tc>
        <w:tc>
          <w:tcPr>
            <w:tcW w:w="3400" w:type="dxa"/>
            <w:vAlign w:val="bottom"/>
          </w:tcPr>
          <w:p>
            <w:pPr>
              <w:jc w:val="center"/>
              <w:ind w:left="189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655474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75265-5474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Texas Instruments 2009 Long-Term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F. Hubach,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Secretary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75265-0199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972-995-3773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Large accelerated filer S</w:t>
            </w:r>
          </w:p>
        </w:tc>
        <w:tc>
          <w:tcPr>
            <w:tcW w:w="1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500" w:type="dxa"/>
            <w:vAlign w:val="bottom"/>
            <w:gridSpan w:val="2"/>
          </w:tcPr>
          <w:p>
            <w:pPr>
              <w:ind w:left="1160"/>
              <w:spacing w:after="0"/>
              <w:rPr>
                <w:sz w:val="20"/>
                <w:szCs w:val="20"/>
                <w:color w:val="auto"/>
              </w:rPr>
            </w:pPr>
            <w:r>
              <w:rPr>
                <w:rFonts w:ascii="Arial" w:cs="Arial" w:eastAsia="Arial" w:hAnsi="Arial"/>
                <w:sz w:val="18"/>
                <w:szCs w:val="18"/>
                <w:color w:val="auto"/>
              </w:rPr>
              <w:t>Accelerated filer</w:t>
            </w:r>
          </w:p>
        </w:tc>
        <w:tc>
          <w:tcPr>
            <w:tcW w:w="142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Non-accelerated filer</w:t>
            </w:r>
          </w:p>
        </w:tc>
        <w:tc>
          <w:tcPr>
            <w:tcW w:w="3920" w:type="dxa"/>
            <w:vAlign w:val="bottom"/>
            <w:gridSpan w:val="2"/>
          </w:tcPr>
          <w:p>
            <w:pPr>
              <w:ind w:left="400"/>
              <w:spacing w:after="0"/>
              <w:rPr>
                <w:sz w:val="20"/>
                <w:szCs w:val="20"/>
                <w:color w:val="auto"/>
              </w:rPr>
            </w:pPr>
            <w:r>
              <w:rPr>
                <w:rFonts w:ascii="Arial" w:cs="Arial" w:eastAsia="Arial" w:hAnsi="Arial"/>
                <w:sz w:val="18"/>
                <w:szCs w:val="18"/>
                <w:color w:val="auto"/>
                <w:w w:val="96"/>
              </w:rPr>
              <w:t>(Do not check if a smaller reporting company)</w:t>
            </w:r>
          </w:p>
        </w:tc>
        <w:tc>
          <w:tcPr>
            <w:tcW w:w="3500" w:type="dxa"/>
            <w:vAlign w:val="bottom"/>
            <w:gridSpan w:val="2"/>
          </w:tcPr>
          <w:p>
            <w:pPr>
              <w:ind w:left="1160"/>
              <w:spacing w:after="0"/>
              <w:rPr>
                <w:sz w:val="20"/>
                <w:szCs w:val="20"/>
                <w:color w:val="auto"/>
              </w:rPr>
            </w:pPr>
            <w:r>
              <w:rPr>
                <w:rFonts w:ascii="Arial" w:cs="Arial" w:eastAsia="Arial" w:hAnsi="Arial"/>
                <w:sz w:val="18"/>
                <w:szCs w:val="18"/>
                <w:color w:val="auto"/>
              </w:rPr>
              <w:t>Smaller reporting company</w:t>
            </w:r>
          </w:p>
        </w:tc>
        <w:tc>
          <w:tcPr>
            <w:tcW w:w="1420" w:type="dxa"/>
            <w:vAlign w:val="bottom"/>
          </w:tcPr>
          <w:p>
            <w:pPr>
              <w:spacing w:after="0"/>
              <w:rPr>
                <w:sz w:val="20"/>
                <w:szCs w:val="20"/>
                <w:color w:val="auto"/>
              </w:rPr>
            </w:pPr>
          </w:p>
        </w:tc>
      </w:tr>
      <w:tr>
        <w:trPr>
          <w:trHeight w:val="459"/>
        </w:trPr>
        <w:tc>
          <w:tcPr>
            <w:tcW w:w="2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20" w:type="dxa"/>
            <w:vAlign w:val="bottom"/>
            <w:gridSpan w:val="2"/>
          </w:tcPr>
          <w:p>
            <w:pPr>
              <w:jc w:val="center"/>
              <w:ind w:right="430"/>
              <w:spacing w:after="0"/>
              <w:rPr>
                <w:sz w:val="20"/>
                <w:szCs w:val="20"/>
                <w:color w:val="auto"/>
              </w:rPr>
            </w:pPr>
            <w:r>
              <w:rPr>
                <w:rFonts w:ascii="Arial" w:cs="Arial" w:eastAsia="Arial" w:hAnsi="Arial"/>
                <w:sz w:val="18"/>
                <w:szCs w:val="18"/>
                <w:b w:val="1"/>
                <w:bCs w:val="1"/>
                <w:color w:val="auto"/>
              </w:rPr>
              <w:t>CALCULATION OF REGISTRATION FEE</w:t>
            </w:r>
          </w:p>
        </w:tc>
        <w:tc>
          <w:tcPr>
            <w:tcW w:w="19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4"/>
        </w:trPr>
        <w:tc>
          <w:tcPr>
            <w:tcW w:w="2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Proposed</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42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Maximum</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42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40" w:type="dxa"/>
            <w:vAlign w:val="bottom"/>
          </w:tcPr>
          <w:p>
            <w:pPr>
              <w:jc w:val="center"/>
              <w:ind w:left="810"/>
              <w:spacing w:after="0"/>
              <w:rPr>
                <w:sz w:val="20"/>
                <w:szCs w:val="20"/>
                <w:color w:val="auto"/>
              </w:rPr>
            </w:pPr>
            <w:r>
              <w:rPr>
                <w:rFonts w:ascii="Arial" w:cs="Arial" w:eastAsia="Arial" w:hAnsi="Arial"/>
                <w:sz w:val="18"/>
                <w:szCs w:val="18"/>
                <w:b w:val="1"/>
                <w:bCs w:val="1"/>
                <w:color w:val="auto"/>
                <w:w w:val="91"/>
              </w:rPr>
              <w:t>Amount to be</w:t>
            </w: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Offering Price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42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Registration</w:t>
            </w:r>
          </w:p>
        </w:tc>
      </w:tr>
      <w:tr>
        <w:trPr>
          <w:trHeight w:val="241"/>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Title of Each Class of Securities to be Registered</w:t>
            </w:r>
          </w:p>
        </w:tc>
        <w:tc>
          <w:tcPr>
            <w:tcW w:w="264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b w:val="1"/>
                <w:bCs w:val="1"/>
                <w:color w:val="auto"/>
                <w:w w:val="89"/>
              </w:rPr>
              <w:t>Registered*</w:t>
            </w:r>
          </w:p>
        </w:tc>
        <w:tc>
          <w:tcPr>
            <w:tcW w:w="15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Per Share**</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Offering Price**</w:t>
            </w:r>
          </w:p>
        </w:tc>
        <w:tc>
          <w:tcPr>
            <w:tcW w:w="14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rPr>
              <w:t>Fee**</w:t>
            </w:r>
          </w:p>
        </w:tc>
      </w:tr>
      <w:tr>
        <w:trPr>
          <w:trHeight w:val="223"/>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($1 par value)</w:t>
            </w:r>
          </w:p>
        </w:tc>
        <w:tc>
          <w:tcPr>
            <w:tcW w:w="12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75,000,000</w:t>
            </w: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$17.345</w:t>
            </w:r>
          </w:p>
        </w:tc>
        <w:tc>
          <w:tcPr>
            <w:tcW w:w="1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$130,087,500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$72,588.83</w:t>
            </w:r>
          </w:p>
        </w:tc>
      </w:tr>
    </w:tbl>
    <w:p>
      <w:pPr>
        <w:spacing w:after="0" w:line="200" w:lineRule="exact"/>
        <w:rPr>
          <w:sz w:val="24"/>
          <w:szCs w:val="24"/>
          <w:color w:val="auto"/>
        </w:rPr>
      </w:pPr>
    </w:p>
    <w:p>
      <w:pPr>
        <w:spacing w:after="0" w:line="272" w:lineRule="exact"/>
        <w:rPr>
          <w:sz w:val="24"/>
          <w:szCs w:val="24"/>
          <w:color w:val="auto"/>
        </w:rPr>
      </w:pPr>
    </w:p>
    <w:p>
      <w:pPr>
        <w:ind w:left="500" w:right="300" w:hanging="492"/>
        <w:spacing w:after="0" w:line="258"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an indeterminate number of additional shares which may be offered or issued to prevent dilution resulting from stock splits, stock dividends or similar transactions.</w:t>
      </w:r>
    </w:p>
    <w:p>
      <w:pPr>
        <w:spacing w:after="0" w:line="1" w:lineRule="exact"/>
        <w:rPr>
          <w:sz w:val="24"/>
          <w:szCs w:val="24"/>
          <w:color w:val="auto"/>
        </w:rPr>
      </w:pPr>
    </w:p>
    <w:p>
      <w:pPr>
        <w:ind w:left="500" w:right="80" w:hanging="492"/>
        <w:spacing w:after="0" w:line="261"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Computed on the basis of the average of the high and low prices for the common stock on April 29, 2009, which is used in the estimated offering price solely for the purpose of determining the registration fee in accordance with Rule 457 under the Securities Act of 1933.</w:t>
      </w:r>
    </w:p>
    <w:p>
      <w:pPr>
        <w:sectPr>
          <w:pgSz w:w="11900" w:h="16838" w:orient="portrait"/>
          <w:cols w:equalWidth="0" w:num="1">
            <w:col w:w="11420"/>
          </w:cols>
          <w:pgMar w:left="240" w:top="715" w:right="239" w:bottom="0" w:gutter="0" w:footer="0" w:header="0"/>
        </w:sectPr>
      </w:pPr>
    </w:p>
    <w:bookmarkStart w:id="1" w:name="page2"/>
    <w:bookmarkEnd w:id="1"/>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3. Incorporation of Documents by Reference</w:t>
      </w:r>
    </w:p>
    <w:p>
      <w:pPr>
        <w:spacing w:after="0" w:line="25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following documents have been filed by Texas Instruments Incorporated (the “Company”) with the Securities and Exchange Commission (the “Commission”) pursuant to the Securities Exchange Act of 1934 (the “Exchange Act”) and are incorporated herein by reference and made a part of this registration statement:</w:t>
      </w:r>
    </w:p>
    <w:p>
      <w:pPr>
        <w:spacing w:after="0" w:line="208"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2008;</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2009;</w:t>
      </w:r>
    </w:p>
    <w:p>
      <w:pPr>
        <w:spacing w:after="0" w:line="252" w:lineRule="exact"/>
        <w:rPr>
          <w:rFonts w:ascii="Arial" w:cs="Arial" w:eastAsia="Arial" w:hAnsi="Arial"/>
          <w:sz w:val="18"/>
          <w:szCs w:val="18"/>
          <w:color w:val="auto"/>
        </w:rPr>
      </w:pPr>
    </w:p>
    <w:p>
      <w:pPr>
        <w:ind w:right="20" w:firstLine="8"/>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Current Reports on Form 8-K filed January 7, 2009, January 26, 2009, March 9, 2009, March 19, 2009; April 17, 2009 and April 20, 2009; and</w:t>
      </w:r>
    </w:p>
    <w:p>
      <w:pPr>
        <w:spacing w:after="0" w:line="197" w:lineRule="exact"/>
        <w:rPr>
          <w:rFonts w:ascii="Arial" w:cs="Arial" w:eastAsia="Arial" w:hAnsi="Arial"/>
          <w:sz w:val="18"/>
          <w:szCs w:val="18"/>
          <w:color w:val="auto"/>
        </w:rPr>
      </w:pPr>
    </w:p>
    <w:p>
      <w:pPr>
        <w:ind w:right="80" w:firstLine="8"/>
        <w:spacing w:after="0" w:line="308" w:lineRule="auto"/>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description of the Company’s common stock contained in its Registration Statements on Form 10 filed with the Commission pursuant to Section 12 of the Exchange Act together with any amendment or report filed with the Commission for the purpose of updating such description.</w:t>
      </w:r>
    </w:p>
    <w:p>
      <w:pPr>
        <w:spacing w:after="0" w:line="17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All documents filed by the Company with the Commission pursuant to Sections 13(a), 13(c), 14, or 15(d) of the Exchange Act subsequent to the date of this Registration Statement and prior to the filing of a post-effective amendment which indicates that all securities offered hereby have been sold or which deregisters all securities then remaining unsold, shall be deemed to be incorporated herein by reference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or is deemed to be incorporated by reference herein modifies or supersedes such statement. Any such statements so modified or superseded shall not be deemed, except as so modified or superseded, to constitute a part of this Registration Statement.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Item 4. Description of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Interests of Named Experts and Counsel</w:t>
      </w:r>
    </w:p>
    <w:p>
      <w:pPr>
        <w:spacing w:after="0" w:line="252"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Joseph F. Hubach, Senior Vice President and General Counsel of the Company, has given an opinion on the validity of the security being registered. Mr. Hubach beneficially owns common stock of the Company and, as a participant in the Company’s equity compensation plans, holds options and restricted stock units for Company stock. He is eligible to receive awards under the Texas Instruments 2009 Long-Term Incentive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Item 6. Indemnification of Directors and Officers</w:t>
      </w:r>
    </w:p>
    <w:p>
      <w:pPr>
        <w:spacing w:after="0" w:line="25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such person shall be indemnified against expenses (including attorneys’ fees) actually and reasonably incurred by such person in connection therewith. The determination that the person to be indemnified met the applicable standard of conduct, if not made by a court and if such person is a director or officer at the time of such determination, is made by the directors of the corporation by a majority vote of the directors not party to such an action, suit or proceeding even though less than a quorum, by a committee of such directors designated by a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200" w:lineRule="exact"/>
        <w:rPr>
          <w:sz w:val="20"/>
          <w:szCs w:val="20"/>
          <w:color w:val="auto"/>
        </w:rPr>
      </w:pPr>
    </w:p>
    <w:p>
      <w:pPr>
        <w:spacing w:after="0" w:line="21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above-described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pacing w:after="0" w:line="1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Article VI, Section 2 of the Company’s By-laws provides that the Company shall indemnify its officers and directors for such expenses, judgments, fines and amounts paid in settlement to the full extent permitted by the laws of the State of Delaware.</w:t>
      </w:r>
    </w:p>
    <w:p>
      <w:pPr>
        <w:spacing w:after="0" w:line="19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Article Seventh of the Company’s Restated Certificate of Incorporation contains such a provision.</w:t>
      </w:r>
    </w:p>
    <w:p>
      <w:pPr>
        <w:sectPr>
          <w:pgSz w:w="11900" w:h="16838" w:orient="portrait"/>
          <w:cols w:equalWidth="0" w:num="1">
            <w:col w:w="11420"/>
          </w:cols>
          <w:pgMar w:left="240" w:top="517" w:right="239" w:bottom="0" w:gutter="0" w:footer="0" w:header="0"/>
        </w:sectPr>
      </w:pPr>
    </w:p>
    <w:bookmarkStart w:id="3" w:name="page4"/>
    <w:bookmarkEnd w:id="3"/>
    <w:p>
      <w:pPr>
        <w:spacing w:after="0" w:line="342" w:lineRule="auto"/>
        <w:rPr>
          <w:sz w:val="20"/>
          <w:szCs w:val="20"/>
          <w:color w:val="auto"/>
        </w:rPr>
      </w:pPr>
      <w:r>
        <w:rPr>
          <w:rFonts w:ascii="Arial" w:cs="Arial" w:eastAsia="Arial" w:hAnsi="Arial"/>
          <w:sz w:val="16"/>
          <w:szCs w:val="16"/>
          <w:color w:val="auto"/>
        </w:rPr>
        <w:t>Under insurance policies of the Company, directors and officers of the Company may be indemnified against certain losses arising from certain claims, including claims under the Securities Act of 1933, which may be made against such persons by reason of their being such directors or officers.</w:t>
      </w:r>
    </w:p>
    <w:p>
      <w:pPr>
        <w:spacing w:after="0" w:line="39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25" w:right="7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Item 7. Exemption from Registration Claimed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8. Exhibits</w:t>
      </w:r>
    </w:p>
    <w:p>
      <w:pPr>
        <w:spacing w:after="0" w:line="252" w:lineRule="exact"/>
        <w:rPr>
          <w:sz w:val="20"/>
          <w:szCs w:val="20"/>
          <w:color w:val="auto"/>
        </w:rPr>
      </w:pPr>
    </w:p>
    <w:p>
      <w:pPr>
        <w:ind w:right="8260" w:firstLine="8"/>
        <w:spacing w:after="0" w:line="291" w:lineRule="auto"/>
        <w:tabs>
          <w:tab w:leader="none" w:pos="608" w:val="left"/>
        </w:tabs>
        <w:numPr>
          <w:ilvl w:val="0"/>
          <w:numId w:val="4"/>
        </w:numPr>
        <w:rPr>
          <w:rFonts w:ascii="Arial" w:cs="Arial" w:eastAsia="Arial" w:hAnsi="Arial"/>
          <w:sz w:val="16"/>
          <w:szCs w:val="16"/>
          <w:color w:val="auto"/>
        </w:rPr>
      </w:pPr>
      <w:r>
        <w:rPr>
          <w:rFonts w:ascii="Arial" w:cs="Arial" w:eastAsia="Arial" w:hAnsi="Arial"/>
          <w:sz w:val="16"/>
          <w:szCs w:val="16"/>
          <w:color w:val="auto"/>
        </w:rPr>
        <w:t>Opinion of Joseph F. Hubach, Esq. 23(a) Consent of Ernst &amp; Young LLP.</w:t>
      </w:r>
    </w:p>
    <w:p>
      <w:pPr>
        <w:spacing w:after="0"/>
        <w:rPr>
          <w:rFonts w:ascii="Arial" w:cs="Arial" w:eastAsia="Arial" w:hAnsi="Arial"/>
          <w:sz w:val="16"/>
          <w:szCs w:val="16"/>
          <w:color w:val="auto"/>
        </w:rPr>
      </w:pPr>
      <w:r>
        <w:rPr>
          <w:rFonts w:ascii="Arial" w:cs="Arial" w:eastAsia="Arial" w:hAnsi="Arial"/>
          <w:sz w:val="18"/>
          <w:szCs w:val="18"/>
          <w:color w:val="auto"/>
        </w:rPr>
        <w:t>23(b)   Consent of Joseph F. Hubach, Esq. (included in Exhibit 5).</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24</w:t>
      </w:r>
      <w:r>
        <w:rPr>
          <w:rFonts w:ascii="Arial" w:cs="Arial" w:eastAsia="Arial" w:hAnsi="Arial"/>
          <w:sz w:val="16"/>
          <w:szCs w:val="16"/>
          <w:color w:val="auto"/>
        </w:rPr>
        <w:t>Power of Attorney (included on signature pages).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Item 9. Undertakings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undertakes:</w:t>
      </w:r>
    </w:p>
    <w:p>
      <w:pPr>
        <w:spacing w:after="0" w:line="252" w:lineRule="exact"/>
        <w:rPr>
          <w:sz w:val="20"/>
          <w:szCs w:val="20"/>
          <w:color w:val="auto"/>
        </w:rPr>
      </w:pPr>
    </w:p>
    <w:p>
      <w:pPr>
        <w:ind w:left="180" w:right="340" w:hanging="10"/>
        <w:spacing w:after="0" w:line="277" w:lineRule="auto"/>
        <w:tabs>
          <w:tab w:leader="none" w:pos="4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the securities registered hereby, a post-effective amendment to this registration statement:</w:t>
      </w:r>
    </w:p>
    <w:p>
      <w:pPr>
        <w:spacing w:after="0" w:line="197" w:lineRule="exact"/>
        <w:rPr>
          <w:sz w:val="20"/>
          <w:szCs w:val="20"/>
          <w:color w:val="auto"/>
        </w:rPr>
      </w:pPr>
    </w:p>
    <w:p>
      <w:pPr>
        <w:ind w:left="380" w:hanging="21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180" w:hanging="10"/>
        <w:spacing w:after="0" w:line="342" w:lineRule="auto"/>
        <w:tabs>
          <w:tab w:leader="none" w:pos="445"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50" w:lineRule="exact"/>
        <w:rPr>
          <w:rFonts w:ascii="Arial" w:cs="Arial" w:eastAsia="Arial" w:hAnsi="Arial"/>
          <w:sz w:val="16"/>
          <w:szCs w:val="16"/>
          <w:color w:val="auto"/>
        </w:rPr>
      </w:pPr>
    </w:p>
    <w:p>
      <w:pPr>
        <w:ind w:left="180" w:right="480" w:hanging="10"/>
        <w:spacing w:after="0" w:line="277"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97" w:lineRule="exact"/>
        <w:rPr>
          <w:sz w:val="20"/>
          <w:szCs w:val="20"/>
          <w:color w:val="auto"/>
        </w:rPr>
      </w:pPr>
    </w:p>
    <w:p>
      <w:pPr>
        <w:ind w:left="180" w:right="240"/>
        <w:spacing w:after="0" w:line="264" w:lineRule="auto"/>
        <w:rPr>
          <w:sz w:val="20"/>
          <w:szCs w:val="20"/>
          <w:color w:val="auto"/>
        </w:rPr>
      </w:pPr>
      <w:r>
        <w:rPr>
          <w:rFonts w:ascii="Arial" w:cs="Arial" w:eastAsia="Arial" w:hAnsi="Arial"/>
          <w:sz w:val="18"/>
          <w:szCs w:val="18"/>
          <w:color w:val="auto"/>
        </w:rPr>
        <w:t>provided, however, that the undertakings set forth in paragraphs 1(i) and 1(ii) above do not apply if the information required to be included in a post-effective amendment by those paragraphs is contained in periodic reports filed by the Company pursuant to Section 13 or Section 15(d) of the Securities Exchange Act of 1934 that are incorporated by reference in this registration statement.</w:t>
      </w:r>
    </w:p>
    <w:p>
      <w:pPr>
        <w:spacing w:after="0" w:line="208" w:lineRule="exact"/>
        <w:rPr>
          <w:sz w:val="20"/>
          <w:szCs w:val="20"/>
          <w:color w:val="auto"/>
        </w:rPr>
      </w:pPr>
    </w:p>
    <w:p>
      <w:pPr>
        <w:ind w:left="180" w:right="260" w:hanging="10"/>
        <w:spacing w:after="0" w:line="264" w:lineRule="auto"/>
        <w:tabs>
          <w:tab w:leader="none" w:pos="4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08" w:lineRule="exact"/>
        <w:rPr>
          <w:rFonts w:ascii="Arial" w:cs="Arial" w:eastAsia="Arial" w:hAnsi="Arial"/>
          <w:sz w:val="18"/>
          <w:szCs w:val="18"/>
          <w:color w:val="auto"/>
        </w:rPr>
      </w:pPr>
    </w:p>
    <w:p>
      <w:pPr>
        <w:ind w:left="180" w:right="200" w:hanging="10"/>
        <w:spacing w:after="0" w:line="277" w:lineRule="auto"/>
        <w:tabs>
          <w:tab w:leader="none" w:pos="4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hereby further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Company pursuant to the provisions set forth or described in Item 6 of this registration statement, or otherwise, the Company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a successful defense of any action, suit or proceeding) is asserted against the Company by such director, officer or controlling person in connection with the securities registered hereby, the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5" w:name="page6"/>
    <w:bookmarkEnd w:id="5"/>
    <w:p>
      <w:pPr>
        <w:jc w:val="center"/>
        <w:ind w:right="-19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and State of Texas, on the 30th day of April, 2009.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568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2670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60" w:right="4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POWER OF ATTORNEY</w:t>
      </w:r>
    </w:p>
    <w:p>
      <w:pPr>
        <w:spacing w:after="0" w:line="25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KNOW ALL MEN BY THESE PRESENTS, that the undersigned constitutes and appoints RICHARD K. TEMPLETON, JOSEPH F. HUBACH and KEVIN P. MARCH, and each of them, with full power to act without the others, his or her true and lawful attorneys-in-fact and agents, with full and several power of substitution, for him or her and in his or her name, place and stead, in any and all capacities, to sign the Registration Statement on Form S-8 under the Securities Act of 1933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or her substitutes, may lawfully do or cause to be done by virtue hereof.</w:t>
      </w:r>
    </w:p>
    <w:p>
      <w:pPr>
        <w:spacing w:after="0" w:line="20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the 16th day of April, 2009.</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20" w:type="dxa"/>
            <w:vAlign w:val="bottom"/>
            <w:gridSpan w:val="11"/>
          </w:tcPr>
          <w:p>
            <w:pPr>
              <w:jc w:val="center"/>
              <w:ind w:right="1340"/>
              <w:spacing w:after="0"/>
              <w:rPr>
                <w:sz w:val="20"/>
                <w:szCs w:val="20"/>
                <w:color w:val="auto"/>
              </w:rPr>
            </w:pPr>
            <w:r>
              <w:rPr>
                <w:rFonts w:ascii="Arial" w:cs="Arial" w:eastAsia="Arial" w:hAnsi="Arial"/>
                <w:sz w:val="18"/>
                <w:szCs w:val="18"/>
                <w:b w:val="1"/>
                <w:bCs w:val="1"/>
                <w:color w:val="auto"/>
                <w:w w:val="89"/>
              </w:rPr>
              <w:t>Signature</w:t>
            </w:r>
          </w:p>
        </w:tc>
        <w:tc>
          <w:tcPr>
            <w:tcW w:w="6160" w:type="dxa"/>
            <w:vAlign w:val="bottom"/>
          </w:tcPr>
          <w:p>
            <w:pPr>
              <w:ind w:left="2100"/>
              <w:spacing w:after="0"/>
              <w:rPr>
                <w:sz w:val="20"/>
                <w:szCs w:val="20"/>
                <w:color w:val="auto"/>
              </w:rPr>
            </w:pPr>
            <w:r>
              <w:rPr>
                <w:rFonts w:ascii="Arial" w:cs="Arial" w:eastAsia="Arial" w:hAnsi="Arial"/>
                <w:sz w:val="18"/>
                <w:szCs w:val="18"/>
                <w:b w:val="1"/>
                <w:bCs w:val="1"/>
                <w:color w:val="auto"/>
              </w:rPr>
              <w:t>Title</w:t>
            </w:r>
          </w:p>
        </w:tc>
      </w:tr>
      <w:tr>
        <w:trPr>
          <w:trHeight w:val="419"/>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40" w:type="dxa"/>
            <w:vAlign w:val="bottom"/>
            <w:gridSpan w:val="10"/>
          </w:tcPr>
          <w:p>
            <w:pPr>
              <w:spacing w:after="0"/>
              <w:rPr>
                <w:sz w:val="20"/>
                <w:szCs w:val="20"/>
                <w:color w:val="auto"/>
              </w:rPr>
            </w:pPr>
            <w:r>
              <w:rPr>
                <w:rFonts w:ascii="Arial" w:cs="Arial" w:eastAsia="Arial" w:hAnsi="Arial"/>
                <w:sz w:val="18"/>
                <w:szCs w:val="18"/>
                <w:color w:val="auto"/>
              </w:rPr>
              <w:t>/s/ James R. Adams</w:t>
            </w:r>
          </w:p>
        </w:tc>
        <w:tc>
          <w:tcPr>
            <w:tcW w:w="6160" w:type="dxa"/>
            <w:vAlign w:val="bottom"/>
          </w:tcPr>
          <w:p>
            <w:pPr>
              <w:spacing w:after="0"/>
              <w:rPr>
                <w:sz w:val="24"/>
                <w:szCs w:val="24"/>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12"/>
          </w:tcPr>
          <w:p>
            <w:pPr>
              <w:jc w:val="center"/>
              <w:ind w:right="1280"/>
              <w:spacing w:after="0"/>
              <w:rPr>
                <w:sz w:val="20"/>
                <w:szCs w:val="20"/>
                <w:color w:val="auto"/>
              </w:rPr>
            </w:pPr>
            <w:r>
              <w:rPr>
                <w:rFonts w:ascii="Arial" w:cs="Arial" w:eastAsia="Arial" w:hAnsi="Arial"/>
                <w:sz w:val="18"/>
                <w:szCs w:val="18"/>
                <w:color w:val="auto"/>
                <w:w w:val="88"/>
              </w:rPr>
              <w:t>James R. Adams</w:t>
            </w: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13"/>
          </w:tcPr>
          <w:p>
            <w:pPr>
              <w:jc w:val="center"/>
              <w:ind w:right="1260"/>
              <w:spacing w:after="0"/>
              <w:rPr>
                <w:sz w:val="20"/>
                <w:szCs w:val="20"/>
                <w:color w:val="auto"/>
              </w:rPr>
            </w:pPr>
            <w:r>
              <w:rPr>
                <w:rFonts w:ascii="Arial" w:cs="Arial" w:eastAsia="Arial" w:hAnsi="Arial"/>
                <w:sz w:val="18"/>
                <w:szCs w:val="18"/>
                <w:color w:val="auto"/>
                <w:w w:val="93"/>
              </w:rPr>
              <w:t>/s/ David L. Boren</w:t>
            </w:r>
          </w:p>
        </w:tc>
        <w:tc>
          <w:tcPr>
            <w:tcW w:w="6160" w:type="dxa"/>
            <w:vAlign w:val="bottom"/>
          </w:tcPr>
          <w:p>
            <w:pPr>
              <w:spacing w:after="0"/>
              <w:rPr>
                <w:sz w:val="24"/>
                <w:szCs w:val="24"/>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95"/>
              </w:rPr>
              <w:t>David L. Boren</w:t>
            </w:r>
          </w:p>
        </w:tc>
        <w:tc>
          <w:tcPr>
            <w:tcW w:w="1260" w:type="dxa"/>
            <w:vAlign w:val="bottom"/>
            <w:gridSpan w:val="7"/>
          </w:tcPr>
          <w:p>
            <w:pPr>
              <w:spacing w:after="0"/>
              <w:rPr>
                <w:sz w:val="20"/>
                <w:szCs w:val="20"/>
                <w:color w:val="auto"/>
              </w:rPr>
            </w:pP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12"/>
          </w:tcPr>
          <w:p>
            <w:pPr>
              <w:jc w:val="center"/>
              <w:ind w:right="1280"/>
              <w:spacing w:after="0"/>
              <w:rPr>
                <w:sz w:val="20"/>
                <w:szCs w:val="20"/>
                <w:color w:val="auto"/>
              </w:rPr>
            </w:pPr>
            <w:r>
              <w:rPr>
                <w:rFonts w:ascii="Arial" w:cs="Arial" w:eastAsia="Arial" w:hAnsi="Arial"/>
                <w:sz w:val="18"/>
                <w:szCs w:val="18"/>
                <w:color w:val="auto"/>
                <w:w w:val="92"/>
              </w:rPr>
              <w:t>/s/ Daniel A. Carp</w:t>
            </w:r>
          </w:p>
        </w:tc>
        <w:tc>
          <w:tcPr>
            <w:tcW w:w="6160" w:type="dxa"/>
            <w:vAlign w:val="bottom"/>
          </w:tcPr>
          <w:p>
            <w:pPr>
              <w:spacing w:after="0"/>
              <w:rPr>
                <w:sz w:val="24"/>
                <w:szCs w:val="24"/>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3"/>
              </w:rPr>
              <w:t>Daniel A. Carp</w:t>
            </w:r>
          </w:p>
        </w:tc>
        <w:tc>
          <w:tcPr>
            <w:tcW w:w="1280" w:type="dxa"/>
            <w:vAlign w:val="bottom"/>
            <w:gridSpan w:val="8"/>
          </w:tcPr>
          <w:p>
            <w:pPr>
              <w:spacing w:after="0"/>
              <w:rPr>
                <w:sz w:val="20"/>
                <w:szCs w:val="20"/>
                <w:color w:val="auto"/>
              </w:rPr>
            </w:pP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/s/ Carrie S. Cox</w:t>
            </w:r>
          </w:p>
        </w:tc>
        <w:tc>
          <w:tcPr>
            <w:tcW w:w="1320" w:type="dxa"/>
            <w:vAlign w:val="bottom"/>
            <w:gridSpan w:val="9"/>
          </w:tcPr>
          <w:p>
            <w:pPr>
              <w:spacing w:after="0"/>
              <w:rPr>
                <w:sz w:val="24"/>
                <w:szCs w:val="24"/>
                <w:color w:val="auto"/>
              </w:rPr>
            </w:pPr>
          </w:p>
        </w:tc>
        <w:tc>
          <w:tcPr>
            <w:tcW w:w="6160" w:type="dxa"/>
            <w:vAlign w:val="bottom"/>
          </w:tcPr>
          <w:p>
            <w:pPr>
              <w:spacing w:after="0"/>
              <w:rPr>
                <w:sz w:val="24"/>
                <w:szCs w:val="24"/>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20" w:type="dxa"/>
            <w:vAlign w:val="bottom"/>
            <w:gridSpan w:val="11"/>
          </w:tcPr>
          <w:p>
            <w:pPr>
              <w:jc w:val="center"/>
              <w:ind w:right="1340"/>
              <w:spacing w:after="0"/>
              <w:rPr>
                <w:sz w:val="20"/>
                <w:szCs w:val="20"/>
                <w:color w:val="auto"/>
              </w:rPr>
            </w:pPr>
            <w:r>
              <w:rPr>
                <w:rFonts w:ascii="Arial" w:cs="Arial" w:eastAsia="Arial" w:hAnsi="Arial"/>
                <w:sz w:val="18"/>
                <w:szCs w:val="18"/>
                <w:color w:val="auto"/>
                <w:w w:val="90"/>
              </w:rPr>
              <w:t>Carrie S. Cox</w:t>
            </w: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gridSpan w:val="15"/>
          </w:tcPr>
          <w:p>
            <w:pPr>
              <w:jc w:val="center"/>
              <w:ind w:right="1200"/>
              <w:spacing w:after="0"/>
              <w:rPr>
                <w:sz w:val="20"/>
                <w:szCs w:val="20"/>
                <w:color w:val="auto"/>
              </w:rPr>
            </w:pPr>
            <w:r>
              <w:rPr>
                <w:rFonts w:ascii="Arial" w:cs="Arial" w:eastAsia="Arial" w:hAnsi="Arial"/>
                <w:sz w:val="18"/>
                <w:szCs w:val="18"/>
                <w:color w:val="auto"/>
                <w:w w:val="90"/>
              </w:rPr>
              <w:t>/s/ David R. Goode</w:t>
            </w:r>
          </w:p>
        </w:tc>
        <w:tc>
          <w:tcPr>
            <w:tcW w:w="6160" w:type="dxa"/>
            <w:vAlign w:val="bottom"/>
          </w:tcPr>
          <w:p>
            <w:pPr>
              <w:spacing w:after="0"/>
              <w:rPr>
                <w:sz w:val="24"/>
                <w:szCs w:val="24"/>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5"/>
          </w:tcPr>
          <w:p>
            <w:pPr>
              <w:jc w:val="center"/>
              <w:ind w:right="100"/>
              <w:spacing w:after="0"/>
              <w:rPr>
                <w:sz w:val="20"/>
                <w:szCs w:val="20"/>
                <w:color w:val="auto"/>
              </w:rPr>
            </w:pPr>
            <w:r>
              <w:rPr>
                <w:rFonts w:ascii="Arial" w:cs="Arial" w:eastAsia="Arial" w:hAnsi="Arial"/>
                <w:sz w:val="18"/>
                <w:szCs w:val="18"/>
                <w:color w:val="auto"/>
                <w:w w:val="92"/>
              </w:rPr>
              <w:t>David R. Goode</w:t>
            </w:r>
          </w:p>
        </w:tc>
        <w:tc>
          <w:tcPr>
            <w:tcW w:w="1240" w:type="dxa"/>
            <w:vAlign w:val="bottom"/>
            <w:gridSpan w:val="6"/>
          </w:tcPr>
          <w:p>
            <w:pPr>
              <w:spacing w:after="0"/>
              <w:rPr>
                <w:sz w:val="20"/>
                <w:szCs w:val="20"/>
                <w:color w:val="auto"/>
              </w:rPr>
            </w:pP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bottom w:val="single" w:sz="8" w:color="auto"/>
            </w:tcBorders>
            <w:gridSpan w:val="14"/>
          </w:tcPr>
          <w:p>
            <w:pPr>
              <w:jc w:val="center"/>
              <w:spacing w:after="0"/>
              <w:rPr>
                <w:sz w:val="20"/>
                <w:szCs w:val="20"/>
                <w:color w:val="auto"/>
              </w:rPr>
            </w:pPr>
            <w:r>
              <w:rPr>
                <w:rFonts w:ascii="Arial" w:cs="Arial" w:eastAsia="Arial" w:hAnsi="Arial"/>
                <w:sz w:val="18"/>
                <w:szCs w:val="18"/>
                <w:color w:val="auto"/>
                <w:w w:val="91"/>
              </w:rPr>
              <w:t>/s/ Stephen P. MacMillan</w:t>
            </w:r>
          </w:p>
        </w:tc>
        <w:tc>
          <w:tcPr>
            <w:tcW w:w="1020" w:type="dxa"/>
            <w:vAlign w:val="bottom"/>
            <w:gridSpan w:val="3"/>
          </w:tcPr>
          <w:p>
            <w:pPr>
              <w:spacing w:after="0"/>
              <w:rPr>
                <w:sz w:val="24"/>
                <w:szCs w:val="24"/>
                <w:color w:val="auto"/>
              </w:rPr>
            </w:pPr>
          </w:p>
        </w:tc>
        <w:tc>
          <w:tcPr>
            <w:tcW w:w="6160" w:type="dxa"/>
            <w:vAlign w:val="bottom"/>
          </w:tcPr>
          <w:p>
            <w:pPr>
              <w:spacing w:after="0"/>
              <w:rPr>
                <w:sz w:val="24"/>
                <w:szCs w:val="24"/>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17"/>
          </w:tcPr>
          <w:p>
            <w:pPr>
              <w:jc w:val="center"/>
              <w:ind w:right="1020"/>
              <w:spacing w:after="0"/>
              <w:rPr>
                <w:sz w:val="20"/>
                <w:szCs w:val="20"/>
                <w:color w:val="auto"/>
              </w:rPr>
            </w:pPr>
            <w:r>
              <w:rPr>
                <w:rFonts w:ascii="Arial" w:cs="Arial" w:eastAsia="Arial" w:hAnsi="Arial"/>
                <w:sz w:val="18"/>
                <w:szCs w:val="18"/>
                <w:color w:val="auto"/>
                <w:w w:val="90"/>
              </w:rPr>
              <w:t>Stephen P. MacMillan</w:t>
            </w: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Borders>
              <w:bottom w:val="single" w:sz="8" w:color="auto"/>
            </w:tcBorders>
            <w:gridSpan w:val="12"/>
          </w:tcPr>
          <w:p>
            <w:pPr>
              <w:jc w:val="center"/>
              <w:spacing w:after="0"/>
              <w:rPr>
                <w:sz w:val="20"/>
                <w:szCs w:val="20"/>
                <w:color w:val="auto"/>
              </w:rPr>
            </w:pPr>
            <w:r>
              <w:rPr>
                <w:rFonts w:ascii="Arial" w:cs="Arial" w:eastAsia="Arial" w:hAnsi="Arial"/>
                <w:sz w:val="18"/>
                <w:szCs w:val="18"/>
                <w:color w:val="auto"/>
                <w:w w:val="89"/>
              </w:rPr>
              <w:t>/s/ Pamela H. Patsley</w:t>
            </w:r>
          </w:p>
        </w:tc>
        <w:tc>
          <w:tcPr>
            <w:tcW w:w="1160" w:type="dxa"/>
            <w:vAlign w:val="bottom"/>
            <w:gridSpan w:val="4"/>
          </w:tcPr>
          <w:p>
            <w:pPr>
              <w:spacing w:after="0"/>
              <w:rPr>
                <w:sz w:val="24"/>
                <w:szCs w:val="24"/>
                <w:color w:val="auto"/>
              </w:rPr>
            </w:pPr>
          </w:p>
        </w:tc>
        <w:tc>
          <w:tcPr>
            <w:tcW w:w="6160" w:type="dxa"/>
            <w:vAlign w:val="bottom"/>
          </w:tcPr>
          <w:p>
            <w:pPr>
              <w:spacing w:after="0"/>
              <w:rPr>
                <w:sz w:val="24"/>
                <w:szCs w:val="24"/>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13"/>
          </w:tcPr>
          <w:p>
            <w:pPr>
              <w:jc w:val="center"/>
              <w:ind w:right="1260"/>
              <w:spacing w:after="0"/>
              <w:rPr>
                <w:sz w:val="20"/>
                <w:szCs w:val="20"/>
                <w:color w:val="auto"/>
              </w:rPr>
            </w:pPr>
            <w:r>
              <w:rPr>
                <w:rFonts w:ascii="Arial" w:cs="Arial" w:eastAsia="Arial" w:hAnsi="Arial"/>
                <w:sz w:val="18"/>
                <w:szCs w:val="18"/>
                <w:color w:val="auto"/>
                <w:w w:val="87"/>
              </w:rPr>
              <w:t>Pamela H. Patsley</w:t>
            </w: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Borders>
              <w:bottom w:val="single" w:sz="8" w:color="auto"/>
            </w:tcBorders>
            <w:gridSpan w:val="12"/>
          </w:tcPr>
          <w:p>
            <w:pPr>
              <w:jc w:val="center"/>
              <w:spacing w:after="0"/>
              <w:rPr>
                <w:sz w:val="20"/>
                <w:szCs w:val="20"/>
                <w:color w:val="auto"/>
              </w:rPr>
            </w:pPr>
            <w:r>
              <w:rPr>
                <w:rFonts w:ascii="Arial" w:cs="Arial" w:eastAsia="Arial" w:hAnsi="Arial"/>
                <w:sz w:val="18"/>
                <w:szCs w:val="18"/>
                <w:color w:val="auto"/>
                <w:w w:val="87"/>
              </w:rPr>
              <w:t>/s/ Wayne R. Sanders</w:t>
            </w:r>
          </w:p>
        </w:tc>
        <w:tc>
          <w:tcPr>
            <w:tcW w:w="1160" w:type="dxa"/>
            <w:vAlign w:val="bottom"/>
            <w:gridSpan w:val="4"/>
          </w:tcPr>
          <w:p>
            <w:pPr>
              <w:spacing w:after="0"/>
              <w:rPr>
                <w:sz w:val="24"/>
                <w:szCs w:val="24"/>
                <w:color w:val="auto"/>
              </w:rPr>
            </w:pPr>
          </w:p>
        </w:tc>
        <w:tc>
          <w:tcPr>
            <w:tcW w:w="6160" w:type="dxa"/>
            <w:vAlign w:val="bottom"/>
          </w:tcPr>
          <w:p>
            <w:pPr>
              <w:spacing w:after="0"/>
              <w:rPr>
                <w:sz w:val="24"/>
                <w:szCs w:val="24"/>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13"/>
          </w:tcPr>
          <w:p>
            <w:pPr>
              <w:jc w:val="center"/>
              <w:ind w:right="1240"/>
              <w:spacing w:after="0"/>
              <w:rPr>
                <w:sz w:val="20"/>
                <w:szCs w:val="20"/>
                <w:color w:val="auto"/>
              </w:rPr>
            </w:pPr>
            <w:r>
              <w:rPr>
                <w:rFonts w:ascii="Arial" w:cs="Arial" w:eastAsia="Arial" w:hAnsi="Arial"/>
                <w:sz w:val="18"/>
                <w:szCs w:val="18"/>
                <w:color w:val="auto"/>
                <w:w w:val="87"/>
              </w:rPr>
              <w:t>Wayne R. Sanders</w:t>
            </w: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color w:val="auto"/>
                <w:w w:val="90"/>
              </w:rPr>
              <w:t>/s/ Ruth J. Simmons</w:t>
            </w:r>
          </w:p>
        </w:tc>
        <w:tc>
          <w:tcPr>
            <w:tcW w:w="1200" w:type="dxa"/>
            <w:vAlign w:val="bottom"/>
            <w:gridSpan w:val="5"/>
          </w:tcPr>
          <w:p>
            <w:pPr>
              <w:spacing w:after="0"/>
              <w:rPr>
                <w:sz w:val="24"/>
                <w:szCs w:val="24"/>
                <w:color w:val="auto"/>
              </w:rPr>
            </w:pPr>
          </w:p>
        </w:tc>
        <w:tc>
          <w:tcPr>
            <w:tcW w:w="6160" w:type="dxa"/>
            <w:vAlign w:val="bottom"/>
          </w:tcPr>
          <w:p>
            <w:pPr>
              <w:spacing w:after="0"/>
              <w:rPr>
                <w:sz w:val="24"/>
                <w:szCs w:val="24"/>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12"/>
          </w:tcPr>
          <w:p>
            <w:pPr>
              <w:jc w:val="center"/>
              <w:ind w:right="1280"/>
              <w:spacing w:after="0"/>
              <w:rPr>
                <w:sz w:val="20"/>
                <w:szCs w:val="20"/>
                <w:color w:val="auto"/>
              </w:rPr>
            </w:pPr>
            <w:r>
              <w:rPr>
                <w:rFonts w:ascii="Arial" w:cs="Arial" w:eastAsia="Arial" w:hAnsi="Arial"/>
                <w:sz w:val="18"/>
                <w:szCs w:val="18"/>
                <w:color w:val="auto"/>
                <w:w w:val="88"/>
              </w:rPr>
              <w:t>Ruth J. Simmons</w:t>
            </w: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bottom w:val="single" w:sz="8" w:color="auto"/>
            </w:tcBorders>
            <w:gridSpan w:val="14"/>
          </w:tcPr>
          <w:p>
            <w:pPr>
              <w:jc w:val="center"/>
              <w:spacing w:after="0"/>
              <w:rPr>
                <w:sz w:val="20"/>
                <w:szCs w:val="20"/>
                <w:color w:val="auto"/>
              </w:rPr>
            </w:pPr>
            <w:r>
              <w:rPr>
                <w:rFonts w:ascii="Arial" w:cs="Arial" w:eastAsia="Arial" w:hAnsi="Arial"/>
                <w:sz w:val="18"/>
                <w:szCs w:val="18"/>
                <w:color w:val="auto"/>
                <w:w w:val="91"/>
              </w:rPr>
              <w:t>/s/ Richard K. Templeton</w:t>
            </w:r>
          </w:p>
        </w:tc>
        <w:tc>
          <w:tcPr>
            <w:tcW w:w="1020" w:type="dxa"/>
            <w:vAlign w:val="bottom"/>
            <w:gridSpan w:val="3"/>
          </w:tcPr>
          <w:p>
            <w:pPr>
              <w:spacing w:after="0"/>
              <w:rPr>
                <w:sz w:val="24"/>
                <w:szCs w:val="24"/>
                <w:color w:val="auto"/>
              </w:rPr>
            </w:pPr>
          </w:p>
        </w:tc>
        <w:tc>
          <w:tcPr>
            <w:tcW w:w="6160" w:type="dxa"/>
            <w:vAlign w:val="bottom"/>
          </w:tcPr>
          <w:p>
            <w:pPr>
              <w:spacing w:after="0"/>
              <w:rPr>
                <w:sz w:val="24"/>
                <w:szCs w:val="24"/>
                <w:color w:val="auto"/>
              </w:rPr>
            </w:pPr>
          </w:p>
        </w:tc>
      </w:tr>
      <w:tr>
        <w:trPr>
          <w:trHeight w:val="222"/>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17"/>
          </w:tcPr>
          <w:p>
            <w:pPr>
              <w:jc w:val="center"/>
              <w:ind w:right="1020"/>
              <w:spacing w:after="0"/>
              <w:rPr>
                <w:sz w:val="20"/>
                <w:szCs w:val="20"/>
                <w:color w:val="auto"/>
              </w:rPr>
            </w:pPr>
            <w:r>
              <w:rPr>
                <w:rFonts w:ascii="Arial" w:cs="Arial" w:eastAsia="Arial" w:hAnsi="Arial"/>
                <w:sz w:val="18"/>
                <w:szCs w:val="18"/>
                <w:color w:val="auto"/>
                <w:w w:val="93"/>
              </w:rPr>
              <w:t>Richard K. Templeton</w:t>
            </w:r>
          </w:p>
        </w:tc>
        <w:tc>
          <w:tcPr>
            <w:tcW w:w="6160" w:type="dxa"/>
            <w:vAlign w:val="bottom"/>
          </w:tcPr>
          <w:p>
            <w:pPr>
              <w:ind w:left="2160"/>
              <w:spacing w:after="0"/>
              <w:rPr>
                <w:sz w:val="20"/>
                <w:szCs w:val="20"/>
                <w:color w:val="auto"/>
              </w:rPr>
            </w:pPr>
            <w:r>
              <w:rPr>
                <w:rFonts w:ascii="Arial" w:cs="Arial" w:eastAsia="Arial" w:hAnsi="Arial"/>
                <w:sz w:val="18"/>
                <w:szCs w:val="18"/>
                <w:color w:val="auto"/>
              </w:rPr>
              <w:t>Chairman; President;</w:t>
            </w:r>
          </w:p>
        </w:tc>
      </w:tr>
      <w:tr>
        <w:trPr>
          <w:trHeight w:val="222"/>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160" w:type="dxa"/>
            <w:vAlign w:val="bottom"/>
          </w:tcPr>
          <w:p>
            <w:pPr>
              <w:ind w:left="2160"/>
              <w:spacing w:after="0"/>
              <w:rPr>
                <w:sz w:val="20"/>
                <w:szCs w:val="20"/>
                <w:color w:val="auto"/>
              </w:rPr>
            </w:pPr>
            <w:r>
              <w:rPr>
                <w:rFonts w:ascii="Arial" w:cs="Arial" w:eastAsia="Arial" w:hAnsi="Arial"/>
                <w:sz w:val="18"/>
                <w:szCs w:val="18"/>
                <w:color w:val="auto"/>
              </w:rPr>
              <w:t>Chief Executive Officer;</w:t>
            </w:r>
          </w:p>
        </w:tc>
      </w:tr>
      <w:tr>
        <w:trPr>
          <w:trHeight w:val="222"/>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394"/>
        </w:trPr>
        <w:tc>
          <w:tcPr>
            <w:tcW w:w="2320" w:type="dxa"/>
            <w:vAlign w:val="bottom"/>
          </w:tcPr>
          <w:p>
            <w:pPr>
              <w:spacing w:after="0"/>
              <w:rPr>
                <w:sz w:val="24"/>
                <w:szCs w:val="24"/>
                <w:color w:val="auto"/>
              </w:rPr>
            </w:pPr>
          </w:p>
        </w:tc>
        <w:tc>
          <w:tcPr>
            <w:tcW w:w="2020" w:type="dxa"/>
            <w:vAlign w:val="bottom"/>
            <w:tcBorders>
              <w:bottom w:val="single" w:sz="8" w:color="auto"/>
            </w:tcBorders>
            <w:gridSpan w:val="16"/>
          </w:tcPr>
          <w:p>
            <w:pPr>
              <w:jc w:val="center"/>
              <w:spacing w:after="0"/>
              <w:rPr>
                <w:sz w:val="20"/>
                <w:szCs w:val="20"/>
                <w:color w:val="auto"/>
              </w:rPr>
            </w:pPr>
            <w:r>
              <w:rPr>
                <w:rFonts w:ascii="Arial" w:cs="Arial" w:eastAsia="Arial" w:hAnsi="Arial"/>
                <w:sz w:val="18"/>
                <w:szCs w:val="18"/>
                <w:color w:val="auto"/>
                <w:w w:val="93"/>
              </w:rPr>
              <w:t>/s/ Christine Todd Whitman</w:t>
            </w:r>
          </w:p>
        </w:tc>
        <w:tc>
          <w:tcPr>
            <w:tcW w:w="920" w:type="dxa"/>
            <w:vAlign w:val="bottom"/>
            <w:gridSpan w:val="2"/>
          </w:tcPr>
          <w:p>
            <w:pPr>
              <w:spacing w:after="0"/>
              <w:rPr>
                <w:sz w:val="24"/>
                <w:szCs w:val="24"/>
                <w:color w:val="auto"/>
              </w:rPr>
            </w:pPr>
          </w:p>
        </w:tc>
        <w:tc>
          <w:tcPr>
            <w:tcW w:w="6160" w:type="dxa"/>
            <w:vAlign w:val="bottom"/>
          </w:tcPr>
          <w:p>
            <w:pPr>
              <w:spacing w:after="0"/>
              <w:rPr>
                <w:sz w:val="24"/>
                <w:szCs w:val="24"/>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17"/>
          </w:tcPr>
          <w:p>
            <w:pPr>
              <w:jc w:val="center"/>
              <w:ind w:right="1020"/>
              <w:spacing w:after="0"/>
              <w:rPr>
                <w:sz w:val="20"/>
                <w:szCs w:val="20"/>
                <w:color w:val="auto"/>
              </w:rPr>
            </w:pPr>
            <w:r>
              <w:rPr>
                <w:rFonts w:ascii="Arial" w:cs="Arial" w:eastAsia="Arial" w:hAnsi="Arial"/>
                <w:sz w:val="18"/>
                <w:szCs w:val="18"/>
                <w:color w:val="auto"/>
                <w:w w:val="92"/>
              </w:rPr>
              <w:t>Christine Todd Whitman</w:t>
            </w:r>
          </w:p>
        </w:tc>
        <w:tc>
          <w:tcPr>
            <w:tcW w:w="6160" w:type="dxa"/>
            <w:vAlign w:val="bottom"/>
          </w:tcPr>
          <w:p>
            <w:pPr>
              <w:ind w:left="2160"/>
              <w:spacing w:after="0"/>
              <w:rPr>
                <w:sz w:val="20"/>
                <w:szCs w:val="20"/>
                <w:color w:val="auto"/>
              </w:rPr>
            </w:pPr>
            <w:r>
              <w:rPr>
                <w:rFonts w:ascii="Arial" w:cs="Arial" w:eastAsia="Arial" w:hAnsi="Arial"/>
                <w:sz w:val="18"/>
                <w:szCs w:val="18"/>
                <w:color w:val="auto"/>
              </w:rPr>
              <w:t>Director</w:t>
            </w:r>
          </w:p>
        </w:tc>
      </w:tr>
      <w:tr>
        <w:trPr>
          <w:trHeight w:val="60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13"/>
          </w:tcPr>
          <w:p>
            <w:pPr>
              <w:jc w:val="center"/>
              <w:ind w:right="1260"/>
              <w:spacing w:after="0"/>
              <w:rPr>
                <w:sz w:val="20"/>
                <w:szCs w:val="20"/>
                <w:color w:val="auto"/>
              </w:rPr>
            </w:pPr>
            <w:r>
              <w:rPr>
                <w:rFonts w:ascii="Arial" w:cs="Arial" w:eastAsia="Arial" w:hAnsi="Arial"/>
                <w:sz w:val="18"/>
                <w:szCs w:val="18"/>
                <w:color w:val="auto"/>
                <w:w w:val="91"/>
              </w:rPr>
              <w:t>/s/ Kevin P. March</w:t>
            </w:r>
          </w:p>
        </w:tc>
        <w:tc>
          <w:tcPr>
            <w:tcW w:w="6160" w:type="dxa"/>
            <w:vAlign w:val="bottom"/>
          </w:tcPr>
          <w:p>
            <w:pPr>
              <w:spacing w:after="0"/>
              <w:rPr>
                <w:sz w:val="24"/>
                <w:szCs w:val="24"/>
                <w:color w:val="auto"/>
              </w:rPr>
            </w:pPr>
          </w:p>
        </w:tc>
      </w:tr>
      <w:tr>
        <w:trPr>
          <w:trHeight w:val="222"/>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93"/>
              </w:rPr>
              <w:t>Kevin P. March</w:t>
            </w:r>
          </w:p>
        </w:tc>
        <w:tc>
          <w:tcPr>
            <w:tcW w:w="1260" w:type="dxa"/>
            <w:vAlign w:val="bottom"/>
            <w:gridSpan w:val="7"/>
          </w:tcPr>
          <w:p>
            <w:pPr>
              <w:spacing w:after="0"/>
              <w:rPr>
                <w:sz w:val="19"/>
                <w:szCs w:val="19"/>
                <w:color w:val="auto"/>
              </w:rPr>
            </w:pPr>
          </w:p>
        </w:tc>
        <w:tc>
          <w:tcPr>
            <w:tcW w:w="6160" w:type="dxa"/>
            <w:vAlign w:val="bottom"/>
          </w:tcPr>
          <w:p>
            <w:pPr>
              <w:ind w:left="2160"/>
              <w:spacing w:after="0"/>
              <w:rPr>
                <w:sz w:val="20"/>
                <w:szCs w:val="20"/>
                <w:color w:val="auto"/>
              </w:rPr>
            </w:pPr>
            <w:r>
              <w:rPr>
                <w:rFonts w:ascii="Arial" w:cs="Arial" w:eastAsia="Arial" w:hAnsi="Arial"/>
                <w:sz w:val="18"/>
                <w:szCs w:val="18"/>
                <w:color w:val="auto"/>
              </w:rPr>
              <w:t>Senion Vice President;</w:t>
            </w:r>
          </w:p>
        </w:tc>
      </w:tr>
      <w:tr>
        <w:trPr>
          <w:trHeight w:val="222"/>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160" w:type="dxa"/>
            <w:vAlign w:val="bottom"/>
          </w:tcPr>
          <w:p>
            <w:pPr>
              <w:ind w:left="2160"/>
              <w:spacing w:after="0"/>
              <w:rPr>
                <w:sz w:val="20"/>
                <w:szCs w:val="20"/>
                <w:color w:val="auto"/>
              </w:rPr>
            </w:pPr>
            <w:r>
              <w:rPr>
                <w:rFonts w:ascii="Arial" w:cs="Arial" w:eastAsia="Arial" w:hAnsi="Arial"/>
                <w:sz w:val="18"/>
                <w:szCs w:val="18"/>
                <w:color w:val="auto"/>
              </w:rPr>
              <w:t>Chief Financial Officer;</w:t>
            </w:r>
          </w:p>
        </w:tc>
      </w:tr>
      <w:tr>
        <w:trPr>
          <w:trHeight w:val="222"/>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160" w:type="dxa"/>
            <w:vAlign w:val="bottom"/>
          </w:tcPr>
          <w:p>
            <w:pPr>
              <w:ind w:left="2160"/>
              <w:spacing w:after="0"/>
              <w:rPr>
                <w:sz w:val="20"/>
                <w:szCs w:val="20"/>
                <w:color w:val="auto"/>
              </w:rPr>
            </w:pPr>
            <w:r>
              <w:rPr>
                <w:rFonts w:ascii="Arial" w:cs="Arial" w:eastAsia="Arial" w:hAnsi="Arial"/>
                <w:sz w:val="18"/>
                <w:szCs w:val="18"/>
                <w:color w:val="auto"/>
              </w:rPr>
              <w:t>Chief Accounting Officer</w:t>
            </w:r>
          </w:p>
        </w:tc>
      </w:tr>
      <w:tr>
        <w:trPr>
          <w:trHeight w:val="853"/>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ind w:left="400"/>
              <w:spacing w:after="0"/>
              <w:rPr>
                <w:sz w:val="20"/>
                <w:szCs w:val="20"/>
                <w:color w:val="auto"/>
              </w:rPr>
            </w:pPr>
            <w:r>
              <w:rPr>
                <w:rFonts w:ascii="Arial" w:cs="Arial" w:eastAsia="Arial" w:hAnsi="Arial"/>
                <w:sz w:val="18"/>
                <w:szCs w:val="18"/>
                <w:color w:val="auto"/>
              </w:rPr>
              <w:t>5</w:t>
            </w:r>
          </w:p>
        </w:tc>
      </w:tr>
      <w:tr>
        <w:trPr>
          <w:trHeight w:val="118"/>
        </w:trPr>
        <w:tc>
          <w:tcPr>
            <w:tcW w:w="2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5240" w:type="dxa"/>
            <w:vAlign w:val="bottom"/>
          </w:tcPr>
          <w:p>
            <w:pPr>
              <w:ind w:left="3540"/>
              <w:spacing w:after="0"/>
              <w:rPr>
                <w:sz w:val="20"/>
                <w:szCs w:val="20"/>
                <w:color w:val="auto"/>
              </w:rPr>
            </w:pPr>
            <w:r>
              <w:rPr>
                <w:rFonts w:ascii="Arial" w:cs="Arial" w:eastAsia="Arial" w:hAnsi="Arial"/>
                <w:sz w:val="18"/>
                <w:szCs w:val="18"/>
                <w:color w:val="auto"/>
                <w:w w:val="97"/>
              </w:rPr>
              <w:t>INDEX TO EXHIBITS</w:t>
            </w:r>
          </w:p>
        </w:tc>
      </w:tr>
      <w:tr>
        <w:trPr>
          <w:trHeight w:val="657"/>
        </w:trPr>
        <w:tc>
          <w:tcPr>
            <w:tcW w:w="13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5240" w:type="dxa"/>
            <w:vAlign w:val="bottom"/>
          </w:tcPr>
          <w:p>
            <w:pPr>
              <w:spacing w:after="0"/>
              <w:rPr>
                <w:sz w:val="24"/>
                <w:szCs w:val="24"/>
                <w:color w:val="auto"/>
              </w:rPr>
            </w:pPr>
          </w:p>
        </w:tc>
      </w:t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5240" w:type="dxa"/>
            <w:vAlign w:val="bottom"/>
          </w:tcPr>
          <w:p>
            <w:pPr>
              <w:ind w:left="700"/>
              <w:spacing w:after="0"/>
              <w:rPr>
                <w:sz w:val="20"/>
                <w:szCs w:val="20"/>
                <w:color w:val="auto"/>
              </w:rPr>
            </w:pPr>
            <w:r>
              <w:rPr>
                <w:rFonts w:ascii="Arial" w:cs="Arial" w:eastAsia="Arial" w:hAnsi="Arial"/>
                <w:sz w:val="18"/>
                <w:szCs w:val="18"/>
                <w:b w:val="1"/>
                <w:bCs w:val="1"/>
                <w:color w:val="auto"/>
              </w:rPr>
              <w:t>Exhibit</w:t>
            </w:r>
          </w:p>
        </w:tc>
      </w:tr>
      <w:tr>
        <w:trPr>
          <w:trHeight w:val="445"/>
        </w:trPr>
        <w:tc>
          <w:tcPr>
            <w:tcW w:w="1320" w:type="dxa"/>
            <w:vAlign w:val="bottom"/>
          </w:tcPr>
          <w:p>
            <w:pPr>
              <w:spacing w:after="0"/>
              <w:rPr>
                <w:sz w:val="20"/>
                <w:szCs w:val="20"/>
                <w:color w:val="auto"/>
              </w:rPr>
            </w:pPr>
            <w:r>
              <w:rPr>
                <w:rFonts w:ascii="Arial" w:cs="Arial" w:eastAsia="Arial" w:hAnsi="Arial"/>
                <w:sz w:val="18"/>
                <w:szCs w:val="18"/>
                <w:color w:val="auto"/>
              </w:rPr>
              <w:t>5</w:t>
            </w:r>
          </w:p>
        </w:tc>
        <w:tc>
          <w:tcPr>
            <w:tcW w:w="5240" w:type="dxa"/>
            <w:vAlign w:val="bottom"/>
          </w:tcPr>
          <w:p>
            <w:pPr>
              <w:ind w:left="680"/>
              <w:spacing w:after="0"/>
              <w:rPr>
                <w:sz w:val="20"/>
                <w:szCs w:val="20"/>
                <w:color w:val="auto"/>
              </w:rPr>
            </w:pPr>
            <w:r>
              <w:rPr>
                <w:rFonts w:ascii="Arial" w:cs="Arial" w:eastAsia="Arial" w:hAnsi="Arial"/>
                <w:sz w:val="18"/>
                <w:szCs w:val="18"/>
                <w:color w:val="auto"/>
              </w:rPr>
              <w:t>Opinion of Joseph F. Hubach, Esq.</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23(a)</w:t>
            </w:r>
          </w:p>
        </w:tc>
        <w:tc>
          <w:tcPr>
            <w:tcW w:w="5240" w:type="dxa"/>
            <w:vAlign w:val="bottom"/>
          </w:tcPr>
          <w:p>
            <w:pPr>
              <w:ind w:left="720"/>
              <w:spacing w:after="0"/>
              <w:rPr>
                <w:sz w:val="20"/>
                <w:szCs w:val="20"/>
                <w:color w:val="auto"/>
              </w:rPr>
            </w:pPr>
            <w:r>
              <w:rPr>
                <w:rFonts w:ascii="Arial" w:cs="Arial" w:eastAsia="Arial" w:hAnsi="Arial"/>
                <w:sz w:val="18"/>
                <w:szCs w:val="18"/>
                <w:color w:val="auto"/>
              </w:rPr>
              <w:t>Consent of Ernst &amp; Young LLP.</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23(b)</w:t>
            </w:r>
          </w:p>
        </w:tc>
        <w:tc>
          <w:tcPr>
            <w:tcW w:w="5240" w:type="dxa"/>
            <w:vAlign w:val="bottom"/>
          </w:tcPr>
          <w:p>
            <w:pPr>
              <w:ind w:left="720"/>
              <w:spacing w:after="0"/>
              <w:rPr>
                <w:sz w:val="20"/>
                <w:szCs w:val="20"/>
                <w:color w:val="auto"/>
              </w:rPr>
            </w:pPr>
            <w:r>
              <w:rPr>
                <w:rFonts w:ascii="Arial" w:cs="Arial" w:eastAsia="Arial" w:hAnsi="Arial"/>
                <w:sz w:val="18"/>
                <w:szCs w:val="18"/>
                <w:color w:val="auto"/>
                <w:w w:val="96"/>
              </w:rPr>
              <w:t>Consent of Joseph F. Hubach, Esq. (included in Exhibit 5).</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24</w:t>
            </w:r>
          </w:p>
        </w:tc>
        <w:tc>
          <w:tcPr>
            <w:tcW w:w="5240" w:type="dxa"/>
            <w:vAlign w:val="bottom"/>
          </w:tcPr>
          <w:p>
            <w:pPr>
              <w:ind w:left="700"/>
              <w:spacing w:after="0"/>
              <w:rPr>
                <w:sz w:val="20"/>
                <w:szCs w:val="20"/>
                <w:color w:val="auto"/>
              </w:rPr>
            </w:pPr>
            <w:r>
              <w:rPr>
                <w:rFonts w:ascii="Arial" w:cs="Arial" w:eastAsia="Arial" w:hAnsi="Arial"/>
                <w:sz w:val="18"/>
                <w:szCs w:val="18"/>
                <w:color w:val="auto"/>
              </w:rPr>
              <w:t>Power of Attorney (included on signature pages).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03" w:right="1440"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t>Exhibit 5</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29,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38"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color w:val="auto"/>
        </w:rPr>
        <w:t>Re:</w:t>
        <w:tab/>
        <w:t>Texas Instruments Incorporated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Registration Statement (Form S-8)</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opinion of counsel is given in connection with a Registration Statement (Form S-8) being filed by you with the Securities and Exchange Commission relating to 75,000,000 shares of common stock of Texas Instruments Incorporated (“TI”) to be issued under the Texas Instruments 2009 Long-Term Incentive Plan (the “Plan”).</w:t>
      </w:r>
    </w:p>
    <w:p>
      <w:pPr>
        <w:spacing w:after="0" w:line="2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Senior Vice President, Secretary and General Counsel of TI, I am familiar with all corporate action taken or expected to be taken with respect to the Plan and the common stock expected to be issued thereunder.</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 am pleased to advise that the 75,000,000 shares of common stock of TI, when issued and delivered in accordance with the terms of the Plan and applicable Delaware General Corporation Law, will be duly authorized, validly issued, fully paid and nonassessable.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hereby consent to the use of this opinion as an exhibit to the above-referenced Registration Statement.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Joseph F. Hubach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F. Hubach</w:t>
      </w:r>
    </w:p>
    <w:p>
      <w:pPr>
        <w:sectPr>
          <w:pgSz w:w="11900" w:h="16838" w:orient="portrait"/>
          <w:cols w:equalWidth="0" w:num="1">
            <w:col w:w="11420"/>
          </w:cols>
          <w:pgMar w:left="240" w:top="36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u w:val="single" w:color="auto"/>
          <w:color w:val="auto"/>
        </w:rPr>
        <w:t>Exhibit 23(a)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Texas Instruments 2009 Long-Term Incentive Plan of our reports dated February 20, 2009, with respect to the consolidated financial statements and the effectiveness of internal control over financial reporting of Texas Instruments Incorporated incorporated by reference in its Annual Report (Form 10-K) for the year ended December 31, 2008 filed with the Securities and Exchange Commission.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Ernst &amp;Young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5"/>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2019-12-10T03:07:36Z</dcterms:created>
  <dcterms:modified xsi:type="dcterms:W3CDTF">2019-12-10T03:07:36Z</dcterms:modified>
</cp:coreProperties>
</file>