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17145</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45085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30480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1"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001-03761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6"/>
        </w:trPr>
        <w:tc>
          <w:tcPr>
            <w:tcW w:w="214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20" w:type="dxa"/>
            <w:vAlign w:val="bottom"/>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3"/>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12500 TI Boulevard</w:t>
            </w:r>
          </w:p>
        </w:tc>
        <w:tc>
          <w:tcPr>
            <w:tcW w:w="1120" w:type="dxa"/>
            <w:vAlign w:val="bottom"/>
          </w:tcPr>
          <w:p>
            <w:pPr>
              <w:spacing w:after="0"/>
              <w:rPr>
                <w:sz w:val="24"/>
                <w:szCs w:val="24"/>
                <w:color w:val="auto"/>
              </w:rPr>
            </w:pPr>
          </w:p>
        </w:tc>
      </w:tr>
      <w:tr>
        <w:trPr>
          <w:trHeight w:val="214"/>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Dallas, Texas 75243</w:t>
            </w:r>
          </w:p>
        </w:tc>
        <w:tc>
          <w:tcPr>
            <w:tcW w:w="1120" w:type="dxa"/>
            <w:vAlign w:val="bottom"/>
          </w:tcPr>
          <w:p>
            <w:pPr>
              <w:spacing w:after="0"/>
              <w:rPr>
                <w:sz w:val="18"/>
                <w:szCs w:val="18"/>
                <w:color w:val="auto"/>
              </w:rPr>
            </w:pPr>
          </w:p>
        </w:tc>
      </w:tr>
      <w:tr>
        <w:trPr>
          <w:trHeight w:val="190"/>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20" w:type="dxa"/>
            <w:vAlign w:val="bottom"/>
          </w:tcPr>
          <w:p>
            <w:pPr>
              <w:spacing w:after="0"/>
              <w:rPr>
                <w:sz w:val="16"/>
                <w:szCs w:val="16"/>
                <w:color w:val="auto"/>
              </w:rPr>
            </w:pPr>
          </w:p>
        </w:tc>
      </w:tr>
      <w:tr>
        <w:trPr>
          <w:trHeight w:val="392"/>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120" w:type="dxa"/>
            <w:vAlign w:val="bottom"/>
          </w:tcPr>
          <w:p>
            <w:pPr>
              <w:spacing w:after="0"/>
              <w:rPr>
                <w:sz w:val="24"/>
                <w:szCs w:val="24"/>
                <w:color w:val="auto"/>
              </w:rPr>
            </w:pPr>
          </w:p>
        </w:tc>
      </w:tr>
      <w:tr>
        <w:trPr>
          <w:trHeight w:val="37"/>
        </w:trPr>
        <w:tc>
          <w:tcPr>
            <w:tcW w:w="14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r>
    </w:tbl>
    <w:p>
      <w:pPr>
        <w:spacing w:after="0" w:line="34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2"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2"/>
            <w:vMerge w:val="continue"/>
          </w:tcPr>
          <w:p>
            <w:pPr>
              <w:spacing w:after="0"/>
              <w:rPr>
                <w:sz w:val="21"/>
                <w:szCs w:val="21"/>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w:t>
            </w:r>
          </w:p>
        </w:tc>
        <w:tc>
          <w:tcPr>
            <w:tcW w:w="32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27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128270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color w:val="auto"/>
        </w:rPr>
        <w:t>ITEM 5.07.</w:t>
      </w:r>
      <w:r>
        <w:rPr>
          <w:sz w:val="20"/>
          <w:szCs w:val="20"/>
          <w:color w:val="auto"/>
        </w:rPr>
        <w:tab/>
      </w:r>
      <w:r>
        <w:rPr>
          <w:rFonts w:ascii="Times New Roman" w:cs="Times New Roman" w:eastAsia="Times New Roman" w:hAnsi="Times New Roman"/>
          <w:sz w:val="17"/>
          <w:szCs w:val="17"/>
          <w:color w:val="auto"/>
        </w:rPr>
        <w:t>Submission of Matters to a Vote of Security Holders.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the annual meeting of stockholders held on April 17, 2025, the stockholders elected the Board of Directors of Texas Instruments Incorporated and voted upon the proposals contained within the company’s proxy statement dated March 5,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nominees were elected with the following vote: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980" w:type="dxa"/>
            <w:vAlign w:val="bottom"/>
          </w:tcPr>
          <w:p>
            <w:pPr>
              <w:spacing w:after="0"/>
              <w:rPr>
                <w:sz w:val="17"/>
                <w:szCs w:val="17"/>
                <w:color w:val="auto"/>
              </w:rPr>
            </w:pPr>
          </w:p>
        </w:tc>
        <w:tc>
          <w:tcPr>
            <w:tcW w:w="130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20" w:type="dxa"/>
            <w:vAlign w:val="bottom"/>
          </w:tcPr>
          <w:p>
            <w:pPr>
              <w:spacing w:after="0"/>
              <w:rPr>
                <w:sz w:val="17"/>
                <w:szCs w:val="17"/>
                <w:color w:val="auto"/>
              </w:rPr>
            </w:pPr>
          </w:p>
        </w:tc>
        <w:tc>
          <w:tcPr>
            <w:tcW w:w="14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6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120" w:type="dxa"/>
            <w:vAlign w:val="bottom"/>
          </w:tcPr>
          <w:p>
            <w:pPr>
              <w:spacing w:after="0"/>
              <w:rPr>
                <w:sz w:val="17"/>
                <w:szCs w:val="17"/>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9"/>
        </w:trPr>
        <w:tc>
          <w:tcPr>
            <w:tcW w:w="20" w:type="dxa"/>
            <w:vAlign w:val="bottom"/>
            <w:shd w:val="clear" w:color="auto" w:fill="DBDBDB"/>
          </w:tcPr>
          <w:p>
            <w:pPr>
              <w:spacing w:after="0"/>
              <w:rPr>
                <w:sz w:val="19"/>
                <w:szCs w:val="19"/>
                <w:color w:val="auto"/>
              </w:rPr>
            </w:pPr>
          </w:p>
        </w:tc>
        <w:tc>
          <w:tcPr>
            <w:tcW w:w="21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Mark Blinn</w:t>
            </w:r>
          </w:p>
        </w:tc>
        <w:tc>
          <w:tcPr>
            <w:tcW w:w="228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721,514,575</w:t>
            </w:r>
          </w:p>
        </w:tc>
        <w:tc>
          <w:tcPr>
            <w:tcW w:w="222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22,997,791</w:t>
            </w:r>
          </w:p>
        </w:tc>
        <w:tc>
          <w:tcPr>
            <w:tcW w:w="1620" w:type="dxa"/>
            <w:vAlign w:val="bottom"/>
            <w:gridSpan w:val="2"/>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rPr>
              <w:t>874,915</w:t>
            </w:r>
          </w:p>
        </w:tc>
        <w:tc>
          <w:tcPr>
            <w:tcW w:w="2500" w:type="dxa"/>
            <w:vAlign w:val="bottom"/>
            <w:gridSpan w:val="2"/>
            <w:shd w:val="clear" w:color="auto" w:fill="DBDBDB"/>
          </w:tcPr>
          <w:p>
            <w:pPr>
              <w:jc w:val="center"/>
              <w:ind w:left="103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shd w:val="clear" w:color="auto" w:fill="DBDBDB"/>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Bluedorn</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702,584,071</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41,836,102</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967,108</w:t>
            </w:r>
          </w:p>
        </w:tc>
        <w:tc>
          <w:tcPr>
            <w:tcW w:w="25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tcPr>
          <w:p>
            <w:pPr>
              <w:spacing w:after="0"/>
              <w:rPr>
                <w:sz w:val="19"/>
                <w:szCs w:val="19"/>
                <w:color w:val="auto"/>
              </w:rPr>
            </w:pPr>
          </w:p>
        </w:tc>
      </w:tr>
      <w:tr>
        <w:trPr>
          <w:trHeight w:val="230"/>
        </w:trPr>
        <w:tc>
          <w:tcPr>
            <w:tcW w:w="20" w:type="dxa"/>
            <w:vAlign w:val="bottom"/>
            <w:shd w:val="clear" w:color="auto" w:fill="DBDBDB"/>
          </w:tcPr>
          <w:p>
            <w:pPr>
              <w:spacing w:after="0"/>
              <w:rPr>
                <w:sz w:val="19"/>
                <w:szCs w:val="19"/>
                <w:color w:val="auto"/>
              </w:rPr>
            </w:pPr>
          </w:p>
        </w:tc>
        <w:tc>
          <w:tcPr>
            <w:tcW w:w="21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Janet Clark</w:t>
            </w:r>
          </w:p>
        </w:tc>
        <w:tc>
          <w:tcPr>
            <w:tcW w:w="228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729,415,355</w:t>
            </w:r>
          </w:p>
        </w:tc>
        <w:tc>
          <w:tcPr>
            <w:tcW w:w="222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15,134,135</w:t>
            </w:r>
          </w:p>
        </w:tc>
        <w:tc>
          <w:tcPr>
            <w:tcW w:w="1620" w:type="dxa"/>
            <w:vAlign w:val="bottom"/>
            <w:gridSpan w:val="2"/>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rPr>
              <w:t>837,791</w:t>
            </w:r>
          </w:p>
        </w:tc>
        <w:tc>
          <w:tcPr>
            <w:tcW w:w="2500" w:type="dxa"/>
            <w:vAlign w:val="bottom"/>
            <w:gridSpan w:val="2"/>
            <w:shd w:val="clear" w:color="auto" w:fill="DBDBDB"/>
          </w:tcPr>
          <w:p>
            <w:pPr>
              <w:jc w:val="center"/>
              <w:ind w:left="103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shd w:val="clear" w:color="auto" w:fill="DBDBDB"/>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Carrie Cox</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653,589,748</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90,960,895</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836,638</w:t>
            </w:r>
          </w:p>
        </w:tc>
        <w:tc>
          <w:tcPr>
            <w:tcW w:w="25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21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Martin Craighead</w:t>
            </w:r>
          </w:p>
        </w:tc>
        <w:tc>
          <w:tcPr>
            <w:tcW w:w="228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715,644,236</w:t>
            </w:r>
          </w:p>
        </w:tc>
        <w:tc>
          <w:tcPr>
            <w:tcW w:w="222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28,877,235</w:t>
            </w:r>
          </w:p>
        </w:tc>
        <w:tc>
          <w:tcPr>
            <w:tcW w:w="1620" w:type="dxa"/>
            <w:vAlign w:val="bottom"/>
            <w:gridSpan w:val="2"/>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rPr>
              <w:t>865,810</w:t>
            </w:r>
          </w:p>
        </w:tc>
        <w:tc>
          <w:tcPr>
            <w:tcW w:w="2500" w:type="dxa"/>
            <w:vAlign w:val="bottom"/>
            <w:gridSpan w:val="2"/>
            <w:shd w:val="clear" w:color="auto" w:fill="DBDBDB"/>
          </w:tcPr>
          <w:p>
            <w:pPr>
              <w:jc w:val="center"/>
              <w:ind w:left="103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shd w:val="clear" w:color="auto" w:fill="DBDBDB"/>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Reginald DesRoches</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713,623,170</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30,850,639</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913,472</w:t>
            </w:r>
          </w:p>
        </w:tc>
        <w:tc>
          <w:tcPr>
            <w:tcW w:w="25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21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Curtis Farmer</w:t>
            </w:r>
          </w:p>
        </w:tc>
        <w:tc>
          <w:tcPr>
            <w:tcW w:w="228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734,380,183</w:t>
            </w:r>
          </w:p>
        </w:tc>
        <w:tc>
          <w:tcPr>
            <w:tcW w:w="222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10,085,471</w:t>
            </w:r>
          </w:p>
        </w:tc>
        <w:tc>
          <w:tcPr>
            <w:tcW w:w="1620" w:type="dxa"/>
            <w:vAlign w:val="bottom"/>
            <w:gridSpan w:val="2"/>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rPr>
              <w:t>921,627</w:t>
            </w:r>
          </w:p>
        </w:tc>
        <w:tc>
          <w:tcPr>
            <w:tcW w:w="2500" w:type="dxa"/>
            <w:vAlign w:val="bottom"/>
            <w:gridSpan w:val="2"/>
            <w:shd w:val="clear" w:color="auto" w:fill="DBDBDB"/>
          </w:tcPr>
          <w:p>
            <w:pPr>
              <w:jc w:val="center"/>
              <w:ind w:left="103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shd w:val="clear" w:color="auto" w:fill="DBDBDB"/>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Jean Hobby</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731,581,238</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12,574,243</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1,231,800</w:t>
            </w:r>
          </w:p>
        </w:tc>
        <w:tc>
          <w:tcPr>
            <w:tcW w:w="25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21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Haviv Ilan</w:t>
            </w:r>
          </w:p>
        </w:tc>
        <w:tc>
          <w:tcPr>
            <w:tcW w:w="228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733,127,818</w:t>
            </w:r>
          </w:p>
        </w:tc>
        <w:tc>
          <w:tcPr>
            <w:tcW w:w="222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11,199,040</w:t>
            </w:r>
          </w:p>
        </w:tc>
        <w:tc>
          <w:tcPr>
            <w:tcW w:w="1620" w:type="dxa"/>
            <w:vAlign w:val="bottom"/>
            <w:gridSpan w:val="2"/>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w w:val="99"/>
              </w:rPr>
              <w:t>1,060,423</w:t>
            </w:r>
          </w:p>
        </w:tc>
        <w:tc>
          <w:tcPr>
            <w:tcW w:w="2500" w:type="dxa"/>
            <w:vAlign w:val="bottom"/>
            <w:gridSpan w:val="2"/>
            <w:shd w:val="clear" w:color="auto" w:fill="DBDBDB"/>
          </w:tcPr>
          <w:p>
            <w:pPr>
              <w:jc w:val="center"/>
              <w:ind w:left="103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shd w:val="clear" w:color="auto" w:fill="DBDBDB"/>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Kirk</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723,658,684</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20,864,239</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864,358</w:t>
            </w:r>
          </w:p>
        </w:tc>
        <w:tc>
          <w:tcPr>
            <w:tcW w:w="25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tcPr>
          <w:p>
            <w:pPr>
              <w:spacing w:after="0"/>
              <w:rPr>
                <w:sz w:val="19"/>
                <w:szCs w:val="19"/>
                <w:color w:val="auto"/>
              </w:rPr>
            </w:pPr>
          </w:p>
        </w:tc>
      </w:tr>
      <w:tr>
        <w:trPr>
          <w:trHeight w:val="230"/>
        </w:trPr>
        <w:tc>
          <w:tcPr>
            <w:tcW w:w="20" w:type="dxa"/>
            <w:vAlign w:val="bottom"/>
            <w:shd w:val="clear" w:color="auto" w:fill="DBDBDB"/>
          </w:tcPr>
          <w:p>
            <w:pPr>
              <w:spacing w:after="0"/>
              <w:rPr>
                <w:sz w:val="19"/>
                <w:szCs w:val="19"/>
                <w:color w:val="auto"/>
              </w:rPr>
            </w:pPr>
          </w:p>
        </w:tc>
        <w:tc>
          <w:tcPr>
            <w:tcW w:w="21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Pamela Patsley</w:t>
            </w:r>
          </w:p>
        </w:tc>
        <w:tc>
          <w:tcPr>
            <w:tcW w:w="228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709,220,484</w:t>
            </w:r>
          </w:p>
        </w:tc>
        <w:tc>
          <w:tcPr>
            <w:tcW w:w="222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34,932,709</w:t>
            </w:r>
          </w:p>
        </w:tc>
        <w:tc>
          <w:tcPr>
            <w:tcW w:w="1620" w:type="dxa"/>
            <w:vAlign w:val="bottom"/>
            <w:gridSpan w:val="2"/>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w w:val="99"/>
              </w:rPr>
              <w:t>1,234,088</w:t>
            </w:r>
          </w:p>
        </w:tc>
        <w:tc>
          <w:tcPr>
            <w:tcW w:w="2500" w:type="dxa"/>
            <w:vAlign w:val="bottom"/>
            <w:gridSpan w:val="2"/>
            <w:shd w:val="clear" w:color="auto" w:fill="DBDBDB"/>
          </w:tcPr>
          <w:p>
            <w:pPr>
              <w:jc w:val="center"/>
              <w:ind w:left="103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shd w:val="clear" w:color="auto" w:fill="DBDBDB"/>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Sanchez</w:t>
            </w:r>
          </w:p>
        </w:tc>
        <w:tc>
          <w:tcPr>
            <w:tcW w:w="22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721,467,517</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23,024,733</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895,031</w:t>
            </w:r>
          </w:p>
        </w:tc>
        <w:tc>
          <w:tcPr>
            <w:tcW w:w="2500" w:type="dxa"/>
            <w:vAlign w:val="bottom"/>
            <w:gridSpan w:val="2"/>
          </w:tcPr>
          <w:p>
            <w:pPr>
              <w:jc w:val="center"/>
              <w:ind w:left="103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tcPr>
          <w:p>
            <w:pPr>
              <w:spacing w:after="0"/>
              <w:rPr>
                <w:sz w:val="19"/>
                <w:szCs w:val="19"/>
                <w:color w:val="auto"/>
              </w:rPr>
            </w:pPr>
          </w:p>
        </w:tc>
      </w:tr>
      <w:tr>
        <w:trPr>
          <w:trHeight w:val="229"/>
        </w:trPr>
        <w:tc>
          <w:tcPr>
            <w:tcW w:w="20" w:type="dxa"/>
            <w:vAlign w:val="bottom"/>
            <w:shd w:val="clear" w:color="auto" w:fill="DBDBDB"/>
          </w:tcPr>
          <w:p>
            <w:pPr>
              <w:spacing w:after="0"/>
              <w:rPr>
                <w:sz w:val="19"/>
                <w:szCs w:val="19"/>
                <w:color w:val="auto"/>
              </w:rPr>
            </w:pPr>
          </w:p>
        </w:tc>
        <w:tc>
          <w:tcPr>
            <w:tcW w:w="218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Richard Templeton</w:t>
            </w:r>
          </w:p>
        </w:tc>
        <w:tc>
          <w:tcPr>
            <w:tcW w:w="2280" w:type="dxa"/>
            <w:vAlign w:val="bottom"/>
            <w:gridSpan w:val="3"/>
            <w:shd w:val="clear" w:color="auto" w:fill="DBDBDB"/>
          </w:tcPr>
          <w:p>
            <w:pPr>
              <w:jc w:val="center"/>
              <w:ind w:right="20"/>
              <w:spacing w:after="0"/>
              <w:rPr>
                <w:sz w:val="20"/>
                <w:szCs w:val="20"/>
                <w:color w:val="auto"/>
              </w:rPr>
            </w:pPr>
            <w:r>
              <w:rPr>
                <w:rFonts w:ascii="Times New Roman" w:cs="Times New Roman" w:eastAsia="Times New Roman" w:hAnsi="Times New Roman"/>
                <w:sz w:val="18"/>
                <w:szCs w:val="18"/>
                <w:color w:val="auto"/>
                <w:w w:val="99"/>
              </w:rPr>
              <w:t>710,953,701</w:t>
            </w:r>
          </w:p>
        </w:tc>
        <w:tc>
          <w:tcPr>
            <w:tcW w:w="222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33,417,115</w:t>
            </w:r>
          </w:p>
        </w:tc>
        <w:tc>
          <w:tcPr>
            <w:tcW w:w="1620" w:type="dxa"/>
            <w:vAlign w:val="bottom"/>
            <w:gridSpan w:val="2"/>
            <w:shd w:val="clear" w:color="auto" w:fill="DBDBDB"/>
          </w:tcPr>
          <w:p>
            <w:pPr>
              <w:jc w:val="center"/>
              <w:ind w:left="610"/>
              <w:spacing w:after="0"/>
              <w:rPr>
                <w:sz w:val="20"/>
                <w:szCs w:val="20"/>
                <w:color w:val="auto"/>
              </w:rPr>
            </w:pPr>
            <w:r>
              <w:rPr>
                <w:rFonts w:ascii="Times New Roman" w:cs="Times New Roman" w:eastAsia="Times New Roman" w:hAnsi="Times New Roman"/>
                <w:sz w:val="18"/>
                <w:szCs w:val="18"/>
                <w:color w:val="auto"/>
                <w:w w:val="99"/>
              </w:rPr>
              <w:t>1,016,465</w:t>
            </w:r>
          </w:p>
        </w:tc>
        <w:tc>
          <w:tcPr>
            <w:tcW w:w="2500" w:type="dxa"/>
            <w:vAlign w:val="bottom"/>
            <w:gridSpan w:val="2"/>
            <w:shd w:val="clear" w:color="auto" w:fill="DBDBDB"/>
          </w:tcPr>
          <w:p>
            <w:pPr>
              <w:jc w:val="center"/>
              <w:ind w:left="103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shd w:val="clear" w:color="auto" w:fill="DBDBDB"/>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voted on the following proposals and cast their votes as described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800" w:type="dxa"/>
            <w:vAlign w:val="bottom"/>
          </w:tcPr>
          <w:p>
            <w:pPr>
              <w:spacing w:after="0"/>
              <w:rPr>
                <w:sz w:val="18"/>
                <w:szCs w:val="18"/>
                <w:color w:val="auto"/>
              </w:rPr>
            </w:pPr>
          </w:p>
        </w:tc>
        <w:tc>
          <w:tcPr>
            <w:tcW w:w="130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20" w:type="dxa"/>
            <w:vAlign w:val="bottom"/>
          </w:tcPr>
          <w:p>
            <w:pPr>
              <w:spacing w:after="0"/>
              <w:rPr>
                <w:sz w:val="18"/>
                <w:szCs w:val="18"/>
                <w:color w:val="auto"/>
              </w:rPr>
            </w:pPr>
          </w:p>
        </w:tc>
        <w:tc>
          <w:tcPr>
            <w:tcW w:w="14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12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236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Board proposal regarding</w:t>
            </w:r>
          </w:p>
        </w:tc>
        <w:tc>
          <w:tcPr>
            <w:tcW w:w="8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75"/>
        </w:trPr>
        <w:tc>
          <w:tcPr>
            <w:tcW w:w="20" w:type="dxa"/>
            <w:vAlign w:val="bottom"/>
            <w:shd w:val="clear" w:color="auto" w:fill="DBDBDB"/>
          </w:tcPr>
          <w:p>
            <w:pPr>
              <w:spacing w:after="0"/>
              <w:rPr>
                <w:sz w:val="15"/>
                <w:szCs w:val="15"/>
                <w:color w:val="auto"/>
              </w:rPr>
            </w:pPr>
          </w:p>
        </w:tc>
        <w:tc>
          <w:tcPr>
            <w:tcW w:w="236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advisory approval of the</w:t>
            </w:r>
          </w:p>
        </w:tc>
        <w:tc>
          <w:tcPr>
            <w:tcW w:w="8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84"/>
        </w:trPr>
        <w:tc>
          <w:tcPr>
            <w:tcW w:w="20" w:type="dxa"/>
            <w:vAlign w:val="bottom"/>
            <w:shd w:val="clear" w:color="auto" w:fill="DBDBDB"/>
          </w:tcPr>
          <w:p>
            <w:pPr>
              <w:spacing w:after="0"/>
              <w:rPr>
                <w:sz w:val="16"/>
                <w:szCs w:val="16"/>
                <w:color w:val="auto"/>
              </w:rPr>
            </w:pPr>
          </w:p>
        </w:tc>
        <w:tc>
          <w:tcPr>
            <w:tcW w:w="236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company’s executive</w:t>
            </w:r>
          </w:p>
        </w:tc>
        <w:tc>
          <w:tcPr>
            <w:tcW w:w="8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r>
      <w:tr>
        <w:trPr>
          <w:trHeight w:val="234"/>
        </w:trPr>
        <w:tc>
          <w:tcPr>
            <w:tcW w:w="20" w:type="dxa"/>
            <w:vAlign w:val="bottom"/>
            <w:shd w:val="clear" w:color="auto" w:fill="DBDBDB"/>
          </w:tcPr>
          <w:p>
            <w:pPr>
              <w:spacing w:after="0"/>
              <w:rPr>
                <w:sz w:val="20"/>
                <w:szCs w:val="20"/>
                <w:color w:val="auto"/>
              </w:rPr>
            </w:pPr>
          </w:p>
        </w:tc>
        <w:tc>
          <w:tcPr>
            <w:tcW w:w="236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100" w:type="dxa"/>
            <w:vAlign w:val="bottom"/>
            <w:gridSpan w:val="3"/>
            <w:shd w:val="clear" w:color="auto" w:fill="DBDBDB"/>
          </w:tcPr>
          <w:p>
            <w:pPr>
              <w:jc w:val="right"/>
              <w:ind w:right="700"/>
              <w:spacing w:after="0"/>
              <w:rPr>
                <w:sz w:val="20"/>
                <w:szCs w:val="20"/>
                <w:color w:val="auto"/>
              </w:rPr>
            </w:pPr>
            <w:r>
              <w:rPr>
                <w:rFonts w:ascii="Times New Roman" w:cs="Times New Roman" w:eastAsia="Times New Roman" w:hAnsi="Times New Roman"/>
                <w:sz w:val="18"/>
                <w:szCs w:val="18"/>
                <w:color w:val="auto"/>
              </w:rPr>
              <w:t>648,369,929</w:t>
            </w:r>
          </w:p>
        </w:tc>
        <w:tc>
          <w:tcPr>
            <w:tcW w:w="2220" w:type="dxa"/>
            <w:vAlign w:val="bottom"/>
            <w:gridSpan w:val="3"/>
            <w:shd w:val="clear" w:color="auto" w:fill="DBDBDB"/>
          </w:tcPr>
          <w:p>
            <w:pPr>
              <w:jc w:val="right"/>
              <w:ind w:right="700"/>
              <w:spacing w:after="0"/>
              <w:rPr>
                <w:sz w:val="20"/>
                <w:szCs w:val="20"/>
                <w:color w:val="auto"/>
              </w:rPr>
            </w:pPr>
            <w:r>
              <w:rPr>
                <w:rFonts w:ascii="Times New Roman" w:cs="Times New Roman" w:eastAsia="Times New Roman" w:hAnsi="Times New Roman"/>
                <w:sz w:val="18"/>
                <w:szCs w:val="18"/>
                <w:color w:val="auto"/>
              </w:rPr>
              <w:t>95,514,709</w:t>
            </w:r>
          </w:p>
        </w:tc>
        <w:tc>
          <w:tcPr>
            <w:tcW w:w="162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1,502,643</w:t>
            </w:r>
          </w:p>
        </w:tc>
        <w:tc>
          <w:tcPr>
            <w:tcW w:w="2500" w:type="dxa"/>
            <w:vAlign w:val="bottom"/>
            <w:gridSpan w:val="2"/>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shd w:val="clear" w:color="auto" w:fill="DBDBDB"/>
          </w:tcPr>
          <w:p>
            <w:pPr>
              <w:spacing w:after="0"/>
              <w:rPr>
                <w:sz w:val="20"/>
                <w:szCs w:val="20"/>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660" w:type="dxa"/>
            <w:vAlign w:val="bottom"/>
          </w:tcPr>
          <w:p>
            <w:pPr>
              <w:spacing w:after="0"/>
              <w:rPr>
                <w:sz w:val="18"/>
                <w:szCs w:val="18"/>
                <w:color w:val="auto"/>
              </w:rPr>
            </w:pPr>
          </w:p>
        </w:tc>
        <w:tc>
          <w:tcPr>
            <w:tcW w:w="130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20" w:type="dxa"/>
            <w:vAlign w:val="bottom"/>
          </w:tcPr>
          <w:p>
            <w:pPr>
              <w:spacing w:after="0"/>
              <w:rPr>
                <w:sz w:val="18"/>
                <w:szCs w:val="18"/>
                <w:color w:val="auto"/>
              </w:rPr>
            </w:pPr>
          </w:p>
        </w:tc>
        <w:tc>
          <w:tcPr>
            <w:tcW w:w="140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6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120" w:type="dxa"/>
            <w:vAlign w:val="bottom"/>
          </w:tcPr>
          <w:p>
            <w:pPr>
              <w:spacing w:after="0"/>
              <w:rPr>
                <w:sz w:val="18"/>
                <w:szCs w:val="18"/>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250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Board proposal to ratify the</w:t>
            </w:r>
          </w:p>
        </w:tc>
        <w:tc>
          <w:tcPr>
            <w:tcW w:w="6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76"/>
        </w:trPr>
        <w:tc>
          <w:tcPr>
            <w:tcW w:w="20" w:type="dxa"/>
            <w:vAlign w:val="bottom"/>
            <w:shd w:val="clear" w:color="auto" w:fill="DBDBDB"/>
          </w:tcPr>
          <w:p>
            <w:pPr>
              <w:spacing w:after="0"/>
              <w:rPr>
                <w:sz w:val="15"/>
                <w:szCs w:val="15"/>
                <w:color w:val="auto"/>
              </w:rPr>
            </w:pPr>
          </w:p>
        </w:tc>
        <w:tc>
          <w:tcPr>
            <w:tcW w:w="250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appointment of Ernst &amp;</w:t>
            </w:r>
          </w:p>
        </w:tc>
        <w:tc>
          <w:tcPr>
            <w:tcW w:w="6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184"/>
        </w:trPr>
        <w:tc>
          <w:tcPr>
            <w:tcW w:w="20" w:type="dxa"/>
            <w:vAlign w:val="bottom"/>
            <w:shd w:val="clear" w:color="auto" w:fill="DBDBDB"/>
          </w:tcPr>
          <w:p>
            <w:pPr>
              <w:spacing w:after="0"/>
              <w:rPr>
                <w:sz w:val="16"/>
                <w:szCs w:val="16"/>
                <w:color w:val="auto"/>
              </w:rPr>
            </w:pPr>
          </w:p>
        </w:tc>
        <w:tc>
          <w:tcPr>
            <w:tcW w:w="250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Young LLP as the company’s</w:t>
            </w:r>
          </w:p>
        </w:tc>
        <w:tc>
          <w:tcPr>
            <w:tcW w:w="66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r>
      <w:tr>
        <w:trPr>
          <w:trHeight w:val="180"/>
        </w:trPr>
        <w:tc>
          <w:tcPr>
            <w:tcW w:w="20" w:type="dxa"/>
            <w:vAlign w:val="bottom"/>
            <w:shd w:val="clear" w:color="auto" w:fill="DBDBDB"/>
          </w:tcPr>
          <w:p>
            <w:pPr>
              <w:spacing w:after="0"/>
              <w:rPr>
                <w:sz w:val="15"/>
                <w:szCs w:val="15"/>
                <w:color w:val="auto"/>
              </w:rPr>
            </w:pPr>
          </w:p>
        </w:tc>
        <w:tc>
          <w:tcPr>
            <w:tcW w:w="2500" w:type="dxa"/>
            <w:vAlign w:val="bottom"/>
            <w:gridSpan w:val="2"/>
            <w:shd w:val="clear" w:color="auto" w:fill="DBDBDB"/>
          </w:tcPr>
          <w:p>
            <w:pPr>
              <w:spacing w:after="0" w:line="181" w:lineRule="exact"/>
              <w:rPr>
                <w:sz w:val="20"/>
                <w:szCs w:val="20"/>
                <w:color w:val="auto"/>
              </w:rPr>
            </w:pPr>
            <w:r>
              <w:rPr>
                <w:rFonts w:ascii="Times New Roman" w:cs="Times New Roman" w:eastAsia="Times New Roman" w:hAnsi="Times New Roman"/>
                <w:sz w:val="18"/>
                <w:szCs w:val="18"/>
                <w:color w:val="auto"/>
              </w:rPr>
              <w:t>independent registered public</w:t>
            </w:r>
          </w:p>
        </w:tc>
        <w:tc>
          <w:tcPr>
            <w:tcW w:w="6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r>
      <w:tr>
        <w:trPr>
          <w:trHeight w:val="243"/>
        </w:trPr>
        <w:tc>
          <w:tcPr>
            <w:tcW w:w="20" w:type="dxa"/>
            <w:vAlign w:val="bottom"/>
            <w:shd w:val="clear" w:color="auto" w:fill="DBDBDB"/>
          </w:tcPr>
          <w:p>
            <w:pPr>
              <w:spacing w:after="0"/>
              <w:rPr>
                <w:sz w:val="21"/>
                <w:szCs w:val="21"/>
                <w:color w:val="auto"/>
              </w:rPr>
            </w:pPr>
          </w:p>
        </w:tc>
        <w:tc>
          <w:tcPr>
            <w:tcW w:w="250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accounting firm for 2025</w:t>
            </w:r>
          </w:p>
        </w:tc>
        <w:tc>
          <w:tcPr>
            <w:tcW w:w="1960" w:type="dxa"/>
            <w:vAlign w:val="bottom"/>
            <w:gridSpan w:val="3"/>
            <w:shd w:val="clear" w:color="auto" w:fill="DBDBDB"/>
          </w:tcPr>
          <w:p>
            <w:pPr>
              <w:jc w:val="right"/>
              <w:ind w:right="700"/>
              <w:spacing w:after="0"/>
              <w:rPr>
                <w:sz w:val="20"/>
                <w:szCs w:val="20"/>
                <w:color w:val="auto"/>
              </w:rPr>
            </w:pPr>
            <w:r>
              <w:rPr>
                <w:rFonts w:ascii="Times New Roman" w:cs="Times New Roman" w:eastAsia="Times New Roman" w:hAnsi="Times New Roman"/>
                <w:sz w:val="18"/>
                <w:szCs w:val="18"/>
                <w:color w:val="auto"/>
              </w:rPr>
              <w:t>751,675,710</w:t>
            </w:r>
          </w:p>
        </w:tc>
        <w:tc>
          <w:tcPr>
            <w:tcW w:w="2220" w:type="dxa"/>
            <w:vAlign w:val="bottom"/>
            <w:gridSpan w:val="3"/>
            <w:shd w:val="clear" w:color="auto" w:fill="DBDBDB"/>
          </w:tcPr>
          <w:p>
            <w:pPr>
              <w:jc w:val="right"/>
              <w:ind w:right="700"/>
              <w:spacing w:after="0"/>
              <w:rPr>
                <w:sz w:val="20"/>
                <w:szCs w:val="20"/>
                <w:color w:val="auto"/>
              </w:rPr>
            </w:pPr>
            <w:r>
              <w:rPr>
                <w:rFonts w:ascii="Times New Roman" w:cs="Times New Roman" w:eastAsia="Times New Roman" w:hAnsi="Times New Roman"/>
                <w:sz w:val="18"/>
                <w:szCs w:val="18"/>
                <w:color w:val="auto"/>
              </w:rPr>
              <w:t>52,072,520</w:t>
            </w:r>
          </w:p>
        </w:tc>
        <w:tc>
          <w:tcPr>
            <w:tcW w:w="162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7,280,744</w:t>
            </w:r>
          </w:p>
        </w:tc>
        <w:tc>
          <w:tcPr>
            <w:tcW w:w="1120" w:type="dxa"/>
            <w:vAlign w:val="bottom"/>
            <w:shd w:val="clear" w:color="auto" w:fill="DBDBDB"/>
          </w:tcPr>
          <w:p>
            <w:pPr>
              <w:spacing w:after="0"/>
              <w:rPr>
                <w:sz w:val="21"/>
                <w:szCs w:val="21"/>
                <w:color w:val="auto"/>
              </w:rPr>
            </w:pPr>
          </w:p>
        </w:tc>
        <w:tc>
          <w:tcPr>
            <w:tcW w:w="1780" w:type="dxa"/>
            <w:vAlign w:val="bottom"/>
            <w:gridSpan w:val="2"/>
            <w:shd w:val="clear" w:color="auto" w:fill="DBDBDB"/>
          </w:tcPr>
          <w:p>
            <w:pPr>
              <w:jc w:val="center"/>
              <w:ind w:right="40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700" w:type="dxa"/>
            <w:vAlign w:val="bottom"/>
          </w:tcPr>
          <w:p>
            <w:pPr>
              <w:spacing w:after="0"/>
              <w:rPr>
                <w:sz w:val="18"/>
                <w:szCs w:val="18"/>
                <w:color w:val="auto"/>
              </w:rPr>
            </w:pPr>
          </w:p>
        </w:tc>
        <w:tc>
          <w:tcPr>
            <w:tcW w:w="128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40" w:type="dxa"/>
            <w:vAlign w:val="bottom"/>
          </w:tcPr>
          <w:p>
            <w:pPr>
              <w:spacing w:after="0"/>
              <w:rPr>
                <w:sz w:val="18"/>
                <w:szCs w:val="18"/>
                <w:color w:val="auto"/>
              </w:rPr>
            </w:pPr>
          </w:p>
        </w:tc>
        <w:tc>
          <w:tcPr>
            <w:tcW w:w="14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60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120" w:type="dxa"/>
            <w:vAlign w:val="bottom"/>
          </w:tcPr>
          <w:p>
            <w:pPr>
              <w:spacing w:after="0"/>
              <w:rPr>
                <w:sz w:val="18"/>
                <w:szCs w:val="18"/>
                <w:color w:val="auto"/>
              </w:rPr>
            </w:pPr>
          </w:p>
        </w:tc>
        <w:tc>
          <w:tcPr>
            <w:tcW w:w="18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DBDBDB"/>
          </w:tcPr>
          <w:p>
            <w:pPr>
              <w:spacing w:after="0"/>
              <w:rPr>
                <w:sz w:val="15"/>
                <w:szCs w:val="15"/>
                <w:color w:val="auto"/>
              </w:rPr>
            </w:pPr>
          </w:p>
        </w:tc>
        <w:tc>
          <w:tcPr>
            <w:tcW w:w="246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Stockholder proposal to</w:t>
            </w:r>
          </w:p>
        </w:tc>
        <w:tc>
          <w:tcPr>
            <w:tcW w:w="7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0" w:type="dxa"/>
            <w:vAlign w:val="bottom"/>
            <w:shd w:val="clear" w:color="auto" w:fill="DBDBDB"/>
          </w:tcPr>
          <w:p>
            <w:pPr>
              <w:spacing w:after="0"/>
              <w:rPr>
                <w:sz w:val="15"/>
                <w:szCs w:val="15"/>
                <w:color w:val="auto"/>
              </w:rPr>
            </w:pPr>
          </w:p>
        </w:tc>
        <w:tc>
          <w:tcPr>
            <w:tcW w:w="2460" w:type="dxa"/>
            <w:vAlign w:val="bottom"/>
            <w:gridSpan w:val="2"/>
            <w:shd w:val="clear" w:color="auto" w:fill="DBDBDB"/>
          </w:tcPr>
          <w:p>
            <w:pPr>
              <w:spacing w:after="0" w:line="176" w:lineRule="exact"/>
              <w:rPr>
                <w:sz w:val="20"/>
                <w:szCs w:val="20"/>
                <w:color w:val="auto"/>
              </w:rPr>
            </w:pPr>
            <w:r>
              <w:rPr>
                <w:rFonts w:ascii="Times New Roman" w:cs="Times New Roman" w:eastAsia="Times New Roman" w:hAnsi="Times New Roman"/>
                <w:sz w:val="18"/>
                <w:szCs w:val="18"/>
                <w:color w:val="auto"/>
              </w:rPr>
              <w:t>permit a combined 10% of</w:t>
            </w:r>
          </w:p>
        </w:tc>
        <w:tc>
          <w:tcPr>
            <w:tcW w:w="7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5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20" w:type="dxa"/>
            <w:vAlign w:val="bottom"/>
            <w:shd w:val="clear" w:color="auto" w:fill="DBDBDB"/>
          </w:tcPr>
          <w:p>
            <w:pPr>
              <w:spacing w:after="0"/>
              <w:rPr>
                <w:sz w:val="16"/>
                <w:szCs w:val="16"/>
                <w:color w:val="auto"/>
              </w:rPr>
            </w:pPr>
          </w:p>
        </w:tc>
        <w:tc>
          <w:tcPr>
            <w:tcW w:w="2460" w:type="dxa"/>
            <w:vAlign w:val="bottom"/>
            <w:gridSpan w:val="2"/>
            <w:shd w:val="clear" w:color="auto" w:fill="DBDBDB"/>
          </w:tcPr>
          <w:p>
            <w:pPr>
              <w:spacing w:after="0" w:line="184" w:lineRule="exact"/>
              <w:rPr>
                <w:sz w:val="20"/>
                <w:szCs w:val="20"/>
                <w:color w:val="auto"/>
              </w:rPr>
            </w:pPr>
            <w:r>
              <w:rPr>
                <w:rFonts w:ascii="Times New Roman" w:cs="Times New Roman" w:eastAsia="Times New Roman" w:hAnsi="Times New Roman"/>
                <w:sz w:val="18"/>
                <w:szCs w:val="18"/>
                <w:color w:val="auto"/>
              </w:rPr>
              <w:t>stockholders to call a special</w:t>
            </w:r>
          </w:p>
        </w:tc>
        <w:tc>
          <w:tcPr>
            <w:tcW w:w="7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5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0" w:type="dxa"/>
            <w:vAlign w:val="bottom"/>
            <w:shd w:val="clear" w:color="auto" w:fill="DBDBDB"/>
          </w:tcPr>
          <w:p>
            <w:pPr>
              <w:spacing w:after="0"/>
              <w:rPr>
                <w:sz w:val="20"/>
                <w:szCs w:val="20"/>
                <w:color w:val="auto"/>
              </w:rPr>
            </w:pPr>
          </w:p>
        </w:tc>
        <w:tc>
          <w:tcPr>
            <w:tcW w:w="246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8"/>
                <w:szCs w:val="18"/>
                <w:color w:val="auto"/>
              </w:rPr>
              <w:t>meeting</w:t>
            </w:r>
          </w:p>
        </w:tc>
        <w:tc>
          <w:tcPr>
            <w:tcW w:w="1980" w:type="dxa"/>
            <w:vAlign w:val="bottom"/>
            <w:gridSpan w:val="3"/>
            <w:shd w:val="clear" w:color="auto" w:fill="DBDBDB"/>
          </w:tcPr>
          <w:p>
            <w:pPr>
              <w:jc w:val="right"/>
              <w:ind w:right="680"/>
              <w:spacing w:after="0"/>
              <w:rPr>
                <w:sz w:val="20"/>
                <w:szCs w:val="20"/>
                <w:color w:val="auto"/>
              </w:rPr>
            </w:pPr>
            <w:r>
              <w:rPr>
                <w:rFonts w:ascii="Times New Roman" w:cs="Times New Roman" w:eastAsia="Times New Roman" w:hAnsi="Times New Roman"/>
                <w:sz w:val="18"/>
                <w:szCs w:val="18"/>
                <w:color w:val="auto"/>
              </w:rPr>
              <w:t>318,057,232</w:t>
            </w:r>
          </w:p>
        </w:tc>
        <w:tc>
          <w:tcPr>
            <w:tcW w:w="2260" w:type="dxa"/>
            <w:vAlign w:val="bottom"/>
            <w:gridSpan w:val="3"/>
            <w:shd w:val="clear" w:color="auto" w:fill="DBDBDB"/>
          </w:tcPr>
          <w:p>
            <w:pPr>
              <w:jc w:val="right"/>
              <w:ind w:right="680"/>
              <w:spacing w:after="0"/>
              <w:rPr>
                <w:sz w:val="20"/>
                <w:szCs w:val="20"/>
                <w:color w:val="auto"/>
              </w:rPr>
            </w:pPr>
            <w:r>
              <w:rPr>
                <w:rFonts w:ascii="Times New Roman" w:cs="Times New Roman" w:eastAsia="Times New Roman" w:hAnsi="Times New Roman"/>
                <w:sz w:val="18"/>
                <w:szCs w:val="18"/>
                <w:color w:val="auto"/>
              </w:rPr>
              <w:t>425,922,191</w:t>
            </w:r>
          </w:p>
        </w:tc>
        <w:tc>
          <w:tcPr>
            <w:tcW w:w="1600" w:type="dxa"/>
            <w:vAlign w:val="bottom"/>
            <w:gridSpan w:val="2"/>
            <w:shd w:val="clear" w:color="auto" w:fill="DBDBDB"/>
          </w:tcPr>
          <w:p>
            <w:pPr>
              <w:jc w:val="right"/>
              <w:ind w:right="100"/>
              <w:spacing w:after="0"/>
              <w:rPr>
                <w:sz w:val="20"/>
                <w:szCs w:val="20"/>
                <w:color w:val="auto"/>
              </w:rPr>
            </w:pPr>
            <w:r>
              <w:rPr>
                <w:rFonts w:ascii="Times New Roman" w:cs="Times New Roman" w:eastAsia="Times New Roman" w:hAnsi="Times New Roman"/>
                <w:sz w:val="18"/>
                <w:szCs w:val="18"/>
                <w:color w:val="auto"/>
              </w:rPr>
              <w:t>1,407,858</w:t>
            </w:r>
          </w:p>
        </w:tc>
        <w:tc>
          <w:tcPr>
            <w:tcW w:w="2500" w:type="dxa"/>
            <w:vAlign w:val="bottom"/>
            <w:gridSpan w:val="2"/>
            <w:shd w:val="clear" w:color="auto" w:fill="DBDBDB"/>
          </w:tcPr>
          <w:p>
            <w:pPr>
              <w:jc w:val="right"/>
              <w:ind w:right="190"/>
              <w:spacing w:after="0"/>
              <w:rPr>
                <w:sz w:val="20"/>
                <w:szCs w:val="20"/>
                <w:color w:val="auto"/>
              </w:rPr>
            </w:pPr>
            <w:r>
              <w:rPr>
                <w:rFonts w:ascii="Times New Roman" w:cs="Times New Roman" w:eastAsia="Times New Roman" w:hAnsi="Times New Roman"/>
                <w:sz w:val="18"/>
                <w:szCs w:val="18"/>
                <w:color w:val="auto"/>
              </w:rPr>
              <w:t>65,641,693</w:t>
            </w:r>
          </w:p>
        </w:tc>
        <w:tc>
          <w:tcPr>
            <w:tcW w:w="400" w:type="dxa"/>
            <w:vAlign w:val="bottom"/>
            <w:shd w:val="clear" w:color="auto" w:fill="DBDBDB"/>
          </w:tcPr>
          <w:p>
            <w:pPr>
              <w:spacing w:after="0"/>
              <w:rPr>
                <w:sz w:val="20"/>
                <w:szCs w:val="20"/>
                <w:color w:val="auto"/>
              </w:rPr>
            </w:pPr>
          </w:p>
        </w:tc>
        <w:tc>
          <w:tcPr>
            <w:tcW w:w="20" w:type="dxa"/>
            <w:vAlign w:val="bottom"/>
          </w:tcPr>
          <w:p>
            <w:pPr>
              <w:spacing w:after="0"/>
              <w:rPr>
                <w:sz w:val="20"/>
                <w:szCs w:val="20"/>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42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7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2025</w:t>
            </w:r>
          </w:p>
        </w:tc>
        <w:tc>
          <w:tcPr>
            <w:tcW w:w="31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Katie Kane</w:t>
            </w:r>
          </w:p>
        </w:tc>
      </w:tr>
      <w:tr>
        <w:trPr>
          <w:trHeight w:val="218"/>
        </w:trPr>
        <w:tc>
          <w:tcPr>
            <w:tcW w:w="37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Katie Kane</w:t>
            </w:r>
          </w:p>
        </w:tc>
      </w:tr>
      <w:tr>
        <w:trPr>
          <w:trHeight w:val="230"/>
        </w:trPr>
        <w:tc>
          <w:tcPr>
            <w:tcW w:w="378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Secretary and</w:t>
            </w:r>
          </w:p>
        </w:tc>
      </w:tr>
      <w:tr>
        <w:trPr>
          <w:trHeight w:val="234"/>
        </w:trPr>
        <w:tc>
          <w:tcPr>
            <w:tcW w:w="37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 w:lineRule="exact"/>
        <w:rPr>
          <w:sz w:val="20"/>
          <w:szCs w:val="20"/>
          <w:color w:val="auto"/>
        </w:rPr>
      </w:pP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2025-04-18T08:09:40Z</dcterms:created>
  <dcterms:modified xsi:type="dcterms:W3CDTF">2025-04-18T08:09:40Z</dcterms:modified>
</cp:coreProperties>
</file>