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225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255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MARCH KEVIN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04/30/2013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6"/>
        <w:spacing w:after="0"/>
        <w:rPr>
          <w:sz w:val="20"/>
          <w:szCs w:val="20"/>
          <w:color w:val="auto"/>
        </w:rPr>
      </w:pPr>
      <w:r>
        <w:rPr>
          <w:rFonts w:ascii="Arial" w:cs="Arial" w:eastAsia="Arial" w:hAnsi="Arial"/>
          <w:sz w:val="17"/>
          <w:szCs w:val="17"/>
          <w:color w:val="0000FF"/>
        </w:rPr>
        <w:t>Sr. Vice President &amp; CFO</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7"/>
                <w:szCs w:val="17"/>
                <w:color w:val="0000FF"/>
              </w:rPr>
              <w:t>04/30/2013</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ind w:left="200"/>
              <w:spacing w:after="0"/>
              <w:rPr>
                <w:sz w:val="20"/>
                <w:szCs w:val="20"/>
                <w:color w:val="auto"/>
              </w:rPr>
            </w:pPr>
            <w:r>
              <w:rPr>
                <w:rFonts w:ascii="Arial" w:cs="Arial" w:eastAsia="Arial" w:hAnsi="Arial"/>
                <w:sz w:val="17"/>
                <w:szCs w:val="17"/>
                <w:color w:val="0000FF"/>
                <w:w w:val="99"/>
              </w:rPr>
              <w:t>40,000</w:t>
            </w:r>
          </w:p>
        </w:tc>
        <w:tc>
          <w:tcPr>
            <w:tcW w:w="700" w:type="dxa"/>
            <w:vAlign w:val="bottom"/>
          </w:tcPr>
          <w:p>
            <w:pPr>
              <w:ind w:left="3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32.39</w:t>
            </w: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382,440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04/30/2013</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9"/>
              </w:rPr>
              <w:t>40,000</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36.0425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342,440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7"/>
              </w:rPr>
              <w:t>1,938.82</w:t>
            </w:r>
            <w:r>
              <w:rPr>
                <w:rFonts w:ascii="Arial" w:cs="Arial" w:eastAsia="Arial" w:hAnsi="Arial"/>
                <w:sz w:val="22"/>
                <w:szCs w:val="22"/>
                <w:color w:val="008000"/>
                <w:w w:val="87"/>
                <w:vertAlign w:val="superscript"/>
              </w:rPr>
              <w:t>(2)</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5"/>
              </w:rPr>
              <w:t>41.37</w:t>
            </w:r>
            <w:r>
              <w:rPr>
                <w:rFonts w:ascii="Arial" w:cs="Arial" w:eastAsia="Arial" w:hAnsi="Arial"/>
                <w:sz w:val="22"/>
                <w:szCs w:val="22"/>
                <w:color w:val="008000"/>
                <w:w w:val="85"/>
                <w:vertAlign w:val="superscript"/>
              </w:rPr>
              <w:t>(3)</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8"/>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jc w:val="center"/>
              <w:ind w:right="9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9"/>
          </w:tcPr>
          <w:p>
            <w:pPr>
              <w:jc w:val="center"/>
              <w:ind w:left="51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32.39</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04/30/2013</w:t>
            </w:r>
          </w:p>
        </w:tc>
        <w:tc>
          <w:tcPr>
            <w:tcW w:w="11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7"/>
                <w:szCs w:val="17"/>
                <w:color w:val="auto"/>
              </w:rPr>
            </w:pPr>
          </w:p>
        </w:tc>
        <w:tc>
          <w:tcPr>
            <w:tcW w:w="880" w:type="dxa"/>
            <w:vAlign w:val="bottom"/>
          </w:tcPr>
          <w:p>
            <w:pPr>
              <w:ind w:left="380"/>
              <w:spacing w:after="0"/>
              <w:rPr>
                <w:sz w:val="20"/>
                <w:szCs w:val="20"/>
                <w:color w:val="auto"/>
              </w:rPr>
            </w:pPr>
            <w:r>
              <w:rPr>
                <w:rFonts w:ascii="Arial" w:cs="Arial" w:eastAsia="Arial" w:hAnsi="Arial"/>
                <w:sz w:val="13"/>
                <w:szCs w:val="13"/>
                <w:color w:val="0000FF"/>
              </w:rPr>
              <w:t>40,000</w:t>
            </w:r>
          </w:p>
        </w:tc>
        <w:tc>
          <w:tcPr>
            <w:tcW w:w="780" w:type="dxa"/>
            <w:vAlign w:val="bottom"/>
          </w:tcPr>
          <w:p>
            <w:pPr>
              <w:ind w:left="280"/>
              <w:spacing w:after="0"/>
              <w:rPr>
                <w:sz w:val="20"/>
                <w:szCs w:val="20"/>
                <w:color w:val="auto"/>
              </w:rPr>
            </w:pPr>
            <w:r>
              <w:rPr>
                <w:rFonts w:ascii="Arial" w:cs="Arial" w:eastAsia="Arial" w:hAnsi="Arial"/>
                <w:sz w:val="11"/>
                <w:szCs w:val="11"/>
                <w:color w:val="008000"/>
              </w:rPr>
              <w:t>(4)</w:t>
            </w:r>
          </w:p>
        </w:tc>
        <w:tc>
          <w:tcPr>
            <w:tcW w:w="740" w:type="dxa"/>
            <w:vAlign w:val="bottom"/>
          </w:tcPr>
          <w:p>
            <w:pPr>
              <w:ind w:left="60"/>
              <w:spacing w:after="0"/>
              <w:rPr>
                <w:sz w:val="20"/>
                <w:szCs w:val="20"/>
                <w:color w:val="auto"/>
              </w:rPr>
            </w:pPr>
            <w:r>
              <w:rPr>
                <w:rFonts w:ascii="Arial" w:cs="Arial" w:eastAsia="Arial" w:hAnsi="Arial"/>
                <w:sz w:val="13"/>
                <w:szCs w:val="13"/>
                <w:color w:val="0000FF"/>
              </w:rPr>
              <w:t>01/14/2014</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40,000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80,000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Sales effected pursuant to a Rule 10b5-1 trading plan entered into by the reporting person on 1-30-2013. The sales were at prices ranging from $35.77 to $36.17. The price in Table I is the weighted average sale price. The issuer undertakes to provide upon request a detailed breakout of the sale prices and the number of shares sold at each price.</w:t>
      </w:r>
    </w:p>
    <w:p>
      <w:pPr>
        <w:spacing w:after="0" w:line="9" w:lineRule="exact"/>
        <w:rPr>
          <w:rFonts w:ascii="Arial" w:cs="Arial" w:eastAsia="Arial" w:hAnsi="Arial"/>
          <w:sz w:val="13"/>
          <w:szCs w:val="13"/>
          <w:color w:val="008000"/>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3-31-2013. (Interests in this account are denominated in units. Consequently, share amount shown is an estimate.) This statement does not include changes in beneficial ownership of shares held in such account occurring after 3-31-2013 that are eligible for deferred reporting on Form 5.</w:t>
      </w:r>
    </w:p>
    <w:p>
      <w:pPr>
        <w:spacing w:after="0" w:line="9" w:lineRule="exact"/>
        <w:rPr>
          <w:rFonts w:ascii="Arial" w:cs="Arial" w:eastAsia="Arial" w:hAnsi="Arial"/>
          <w:sz w:val="13"/>
          <w:szCs w:val="13"/>
          <w:color w:val="008000"/>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3-31-2013. (Interests in this account are denominated in units. Consequently, share amount shown is an estimate.) This statement does not include changes in beneficial ownership of shares held in this account occurring after 3-31-2013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14, 2005.</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05/01/2013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2019-12-17T02:16:19Z</dcterms:created>
  <dcterms:modified xsi:type="dcterms:W3CDTF">2019-12-17T02:16:19Z</dcterms:modified>
</cp:coreProperties>
</file>