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671830</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612140</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t>UNITED STATES</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13335</wp:posOffset>
            </wp:positionV>
            <wp:extent cx="4236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41275</wp:posOffset>
            </wp:positionV>
            <wp:extent cx="4236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September 19,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28575</wp:posOffset>
            </wp:positionV>
            <wp:extent cx="4236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98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920" w:type="dxa"/>
            <w:vAlign w:val="bottom"/>
            <w:tcBorders>
              <w:bottom w:val="single" w:sz="8" w:color="auto"/>
            </w:tcBorders>
          </w:tcPr>
          <w:p>
            <w:pPr>
              <w:jc w:val="center"/>
              <w:ind w:right="699"/>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120" w:type="dxa"/>
            <w:vAlign w:val="bottom"/>
          </w:tcPr>
          <w:p>
            <w:pPr>
              <w:spacing w:after="0"/>
              <w:rPr>
                <w:sz w:val="20"/>
                <w:szCs w:val="20"/>
                <w:color w:val="auto"/>
              </w:rPr>
            </w:pPr>
          </w:p>
        </w:tc>
      </w:tr>
      <w:tr>
        <w:trPr>
          <w:trHeight w:val="659"/>
        </w:trPr>
        <w:tc>
          <w:tcPr>
            <w:tcW w:w="21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8"/>
              </w:rPr>
              <w:t>DELAWARE</w:t>
            </w:r>
          </w:p>
        </w:tc>
        <w:tc>
          <w:tcPr>
            <w:tcW w:w="5920" w:type="dxa"/>
            <w:vAlign w:val="bottom"/>
          </w:tcPr>
          <w:p>
            <w:pPr>
              <w:ind w:left="2220"/>
              <w:spacing w:after="0"/>
              <w:rPr>
                <w:sz w:val="20"/>
                <w:szCs w:val="20"/>
                <w:color w:val="auto"/>
              </w:rPr>
            </w:pPr>
            <w:r>
              <w:rPr>
                <w:rFonts w:ascii="Arial" w:cs="Arial" w:eastAsia="Arial" w:hAnsi="Arial"/>
                <w:sz w:val="18"/>
                <w:szCs w:val="18"/>
                <w:b w:val="1"/>
                <w:bCs w:val="1"/>
                <w:color w:val="auto"/>
              </w:rPr>
              <w:t>001-03761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75-0289970</w:t>
            </w:r>
          </w:p>
        </w:tc>
      </w:tr>
      <w:tr>
        <w:trPr>
          <w:trHeight w:val="180"/>
        </w:trPr>
        <w:tc>
          <w:tcPr>
            <w:tcW w:w="2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(State or other jurisdiction</w:t>
            </w:r>
          </w:p>
        </w:tc>
        <w:tc>
          <w:tcPr>
            <w:tcW w:w="5920" w:type="dxa"/>
            <w:vAlign w:val="bottom"/>
          </w:tcPr>
          <w:p>
            <w:pPr>
              <w:ind w:left="2200"/>
              <w:spacing w:after="0"/>
              <w:rPr>
                <w:sz w:val="20"/>
                <w:szCs w:val="20"/>
                <w:color w:val="auto"/>
              </w:rPr>
            </w:pPr>
            <w:r>
              <w:rPr>
                <w:rFonts w:ascii="Arial" w:cs="Arial" w:eastAsia="Arial" w:hAnsi="Arial"/>
                <w:sz w:val="14"/>
                <w:szCs w:val="14"/>
                <w:b w:val="1"/>
                <w:bCs w:val="1"/>
                <w:color w:val="auto"/>
              </w:rPr>
              <w:t>(Commission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2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of incorporation)</w:t>
            </w:r>
          </w:p>
        </w:tc>
        <w:tc>
          <w:tcPr>
            <w:tcW w:w="5920" w:type="dxa"/>
            <w:vAlign w:val="bottom"/>
          </w:tcPr>
          <w:p>
            <w:pPr>
              <w:ind w:left="2220"/>
              <w:spacing w:after="0"/>
              <w:rPr>
                <w:sz w:val="20"/>
                <w:szCs w:val="20"/>
                <w:color w:val="auto"/>
              </w:rPr>
            </w:pPr>
            <w:r>
              <w:rPr>
                <w:rFonts w:ascii="Arial" w:cs="Arial" w:eastAsia="Arial" w:hAnsi="Arial"/>
                <w:sz w:val="14"/>
                <w:szCs w:val="14"/>
                <w:b w:val="1"/>
                <w:bCs w:val="1"/>
                <w:color w:val="auto"/>
              </w:rPr>
              <w:t>file number)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identification no.)</w:t>
            </w:r>
          </w:p>
        </w:tc>
      </w:tr>
      <w:tr>
        <w:trPr>
          <w:trHeight w:val="426"/>
        </w:trPr>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ind w:right="699"/>
              <w:spacing w:after="0"/>
              <w:rPr>
                <w:sz w:val="20"/>
                <w:szCs w:val="20"/>
                <w:color w:val="auto"/>
              </w:rPr>
            </w:pPr>
            <w:r>
              <w:rPr>
                <w:rFonts w:ascii="Arial" w:cs="Arial" w:eastAsia="Arial" w:hAnsi="Arial"/>
                <w:sz w:val="18"/>
                <w:szCs w:val="18"/>
                <w:b w:val="1"/>
                <w:bCs w:val="1"/>
                <w:color w:val="auto"/>
                <w:w w:val="97"/>
              </w:rPr>
              <w:t>12500 TI BOULEVARD</w:t>
            </w:r>
          </w:p>
        </w:tc>
        <w:tc>
          <w:tcPr>
            <w:tcW w:w="1120" w:type="dxa"/>
            <w:vAlign w:val="bottom"/>
          </w:tcPr>
          <w:p>
            <w:pPr>
              <w:spacing w:after="0"/>
              <w:rPr>
                <w:sz w:val="24"/>
                <w:szCs w:val="24"/>
                <w:color w:val="auto"/>
              </w:rPr>
            </w:pPr>
          </w:p>
        </w:tc>
      </w:tr>
      <w:tr>
        <w:trPr>
          <w:trHeight w:val="212"/>
        </w:trPr>
        <w:tc>
          <w:tcPr>
            <w:tcW w:w="1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920" w:type="dxa"/>
            <w:vAlign w:val="bottom"/>
          </w:tcPr>
          <w:p>
            <w:pPr>
              <w:jc w:val="center"/>
              <w:ind w:right="679"/>
              <w:spacing w:after="0"/>
              <w:rPr>
                <w:sz w:val="20"/>
                <w:szCs w:val="20"/>
                <w:color w:val="auto"/>
              </w:rPr>
            </w:pPr>
            <w:r>
              <w:rPr>
                <w:rFonts w:ascii="Arial" w:cs="Arial" w:eastAsia="Arial" w:hAnsi="Arial"/>
                <w:sz w:val="18"/>
                <w:szCs w:val="18"/>
                <w:b w:val="1"/>
                <w:bCs w:val="1"/>
                <w:color w:val="auto"/>
                <w:w w:val="96"/>
              </w:rPr>
              <w:t>DALLAS, TEXAS 75243</w:t>
            </w:r>
          </w:p>
        </w:tc>
        <w:tc>
          <w:tcPr>
            <w:tcW w:w="1120" w:type="dxa"/>
            <w:vAlign w:val="bottom"/>
          </w:tcPr>
          <w:p>
            <w:pPr>
              <w:spacing w:after="0"/>
              <w:rPr>
                <w:sz w:val="18"/>
                <w:szCs w:val="18"/>
                <w:color w:val="auto"/>
              </w:rPr>
            </w:pPr>
          </w:p>
        </w:tc>
      </w:tr>
      <w:tr>
        <w:trPr>
          <w:trHeight w:val="186"/>
        </w:trPr>
        <w:tc>
          <w:tcPr>
            <w:tcW w:w="1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920" w:type="dxa"/>
            <w:vAlign w:val="bottom"/>
          </w:tcPr>
          <w:p>
            <w:pPr>
              <w:jc w:val="center"/>
              <w:ind w:right="6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20" w:type="dxa"/>
            <w:vAlign w:val="bottom"/>
          </w:tcPr>
          <w:p>
            <w:pPr>
              <w:spacing w:after="0"/>
              <w:rPr>
                <w:sz w:val="16"/>
                <w:szCs w:val="16"/>
                <w:color w:val="auto"/>
              </w:rPr>
            </w:pPr>
          </w:p>
        </w:tc>
      </w:tr>
      <w:tr>
        <w:trPr>
          <w:trHeight w:val="378"/>
        </w:trPr>
        <w:tc>
          <w:tcPr>
            <w:tcW w:w="1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920" w:type="dxa"/>
            <w:vAlign w:val="bottom"/>
          </w:tcPr>
          <w:p>
            <w:pPr>
              <w:jc w:val="center"/>
              <w:ind w:right="699"/>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120" w:type="dxa"/>
            <w:vAlign w:val="bottom"/>
          </w:tcPr>
          <w:p>
            <w:pPr>
              <w:spacing w:after="0"/>
              <w:rPr>
                <w:sz w:val="24"/>
                <w:szCs w:val="24"/>
                <w:color w:val="auto"/>
              </w:rPr>
            </w:pPr>
          </w:p>
        </w:tc>
      </w:tr>
      <w:tr>
        <w:trPr>
          <w:trHeight w:val="26"/>
        </w:trPr>
        <w:tc>
          <w:tcPr>
            <w:tcW w:w="14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bl>
    <w:p>
      <w:pPr>
        <w:spacing w:after="0" w:line="364"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62" w:lineRule="exact"/>
        <w:rPr>
          <w:sz w:val="24"/>
          <w:szCs w:val="24"/>
          <w:color w:val="auto"/>
        </w:rPr>
      </w:pPr>
    </w:p>
    <w:p>
      <w:pPr>
        <w:ind w:left="780" w:hanging="75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7" w:lineRule="exact"/>
        <w:rPr>
          <w:rFonts w:ascii="MS PGothic" w:cs="MS PGothic" w:eastAsia="MS PGothic" w:hAnsi="MS PGothic"/>
          <w:sz w:val="18"/>
          <w:szCs w:val="18"/>
          <w:color w:val="auto"/>
        </w:rPr>
      </w:pPr>
    </w:p>
    <w:p>
      <w:pPr>
        <w:ind w:left="780" w:hanging="75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80" w:hanging="75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780" w:hanging="754"/>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373"/>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Trading</w:t>
            </w:r>
          </w:p>
        </w:tc>
        <w:tc>
          <w:tcPr>
            <w:tcW w:w="4880" w:type="dxa"/>
            <w:vAlign w:val="bottom"/>
          </w:tcPr>
          <w:p>
            <w:pPr>
              <w:spacing w:after="0"/>
              <w:rPr>
                <w:sz w:val="24"/>
                <w:szCs w:val="24"/>
                <w:color w:val="auto"/>
              </w:rPr>
            </w:pPr>
          </w:p>
        </w:tc>
      </w:tr>
      <w:tr>
        <w:trPr>
          <w:trHeight w:val="234"/>
        </w:trPr>
        <w:tc>
          <w:tcPr>
            <w:tcW w:w="4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Title of each class</w:t>
            </w: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Symbol(s)</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237"/>
        </w:trPr>
        <w:tc>
          <w:tcPr>
            <w:tcW w:w="4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Common Stock, par value $1.00</w:t>
            </w:r>
          </w:p>
        </w:tc>
        <w:tc>
          <w:tcPr>
            <w:tcW w:w="20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TXN</w:t>
            </w: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337" w:lineRule="exact"/>
        <w:rPr>
          <w:sz w:val="24"/>
          <w:szCs w:val="24"/>
          <w:color w:val="auto"/>
        </w:rPr>
      </w:pPr>
    </w:p>
    <w:p>
      <w:pPr>
        <w:jc w:val="both"/>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287655</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227965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00"/>
          </w:cols>
          <w:pgMar w:left="240" w:top="1152"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8.01. Other Events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Registrant’s news release dated September 19, 2019, regarding a planned dividend increase, attached hereto as Exhibit 99 is incorporated by reference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Designation</w:t>
            </w: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320" w:type="dxa"/>
            <w:vAlign w:val="bottom"/>
          </w:tcPr>
          <w:p>
            <w:pPr>
              <w:spacing w:after="0"/>
              <w:rPr>
                <w:sz w:val="14"/>
                <w:szCs w:val="14"/>
                <w:color w:val="auto"/>
              </w:rPr>
            </w:pPr>
          </w:p>
        </w:tc>
      </w:tr>
      <w:tr>
        <w:trPr>
          <w:trHeight w:val="149"/>
        </w:trPr>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rPr>
              <w:t>of Exhibit</w:t>
            </w:r>
          </w:p>
        </w:tc>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320" w:type="dxa"/>
            <w:vAlign w:val="bottom"/>
          </w:tcPr>
          <w:p>
            <w:pPr>
              <w:spacing w:after="0"/>
              <w:rPr>
                <w:sz w:val="12"/>
                <w:szCs w:val="12"/>
                <w:color w:val="auto"/>
              </w:rPr>
            </w:pPr>
          </w:p>
        </w:tc>
      </w:tr>
      <w:tr>
        <w:trPr>
          <w:trHeight w:val="149"/>
        </w:trPr>
        <w:tc>
          <w:tcPr>
            <w:tcW w:w="14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in this</w:t>
            </w:r>
          </w:p>
        </w:tc>
        <w:tc>
          <w:tcPr>
            <w:tcW w:w="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320" w:type="dxa"/>
            <w:vAlign w:val="bottom"/>
          </w:tcPr>
          <w:p>
            <w:pPr>
              <w:spacing w:after="0"/>
              <w:rPr>
                <w:sz w:val="12"/>
                <w:szCs w:val="12"/>
                <w:color w:val="auto"/>
              </w:rPr>
            </w:pPr>
          </w:p>
        </w:tc>
      </w:tr>
      <w:tr>
        <w:trPr>
          <w:trHeight w:val="188"/>
        </w:trPr>
        <w:tc>
          <w:tcPr>
            <w:tcW w:w="1400" w:type="dxa"/>
            <w:vAlign w:val="bottom"/>
            <w:gridSpan w:val="2"/>
          </w:tcPr>
          <w:p>
            <w:pPr>
              <w:jc w:val="center"/>
              <w:ind w:right="160"/>
              <w:spacing w:after="0"/>
              <w:rPr>
                <w:sz w:val="20"/>
                <w:szCs w:val="20"/>
                <w:color w:val="auto"/>
              </w:rPr>
            </w:pPr>
            <w:r>
              <w:rPr>
                <w:rFonts w:ascii="Arial" w:cs="Arial" w:eastAsia="Arial" w:hAnsi="Arial"/>
                <w:sz w:val="14"/>
                <w:szCs w:val="14"/>
                <w:color w:val="auto"/>
                <w:w w:val="95"/>
              </w:rPr>
              <w:t>Report</w:t>
            </w:r>
          </w:p>
        </w:tc>
        <w:tc>
          <w:tcPr>
            <w:tcW w:w="20" w:type="dxa"/>
            <w:vAlign w:val="bottom"/>
          </w:tcPr>
          <w:p>
            <w:pPr>
              <w:spacing w:after="0"/>
              <w:rPr>
                <w:sz w:val="16"/>
                <w:szCs w:val="16"/>
                <w:color w:val="auto"/>
              </w:rPr>
            </w:pPr>
          </w:p>
        </w:tc>
        <w:tc>
          <w:tcPr>
            <w:tcW w:w="9240" w:type="dxa"/>
            <w:vAlign w:val="bottom"/>
            <w:gridSpan w:val="2"/>
          </w:tcPr>
          <w:p>
            <w:pPr>
              <w:spacing w:after="0"/>
              <w:rPr>
                <w:sz w:val="20"/>
                <w:szCs w:val="20"/>
                <w:color w:val="auto"/>
              </w:rPr>
            </w:pPr>
            <w:r>
              <w:rPr>
                <w:rFonts w:ascii="Arial" w:cs="Arial" w:eastAsia="Arial" w:hAnsi="Arial"/>
                <w:sz w:val="14"/>
                <w:szCs w:val="14"/>
                <w:color w:val="auto"/>
              </w:rPr>
              <w:t>Description of Exhibit</w:t>
            </w:r>
          </w:p>
        </w:tc>
      </w:tr>
      <w:tr>
        <w:trPr>
          <w:trHeight w:val="405"/>
        </w:trPr>
        <w:tc>
          <w:tcPr>
            <w:tcW w:w="1240" w:type="dxa"/>
            <w:vAlign w:val="bottom"/>
            <w:tcBorders>
              <w:top w:val="single" w:sz="8" w:color="auto"/>
            </w:tcBorders>
          </w:tcPr>
          <w:p>
            <w:pPr>
              <w:jc w:val="right"/>
              <w:ind w:right="442"/>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920" w:type="dxa"/>
            <w:vAlign w:val="bottom"/>
            <w:tcBorders>
              <w:top w:val="single" w:sz="8" w:color="auto"/>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Registrant’s News Release</w:t>
              </w:r>
            </w:hyperlink>
          </w:p>
        </w:tc>
        <w:tc>
          <w:tcPr>
            <w:tcW w:w="7320" w:type="dxa"/>
            <w:vAlign w:val="bottom"/>
            <w:tcBorders>
              <w:top w:val="single" w:sz="8" w:color="auto"/>
            </w:tcBorders>
          </w:tcPr>
          <w:p>
            <w:pPr>
              <w:spacing w:after="0"/>
              <w:rPr>
                <w:sz w:val="24"/>
                <w:szCs w:val="24"/>
                <w:color w:val="auto"/>
              </w:rPr>
            </w:pPr>
          </w:p>
        </w:tc>
      </w:tr>
      <w:tr>
        <w:trPr>
          <w:trHeight w:val="264"/>
        </w:trPr>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Dated September 19, 2019</w:t>
            </w:r>
          </w:p>
        </w:tc>
      </w:tr>
      <w:tr>
        <w:trPr>
          <w:trHeight w:val="270"/>
        </w:trPr>
        <w:tc>
          <w:tcPr>
            <w:tcW w:w="1240" w:type="dxa"/>
            <w:vAlign w:val="bottom"/>
          </w:tcPr>
          <w:p>
            <w:pPr>
              <w:jc w:val="right"/>
              <w:ind w:right="402"/>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140"/>
          </w:cols>
          <w:pgMar w:left="240" w:top="895" w:right="5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20"/>
        <w:spacing w:after="0"/>
        <w:tabs>
          <w:tab w:leader="none" w:pos="6280" w:val="left"/>
          <w:tab w:leader="none" w:pos="6960" w:val="left"/>
        </w:tabs>
        <w:rPr>
          <w:sz w:val="20"/>
          <w:szCs w:val="20"/>
          <w:color w:val="auto"/>
        </w:rPr>
      </w:pPr>
      <w:r>
        <w:rPr>
          <w:rFonts w:ascii="Arial" w:cs="Arial" w:eastAsia="Arial" w:hAnsi="Arial"/>
          <w:sz w:val="18"/>
          <w:szCs w:val="18"/>
          <w:color w:val="auto"/>
        </w:rPr>
        <w:t>Date: September 19,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4421505</wp:posOffset>
            </wp:positionH>
            <wp:positionV relativeFrom="paragraph">
              <wp:posOffset>31750</wp:posOffset>
            </wp:positionV>
            <wp:extent cx="2813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Rafael R. Lizardi</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89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TI to return more cash to shareholders with 17% dividend increase</w:t>
      </w:r>
    </w:p>
    <w:p>
      <w:pPr>
        <w:spacing w:after="0" w:line="268"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DALLAS (Sept. 19, 2019) – Texas Instruments Incorporated (TI) (Nasdaq: TXN) today said it will raise its quarterly cash dividend by 17%, from $0.77 per share to $0.90, or $3.60 annualized. The higher dividend will be payable November 18, 2019, to stockholders of record on October 31, 2019, contingent upon formal declaration by the board of directors at its regular meeting in October.</w:t>
      </w:r>
    </w:p>
    <w:p>
      <w:pPr>
        <w:spacing w:after="0" w:line="215"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This dividend increase is an integral piece of TI's capital management strategy and reflects the company’s continued strength in free cash flow generation and its commitment to return excess cash to stockholders. In the 12-month period ending June 2019, TI has paid 47% of its free cash flow in dividends.</w:t>
      </w:r>
    </w:p>
    <w:p>
      <w:pPr>
        <w:spacing w:after="0" w:line="213"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color w:val="auto"/>
        </w:rPr>
        <w:t>TI has a proven track record of returning cash to its shareholders. Today’s announcement marks 16 consecutive years of dividend increases. In addition, as of second quarter 2019, the company has reduced its outstanding shares by 46% through its consistent share repurchases since the end of 2004.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53" w:lineRule="exact"/>
        <w:rPr>
          <w:sz w:val="20"/>
          <w:szCs w:val="20"/>
          <w:color w:val="auto"/>
        </w:rPr>
      </w:pPr>
    </w:p>
    <w:p>
      <w:pPr>
        <w:ind w:right="40"/>
        <w:spacing w:after="0" w:line="261" w:lineRule="auto"/>
        <w:rPr>
          <w:sz w:val="20"/>
          <w:szCs w:val="20"/>
          <w:color w:val="auto"/>
        </w:rPr>
      </w:pPr>
      <w:r>
        <w:rPr>
          <w:rFonts w:ascii="Arial" w:cs="Arial" w:eastAsia="Arial" w:hAnsi="Arial"/>
          <w:sz w:val="21"/>
          <w:szCs w:val="21"/>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7"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color w:val="auto"/>
        </w:rPr>
        <w:t>We urge you to carefully consider the following important factors that could cause actual results to differ materially from the expectations of TI or our management:</w:t>
      </w:r>
    </w:p>
    <w:p>
      <w:pPr>
        <w:spacing w:after="0" w:line="202" w:lineRule="exact"/>
        <w:rPr>
          <w:sz w:val="20"/>
          <w:szCs w:val="20"/>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Market demand for semiconductors, particularly in our end markets;</w:t>
      </w:r>
    </w:p>
    <w:p>
      <w:pPr>
        <w:spacing w:after="0" w:line="21" w:lineRule="exact"/>
        <w:rPr>
          <w:rFonts w:ascii="Arial" w:cs="Arial" w:eastAsia="Arial" w:hAnsi="Arial"/>
          <w:sz w:val="22"/>
          <w:szCs w:val="22"/>
          <w:color w:val="auto"/>
        </w:rPr>
      </w:pPr>
    </w:p>
    <w:p>
      <w:pPr>
        <w:ind w:left="320" w:hanging="312"/>
        <w:spacing w:after="0"/>
        <w:tabs>
          <w:tab w:leader="none" w:pos="320" w:val="left"/>
        </w:tabs>
        <w:numPr>
          <w:ilvl w:val="0"/>
          <w:numId w:val="2"/>
        </w:numPr>
        <w:rPr>
          <w:rFonts w:ascii="Arial" w:cs="Arial" w:eastAsia="Arial" w:hAnsi="Arial"/>
          <w:sz w:val="22"/>
          <w:szCs w:val="22"/>
          <w:color w:val="auto"/>
        </w:rPr>
      </w:pPr>
      <w:r>
        <w:rPr>
          <w:rFonts w:ascii="Arial" w:cs="Arial" w:eastAsia="Arial" w:hAnsi="Arial"/>
          <w:sz w:val="22"/>
          <w:szCs w:val="22"/>
          <w:color w:val="auto"/>
        </w:rPr>
        <w:t>Our ability to compete in products and prices in an intensely competitive industry;</w:t>
      </w:r>
    </w:p>
    <w:p>
      <w:pPr>
        <w:spacing w:after="0" w:line="3" w:lineRule="exact"/>
        <w:rPr>
          <w:rFonts w:ascii="Arial" w:cs="Arial" w:eastAsia="Arial" w:hAnsi="Arial"/>
          <w:sz w:val="22"/>
          <w:szCs w:val="22"/>
          <w:color w:val="auto"/>
        </w:rPr>
      </w:pPr>
    </w:p>
    <w:p>
      <w:pPr>
        <w:ind w:left="340" w:right="280" w:hanging="332"/>
        <w:spacing w:after="0" w:line="243" w:lineRule="auto"/>
        <w:tabs>
          <w:tab w:leader="none" w:pos="334" w:val="left"/>
        </w:tabs>
        <w:numPr>
          <w:ilvl w:val="0"/>
          <w:numId w:val="2"/>
        </w:numPr>
        <w:rPr>
          <w:rFonts w:ascii="Arial" w:cs="Arial" w:eastAsia="Arial" w:hAnsi="Arial"/>
          <w:sz w:val="22"/>
          <w:szCs w:val="22"/>
          <w:color w:val="auto"/>
        </w:rPr>
      </w:pPr>
      <w:r>
        <w:rPr>
          <w:rFonts w:ascii="Arial" w:cs="Arial" w:eastAsia="Arial" w:hAnsi="Arial"/>
          <w:sz w:val="22"/>
          <w:szCs w:val="22"/>
          <w:color w:val="auto"/>
        </w:rPr>
        <w:t>Customer demand that differs from forecasts and the financial impact of inadequate or excess company inventory that results from demand that differs from projections;</w:t>
      </w:r>
    </w:p>
    <w:p>
      <w:pPr>
        <w:ind w:left="340" w:right="440" w:hanging="332"/>
        <w:spacing w:after="0" w:line="302" w:lineRule="auto"/>
        <w:tabs>
          <w:tab w:leader="none" w:pos="334" w:val="left"/>
        </w:tabs>
        <w:numPr>
          <w:ilvl w:val="0"/>
          <w:numId w:val="2"/>
        </w:numPr>
        <w:rPr>
          <w:rFonts w:ascii="Arial" w:cs="Arial" w:eastAsia="Arial" w:hAnsi="Arial"/>
          <w:sz w:val="19"/>
          <w:szCs w:val="19"/>
          <w:color w:val="auto"/>
        </w:rPr>
      </w:pPr>
      <w:r>
        <w:rPr>
          <w:rFonts w:ascii="Arial" w:cs="Arial" w:eastAsia="Arial" w:hAnsi="Arial"/>
          <w:sz w:val="19"/>
          <w:szCs w:val="19"/>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ectPr>
          <w:pgSz w:w="11900" w:h="16838" w:orient="portrait"/>
          <w:cols w:equalWidth="0" w:num="1">
            <w:col w:w="11420"/>
          </w:cols>
          <w:pgMar w:left="240" w:top="126" w:right="239" w:bottom="1440" w:gutter="0" w:footer="0" w:header="0"/>
        </w:sectPr>
      </w:pPr>
    </w:p>
    <w:bookmarkStart w:id="4" w:name="page5"/>
    <w:bookmarkEnd w:id="4"/>
    <w:p>
      <w:pPr>
        <w:ind w:left="32"/>
        <w:spacing w:after="0"/>
        <w:tabs>
          <w:tab w:leader="none" w:pos="10792" w:val="left"/>
        </w:tabs>
        <w:rPr>
          <w:sz w:val="20"/>
          <w:szCs w:val="20"/>
          <w:color w:val="auto"/>
        </w:rPr>
      </w:pPr>
      <w:r>
        <w:rPr>
          <w:rFonts w:ascii="Arial" w:cs="Arial" w:eastAsia="Arial" w:hAnsi="Arial"/>
          <w:sz w:val="22"/>
          <w:szCs w:val="22"/>
          <w:b w:val="1"/>
          <w:bCs w:val="1"/>
          <w:color w:val="auto"/>
        </w:rPr>
        <w:t>TI to return more cash to shareholders with 17% dividend increase</w:t>
      </w:r>
      <w:r>
        <w:rPr>
          <w:sz w:val="20"/>
          <w:szCs w:val="20"/>
          <w:color w:val="auto"/>
        </w:rPr>
        <w:tab/>
      </w:r>
      <w:r>
        <w:rPr>
          <w:rFonts w:ascii="Arial" w:cs="Arial" w:eastAsia="Arial" w:hAnsi="Arial"/>
          <w:sz w:val="17"/>
          <w:szCs w:val="17"/>
          <w:b w:val="1"/>
          <w:bCs w:val="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2" w:hanging="312"/>
        <w:spacing w:after="0"/>
        <w:tabs>
          <w:tab w:leader="none" w:pos="312" w:val="left"/>
        </w:tabs>
        <w:numPr>
          <w:ilvl w:val="0"/>
          <w:numId w:val="3"/>
        </w:numPr>
        <w:rPr>
          <w:rFonts w:ascii="Arial" w:cs="Arial" w:eastAsia="Arial" w:hAnsi="Arial"/>
          <w:sz w:val="22"/>
          <w:szCs w:val="22"/>
          <w:color w:val="auto"/>
        </w:rPr>
      </w:pPr>
      <w:r>
        <w:rPr>
          <w:rFonts w:ascii="Arial" w:cs="Arial" w:eastAsia="Arial" w:hAnsi="Arial"/>
          <w:sz w:val="22"/>
          <w:szCs w:val="22"/>
          <w:color w:val="auto"/>
        </w:rPr>
        <w:t>Evolving cybersecurity threats to our information technology systems or those of our customers or suppliers;</w:t>
      </w:r>
    </w:p>
    <w:p>
      <w:pPr>
        <w:spacing w:after="0" w:line="21" w:lineRule="exact"/>
        <w:rPr>
          <w:rFonts w:ascii="Arial" w:cs="Arial" w:eastAsia="Arial" w:hAnsi="Arial"/>
          <w:sz w:val="22"/>
          <w:szCs w:val="22"/>
          <w:color w:val="auto"/>
        </w:rPr>
      </w:pPr>
    </w:p>
    <w:p>
      <w:pPr>
        <w:ind w:left="332" w:right="60" w:hanging="332"/>
        <w:spacing w:after="0" w:line="243" w:lineRule="auto"/>
        <w:tabs>
          <w:tab w:leader="none" w:pos="326" w:val="left"/>
        </w:tabs>
        <w:numPr>
          <w:ilvl w:val="0"/>
          <w:numId w:val="3"/>
        </w:numPr>
        <w:rPr>
          <w:rFonts w:ascii="Arial" w:cs="Arial" w:eastAsia="Arial" w:hAnsi="Arial"/>
          <w:sz w:val="22"/>
          <w:szCs w:val="22"/>
          <w:color w:val="auto"/>
        </w:rPr>
      </w:pPr>
      <w:r>
        <w:rPr>
          <w:rFonts w:ascii="Arial" w:cs="Arial" w:eastAsia="Arial" w:hAnsi="Arial"/>
          <w:sz w:val="22"/>
          <w:szCs w:val="22"/>
          <w:color w:val="auto"/>
        </w:rPr>
        <w:t>Natural events such as severe weather, geological events or health epidemics in the locations in which we, our customers or our suppliers operate;</w:t>
      </w:r>
    </w:p>
    <w:p>
      <w:pPr>
        <w:ind w:left="312" w:hanging="312"/>
        <w:spacing w:after="0"/>
        <w:tabs>
          <w:tab w:leader="none" w:pos="312" w:val="left"/>
        </w:tabs>
        <w:numPr>
          <w:ilvl w:val="0"/>
          <w:numId w:val="3"/>
        </w:numPr>
        <w:rPr>
          <w:rFonts w:ascii="Arial" w:cs="Arial" w:eastAsia="Arial" w:hAnsi="Arial"/>
          <w:sz w:val="21"/>
          <w:szCs w:val="21"/>
          <w:color w:val="auto"/>
        </w:rPr>
      </w:pPr>
      <w:r>
        <w:rPr>
          <w:rFonts w:ascii="Arial" w:cs="Arial" w:eastAsia="Arial" w:hAnsi="Arial"/>
          <w:sz w:val="21"/>
          <w:szCs w:val="21"/>
          <w:color w:val="auto"/>
        </w:rPr>
        <w:t>Our ability to develop, manufacture and market innovative products in a rapidly changing technological environment;</w:t>
      </w:r>
    </w:p>
    <w:p>
      <w:pPr>
        <w:spacing w:after="0" w:line="15" w:lineRule="exact"/>
        <w:rPr>
          <w:rFonts w:ascii="Arial" w:cs="Arial" w:eastAsia="Arial" w:hAnsi="Arial"/>
          <w:sz w:val="21"/>
          <w:szCs w:val="21"/>
          <w:color w:val="auto"/>
        </w:rPr>
      </w:pPr>
    </w:p>
    <w:p>
      <w:pPr>
        <w:ind w:left="332" w:right="480" w:hanging="332"/>
        <w:spacing w:after="0" w:line="243" w:lineRule="auto"/>
        <w:tabs>
          <w:tab w:leader="none" w:pos="326" w:val="left"/>
        </w:tabs>
        <w:numPr>
          <w:ilvl w:val="0"/>
          <w:numId w:val="3"/>
        </w:numPr>
        <w:rPr>
          <w:rFonts w:ascii="Arial" w:cs="Arial" w:eastAsia="Arial" w:hAnsi="Arial"/>
          <w:sz w:val="22"/>
          <w:szCs w:val="22"/>
          <w:color w:val="auto"/>
        </w:rPr>
      </w:pPr>
      <w:r>
        <w:rPr>
          <w:rFonts w:ascii="Arial" w:cs="Arial" w:eastAsia="Arial" w:hAnsi="Arial"/>
          <w:sz w:val="22"/>
          <w:szCs w:val="22"/>
          <w:color w:val="auto"/>
        </w:rPr>
        <w:t>Timely implementation of new manufacturing technologies and installation of manufacturing equipment, and the ability to obtain needed third-party foundry and assembly/test subcontract services;</w:t>
      </w:r>
    </w:p>
    <w:p>
      <w:pPr>
        <w:ind w:left="332" w:right="1280" w:hanging="332"/>
        <w:spacing w:after="0" w:line="243" w:lineRule="auto"/>
        <w:tabs>
          <w:tab w:leader="none" w:pos="326" w:val="left"/>
        </w:tabs>
        <w:numPr>
          <w:ilvl w:val="0"/>
          <w:numId w:val="3"/>
        </w:numPr>
        <w:rPr>
          <w:rFonts w:ascii="Arial" w:cs="Arial" w:eastAsia="Arial" w:hAnsi="Arial"/>
          <w:sz w:val="22"/>
          <w:szCs w:val="22"/>
          <w:color w:val="auto"/>
        </w:rPr>
      </w:pPr>
      <w:r>
        <w:rPr>
          <w:rFonts w:ascii="Arial" w:cs="Arial" w:eastAsia="Arial" w:hAnsi="Arial"/>
          <w:sz w:val="22"/>
          <w:szCs w:val="22"/>
          <w:color w:val="auto"/>
        </w:rPr>
        <w:t>Availability and cost of raw materials, utilities, manufacturing equipment, third-party manufacturing services and manufacturing technology;</w:t>
      </w:r>
    </w:p>
    <w:p>
      <w:pPr>
        <w:jc w:val="both"/>
        <w:ind w:left="332" w:right="520" w:hanging="332"/>
        <w:spacing w:after="0" w:line="281" w:lineRule="auto"/>
        <w:tabs>
          <w:tab w:leader="none" w:pos="326" w:val="left"/>
        </w:tabs>
        <w:numPr>
          <w:ilvl w:val="0"/>
          <w:numId w:val="3"/>
        </w:numPr>
        <w:rPr>
          <w:rFonts w:ascii="Arial" w:cs="Arial" w:eastAsia="Arial" w:hAnsi="Arial"/>
          <w:sz w:val="19"/>
          <w:szCs w:val="19"/>
          <w:color w:val="auto"/>
        </w:rPr>
      </w:pPr>
      <w:r>
        <w:rPr>
          <w:rFonts w:ascii="Arial" w:cs="Arial" w:eastAsia="Arial" w:hAnsi="Arial"/>
          <w:sz w:val="19"/>
          <w:szCs w:val="19"/>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1" w:lineRule="exact"/>
        <w:rPr>
          <w:rFonts w:ascii="Arial" w:cs="Arial" w:eastAsia="Arial" w:hAnsi="Arial"/>
          <w:sz w:val="19"/>
          <w:szCs w:val="19"/>
          <w:color w:val="auto"/>
        </w:rPr>
      </w:pPr>
    </w:p>
    <w:p>
      <w:pPr>
        <w:ind w:left="332" w:right="240" w:hanging="332"/>
        <w:spacing w:after="0" w:line="243" w:lineRule="auto"/>
        <w:tabs>
          <w:tab w:leader="none" w:pos="326" w:val="left"/>
        </w:tabs>
        <w:numPr>
          <w:ilvl w:val="0"/>
          <w:numId w:val="3"/>
        </w:numPr>
        <w:rPr>
          <w:rFonts w:ascii="Arial" w:cs="Arial" w:eastAsia="Arial" w:hAnsi="Arial"/>
          <w:sz w:val="22"/>
          <w:szCs w:val="22"/>
          <w:color w:val="auto"/>
        </w:rPr>
      </w:pPr>
      <w:r>
        <w:rPr>
          <w:rFonts w:ascii="Arial" w:cs="Arial" w:eastAsia="Arial" w:hAnsi="Arial"/>
          <w:sz w:val="22"/>
          <w:szCs w:val="22"/>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 w:lineRule="exact"/>
        <w:rPr>
          <w:rFonts w:ascii="Arial" w:cs="Arial" w:eastAsia="Arial" w:hAnsi="Arial"/>
          <w:sz w:val="22"/>
          <w:szCs w:val="22"/>
          <w:color w:val="auto"/>
        </w:rPr>
      </w:pPr>
    </w:p>
    <w:p>
      <w:pPr>
        <w:ind w:left="332" w:right="160" w:hanging="332"/>
        <w:spacing w:after="0" w:line="243" w:lineRule="auto"/>
        <w:tabs>
          <w:tab w:leader="none" w:pos="326" w:val="left"/>
        </w:tabs>
        <w:numPr>
          <w:ilvl w:val="0"/>
          <w:numId w:val="3"/>
        </w:numPr>
        <w:rPr>
          <w:rFonts w:ascii="Arial" w:cs="Arial" w:eastAsia="Arial" w:hAnsi="Arial"/>
          <w:sz w:val="22"/>
          <w:szCs w:val="22"/>
          <w:color w:val="auto"/>
        </w:rPr>
      </w:pPr>
      <w:r>
        <w:rPr>
          <w:rFonts w:ascii="Arial" w:cs="Arial" w:eastAsia="Arial" w:hAnsi="Arial"/>
          <w:sz w:val="22"/>
          <w:szCs w:val="22"/>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22"/>
          <w:szCs w:val="22"/>
          <w:color w:val="auto"/>
        </w:rPr>
      </w:pPr>
    </w:p>
    <w:p>
      <w:pPr>
        <w:ind w:left="312" w:hanging="312"/>
        <w:spacing w:after="0"/>
        <w:tabs>
          <w:tab w:leader="none" w:pos="312" w:val="left"/>
        </w:tabs>
        <w:numPr>
          <w:ilvl w:val="0"/>
          <w:numId w:val="3"/>
        </w:numPr>
        <w:rPr>
          <w:rFonts w:ascii="Arial" w:cs="Arial" w:eastAsia="Arial" w:hAnsi="Arial"/>
          <w:sz w:val="22"/>
          <w:szCs w:val="22"/>
          <w:color w:val="auto"/>
        </w:rPr>
      </w:pPr>
      <w:r>
        <w:rPr>
          <w:rFonts w:ascii="Arial" w:cs="Arial" w:eastAsia="Arial" w:hAnsi="Arial"/>
          <w:sz w:val="22"/>
          <w:szCs w:val="22"/>
          <w:color w:val="auto"/>
        </w:rPr>
        <w:t>A loss suffered by one of our customers or distributors with respect to TI-consigned inventory;</w:t>
      </w:r>
    </w:p>
    <w:p>
      <w:pPr>
        <w:spacing w:after="0" w:line="3" w:lineRule="exact"/>
        <w:rPr>
          <w:rFonts w:ascii="Arial" w:cs="Arial" w:eastAsia="Arial" w:hAnsi="Arial"/>
          <w:sz w:val="22"/>
          <w:szCs w:val="22"/>
          <w:color w:val="auto"/>
        </w:rPr>
      </w:pPr>
    </w:p>
    <w:p>
      <w:pPr>
        <w:ind w:left="332" w:hanging="332"/>
        <w:spacing w:after="0" w:line="243" w:lineRule="auto"/>
        <w:tabs>
          <w:tab w:leader="none" w:pos="326" w:val="left"/>
        </w:tabs>
        <w:numPr>
          <w:ilvl w:val="0"/>
          <w:numId w:val="3"/>
        </w:numPr>
        <w:rPr>
          <w:rFonts w:ascii="Arial" w:cs="Arial" w:eastAsia="Arial" w:hAnsi="Arial"/>
          <w:sz w:val="22"/>
          <w:szCs w:val="22"/>
          <w:color w:val="auto"/>
        </w:rPr>
      </w:pPr>
      <w:r>
        <w:rPr>
          <w:rFonts w:ascii="Arial" w:cs="Arial" w:eastAsia="Arial" w:hAnsi="Arial"/>
          <w:sz w:val="22"/>
          <w:szCs w:val="22"/>
          <w:color w:val="auto"/>
        </w:rPr>
        <w:t>Financial difficulties of our distributors or their promotion of competing product lines to our detriment, or the loss of significant distributors;</w:t>
      </w:r>
    </w:p>
    <w:p>
      <w:pPr>
        <w:ind w:left="332" w:right="200" w:hanging="332"/>
        <w:spacing w:after="0" w:line="243" w:lineRule="auto"/>
        <w:tabs>
          <w:tab w:leader="none" w:pos="326" w:val="left"/>
        </w:tabs>
        <w:numPr>
          <w:ilvl w:val="0"/>
          <w:numId w:val="3"/>
        </w:numPr>
        <w:rPr>
          <w:rFonts w:ascii="Arial" w:cs="Arial" w:eastAsia="Arial" w:hAnsi="Arial"/>
          <w:sz w:val="22"/>
          <w:szCs w:val="22"/>
          <w:color w:val="auto"/>
        </w:rPr>
      </w:pPr>
      <w:r>
        <w:rPr>
          <w:rFonts w:ascii="Arial" w:cs="Arial" w:eastAsia="Arial" w:hAnsi="Arial"/>
          <w:sz w:val="22"/>
          <w:szCs w:val="22"/>
          <w:color w:val="auto"/>
        </w:rPr>
        <w:t>Losses or curtailments of purchases from key customers or the timing and amount of distributor and other customer inventory adjustments;</w:t>
      </w:r>
    </w:p>
    <w:p>
      <w:pPr>
        <w:ind w:left="332" w:right="40" w:hanging="332"/>
        <w:spacing w:after="0" w:line="245" w:lineRule="auto"/>
        <w:tabs>
          <w:tab w:leader="none" w:pos="326" w:val="left"/>
        </w:tabs>
        <w:numPr>
          <w:ilvl w:val="0"/>
          <w:numId w:val="3"/>
        </w:numPr>
        <w:rPr>
          <w:rFonts w:ascii="Arial" w:cs="Arial" w:eastAsia="Arial" w:hAnsi="Arial"/>
          <w:sz w:val="22"/>
          <w:szCs w:val="22"/>
          <w:color w:val="auto"/>
        </w:rPr>
      </w:pPr>
      <w:r>
        <w:rPr>
          <w:rFonts w:ascii="Arial" w:cs="Arial" w:eastAsia="Arial" w:hAnsi="Arial"/>
          <w:sz w:val="22"/>
          <w:szCs w:val="22"/>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ectPr>
          <w:pgSz w:w="11900" w:h="16838" w:orient="portrait"/>
          <w:cols w:equalWidth="0" w:num="1">
            <w:col w:w="11392"/>
          </w:cols>
          <w:pgMar w:left="248" w:top="166" w:right="259" w:bottom="1440" w:gutter="0" w:footer="0" w:header="0"/>
        </w:sectPr>
      </w:pPr>
    </w:p>
    <w:bookmarkStart w:id="5" w:name="page6"/>
    <w:bookmarkEnd w:id="5"/>
    <w:p>
      <w:pPr>
        <w:ind w:left="20"/>
        <w:spacing w:after="0"/>
        <w:tabs>
          <w:tab w:leader="none" w:pos="10720" w:val="left"/>
        </w:tabs>
        <w:rPr>
          <w:sz w:val="20"/>
          <w:szCs w:val="20"/>
          <w:color w:val="auto"/>
        </w:rPr>
      </w:pPr>
      <w:r>
        <w:rPr>
          <w:rFonts w:ascii="Arial" w:cs="Arial" w:eastAsia="Arial" w:hAnsi="Arial"/>
          <w:sz w:val="22"/>
          <w:szCs w:val="22"/>
          <w:b w:val="1"/>
          <w:bCs w:val="1"/>
          <w:color w:val="auto"/>
        </w:rPr>
        <w:t>TI to return more cash to shareholders with 17% dividend increase</w:t>
      </w:r>
      <w:r>
        <w:rPr>
          <w:sz w:val="20"/>
          <w:szCs w:val="20"/>
          <w:color w:val="auto"/>
        </w:rPr>
        <w:tab/>
      </w:r>
      <w:r>
        <w:rPr>
          <w:rFonts w:ascii="Arial" w:cs="Arial" w:eastAsia="Arial" w:hAnsi="Arial"/>
          <w:sz w:val="17"/>
          <w:szCs w:val="17"/>
          <w:b w:val="1"/>
          <w:bCs w:val="1"/>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0" w:right="20" w:hanging="332"/>
        <w:spacing w:after="0" w:line="251" w:lineRule="auto"/>
        <w:tabs>
          <w:tab w:leader="none" w:pos="334"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maintain and enforce a strong intellectual property portfolio and maintain freedom of operation in all jurisdictions where we conduct business; or our exposure to infringement claims;</w:t>
      </w:r>
    </w:p>
    <w:p>
      <w:pPr>
        <w:spacing w:after="0" w:line="2" w:lineRule="exact"/>
        <w:rPr>
          <w:rFonts w:ascii="Arial" w:cs="Arial" w:eastAsia="Arial" w:hAnsi="Arial"/>
          <w:sz w:val="22"/>
          <w:szCs w:val="22"/>
          <w:color w:val="auto"/>
        </w:rPr>
      </w:pPr>
    </w:p>
    <w:p>
      <w:pPr>
        <w:ind w:left="340" w:right="220" w:hanging="332"/>
        <w:spacing w:after="0" w:line="243" w:lineRule="auto"/>
        <w:tabs>
          <w:tab w:leader="none" w:pos="334" w:val="left"/>
        </w:tabs>
        <w:numPr>
          <w:ilvl w:val="0"/>
          <w:numId w:val="4"/>
        </w:numPr>
        <w:rPr>
          <w:rFonts w:ascii="Arial" w:cs="Arial" w:eastAsia="Arial" w:hAnsi="Arial"/>
          <w:sz w:val="22"/>
          <w:szCs w:val="22"/>
          <w:color w:val="auto"/>
        </w:rPr>
      </w:pPr>
      <w:r>
        <w:rPr>
          <w:rFonts w:ascii="Arial" w:cs="Arial" w:eastAsia="Arial" w:hAnsi="Arial"/>
          <w:sz w:val="22"/>
          <w:szCs w:val="22"/>
          <w:color w:val="auto"/>
        </w:rPr>
        <w:t>Instability in the global credit and financial markets that affects our ability to fund our daily operations, invest in the business, make strategic acquisitions, or make principal and interest payments on our debt;</w:t>
      </w:r>
    </w:p>
    <w:p>
      <w:pPr>
        <w:ind w:left="320" w:hanging="312"/>
        <w:spacing w:after="0"/>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Increases in health care and pension benefit costs;</w:t>
      </w:r>
    </w:p>
    <w:p>
      <w:pPr>
        <w:spacing w:after="0" w:line="3" w:lineRule="exact"/>
        <w:rPr>
          <w:rFonts w:ascii="Arial" w:cs="Arial" w:eastAsia="Arial" w:hAnsi="Arial"/>
          <w:sz w:val="22"/>
          <w:szCs w:val="22"/>
          <w:color w:val="auto"/>
        </w:rPr>
      </w:pPr>
    </w:p>
    <w:p>
      <w:pPr>
        <w:ind w:left="340" w:hanging="332"/>
        <w:spacing w:after="0" w:line="243" w:lineRule="auto"/>
        <w:tabs>
          <w:tab w:leader="none" w:pos="334"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recruit and retain skilled engineering, management and technical personnel, and effectively manage key employee succession;</w:t>
      </w:r>
    </w:p>
    <w:p>
      <w:pPr>
        <w:ind w:left="340" w:right="860" w:hanging="332"/>
        <w:spacing w:after="0" w:line="281" w:lineRule="auto"/>
        <w:tabs>
          <w:tab w:leader="none" w:pos="334"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Impairments of our non-financial assets.</w:t>
      </w:r>
    </w:p>
    <w:p>
      <w:pPr>
        <w:spacing w:after="0" w:line="229" w:lineRule="exact"/>
        <w:rPr>
          <w:sz w:val="20"/>
          <w:szCs w:val="20"/>
          <w:color w:val="auto"/>
        </w:rPr>
      </w:pPr>
    </w:p>
    <w:p>
      <w:pPr>
        <w:ind w:right="200"/>
        <w:spacing w:after="0" w:line="248" w:lineRule="auto"/>
        <w:rPr>
          <w:sz w:val="20"/>
          <w:szCs w:val="20"/>
          <w:color w:val="auto"/>
        </w:rPr>
      </w:pPr>
      <w:r>
        <w:rPr>
          <w:rFonts w:ascii="Arial" w:cs="Arial" w:eastAsia="Arial" w:hAnsi="Arial"/>
          <w:sz w:val="22"/>
          <w:szCs w:val="22"/>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Texas Instruments</w:t>
      </w:r>
    </w:p>
    <w:p>
      <w:pPr>
        <w:spacing w:after="0" w:line="253"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 xml:space="preserve">From connected cars and intelligent homes to self-monitoring health devices and automated factories, Texas Instruments Incorporated (TI) (Nasdaq: TXN) products are at work in virtually every type of electronic system. With operations in more than 30 countries, we engineer, manufacture, test and sell analog and embedded semiconductor chips. Our employees, about 30,000 worldwide, are driven by core values of integrity, innovation and commitment, and work every day to shape the future of technology. Learn more at </w:t>
      </w:r>
      <w:r>
        <w:rPr>
          <w:rFonts w:ascii="Arial" w:cs="Arial" w:eastAsia="Arial" w:hAnsi="Arial"/>
          <w:sz w:val="22"/>
          <w:szCs w:val="22"/>
          <w:u w:val="single" w:color="auto"/>
          <w:color w:val="0000FF"/>
        </w:rPr>
        <w:t>www.TI.com</w:t>
      </w:r>
      <w:r>
        <w:rPr>
          <w:rFonts w:ascii="Arial" w:cs="Arial" w:eastAsia="Arial" w:hAnsi="Arial"/>
          <w:sz w:val="22"/>
          <w:szCs w:val="22"/>
          <w:color w:val="auto"/>
        </w:rPr>
        <w:t>.</w:t>
      </w:r>
    </w:p>
    <w:sectPr>
      <w:pgSz w:w="11900" w:h="16838" w:orient="portrait"/>
      <w:cols w:equalWidth="0" w:num="1">
        <w:col w:w="11420"/>
      </w:cols>
      <w:pgMar w:left="240" w:top="1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2019-12-28T05:53:08Z</dcterms:created>
  <dcterms:modified xsi:type="dcterms:W3CDTF">2019-12-28T05:53:08Z</dcterms:modified>
</cp:coreProperties>
</file>