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b w:val="1"/>
                <w:bCs w:val="1"/>
                <w:color w:val="auto"/>
              </w:rPr>
              <w:t>Filed Pursuant to Rule 433</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b w:val="1"/>
                <w:bCs w:val="1"/>
                <w:color w:val="auto"/>
              </w:rPr>
              <w:t>Registration No. 333-229797</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b w:val="1"/>
                <w:bCs w:val="1"/>
                <w:color w:val="auto"/>
              </w:rPr>
              <w:t>Issuer Free Writing Prospectus dated March 3, 2020</w:t>
            </w:r>
          </w:p>
        </w:tc>
      </w:tr>
      <w:tr>
        <w:trPr>
          <w:trHeight w:val="234"/>
        </w:trPr>
        <w:tc>
          <w:tcPr>
            <w:tcW w:w="3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380" w:type="dxa"/>
            <w:vAlign w:val="bottom"/>
            <w:gridSpan w:val="2"/>
          </w:tcPr>
          <w:p>
            <w:pPr>
              <w:jc w:val="right"/>
              <w:spacing w:after="0"/>
              <w:rPr>
                <w:sz w:val="20"/>
                <w:szCs w:val="20"/>
                <w:color w:val="auto"/>
              </w:rPr>
            </w:pPr>
            <w:r>
              <w:rPr>
                <w:rFonts w:ascii="Arial" w:cs="Arial" w:eastAsia="Arial" w:hAnsi="Arial"/>
                <w:sz w:val="18"/>
                <w:szCs w:val="18"/>
                <w:b w:val="1"/>
                <w:bCs w:val="1"/>
                <w:color w:val="auto"/>
              </w:rPr>
              <w:t>Relating to Preliminary Prospectus Supplement dated March 3, 2020</w:t>
            </w:r>
          </w:p>
        </w:tc>
      </w:tr>
      <w:tr>
        <w:trPr>
          <w:trHeight w:val="648"/>
        </w:trPr>
        <w:tc>
          <w:tcPr>
            <w:tcW w:w="3120" w:type="dxa"/>
            <w:vAlign w:val="bottom"/>
          </w:tcPr>
          <w:p>
            <w:pPr>
              <w:spacing w:after="0"/>
              <w:rPr>
                <w:sz w:val="24"/>
                <w:szCs w:val="24"/>
                <w:color w:val="auto"/>
              </w:rPr>
            </w:pPr>
          </w:p>
        </w:tc>
        <w:tc>
          <w:tcPr>
            <w:tcW w:w="7900" w:type="dxa"/>
            <w:vAlign w:val="bottom"/>
            <w:gridSpan w:val="3"/>
          </w:tcPr>
          <w:p>
            <w:pPr>
              <w:jc w:val="center"/>
              <w:ind w:right="3010"/>
              <w:spacing w:after="0"/>
              <w:rPr>
                <w:sz w:val="20"/>
                <w:szCs w:val="20"/>
                <w:color w:val="auto"/>
              </w:rPr>
            </w:pPr>
            <w:r>
              <w:rPr>
                <w:rFonts w:ascii="Arial" w:cs="Arial" w:eastAsia="Arial" w:hAnsi="Arial"/>
                <w:sz w:val="18"/>
                <w:szCs w:val="18"/>
                <w:b w:val="1"/>
                <w:bCs w:val="1"/>
                <w:color w:val="auto"/>
              </w:rPr>
              <w:t>TEXAS INSTRUMENTS INCORPORATED</w:t>
            </w:r>
          </w:p>
        </w:tc>
      </w:tr>
      <w:tr>
        <w:trPr>
          <w:trHeight w:val="432"/>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380" w:type="dxa"/>
            <w:vAlign w:val="bottom"/>
            <w:gridSpan w:val="2"/>
          </w:tcPr>
          <w:p>
            <w:pPr>
              <w:jc w:val="center"/>
              <w:ind w:right="453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r>
              <w:rPr>
                <w:rFonts w:ascii="Arial" w:cs="Arial" w:eastAsia="Arial" w:hAnsi="Arial"/>
                <w:sz w:val="18"/>
                <w:szCs w:val="18"/>
                <w:u w:val="single" w:color="auto"/>
                <w:color w:val="auto"/>
                <w:w w:val="90"/>
              </w:rPr>
              <w:t>375%</w:t>
            </w:r>
            <w:r>
              <w:rPr>
                <w:rFonts w:ascii="Arial" w:cs="Arial" w:eastAsia="Arial" w:hAnsi="Arial"/>
                <w:sz w:val="18"/>
                <w:szCs w:val="18"/>
                <w:color w:val="auto"/>
                <w:w w:val="90"/>
              </w:rPr>
              <w:t xml:space="preserve"> Notes due 2025</w:t>
            </w:r>
          </w:p>
        </w:tc>
        <w:tc>
          <w:tcPr>
            <w:tcW w:w="4640" w:type="dxa"/>
            <w:vAlign w:val="bottom"/>
          </w:tcPr>
          <w:p>
            <w:pPr>
              <w:spacing w:after="0"/>
              <w:rPr>
                <w:sz w:val="24"/>
                <w:szCs w:val="24"/>
                <w:color w:val="auto"/>
              </w:rPr>
            </w:pPr>
          </w:p>
        </w:tc>
      </w:tr>
      <w:tr>
        <w:trPr>
          <w:trHeight w:val="466"/>
        </w:trPr>
        <w:tc>
          <w:tcPr>
            <w:tcW w:w="3120" w:type="dxa"/>
            <w:vAlign w:val="bottom"/>
          </w:tcPr>
          <w:p>
            <w:pPr>
              <w:spacing w:after="0"/>
              <w:rPr>
                <w:sz w:val="20"/>
                <w:szCs w:val="20"/>
                <w:color w:val="auto"/>
              </w:rPr>
            </w:pPr>
            <w:r>
              <w:rPr>
                <w:rFonts w:ascii="Arial" w:cs="Arial" w:eastAsia="Arial" w:hAnsi="Arial"/>
                <w:sz w:val="18"/>
                <w:szCs w:val="18"/>
                <w:color w:val="auto"/>
              </w:rPr>
              <w:t>Issuer:</w:t>
            </w:r>
          </w:p>
        </w:tc>
        <w:tc>
          <w:tcPr>
            <w:tcW w:w="7900" w:type="dxa"/>
            <w:vAlign w:val="bottom"/>
            <w:gridSpan w:val="3"/>
          </w:tcPr>
          <w:p>
            <w:pPr>
              <w:ind w:left="42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Principal Amount:</w:t>
            </w:r>
          </w:p>
        </w:tc>
        <w:tc>
          <w:tcPr>
            <w:tcW w:w="1520" w:type="dxa"/>
            <w:vAlign w:val="bottom"/>
          </w:tcPr>
          <w:p>
            <w:pPr>
              <w:ind w:left="420"/>
              <w:spacing w:after="0"/>
              <w:rPr>
                <w:sz w:val="20"/>
                <w:szCs w:val="20"/>
                <w:color w:val="auto"/>
              </w:rPr>
            </w:pPr>
            <w:r>
              <w:rPr>
                <w:rFonts w:ascii="Arial" w:cs="Arial" w:eastAsia="Arial" w:hAnsi="Arial"/>
                <w:sz w:val="18"/>
                <w:szCs w:val="18"/>
                <w:color w:val="auto"/>
                <w:w w:val="98"/>
              </w:rPr>
              <w:t>$750,000,000</w:t>
            </w:r>
          </w:p>
        </w:tc>
        <w:tc>
          <w:tcPr>
            <w:tcW w:w="174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Maturity:</w:t>
            </w:r>
          </w:p>
        </w:tc>
        <w:tc>
          <w:tcPr>
            <w:tcW w:w="7900" w:type="dxa"/>
            <w:vAlign w:val="bottom"/>
            <w:gridSpan w:val="3"/>
          </w:tcPr>
          <w:p>
            <w:pPr>
              <w:ind w:left="420"/>
              <w:spacing w:after="0"/>
              <w:rPr>
                <w:sz w:val="20"/>
                <w:szCs w:val="20"/>
                <w:color w:val="auto"/>
              </w:rPr>
            </w:pPr>
            <w:r>
              <w:rPr>
                <w:rFonts w:ascii="Arial" w:cs="Arial" w:eastAsia="Arial" w:hAnsi="Arial"/>
                <w:sz w:val="18"/>
                <w:szCs w:val="18"/>
                <w:color w:val="auto"/>
              </w:rPr>
              <w:t>March 12, 2025</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Coupon:</w:t>
            </w:r>
          </w:p>
        </w:tc>
        <w:tc>
          <w:tcPr>
            <w:tcW w:w="1520" w:type="dxa"/>
            <w:vAlign w:val="bottom"/>
          </w:tcPr>
          <w:p>
            <w:pPr>
              <w:ind w:left="420"/>
              <w:spacing w:after="0"/>
              <w:rPr>
                <w:sz w:val="20"/>
                <w:szCs w:val="20"/>
                <w:color w:val="auto"/>
              </w:rPr>
            </w:pPr>
            <w:r>
              <w:rPr>
                <w:rFonts w:ascii="Arial" w:cs="Arial" w:eastAsia="Arial" w:hAnsi="Arial"/>
                <w:sz w:val="18"/>
                <w:szCs w:val="18"/>
                <w:color w:val="auto"/>
              </w:rPr>
              <w:t>1.375%</w:t>
            </w:r>
          </w:p>
        </w:tc>
        <w:tc>
          <w:tcPr>
            <w:tcW w:w="174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Price to Public:</w:t>
            </w:r>
          </w:p>
        </w:tc>
        <w:tc>
          <w:tcPr>
            <w:tcW w:w="7900" w:type="dxa"/>
            <w:vAlign w:val="bottom"/>
            <w:gridSpan w:val="3"/>
          </w:tcPr>
          <w:p>
            <w:pPr>
              <w:ind w:left="420"/>
              <w:spacing w:after="0"/>
              <w:rPr>
                <w:sz w:val="20"/>
                <w:szCs w:val="20"/>
                <w:color w:val="auto"/>
              </w:rPr>
            </w:pPr>
            <w:r>
              <w:rPr>
                <w:rFonts w:ascii="Arial" w:cs="Arial" w:eastAsia="Arial" w:hAnsi="Arial"/>
                <w:sz w:val="18"/>
                <w:szCs w:val="18"/>
                <w:color w:val="auto"/>
              </w:rPr>
              <w:t>99.851% of principal amount</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900" w:type="dxa"/>
            <w:vAlign w:val="bottom"/>
            <w:gridSpan w:val="3"/>
          </w:tcPr>
          <w:p>
            <w:pPr>
              <w:ind w:left="420"/>
              <w:spacing w:after="0"/>
              <w:rPr>
                <w:sz w:val="20"/>
                <w:szCs w:val="20"/>
                <w:color w:val="auto"/>
              </w:rPr>
            </w:pPr>
            <w:r>
              <w:rPr>
                <w:rFonts w:ascii="Arial" w:cs="Arial" w:eastAsia="Arial" w:hAnsi="Arial"/>
                <w:sz w:val="18"/>
                <w:szCs w:val="18"/>
                <w:color w:val="auto"/>
              </w:rPr>
              <w:t>March 12 and September 12, beginning on September 12, 2020, and on the maturity date</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Day Count Convention:</w:t>
            </w:r>
          </w:p>
        </w:tc>
        <w:tc>
          <w:tcPr>
            <w:tcW w:w="1520" w:type="dxa"/>
            <w:vAlign w:val="bottom"/>
          </w:tcPr>
          <w:p>
            <w:pPr>
              <w:ind w:left="420"/>
              <w:spacing w:after="0"/>
              <w:rPr>
                <w:sz w:val="20"/>
                <w:szCs w:val="20"/>
                <w:color w:val="auto"/>
              </w:rPr>
            </w:pPr>
            <w:r>
              <w:rPr>
                <w:rFonts w:ascii="Arial" w:cs="Arial" w:eastAsia="Arial" w:hAnsi="Arial"/>
                <w:sz w:val="18"/>
                <w:szCs w:val="18"/>
                <w:color w:val="auto"/>
              </w:rPr>
              <w:t>30/360</w:t>
            </w:r>
          </w:p>
        </w:tc>
        <w:tc>
          <w:tcPr>
            <w:tcW w:w="174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1520" w:type="dxa"/>
            <w:vAlign w:val="bottom"/>
          </w:tcPr>
          <w:p>
            <w:pPr>
              <w:ind w:left="420"/>
              <w:spacing w:after="0"/>
              <w:rPr>
                <w:sz w:val="20"/>
                <w:szCs w:val="20"/>
                <w:color w:val="auto"/>
              </w:rPr>
            </w:pPr>
            <w:r>
              <w:rPr>
                <w:rFonts w:ascii="Arial" w:cs="Arial" w:eastAsia="Arial" w:hAnsi="Arial"/>
                <w:sz w:val="18"/>
                <w:szCs w:val="18"/>
                <w:color w:val="auto"/>
                <w:w w:val="98"/>
              </w:rPr>
              <w:t>$746,257,500</w:t>
            </w:r>
          </w:p>
        </w:tc>
        <w:tc>
          <w:tcPr>
            <w:tcW w:w="174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Benchmark Treasury:</w:t>
            </w:r>
          </w:p>
        </w:tc>
        <w:tc>
          <w:tcPr>
            <w:tcW w:w="7900" w:type="dxa"/>
            <w:vAlign w:val="bottom"/>
            <w:gridSpan w:val="3"/>
          </w:tcPr>
          <w:p>
            <w:pPr>
              <w:ind w:left="420"/>
              <w:spacing w:after="0"/>
              <w:rPr>
                <w:sz w:val="20"/>
                <w:szCs w:val="20"/>
                <w:color w:val="auto"/>
              </w:rPr>
            </w:pPr>
            <w:r>
              <w:rPr>
                <w:rFonts w:ascii="Arial" w:cs="Arial" w:eastAsia="Arial" w:hAnsi="Arial"/>
                <w:sz w:val="18"/>
                <w:szCs w:val="18"/>
                <w:color w:val="auto"/>
              </w:rPr>
              <w:t>1.125% due February 28, 2025</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900" w:type="dxa"/>
            <w:vAlign w:val="bottom"/>
            <w:gridSpan w:val="3"/>
          </w:tcPr>
          <w:p>
            <w:pPr>
              <w:ind w:left="420"/>
              <w:spacing w:after="0"/>
              <w:rPr>
                <w:sz w:val="20"/>
                <w:szCs w:val="20"/>
                <w:color w:val="auto"/>
              </w:rPr>
            </w:pPr>
            <w:r>
              <w:rPr>
                <w:rFonts w:ascii="Arial" w:cs="Arial" w:eastAsia="Arial" w:hAnsi="Arial"/>
                <w:sz w:val="18"/>
                <w:szCs w:val="18"/>
                <w:color w:val="auto"/>
              </w:rPr>
              <w:t>60 basis points</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Yield to Maturity:</w:t>
            </w:r>
          </w:p>
        </w:tc>
        <w:tc>
          <w:tcPr>
            <w:tcW w:w="1520" w:type="dxa"/>
            <w:vAlign w:val="bottom"/>
          </w:tcPr>
          <w:p>
            <w:pPr>
              <w:ind w:left="420"/>
              <w:spacing w:after="0"/>
              <w:rPr>
                <w:sz w:val="20"/>
                <w:szCs w:val="20"/>
                <w:color w:val="auto"/>
              </w:rPr>
            </w:pPr>
            <w:r>
              <w:rPr>
                <w:rFonts w:ascii="Arial" w:cs="Arial" w:eastAsia="Arial" w:hAnsi="Arial"/>
                <w:sz w:val="18"/>
                <w:szCs w:val="18"/>
                <w:color w:val="auto"/>
              </w:rPr>
              <w:t>1.406%</w:t>
            </w:r>
          </w:p>
        </w:tc>
        <w:tc>
          <w:tcPr>
            <w:tcW w:w="174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418"/>
        </w:trPr>
        <w:tc>
          <w:tcPr>
            <w:tcW w:w="312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900" w:type="dxa"/>
            <w:vAlign w:val="bottom"/>
            <w:gridSpan w:val="3"/>
          </w:tcPr>
          <w:p>
            <w:pPr>
              <w:ind w:left="420"/>
              <w:spacing w:after="0"/>
              <w:rPr>
                <w:sz w:val="20"/>
                <w:szCs w:val="20"/>
                <w:color w:val="auto"/>
              </w:rPr>
            </w:pPr>
            <w:r>
              <w:rPr>
                <w:rFonts w:ascii="Arial" w:cs="Arial" w:eastAsia="Arial" w:hAnsi="Arial"/>
                <w:sz w:val="18"/>
                <w:szCs w:val="18"/>
                <w:color w:val="auto"/>
              </w:rPr>
              <w:t xml:space="preserve">101-17 </w:t>
            </w:r>
            <w:r>
              <w:rPr>
                <w:rFonts w:ascii="Arial" w:cs="Arial" w:eastAsia="Arial" w:hAnsi="Arial"/>
                <w:sz w:val="30"/>
                <w:szCs w:val="30"/>
                <w:color w:val="auto"/>
                <w:vertAlign w:val="superscript"/>
              </w:rPr>
              <w:t>3</w:t>
            </w:r>
            <w:r>
              <w:rPr>
                <w:rFonts w:ascii="Arial" w:cs="Arial" w:eastAsia="Arial" w:hAnsi="Arial"/>
                <w:sz w:val="18"/>
                <w:szCs w:val="18"/>
                <w:color w:val="auto"/>
              </w:rPr>
              <w:t>⁄</w:t>
            </w:r>
            <w:r>
              <w:rPr>
                <w:rFonts w:ascii="Arial" w:cs="Arial" w:eastAsia="Arial" w:hAnsi="Arial"/>
                <w:sz w:val="30"/>
                <w:szCs w:val="30"/>
                <w:color w:val="auto"/>
                <w:vertAlign w:val="subscript"/>
              </w:rPr>
              <w:t>4</w:t>
            </w:r>
            <w:r>
              <w:rPr>
                <w:rFonts w:ascii="Arial" w:cs="Arial" w:eastAsia="Arial" w:hAnsi="Arial"/>
                <w:sz w:val="18"/>
                <w:szCs w:val="18"/>
                <w:color w:val="auto"/>
              </w:rPr>
              <w:t xml:space="preserve"> ; 0.806%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Make-Whole Call:</w:t>
            </w:r>
          </w:p>
        </w:tc>
        <w:tc>
          <w:tcPr>
            <w:tcW w:w="7900" w:type="dxa"/>
            <w:vAlign w:val="bottom"/>
            <w:gridSpan w:val="3"/>
          </w:tcPr>
          <w:p>
            <w:pPr>
              <w:ind w:left="420"/>
              <w:spacing w:after="0"/>
              <w:rPr>
                <w:sz w:val="20"/>
                <w:szCs w:val="20"/>
                <w:color w:val="auto"/>
              </w:rPr>
            </w:pPr>
            <w:r>
              <w:rPr>
                <w:rFonts w:ascii="Arial" w:cs="Arial" w:eastAsia="Arial" w:hAnsi="Arial"/>
                <w:sz w:val="18"/>
                <w:szCs w:val="18"/>
                <w:color w:val="auto"/>
                <w:w w:val="92"/>
              </w:rPr>
              <w:t>At any time before February 12, 2025 (one month before the maturity date) at the greater of: (i) 100%</w:t>
            </w:r>
          </w:p>
        </w:tc>
      </w:tr>
      <w:tr>
        <w:trPr>
          <w:trHeight w:val="216"/>
        </w:trPr>
        <w:tc>
          <w:tcPr>
            <w:tcW w:w="3120" w:type="dxa"/>
            <w:vAlign w:val="bottom"/>
          </w:tcPr>
          <w:p>
            <w:pPr>
              <w:spacing w:after="0"/>
              <w:rPr>
                <w:sz w:val="18"/>
                <w:szCs w:val="18"/>
                <w:color w:val="auto"/>
              </w:rPr>
            </w:pPr>
          </w:p>
        </w:tc>
        <w:tc>
          <w:tcPr>
            <w:tcW w:w="7900" w:type="dxa"/>
            <w:vAlign w:val="bottom"/>
            <w:gridSpan w:val="3"/>
          </w:tcPr>
          <w:p>
            <w:pPr>
              <w:ind w:left="420"/>
              <w:spacing w:after="0"/>
              <w:rPr>
                <w:sz w:val="20"/>
                <w:szCs w:val="20"/>
                <w:color w:val="auto"/>
              </w:rPr>
            </w:pPr>
            <w:r>
              <w:rPr>
                <w:rFonts w:ascii="Arial" w:cs="Arial" w:eastAsia="Arial" w:hAnsi="Arial"/>
                <w:sz w:val="18"/>
                <w:szCs w:val="18"/>
                <w:color w:val="auto"/>
                <w:w w:val="96"/>
              </w:rPr>
              <w:t>of the principal amount of the notes being redeemed; and (ii) the sum of the present values of the</w:t>
            </w:r>
          </w:p>
        </w:tc>
      </w:tr>
      <w:tr>
        <w:trPr>
          <w:trHeight w:val="216"/>
        </w:trPr>
        <w:tc>
          <w:tcPr>
            <w:tcW w:w="3120" w:type="dxa"/>
            <w:vAlign w:val="bottom"/>
          </w:tcPr>
          <w:p>
            <w:pPr>
              <w:spacing w:after="0"/>
              <w:rPr>
                <w:sz w:val="18"/>
                <w:szCs w:val="18"/>
                <w:color w:val="auto"/>
              </w:rPr>
            </w:pPr>
          </w:p>
        </w:tc>
        <w:tc>
          <w:tcPr>
            <w:tcW w:w="7900" w:type="dxa"/>
            <w:vAlign w:val="bottom"/>
            <w:gridSpan w:val="3"/>
          </w:tcPr>
          <w:p>
            <w:pPr>
              <w:ind w:left="420"/>
              <w:spacing w:after="0"/>
              <w:rPr>
                <w:sz w:val="20"/>
                <w:szCs w:val="20"/>
                <w:color w:val="auto"/>
              </w:rPr>
            </w:pPr>
            <w:r>
              <w:rPr>
                <w:rFonts w:ascii="Arial" w:cs="Arial" w:eastAsia="Arial" w:hAnsi="Arial"/>
                <w:sz w:val="18"/>
                <w:szCs w:val="18"/>
                <w:color w:val="auto"/>
                <w:w w:val="96"/>
              </w:rPr>
              <w:t>principal amount of such notes and the scheduled payments of interest thereon (not including any</w:t>
            </w:r>
          </w:p>
        </w:tc>
      </w:tr>
      <w:tr>
        <w:trPr>
          <w:trHeight w:val="230"/>
        </w:trPr>
        <w:tc>
          <w:tcPr>
            <w:tcW w:w="3120" w:type="dxa"/>
            <w:vAlign w:val="bottom"/>
          </w:tcPr>
          <w:p>
            <w:pPr>
              <w:spacing w:after="0"/>
              <w:rPr>
                <w:sz w:val="20"/>
                <w:szCs w:val="20"/>
                <w:color w:val="auto"/>
              </w:rPr>
            </w:pPr>
          </w:p>
        </w:tc>
        <w:tc>
          <w:tcPr>
            <w:tcW w:w="7900" w:type="dxa"/>
            <w:vAlign w:val="bottom"/>
            <w:gridSpan w:val="3"/>
          </w:tcPr>
          <w:p>
            <w:pPr>
              <w:ind w:left="420"/>
              <w:spacing w:after="0"/>
              <w:rPr>
                <w:sz w:val="20"/>
                <w:szCs w:val="20"/>
                <w:color w:val="auto"/>
              </w:rPr>
            </w:pPr>
            <w:r>
              <w:rPr>
                <w:rFonts w:ascii="Arial" w:cs="Arial" w:eastAsia="Arial" w:hAnsi="Arial"/>
                <w:sz w:val="18"/>
                <w:szCs w:val="18"/>
                <w:color w:val="auto"/>
              </w:rPr>
              <w:t>portion of such payments of interest accrued as of the date</w:t>
            </w:r>
          </w:p>
        </w:tc>
      </w:tr>
      <w:tr>
        <w:trPr>
          <w:trHeight w:val="365"/>
        </w:trPr>
        <w:tc>
          <w:tcPr>
            <w:tcW w:w="3120" w:type="dxa"/>
            <w:vAlign w:val="bottom"/>
          </w:tcPr>
          <w:p>
            <w:pPr>
              <w:spacing w:after="0"/>
              <w:rPr>
                <w:sz w:val="24"/>
                <w:szCs w:val="24"/>
                <w:color w:val="auto"/>
              </w:rPr>
            </w:pPr>
          </w:p>
        </w:tc>
        <w:tc>
          <w:tcPr>
            <w:tcW w:w="3260" w:type="dxa"/>
            <w:vAlign w:val="bottom"/>
            <w:gridSpan w:val="2"/>
          </w:tcPr>
          <w:p>
            <w:pPr>
              <w:jc w:val="center"/>
              <w:ind w:left="1430"/>
              <w:spacing w:after="0"/>
              <w:rPr>
                <w:sz w:val="20"/>
                <w:szCs w:val="20"/>
                <w:color w:val="auto"/>
              </w:rPr>
            </w:pPr>
            <w:r>
              <w:rPr>
                <w:rFonts w:ascii="Arial" w:cs="Arial" w:eastAsia="Arial" w:hAnsi="Arial"/>
                <w:sz w:val="18"/>
                <w:szCs w:val="18"/>
                <w:color w:val="auto"/>
                <w:w w:val="99"/>
              </w:rPr>
              <w:t>1</w:t>
            </w:r>
          </w:p>
        </w:tc>
        <w:tc>
          <w:tcPr>
            <w:tcW w:w="4640" w:type="dxa"/>
            <w:vAlign w:val="bottom"/>
          </w:tcPr>
          <w:p>
            <w:pPr>
              <w:spacing w:after="0"/>
              <w:rPr>
                <w:sz w:val="24"/>
                <w:szCs w:val="24"/>
                <w:color w:val="auto"/>
              </w:rPr>
            </w:pPr>
          </w:p>
        </w:tc>
      </w:tr>
    </w:tbl>
    <w:p>
      <w:pPr>
        <w:sectPr>
          <w:pgSz w:w="11900" w:h="16838" w:orient="portrait"/>
          <w:cols w:equalWidth="0" w:num="1">
            <w:col w:w="11020"/>
          </w:cols>
          <w:pgMar w:left="440" w:top="229" w:right="439" w:bottom="1440" w:gutter="0" w:footer="0" w:header="0"/>
        </w:sectPr>
      </w:pPr>
    </w:p>
    <w:bookmarkStart w:id="1" w:name="page2"/>
    <w:bookmarkEnd w:id="1"/>
    <w:p>
      <w:pPr>
        <w:jc w:val="both"/>
        <w:ind w:left="35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redemption) from the date of redemption to February 12, 2025 (one month before the maturity date), in each case discounted to the date of redemption on a semi-annual basis at the rate of Treasury plus 10 basis points</w:t>
      </w:r>
    </w:p>
    <w:p>
      <w:pPr>
        <w:sectPr>
          <w:pgSz w:w="11900" w:h="16838" w:orient="portrait"/>
          <w:cols w:equalWidth="0" w:num="1">
            <w:col w:w="10980"/>
          </w:cols>
          <w:pgMar w:left="440" w:top="274" w:right="47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Par Call: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At any time on or after February 12, 2025 (one month before the maturity date) at 100% of the principal amount of notes being redeemed</w:t>
      </w:r>
    </w:p>
    <w:p>
      <w:pPr>
        <w:spacing w:after="0" w:line="62" w:lineRule="exact"/>
        <w:rPr>
          <w:sz w:val="20"/>
          <w:szCs w:val="20"/>
          <w:color w:val="auto"/>
        </w:rPr>
      </w:pPr>
    </w:p>
    <w:p>
      <w:pPr>
        <w:sectPr>
          <w:pgSz w:w="11900" w:h="16838" w:orient="portrait"/>
          <w:cols w:equalWidth="0" w:num="2">
            <w:col w:w="2820" w:space="720"/>
            <w:col w:w="744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3, 2020</w:t>
      </w:r>
    </w:p>
    <w:p>
      <w:pPr>
        <w:spacing w:after="0" w:line="140" w:lineRule="exact"/>
        <w:rPr>
          <w:sz w:val="20"/>
          <w:szCs w:val="20"/>
          <w:color w:val="auto"/>
        </w:rPr>
      </w:pPr>
    </w:p>
    <w:p>
      <w:pPr>
        <w:sectPr>
          <w:pgSz w:w="11900" w:h="16838" w:orient="portrait"/>
          <w:cols w:equalWidth="0" w:num="2">
            <w:col w:w="2820" w:space="720"/>
            <w:col w:w="744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12, 2020 (T+7)</w:t>
      </w:r>
    </w:p>
    <w:p>
      <w:pPr>
        <w:spacing w:after="0" w:line="140" w:lineRule="exact"/>
        <w:rPr>
          <w:sz w:val="20"/>
          <w:szCs w:val="20"/>
          <w:color w:val="auto"/>
        </w:rPr>
      </w:pPr>
    </w:p>
    <w:p>
      <w:pPr>
        <w:sectPr>
          <w:pgSz w:w="11900" w:h="16838" w:orient="portrait"/>
          <w:cols w:equalWidth="0" w:num="2">
            <w:col w:w="2820" w:space="720"/>
            <w:col w:w="744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2820" w:space="720"/>
            <w:col w:w="7440"/>
          </w:cols>
          <w:pgMar w:left="440" w:top="274" w:right="479" w:bottom="1440" w:gutter="0" w:footer="0" w:header="0"/>
          <w:type w:val="continuous"/>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882508 BH6 / US882508BH65</w:t>
      </w:r>
    </w:p>
    <w:p>
      <w:pPr>
        <w:spacing w:after="0" w:line="140" w:lineRule="exact"/>
        <w:rPr>
          <w:sz w:val="20"/>
          <w:szCs w:val="20"/>
          <w:color w:val="auto"/>
        </w:rPr>
      </w:pPr>
    </w:p>
    <w:p>
      <w:pPr>
        <w:sectPr>
          <w:pgSz w:w="11900" w:h="16838" w:orient="portrait"/>
          <w:cols w:equalWidth="0" w:num="2">
            <w:col w:w="2820" w:space="720"/>
            <w:col w:w="7440"/>
          </w:cols>
          <w:pgMar w:left="440" w:top="274" w:right="479" w:bottom="1440" w:gutter="0" w:footer="0" w:header="0"/>
          <w:type w:val="continuous"/>
        </w:sectPr>
      </w:pPr>
    </w:p>
    <w:p>
      <w:pPr>
        <w:spacing w:after="0"/>
        <w:rPr>
          <w:sz w:val="20"/>
          <w:szCs w:val="20"/>
          <w:color w:val="auto"/>
        </w:rPr>
      </w:pPr>
      <w:r>
        <w:rPr>
          <w:rFonts w:ascii="Arial" w:cs="Arial" w:eastAsia="Arial" w:hAnsi="Arial"/>
          <w:sz w:val="17"/>
          <w:szCs w:val="17"/>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A1 (stable outlook)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S&amp;P: A+ (stable outlook)</w:t>
      </w:r>
    </w:p>
    <w:p>
      <w:pPr>
        <w:spacing w:after="0" w:line="103" w:lineRule="exact"/>
        <w:rPr>
          <w:sz w:val="20"/>
          <w:szCs w:val="20"/>
          <w:color w:val="auto"/>
        </w:rPr>
      </w:pPr>
    </w:p>
    <w:p>
      <w:pPr>
        <w:sectPr>
          <w:pgSz w:w="11900" w:h="16838" w:orient="portrait"/>
          <w:cols w:equalWidth="0" w:num="2">
            <w:col w:w="2820" w:space="720"/>
            <w:col w:w="744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MUFG Securities Americas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16" w:lineRule="exact"/>
        <w:rPr>
          <w:sz w:val="20"/>
          <w:szCs w:val="20"/>
          <w:color w:val="auto"/>
        </w:rPr>
      </w:pPr>
    </w:p>
    <w:p>
      <w:pPr>
        <w:sectPr>
          <w:pgSz w:w="11900" w:h="16838" w:orient="portrait"/>
          <w:cols w:equalWidth="0" w:num="2">
            <w:col w:w="2820" w:space="720"/>
            <w:col w:w="744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Siebert Williams Shank &amp; Co.,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200" w:lineRule="exact"/>
        <w:rPr>
          <w:sz w:val="20"/>
          <w:szCs w:val="20"/>
          <w:color w:val="auto"/>
        </w:rPr>
      </w:pPr>
    </w:p>
    <w:p>
      <w:pPr>
        <w:sectPr>
          <w:pgSz w:w="11900" w:h="16838" w:orient="portrait"/>
          <w:cols w:equalWidth="0" w:num="2">
            <w:col w:w="2820" w:space="720"/>
            <w:col w:w="7440"/>
          </w:cols>
          <w:pgMar w:left="440" w:top="274" w:right="479" w:bottom="1440" w:gutter="0" w:footer="0" w:header="0"/>
          <w:type w:val="continuous"/>
        </w:sectPr>
      </w:pPr>
    </w:p>
    <w:p>
      <w:pPr>
        <w:spacing w:after="0" w:line="47" w:lineRule="exact"/>
        <w:rPr>
          <w:sz w:val="20"/>
          <w:szCs w:val="20"/>
          <w:color w:val="auto"/>
        </w:rPr>
      </w:pPr>
    </w:p>
    <w:p>
      <w:pPr>
        <w:ind w:left="5460" w:right="720" w:hanging="5456"/>
        <w:spacing w:after="0" w:line="454" w:lineRule="auto"/>
        <w:tabs>
          <w:tab w:leader="none" w:pos="21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securities rating is not a recommendation to buy, sell or hold securities and may be subject to revision or withdrawal at any time. </w:t>
      </w: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type w:val="continuous"/>
        </w:sectPr>
      </w:pPr>
    </w:p>
    <w:bookmarkStart w:id="2" w:name="page3"/>
    <w:bookmarkEnd w:id="2"/>
    <w:p>
      <w:pPr>
        <w:ind w:right="2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expected that delivery of the notes will be made against payment therefore on or about March 12, 2020, which is the seventh business day following the date hereof (such settlement cycle being referred to as “T+7”).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T+7,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72"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BofA Securities, Inc. at (800) 294-1322 and MUFG Securities Americas Inc. at (877) 649-6848.</w:t>
      </w:r>
    </w:p>
    <w:p>
      <w:pPr>
        <w:spacing w:after="0" w:line="156"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2020-03-03T15:07:17Z</dcterms:created>
  <dcterms:modified xsi:type="dcterms:W3CDTF">2020-03-03T15:07:17Z</dcterms:modified>
</cp:coreProperties>
</file>