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337820</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243205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580" w:right="2540" w:hanging="545"/>
        <w:spacing w:after="0" w:line="501" w:lineRule="auto"/>
        <w:tabs>
          <w:tab w:leader="none" w:pos="486"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2011</w:t>
      </w:r>
    </w:p>
    <w:p>
      <w:pPr>
        <w:spacing w:after="0" w:line="81" w:lineRule="exact"/>
        <w:rPr>
          <w:rFonts w:ascii="Arial" w:cs="Arial" w:eastAsia="Arial" w:hAnsi="Arial"/>
          <w:sz w:val="18"/>
          <w:szCs w:val="18"/>
          <w:color w:val="auto"/>
        </w:rPr>
      </w:pPr>
    </w:p>
    <w:p>
      <w:pPr>
        <w:ind w:left="480" w:hanging="472"/>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639" w:right="239" w:bottom="1440" w:gutter="0" w:footer="0" w:header="0"/>
        </w:sectPr>
      </w:pPr>
    </w:p>
    <w:p>
      <w:pPr>
        <w:spacing w:after="0" w:line="210"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2900" w:space="720"/>
            <w:col w:w="7800"/>
          </w:cols>
          <w:pgMar w:left="240" w:top="639"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TEXAS INSTRUMENTS INCORPORATED</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ectPr>
          <w:pgSz w:w="11900" w:h="16838" w:orient="portrait"/>
          <w:cols w:equalWidth="0" w:num="1">
            <w:col w:w="11420"/>
          </w:cols>
          <w:pgMar w:left="240" w:top="639"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639" w:right="239" w:bottom="1440" w:gutter="0" w:footer="0" w:header="0"/>
          <w:type w:val="continuous"/>
        </w:sectPr>
      </w:pPr>
    </w:p>
    <w:p>
      <w:pPr>
        <w:spacing w:after="0" w:line="183"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12500 TI Boulevard, P.O. Box 660199, Dallas, Texas</w:t>
      </w:r>
    </w:p>
    <w:p>
      <w:pPr>
        <w:spacing w:after="0" w:line="86"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75266-0199</w:t>
      </w:r>
    </w:p>
    <w:p>
      <w:pPr>
        <w:spacing w:after="0" w:line="8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20" w:lineRule="exact"/>
        <w:rPr>
          <w:sz w:val="24"/>
          <w:szCs w:val="24"/>
          <w:color w:val="auto"/>
        </w:rPr>
      </w:pPr>
    </w:p>
    <w:p>
      <w:pPr>
        <w:sectPr>
          <w:pgSz w:w="11900" w:h="16838" w:orient="portrait"/>
          <w:cols w:equalWidth="0" w:num="2">
            <w:col w:w="7420" w:space="720"/>
            <w:col w:w="3280"/>
          </w:cols>
          <w:pgMar w:left="240" w:top="63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80"/>
        <w:spacing w:after="0"/>
        <w:rPr>
          <w:sz w:val="20"/>
          <w:szCs w:val="20"/>
          <w:color w:val="auto"/>
        </w:rPr>
      </w:pPr>
      <w:r>
        <w:rPr>
          <w:rFonts w:ascii="Arial" w:cs="Arial" w:eastAsia="Arial" w:hAnsi="Arial"/>
          <w:sz w:val="17"/>
          <w:szCs w:val="17"/>
          <w:color w:val="auto"/>
        </w:rPr>
        <w:t>Yes S  No £</w:t>
      </w:r>
    </w:p>
    <w:p>
      <w:pPr>
        <w:spacing w:after="0" w:line="11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480"/>
        <w:spacing w:after="0"/>
        <w:rPr>
          <w:sz w:val="20"/>
          <w:szCs w:val="20"/>
          <w:color w:val="auto"/>
        </w:rPr>
      </w:pPr>
      <w:r>
        <w:rPr>
          <w:rFonts w:ascii="Arial" w:cs="Arial" w:eastAsia="Arial" w:hAnsi="Arial"/>
          <w:sz w:val="17"/>
          <w:szCs w:val="17"/>
          <w:color w:val="auto"/>
        </w:rPr>
        <w:t>Yes S  No £</w:t>
      </w:r>
    </w:p>
    <w:p>
      <w:pPr>
        <w:spacing w:after="0" w:line="11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9" w:right="2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108" w:lineRule="exact"/>
        <w:rPr>
          <w:sz w:val="24"/>
          <w:szCs w:val="24"/>
          <w:color w:val="auto"/>
        </w:rPr>
      </w:pPr>
    </w:p>
    <w:p>
      <w:pPr>
        <w:sectPr>
          <w:pgSz w:w="11900" w:h="16838" w:orient="portrait"/>
          <w:cols w:equalWidth="0" w:num="4">
            <w:col w:w="1940" w:space="720"/>
            <w:col w:w="4780" w:space="720"/>
            <w:col w:w="1900" w:space="720"/>
            <w:col w:w="640"/>
          </w:cols>
          <w:pgMar w:left="240" w:top="639"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w:t>
      </w:r>
    </w:p>
    <w:p>
      <w:pPr>
        <w:spacing w:after="0" w:line="234" w:lineRule="exact"/>
        <w:rPr>
          <w:sz w:val="24"/>
          <w:szCs w:val="24"/>
          <w:color w:val="auto"/>
        </w:rPr>
      </w:pPr>
    </w:p>
    <w:p>
      <w:pPr>
        <w:sectPr>
          <w:pgSz w:w="11900" w:h="16838" w:orient="portrait"/>
          <w:cols w:equalWidth="0" w:num="5">
            <w:col w:w="1940" w:space="720"/>
            <w:col w:w="100" w:space="600"/>
            <w:col w:w="4080" w:space="720"/>
            <w:col w:w="1960" w:space="660"/>
            <w:col w:w="640"/>
          </w:cols>
          <w:pgMar w:left="240" w:top="639"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 No 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1,155,320,663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120" w:type="dxa"/>
            <w:vAlign w:val="bottom"/>
            <w:gridSpan w:val="6"/>
          </w:tcPr>
          <w:p>
            <w:pPr>
              <w:ind w:left="180"/>
              <w:spacing w:after="0"/>
              <w:rPr>
                <w:sz w:val="20"/>
                <w:szCs w:val="20"/>
                <w:color w:val="auto"/>
              </w:rPr>
            </w:pPr>
            <w:r>
              <w:rPr>
                <w:rFonts w:ascii="Arial" w:cs="Arial" w:eastAsia="Arial" w:hAnsi="Arial"/>
                <w:sz w:val="18"/>
                <w:szCs w:val="18"/>
                <w:b w:val="1"/>
                <w:bCs w:val="1"/>
                <w:color w:val="auto"/>
              </w:rPr>
              <w:t>For Three Months Ended June 30,</w:t>
            </w:r>
          </w:p>
        </w:tc>
        <w:tc>
          <w:tcPr>
            <w:tcW w:w="160" w:type="dxa"/>
            <w:vAlign w:val="bottom"/>
          </w:tcPr>
          <w:p>
            <w:pPr>
              <w:spacing w:after="0"/>
              <w:rPr>
                <w:sz w:val="20"/>
                <w:szCs w:val="20"/>
                <w:color w:val="auto"/>
              </w:rPr>
            </w:pPr>
          </w:p>
        </w:tc>
        <w:tc>
          <w:tcPr>
            <w:tcW w:w="2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For Six Months Ended June 30,</w:t>
            </w:r>
          </w:p>
        </w:tc>
        <w:tc>
          <w:tcPr>
            <w:tcW w:w="0" w:type="dxa"/>
            <w:vAlign w:val="bottom"/>
          </w:tcPr>
          <w:p>
            <w:pPr>
              <w:spacing w:after="0"/>
              <w:rPr>
                <w:sz w:val="1"/>
                <w:szCs w:val="1"/>
                <w:color w:val="auto"/>
              </w:rPr>
            </w:pPr>
          </w:p>
        </w:tc>
      </w:tr>
      <w:tr>
        <w:trPr>
          <w:trHeight w:val="34"/>
        </w:trPr>
        <w:tc>
          <w:tcPr>
            <w:tcW w:w="5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920" w:type="dxa"/>
            <w:vAlign w:val="bottom"/>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3,458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6,849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1,705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3,369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3,480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806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4"/>
        </w:trPr>
        <w:tc>
          <w:tcPr>
            <w:tcW w:w="5280" w:type="dxa"/>
            <w:vAlign w:val="bottom"/>
          </w:tcPr>
          <w:p>
            <w:pPr>
              <w:ind w:left="40"/>
              <w:spacing w:after="0"/>
              <w:rPr>
                <w:sz w:val="20"/>
                <w:szCs w:val="20"/>
                <w:color w:val="auto"/>
              </w:rPr>
            </w:pPr>
            <w:r>
              <w:rPr>
                <w:rFonts w:ascii="Arial" w:cs="Arial" w:eastAsia="Arial" w:hAnsi="Arial"/>
                <w:sz w:val="18"/>
                <w:szCs w:val="18"/>
                <w:color w:val="auto"/>
              </w:rPr>
              <w:t>Acquisition cost</w:t>
            </w:r>
          </w:p>
        </w:tc>
        <w:tc>
          <w:tcPr>
            <w:tcW w:w="92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909</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1,826</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Average shares outstanding (millions):</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1,180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80" w:type="dxa"/>
            <w:vAlign w:val="bottom"/>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280" w:type="dxa"/>
            <w:vAlign w:val="bottom"/>
          </w:tcPr>
          <w:p>
            <w:pPr>
              <w:spacing w:after="0"/>
              <w:rPr>
                <w:sz w:val="24"/>
                <w:szCs w:val="24"/>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121" w:right="4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120" w:type="dxa"/>
            <w:vAlign w:val="bottom"/>
            <w:gridSpan w:val="6"/>
          </w:tcPr>
          <w:p>
            <w:pPr>
              <w:ind w:left="200"/>
              <w:spacing w:after="0"/>
              <w:rPr>
                <w:sz w:val="20"/>
                <w:szCs w:val="20"/>
                <w:color w:val="auto"/>
              </w:rPr>
            </w:pPr>
            <w:r>
              <w:rPr>
                <w:rFonts w:ascii="Arial" w:cs="Arial" w:eastAsia="Arial" w:hAnsi="Arial"/>
                <w:sz w:val="18"/>
                <w:szCs w:val="18"/>
                <w:b w:val="1"/>
                <w:bCs w:val="1"/>
                <w:color w:val="auto"/>
              </w:rPr>
              <w:t>For Three Months Ended June 30,</w:t>
            </w:r>
          </w:p>
        </w:tc>
        <w:tc>
          <w:tcPr>
            <w:tcW w:w="160" w:type="dxa"/>
            <w:vAlign w:val="bottom"/>
          </w:tcPr>
          <w:p>
            <w:pPr>
              <w:spacing w:after="0"/>
              <w:rPr>
                <w:sz w:val="20"/>
                <w:szCs w:val="20"/>
                <w:color w:val="auto"/>
              </w:rPr>
            </w:pPr>
          </w:p>
        </w:tc>
        <w:tc>
          <w:tcPr>
            <w:tcW w:w="2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For Six Months Ended June 30,</w:t>
            </w:r>
          </w:p>
        </w:tc>
      </w:tr>
      <w:tr>
        <w:trPr>
          <w:trHeight w:val="34"/>
        </w:trPr>
        <w:tc>
          <w:tcPr>
            <w:tcW w:w="5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34"/>
        </w:trPr>
        <w:tc>
          <w:tcPr>
            <w:tcW w:w="5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672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1,338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1,427</w:t>
            </w:r>
          </w:p>
        </w:tc>
      </w:tr>
      <w:tr>
        <w:trPr>
          <w:trHeight w:val="27"/>
        </w:trPr>
        <w:tc>
          <w:tcPr>
            <w:tcW w:w="5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Available-for-sale investments:</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net of taxes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9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Adjustment, net of taxes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84"/>
        </w:trPr>
        <w:tc>
          <w:tcPr>
            <w:tcW w:w="5280" w:type="dxa"/>
            <w:vAlign w:val="bottom"/>
          </w:tcPr>
          <w:p>
            <w:pPr>
              <w:ind w:left="160"/>
              <w:spacing w:after="0"/>
              <w:rPr>
                <w:sz w:val="20"/>
                <w:szCs w:val="20"/>
                <w:color w:val="auto"/>
              </w:rPr>
            </w:pPr>
            <w:r>
              <w:rPr>
                <w:rFonts w:ascii="Arial" w:cs="Arial" w:eastAsia="Arial" w:hAnsi="Arial"/>
                <w:sz w:val="18"/>
                <w:szCs w:val="18"/>
                <w:color w:val="auto"/>
              </w:rPr>
              <w:t>Change in fair value of derivative instrument, net of taxes</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1"/>
        </w:trPr>
        <w:tc>
          <w:tcPr>
            <w:tcW w:w="52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3"/>
                <w:szCs w:val="23"/>
                <w:color w:val="auto"/>
              </w:rPr>
            </w:pPr>
          </w:p>
        </w:tc>
        <w:tc>
          <w:tcPr>
            <w:tcW w:w="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52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1,394</w:t>
            </w:r>
          </w:p>
        </w:tc>
      </w:tr>
      <w:tr>
        <w:trPr>
          <w:trHeight w:val="20"/>
        </w:trPr>
        <w:tc>
          <w:tcPr>
            <w:tcW w:w="5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1,899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($23) and ($18)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10,860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Acquisition-related intangibles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6,195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Preferred stock, $25 par value. Authorized – 10,000,000 shares. Participating cumulative preferred. None</w:t>
            </w:r>
          </w:p>
        </w:tc>
        <w:tc>
          <w:tcPr>
            <w:tcW w:w="260" w:type="dxa"/>
            <w:vAlign w:val="bottom"/>
            <w:shd w:val="clear" w:color="auto" w:fill="CCEEFF"/>
          </w:tcPr>
          <w:p>
            <w:pPr>
              <w:spacing w:after="0"/>
              <w:rPr>
                <w:sz w:val="19"/>
                <w:szCs w:val="19"/>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0"/>
              <w:spacing w:after="0"/>
              <w:rPr>
                <w:sz w:val="20"/>
                <w:szCs w:val="20"/>
                <w:color w:val="auto"/>
              </w:rPr>
            </w:pPr>
            <w:r>
              <w:rPr>
                <w:rFonts w:ascii="Arial" w:cs="Arial" w:eastAsia="Arial" w:hAnsi="Arial"/>
                <w:sz w:val="18"/>
                <w:szCs w:val="18"/>
                <w:color w:val="auto"/>
              </w:rPr>
              <w:t>Common stock, $1 par value. Authorized – 2,400,000,000 shares. Shares issued: June 30, 2011 –</w:t>
            </w:r>
          </w:p>
        </w:tc>
        <w:tc>
          <w:tcPr>
            <w:tcW w:w="260" w:type="dxa"/>
            <w:vAlign w:val="bottom"/>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1,740,530,417; December 31, 2010 – 1,740,166,101</w:t>
            </w:r>
          </w:p>
        </w:tc>
        <w:tc>
          <w:tcPr>
            <w:tcW w:w="2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25,726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24,695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Less treasury common stock at cost. Shares: June 30, 2011 – 585,209,754; December 31, 2010 – 572,722,397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other comprehensive income (loss), net of taxes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17,098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37" w:right="239" w:bottom="98"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98" w:gutter="0" w:footer="0" w:header="0"/>
          <w:type w:val="continuous"/>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For Six Months Ended June 30,</w:t>
            </w:r>
          </w:p>
        </w:tc>
        <w:tc>
          <w:tcPr>
            <w:tcW w:w="0" w:type="dxa"/>
            <w:vAlign w:val="bottom"/>
          </w:tcPr>
          <w:p>
            <w:pPr>
              <w:spacing w:after="0"/>
              <w:rPr>
                <w:sz w:val="1"/>
                <w:szCs w:val="1"/>
                <w:color w:val="auto"/>
              </w:rPr>
            </w:pPr>
          </w:p>
        </w:tc>
      </w:tr>
      <w:tr>
        <w:trPr>
          <w:trHeight w:val="34"/>
        </w:trPr>
        <w:tc>
          <w:tcPr>
            <w:tcW w:w="8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8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84"/>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1"/>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Sales, redemptions and maturities of short-term investments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1,616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Sales and redemptions of long-term investments</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1"/>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3,497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costs for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other common stock transactions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8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2,516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64"/>
        </w:trPr>
        <w:tc>
          <w:tcPr>
            <w:tcW w:w="8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121" w:right="4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157" w:lineRule="exact"/>
        <w:rPr>
          <w:sz w:val="20"/>
          <w:szCs w:val="20"/>
          <w:color w:val="auto"/>
        </w:rPr>
      </w:pPr>
    </w:p>
    <w:p>
      <w:pPr>
        <w:ind w:left="320" w:hanging="318"/>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designs and makes semiconductors that we sell to electronics designers and manufacturers; about 80,000 customers all over the world buy our products.</w:t>
      </w:r>
    </w:p>
    <w:p>
      <w:pPr>
        <w:spacing w:after="0" w:line="170" w:lineRule="exact"/>
        <w:rPr>
          <w:rFonts w:ascii="Arial" w:cs="Arial" w:eastAsia="Arial" w:hAnsi="Arial"/>
          <w:sz w:val="18"/>
          <w:szCs w:val="18"/>
          <w:color w:val="auto"/>
        </w:rPr>
      </w:pPr>
    </w:p>
    <w:p>
      <w:pPr>
        <w:ind w:left="320" w:right="2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on the same basis as the audited financial statements included in our annual report on Form 10-K for the year ended December 31, 2010. The consolidated statements of income, statements of comprehensive income and statements of cash flows for the periods ended June 30, 2011 and 2010, and the balance sheet as of June 30, 2011, are not audited but reflect all adjustments that are of a normal recurring nature and are necessary for a fair statement of the results of the periods shown. The consolidated balance sheet as of December 31, 2010,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2010. The results for the three- and six-month periods are not necessarily indicative of a full year’s results.</w:t>
      </w:r>
    </w:p>
    <w:p>
      <w:pPr>
        <w:spacing w:after="0" w:line="172" w:lineRule="exact"/>
        <w:rPr>
          <w:rFonts w:ascii="Arial" w:cs="Arial" w:eastAsia="Arial" w:hAnsi="Arial"/>
          <w:sz w:val="18"/>
          <w:szCs w:val="18"/>
          <w:color w:val="auto"/>
        </w:rPr>
      </w:pPr>
    </w:p>
    <w:p>
      <w:pPr>
        <w:ind w:left="320" w:right="24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181" w:lineRule="exact"/>
        <w:rPr>
          <w:rFonts w:ascii="Arial" w:cs="Arial" w:eastAsia="Arial" w:hAnsi="Arial"/>
          <w:sz w:val="18"/>
          <w:szCs w:val="18"/>
          <w:color w:val="auto"/>
        </w:rPr>
      </w:pPr>
    </w:p>
    <w:p>
      <w:pPr>
        <w:ind w:left="320" w:right="5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 Cost - </w:t>
      </w:r>
      <w:r>
        <w:rPr>
          <w:rFonts w:ascii="Arial" w:cs="Arial" w:eastAsia="Arial" w:hAnsi="Arial"/>
          <w:sz w:val="18"/>
          <w:szCs w:val="18"/>
          <w:color w:val="auto"/>
        </w:rPr>
        <w:t>During the first six months of 2011, we incurred $15 million of acquisition-related expenses ($13 million for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announced agreement to acquire National Semiconductor (“National”).</w:t>
      </w:r>
    </w:p>
    <w:p>
      <w:pPr>
        <w:spacing w:after="0" w:line="170" w:lineRule="exact"/>
        <w:rPr>
          <w:rFonts w:ascii="Arial" w:cs="Arial" w:eastAsia="Arial" w:hAnsi="Arial"/>
          <w:sz w:val="18"/>
          <w:szCs w:val="18"/>
          <w:color w:val="auto"/>
        </w:rPr>
      </w:pPr>
    </w:p>
    <w:p>
      <w:pPr>
        <w:ind w:left="320" w:right="160"/>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 xml:space="preserve">Use of Derivatives and Hedging </w:t>
      </w:r>
      <w:r>
        <w:rPr>
          <w:rFonts w:ascii="Arial" w:cs="Arial" w:eastAsia="Arial" w:hAnsi="Arial"/>
          <w:sz w:val="16"/>
          <w:szCs w:val="16"/>
          <w:color w:val="auto"/>
        </w:rPr>
        <w:t>- In connection with the issuance of long-term debt in May 2011, as more fully described in Note 3, we entered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swap designated as a hedge of the variability of cash flows related to interest payments on the variable-rate portion of the debt. Gains and losses from changes in the fair value of the interest rate swap are credited or charged to accumulated other comprehensive income (AOCI).</w:t>
      </w:r>
    </w:p>
    <w:p>
      <w:pPr>
        <w:spacing w:after="0" w:line="146" w:lineRule="exact"/>
        <w:rPr>
          <w:rFonts w:ascii="Arial" w:cs="Arial" w:eastAsia="Arial" w:hAnsi="Arial"/>
          <w:sz w:val="18"/>
          <w:szCs w:val="18"/>
          <w:color w:val="auto"/>
        </w:rPr>
      </w:pPr>
    </w:p>
    <w:p>
      <w:pPr>
        <w:ind w:left="320" w:right="20"/>
        <w:spacing w:after="0" w:line="257" w:lineRule="auto"/>
        <w:rPr>
          <w:rFonts w:ascii="Arial" w:cs="Arial" w:eastAsia="Arial" w:hAnsi="Arial"/>
          <w:sz w:val="18"/>
          <w:szCs w:val="18"/>
          <w:color w:val="auto"/>
        </w:rPr>
      </w:pPr>
      <w:r>
        <w:rPr>
          <w:rFonts w:ascii="Arial" w:cs="Arial" w:eastAsia="Arial" w:hAnsi="Arial"/>
          <w:sz w:val="18"/>
          <w:szCs w:val="18"/>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apply hedge accounting to our foreign currency derivative instruments.</w:t>
      </w:r>
    </w:p>
    <w:p>
      <w:pPr>
        <w:spacing w:after="0" w:line="18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We do not use derivatives for speculative or trading purposes.</w:t>
      </w:r>
    </w:p>
    <w:p>
      <w:pPr>
        <w:spacing w:after="0" w:line="225" w:lineRule="exact"/>
        <w:rPr>
          <w:rFonts w:ascii="Arial" w:cs="Arial" w:eastAsia="Arial" w:hAnsi="Arial"/>
          <w:sz w:val="18"/>
          <w:szCs w:val="18"/>
          <w:color w:val="auto"/>
        </w:rPr>
      </w:pPr>
    </w:p>
    <w:p>
      <w:pPr>
        <w:ind w:left="32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 The fair values of our derivative financial instruments were not significant at June 30, 2011.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short-term investments and certain long-term investments are carried at fair value and are discussed in Note 6. The carrying values for other current financial assets and liabilities, such as accounts receivable and accounts payable, approximate fair value due to the short maturity of such instruments. The fair value of our long-term debt approximates the carrying value.</w:t>
      </w:r>
    </w:p>
    <w:p>
      <w:pPr>
        <w:spacing w:after="0" w:line="186" w:lineRule="exact"/>
        <w:rPr>
          <w:rFonts w:ascii="Arial" w:cs="Arial" w:eastAsia="Arial" w:hAnsi="Arial"/>
          <w:sz w:val="18"/>
          <w:szCs w:val="18"/>
          <w:color w:val="auto"/>
        </w:rPr>
      </w:pPr>
    </w:p>
    <w:p>
      <w:pPr>
        <w:ind w:left="320" w:right="4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Accounting Standards Adopted - </w:t>
      </w:r>
      <w:r>
        <w:rPr>
          <w:rFonts w:ascii="Arial" w:cs="Arial" w:eastAsia="Arial" w:hAnsi="Arial"/>
          <w:sz w:val="18"/>
          <w:szCs w:val="18"/>
          <w:color w:val="auto"/>
        </w:rPr>
        <w:t>In October 2009, the Financial Accounting Standards Board (FASB) concurrently issued the following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Updates (ASUs):</w:t>
      </w:r>
    </w:p>
    <w:p>
      <w:pPr>
        <w:spacing w:after="0" w:line="170" w:lineRule="exact"/>
        <w:rPr>
          <w:rFonts w:ascii="Arial" w:cs="Arial" w:eastAsia="Arial" w:hAnsi="Arial"/>
          <w:sz w:val="18"/>
          <w:szCs w:val="18"/>
          <w:color w:val="auto"/>
        </w:rPr>
      </w:pPr>
    </w:p>
    <w:p>
      <w:pPr>
        <w:ind w:left="700" w:right="200" w:hanging="10"/>
        <w:spacing w:after="0" w:line="288" w:lineRule="auto"/>
        <w:tabs>
          <w:tab w:leader="none" w:pos="875"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ASU No. 2009 - 14 - </w:t>
      </w:r>
      <w:r>
        <w:rPr>
          <w:rFonts w:ascii="Arial" w:cs="Arial" w:eastAsia="Arial" w:hAnsi="Arial"/>
          <w:sz w:val="16"/>
          <w:szCs w:val="16"/>
          <w:i w:val="1"/>
          <w:iCs w:val="1"/>
          <w:color w:val="auto"/>
        </w:rPr>
        <w:t>Software (Topic 985): Certain Revenue Arrangements That Include Software Elements.</w:t>
      </w:r>
      <w:r>
        <w:rPr>
          <w:rFonts w:ascii="Arial" w:cs="Arial" w:eastAsia="Arial" w:hAnsi="Arial"/>
          <w:sz w:val="16"/>
          <w:szCs w:val="16"/>
          <w:color w:val="auto"/>
        </w:rPr>
        <w:t xml:space="preserve"> This standard removes tangible products from the scope of software revenue recognition guidance and also provides guidance on determining whether software deliverables in an arrangement that includes a tangible product, such as embedded software, are within the scope of the software revenue guidance.</w:t>
      </w:r>
    </w:p>
    <w:p>
      <w:pPr>
        <w:ind w:left="700" w:right="60" w:hanging="10"/>
        <w:spacing w:after="0" w:line="255" w:lineRule="auto"/>
        <w:tabs>
          <w:tab w:leader="none" w:pos="875"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ASU No. 2009 - 13 - </w:t>
      </w:r>
      <w:r>
        <w:rPr>
          <w:rFonts w:ascii="Arial" w:cs="Arial" w:eastAsia="Arial" w:hAnsi="Arial"/>
          <w:sz w:val="18"/>
          <w:szCs w:val="18"/>
          <w:i w:val="1"/>
          <w:iCs w:val="1"/>
          <w:color w:val="auto"/>
        </w:rPr>
        <w:t>Revenue Recognition (Topic 605): Multiple-Deliverable Revenue Arrangements</w:t>
      </w:r>
      <w:r>
        <w:rPr>
          <w:rFonts w:ascii="Arial" w:cs="Arial" w:eastAsia="Arial" w:hAnsi="Arial"/>
          <w:sz w:val="18"/>
          <w:szCs w:val="18"/>
          <w:color w:val="auto"/>
        </w:rPr>
        <w:t>. This standard modifies the revenue recognition guidance for arrangements that involve the delivery of multiple elements, such as product, software, services and support, to a customer at different times as part of a single revenue generating</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121" w:right="239" w:bottom="1440" w:gutter="0" w:footer="0" w:header="0"/>
        </w:sectPr>
      </w:pPr>
    </w:p>
    <w:bookmarkStart w:id="6" w:name="page7"/>
    <w:bookmarkEnd w:id="6"/>
    <w:p>
      <w:pPr>
        <w:ind w:left="712" w:right="600"/>
        <w:spacing w:after="0" w:line="308" w:lineRule="auto"/>
        <w:rPr>
          <w:sz w:val="20"/>
          <w:szCs w:val="20"/>
          <w:color w:val="auto"/>
        </w:rPr>
      </w:pPr>
      <w:r>
        <w:rPr>
          <w:rFonts w:ascii="Arial" w:cs="Arial" w:eastAsia="Arial" w:hAnsi="Arial"/>
          <w:sz w:val="17"/>
          <w:szCs w:val="17"/>
          <w:color w:val="auto"/>
        </w:rPr>
        <w:t>transaction. This standard provides principles and application guidance to determine whether multiple deliverables exist, how the individual deliverables should be separated and how to allocate the revenue in the arrangement among those separate deliverables.</w:t>
      </w:r>
    </w:p>
    <w:p>
      <w:pPr>
        <w:spacing w:after="0" w:line="147" w:lineRule="exact"/>
        <w:rPr>
          <w:sz w:val="20"/>
          <w:szCs w:val="20"/>
          <w:color w:val="auto"/>
        </w:rPr>
      </w:pPr>
    </w:p>
    <w:p>
      <w:pPr>
        <w:ind w:left="332" w:right="100"/>
        <w:spacing w:after="0" w:line="342" w:lineRule="auto"/>
        <w:rPr>
          <w:sz w:val="20"/>
          <w:szCs w:val="20"/>
          <w:color w:val="auto"/>
        </w:rPr>
      </w:pPr>
      <w:r>
        <w:rPr>
          <w:rFonts w:ascii="Arial" w:cs="Arial" w:eastAsia="Arial" w:hAnsi="Arial"/>
          <w:sz w:val="16"/>
          <w:szCs w:val="16"/>
          <w:color w:val="auto"/>
        </w:rPr>
        <w:t>We adopted these standards in the first quarter of 2011 by applying them on a prospective basis to revenue arrangements entered into or materially modified beginning January 1, 2011. The adoption of these standards did not have a significant impact on our financial position or results of operations.</w:t>
      </w:r>
    </w:p>
    <w:p>
      <w:pPr>
        <w:spacing w:after="0" w:line="124" w:lineRule="exact"/>
        <w:rPr>
          <w:sz w:val="20"/>
          <w:szCs w:val="20"/>
          <w:color w:val="auto"/>
        </w:rPr>
      </w:pPr>
    </w:p>
    <w:p>
      <w:pPr>
        <w:ind w:left="332" w:right="20"/>
        <w:spacing w:after="0" w:line="255" w:lineRule="auto"/>
        <w:rPr>
          <w:sz w:val="20"/>
          <w:szCs w:val="20"/>
          <w:color w:val="auto"/>
        </w:rPr>
      </w:pPr>
      <w:r>
        <w:rPr>
          <w:rFonts w:ascii="Arial" w:cs="Arial" w:eastAsia="Arial" w:hAnsi="Arial"/>
          <w:sz w:val="18"/>
          <w:szCs w:val="18"/>
          <w:i w:val="1"/>
          <w:iCs w:val="1"/>
          <w:color w:val="auto"/>
        </w:rPr>
        <w:t xml:space="preserve">New Accounting Standard Not Yet Adopted - </w:t>
      </w:r>
      <w:r>
        <w:rPr>
          <w:rFonts w:ascii="Arial" w:cs="Arial" w:eastAsia="Arial" w:hAnsi="Arial"/>
          <w:sz w:val="18"/>
          <w:szCs w:val="18"/>
          <w:color w:val="auto"/>
        </w:rPr>
        <w:t>In May 2011, the FASB issued ASU No. 2011-04,</w:t>
      </w:r>
      <w:r>
        <w:rPr>
          <w:rFonts w:ascii="Arial" w:cs="Arial" w:eastAsia="Arial" w:hAnsi="Arial"/>
          <w:sz w:val="18"/>
          <w:szCs w:val="18"/>
          <w:i w:val="1"/>
          <w:iCs w:val="1"/>
          <w:color w:val="auto"/>
        </w:rPr>
        <w:t xml:space="preserve"> Fair Value Measurement (Topic 820): Amendments to Achieve Common Fair Value Measurement and Disclosure Requirements in U.S. GAAP and IFRS. </w:t>
      </w:r>
      <w:r>
        <w:rPr>
          <w:rFonts w:ascii="Arial" w:cs="Arial" w:eastAsia="Arial" w:hAnsi="Arial"/>
          <w:sz w:val="18"/>
          <w:szCs w:val="18"/>
          <w:color w:val="auto"/>
        </w:rPr>
        <w:t>This standard results in a common requirement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FASB and the International Accounting Standards Board (IASB) for measuring fair value and for disclosing information about fair value measurements. While this new standard will not affect how we measure or account for assets and liabilities at fair value, the disclosure requirements will be required for interim and annual periods beginning January 1, 2012. There will be no impact to our financial condition or results of operation from the adoption of this new standard.</w:t>
      </w:r>
    </w:p>
    <w:p>
      <w:pPr>
        <w:spacing w:after="0" w:line="193" w:lineRule="exact"/>
        <w:rPr>
          <w:sz w:val="20"/>
          <w:szCs w:val="20"/>
          <w:color w:val="auto"/>
        </w:rPr>
      </w:pPr>
    </w:p>
    <w:p>
      <w:pPr>
        <w:ind w:left="332" w:right="260" w:hanging="332"/>
        <w:spacing w:after="0" w:line="259"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Losses associated with the earthquake in Japan</w:t>
      </w:r>
      <w:r>
        <w:rPr>
          <w:rFonts w:ascii="Arial" w:cs="Arial" w:eastAsia="Arial" w:hAnsi="Arial"/>
          <w:sz w:val="18"/>
          <w:szCs w:val="18"/>
          <w:color w:val="auto"/>
        </w:rPr>
        <w:t>. On March 11, 2011, a magnitude 9.0 earthquake struck near two of our three semiconductor wafer manufacturing facilities in Japan. Our manufacturing site in Miho suffered substantial damage during the earthquake, our facility in Aizu experienced significantly less damage, and our site in Hiji was undamaged. We maintain earthquake insurance policies in Japan for limited coverage for property damage and business interruption losses.</w:t>
      </w:r>
    </w:p>
    <w:p>
      <w:pPr>
        <w:spacing w:after="0" w:line="186" w:lineRule="exact"/>
        <w:rPr>
          <w:rFonts w:ascii="Arial" w:cs="Arial" w:eastAsia="Arial" w:hAnsi="Arial"/>
          <w:sz w:val="18"/>
          <w:szCs w:val="18"/>
          <w:color w:val="auto"/>
        </w:rPr>
      </w:pPr>
    </w:p>
    <w:p>
      <w:pPr>
        <w:ind w:left="332" w:right="80"/>
        <w:spacing w:after="0" w:line="259" w:lineRule="auto"/>
        <w:rPr>
          <w:rFonts w:ascii="Arial" w:cs="Arial" w:eastAsia="Arial" w:hAnsi="Arial"/>
          <w:sz w:val="18"/>
          <w:szCs w:val="18"/>
          <w:color w:val="auto"/>
        </w:rPr>
      </w:pPr>
      <w:r>
        <w:rPr>
          <w:rFonts w:ascii="Arial" w:cs="Arial" w:eastAsia="Arial" w:hAnsi="Arial"/>
          <w:sz w:val="18"/>
          <w:szCs w:val="18"/>
          <w:color w:val="auto"/>
        </w:rPr>
        <w:t>Assessment and recovery efforts began immediately at these facilities. Our Aizu factory recovered first and has been in production for most of the second quarter. Our Miho factory was shut down through the first half of April, then ramped steadily through May and the first part of June. Our production loadings, based on wafer starts, were nearly back to full capacity by the middle of June. There will be a few months of lag between when we start a wafer and when those products ship to our customers due to the manufacturing cycle time.</w:t>
      </w:r>
    </w:p>
    <w:p>
      <w:pPr>
        <w:spacing w:after="0" w:line="186" w:lineRule="exact"/>
        <w:rPr>
          <w:rFonts w:ascii="Arial" w:cs="Arial" w:eastAsia="Arial" w:hAnsi="Arial"/>
          <w:sz w:val="18"/>
          <w:szCs w:val="18"/>
          <w:color w:val="auto"/>
        </w:rPr>
      </w:pPr>
    </w:p>
    <w:p>
      <w:pPr>
        <w:ind w:left="332" w:right="100"/>
        <w:spacing w:after="0" w:line="297" w:lineRule="auto"/>
        <w:rPr>
          <w:rFonts w:ascii="Arial" w:cs="Arial" w:eastAsia="Arial" w:hAnsi="Arial"/>
          <w:sz w:val="18"/>
          <w:szCs w:val="18"/>
          <w:color w:val="auto"/>
        </w:rPr>
      </w:pPr>
      <w:r>
        <w:rPr>
          <w:rFonts w:ascii="Arial" w:cs="Arial" w:eastAsia="Arial" w:hAnsi="Arial"/>
          <w:sz w:val="16"/>
          <w:szCs w:val="16"/>
          <w:color w:val="auto"/>
        </w:rPr>
        <w:t>During the first half of 2011, we recorded total expenses of about $80 million (about $50 million for the second quarter) based on the costs of property damages incurred and costs associated with business interruption, net of proceeds from ongoing insurance claims. Almost all of these costs are included in Cost of revenue in the statement of income and are reported in our Other segment. These costs include the underutilization expense we incurred from having our manufacturing assets only partially loaded, costs related to the recovery teams that have been assembled from across the world and other costs. To date, no proceeds from ongoing insurance claims have been recognized related to amounts for business interruption or associated lost profits.</w:t>
      </w:r>
    </w:p>
    <w:p>
      <w:pPr>
        <w:spacing w:after="0" w:line="158" w:lineRule="exact"/>
        <w:rPr>
          <w:rFonts w:ascii="Arial" w:cs="Arial" w:eastAsia="Arial" w:hAnsi="Arial"/>
          <w:sz w:val="18"/>
          <w:szCs w:val="18"/>
          <w:color w:val="auto"/>
        </w:rPr>
      </w:pPr>
    </w:p>
    <w:p>
      <w:pPr>
        <w:ind w:left="332" w:right="40"/>
        <w:spacing w:after="0" w:line="264" w:lineRule="auto"/>
        <w:rPr>
          <w:rFonts w:ascii="Arial" w:cs="Arial" w:eastAsia="Arial" w:hAnsi="Arial"/>
          <w:sz w:val="18"/>
          <w:szCs w:val="18"/>
          <w:color w:val="auto"/>
        </w:rPr>
      </w:pPr>
      <w:r>
        <w:rPr>
          <w:rFonts w:ascii="Arial" w:cs="Arial" w:eastAsia="Arial" w:hAnsi="Arial"/>
          <w:sz w:val="18"/>
          <w:szCs w:val="18"/>
          <w:color w:val="auto"/>
        </w:rPr>
        <w:t>We have yet to determine the final total losses attributable to the earthquake. It is reasonably possible that the final losses may exceed the limits of our insurance policies. We are in discussions with our insurers and their advisors, but at this time, we cannot estimate the timing and amount of proceeds we will ultimately receive from these policies.</w:t>
      </w:r>
    </w:p>
    <w:p>
      <w:pPr>
        <w:spacing w:after="0" w:line="181" w:lineRule="exact"/>
        <w:rPr>
          <w:rFonts w:ascii="Arial" w:cs="Arial" w:eastAsia="Arial" w:hAnsi="Arial"/>
          <w:sz w:val="18"/>
          <w:szCs w:val="18"/>
          <w:color w:val="auto"/>
        </w:rPr>
      </w:pPr>
    </w:p>
    <w:p>
      <w:pPr>
        <w:ind w:left="332" w:right="80" w:hanging="332"/>
        <w:spacing w:after="0" w:line="312" w:lineRule="auto"/>
        <w:tabs>
          <w:tab w:leader="none" w:pos="33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Long-term debt</w:t>
      </w:r>
      <w:r>
        <w:rPr>
          <w:rFonts w:ascii="Arial" w:cs="Arial" w:eastAsia="Arial" w:hAnsi="Arial"/>
          <w:sz w:val="16"/>
          <w:szCs w:val="16"/>
          <w:color w:val="auto"/>
        </w:rPr>
        <w:t>. On May 23, 2011, we issued an aggregate principal amount of $3.50 billion of fixed- and floating-rate long-term debt as detailed below to help fund the National acquisition. The proceeds of the offering were $3.497 billion, net of the original issuance discount. We also incurred $12 million of issuance costs which are included in Other assets and will be amortized to Interest and debt expense over the individual notes’ lives.</w:t>
      </w:r>
    </w:p>
    <w:p>
      <w:pPr>
        <w:spacing w:after="0" w:line="146" w:lineRule="exact"/>
        <w:rPr>
          <w:rFonts w:ascii="Arial" w:cs="Arial" w:eastAsia="Arial" w:hAnsi="Arial"/>
          <w:sz w:val="16"/>
          <w:szCs w:val="16"/>
          <w:color w:val="auto"/>
        </w:rPr>
      </w:pPr>
    </w:p>
    <w:p>
      <w:pPr>
        <w:ind w:left="332"/>
        <w:spacing w:after="0" w:line="276" w:lineRule="auto"/>
        <w:rPr>
          <w:rFonts w:ascii="Arial" w:cs="Arial" w:eastAsia="Arial" w:hAnsi="Arial"/>
          <w:sz w:val="16"/>
          <w:szCs w:val="16"/>
          <w:color w:val="auto"/>
        </w:rPr>
      </w:pPr>
      <w:r>
        <w:rPr>
          <w:rFonts w:ascii="Arial" w:cs="Arial" w:eastAsia="Arial" w:hAnsi="Arial"/>
          <w:sz w:val="17"/>
          <w:szCs w:val="17"/>
          <w:color w:val="auto"/>
        </w:rPr>
        <w:t>In connection with this issuance, we also entered into an interest rate swap transaction related to the $1.0 billion notional amount of our floating-rate debt due 2013. Under this swap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The net effect of this swap is to convert the variable interest rate to a fixed rate of 0.922%.</w:t>
      </w:r>
    </w:p>
    <w:p>
      <w:pPr>
        <w:spacing w:after="0" w:line="20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125"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Following is a summary of the long-term debt outstanding as of June 30, 2011:</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94"/>
        </w:trPr>
        <w:tc>
          <w:tcPr>
            <w:tcW w:w="10160" w:type="dxa"/>
            <w:vAlign w:val="bottom"/>
          </w:tcPr>
          <w:p>
            <w:pPr>
              <w:ind w:left="40"/>
              <w:spacing w:after="0"/>
              <w:rPr>
                <w:sz w:val="20"/>
                <w:szCs w:val="20"/>
                <w:color w:val="auto"/>
              </w:rPr>
            </w:pPr>
            <w:r>
              <w:rPr>
                <w:rFonts w:ascii="Arial" w:cs="Arial" w:eastAsia="Arial" w:hAnsi="Arial"/>
                <w:sz w:val="18"/>
                <w:szCs w:val="18"/>
                <w:color w:val="auto"/>
              </w:rPr>
              <w:t>$1.0 billion floating-rate notes due 2013 (swapped to a 0.922% fixed rate)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 million 0.875% notes due 2013</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$1.0 billion 1.375% notes due 2014</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billion 2.375% notes due 2016</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Less unamortized discount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3,498</w:t>
            </w:r>
          </w:p>
        </w:tc>
      </w:tr>
      <w:tr>
        <w:trPr>
          <w:trHeight w:val="27"/>
        </w:trPr>
        <w:tc>
          <w:tcPr>
            <w:tcW w:w="10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60"/>
        <w:spacing w:after="0" w:line="270" w:lineRule="auto"/>
        <w:rPr>
          <w:sz w:val="20"/>
          <w:szCs w:val="20"/>
          <w:color w:val="auto"/>
        </w:rPr>
      </w:pPr>
      <w:r>
        <w:rPr>
          <w:rFonts w:ascii="Arial" w:cs="Arial" w:eastAsia="Arial" w:hAnsi="Arial"/>
          <w:sz w:val="18"/>
          <w:szCs w:val="18"/>
          <w:color w:val="auto"/>
        </w:rPr>
        <w:t>If our planned acquisition of National does not close by April 30, 2012, or the agreement is otherwise terminated, we are obligated to redeem the $2.5 billion of fixed-rate debt. This redemption would be 15 business days following the earlier of April 30, 2012, or the date the agreement is terminated, at a redemption price equal to 101% of the aggregate principal amount of the fixed-rate debt, plus accrued interest. We are not obligated to redeem the floating-rate notes.</w:t>
      </w:r>
    </w:p>
    <w:p>
      <w:pPr>
        <w:spacing w:after="0" w:line="176" w:lineRule="exact"/>
        <w:rPr>
          <w:sz w:val="20"/>
          <w:szCs w:val="20"/>
          <w:color w:val="auto"/>
        </w:rPr>
      </w:pPr>
    </w:p>
    <w:p>
      <w:pPr>
        <w:ind w:left="340" w:right="2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As of June 30, 2011, the estimated annual effective tax rate for 2011 is about 27 percent, which differs from the 35 percent statutory corporate tax rate primarily due to the effects of non-U.S. tax rates.</w:t>
      </w:r>
    </w:p>
    <w:p>
      <w:pPr>
        <w:spacing w:after="0" w:line="181"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Computation and reconciliation of earnings per common share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2011</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2010</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1"/>
                <w:szCs w:val="21"/>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34"/>
        </w:trPr>
        <w:tc>
          <w:tcPr>
            <w:tcW w:w="4000" w:type="dxa"/>
            <w:vAlign w:val="bottom"/>
            <w:gridSpan w:val="4"/>
            <w:vMerge w:val="restart"/>
          </w:tcPr>
          <w:p>
            <w:pPr>
              <w:ind w:left="40"/>
              <w:spacing w:after="0"/>
              <w:rPr>
                <w:sz w:val="20"/>
                <w:szCs w:val="20"/>
                <w:color w:val="auto"/>
              </w:rPr>
            </w:pPr>
            <w:r>
              <w:rPr>
                <w:rFonts w:ascii="Arial" w:cs="Arial" w:eastAsia="Arial" w:hAnsi="Arial"/>
                <w:sz w:val="18"/>
                <w:szCs w:val="18"/>
                <w:i w:val="1"/>
                <w:iCs w:val="1"/>
                <w:color w:val="auto"/>
              </w:rPr>
              <w:t>Basic EPS: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0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661</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 plans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00" w:type="dxa"/>
            <w:vAlign w:val="bottom"/>
            <w:gridSpan w:val="4"/>
          </w:tcPr>
          <w:p>
            <w:pPr>
              <w:ind w:left="40"/>
              <w:spacing w:after="0" w:line="202" w:lineRule="exact"/>
              <w:rPr>
                <w:sz w:val="20"/>
                <w:szCs w:val="20"/>
                <w:color w:val="auto"/>
              </w:rPr>
            </w:pPr>
            <w:r>
              <w:rPr>
                <w:rFonts w:ascii="Arial" w:cs="Arial" w:eastAsia="Arial" w:hAnsi="Arial"/>
                <w:sz w:val="18"/>
                <w:szCs w:val="18"/>
                <w:i w:val="1"/>
                <w:iCs w:val="1"/>
                <w:color w:val="auto"/>
              </w:rPr>
              <w:t>Diluted EPS: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662</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92"/>
              </w:rPr>
              <w:t>For Six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1"/>
              </w:rPr>
              <w:t>For Six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2011</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2010</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1"/>
                <w:szCs w:val="21"/>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EPS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20" w:type="dxa"/>
            <w:vAlign w:val="bottom"/>
          </w:tcPr>
          <w:p>
            <w:pPr>
              <w:spacing w:after="0"/>
              <w:rPr>
                <w:sz w:val="21"/>
                <w:szCs w:val="21"/>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34"/>
        </w:trPr>
        <w:tc>
          <w:tcPr>
            <w:tcW w:w="4000" w:type="dxa"/>
            <w:vAlign w:val="bottom"/>
            <w:gridSpan w:val="4"/>
            <w:vMerge w:val="restart"/>
          </w:tcPr>
          <w:p>
            <w:pPr>
              <w:ind w:left="40"/>
              <w:spacing w:after="0"/>
              <w:rPr>
                <w:sz w:val="20"/>
                <w:szCs w:val="20"/>
                <w:color w:val="auto"/>
              </w:rPr>
            </w:pPr>
            <w:r>
              <w:rPr>
                <w:rFonts w:ascii="Arial" w:cs="Arial" w:eastAsia="Arial" w:hAnsi="Arial"/>
                <w:sz w:val="18"/>
                <w:szCs w:val="18"/>
                <w:i w:val="1"/>
                <w:iCs w:val="1"/>
                <w:color w:val="auto"/>
              </w:rPr>
              <w:t>Basic EPS: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0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1,317</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 plans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00" w:type="dxa"/>
            <w:vAlign w:val="bottom"/>
            <w:gridSpan w:val="4"/>
          </w:tcPr>
          <w:p>
            <w:pPr>
              <w:ind w:left="40"/>
              <w:spacing w:after="0" w:line="202" w:lineRule="exact"/>
              <w:rPr>
                <w:sz w:val="20"/>
                <w:szCs w:val="20"/>
                <w:color w:val="auto"/>
              </w:rPr>
            </w:pPr>
            <w:r>
              <w:rPr>
                <w:rFonts w:ascii="Arial" w:cs="Arial" w:eastAsia="Arial" w:hAnsi="Arial"/>
                <w:sz w:val="18"/>
                <w:szCs w:val="18"/>
                <w:i w:val="1"/>
                <w:iCs w:val="1"/>
                <w:color w:val="auto"/>
              </w:rPr>
              <w:t>Diluted EPS: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1,317</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40"/>
        <w:spacing w:after="0" w:line="259" w:lineRule="auto"/>
        <w:rPr>
          <w:sz w:val="20"/>
          <w:szCs w:val="20"/>
          <w:color w:val="auto"/>
        </w:rPr>
      </w:pPr>
      <w:r>
        <w:rPr>
          <w:rFonts w:ascii="Arial" w:cs="Arial" w:eastAsia="Arial" w:hAnsi="Arial"/>
          <w:sz w:val="18"/>
          <w:szCs w:val="18"/>
          <w:color w:val="auto"/>
        </w:rPr>
        <w:t>Options to purchase 20 million and 97 million shares of common stock that were outstanding during the second quarters of 2011 and 2010, respectively, and 19 million and 97 million shares outstanding during the six months of 2011 and 2010, respectively, were not included in the computation of diluted earnings per share because their exercise price was greater than the average market price of the common shares and, therefore, the effect would be anti-dilutive.</w:t>
      </w:r>
    </w:p>
    <w:p>
      <w:pPr>
        <w:spacing w:after="0" w:line="187" w:lineRule="exact"/>
        <w:rPr>
          <w:sz w:val="20"/>
          <w:szCs w:val="20"/>
          <w:color w:val="auto"/>
        </w:rPr>
      </w:pPr>
    </w:p>
    <w:p>
      <w:pPr>
        <w:ind w:left="340" w:right="6540" w:hanging="332"/>
        <w:spacing w:after="0" w:line="50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w:t>
      </w:r>
    </w:p>
    <w:p>
      <w:pPr>
        <w:spacing w:after="0" w:line="248" w:lineRule="exact"/>
        <w:rPr>
          <w:rFonts w:ascii="Arial" w:cs="Arial" w:eastAsia="Arial" w:hAnsi="Arial"/>
          <w:sz w:val="18"/>
          <w:szCs w:val="18"/>
          <w:color w:val="auto"/>
        </w:rPr>
      </w:pPr>
    </w:p>
    <w:p>
      <w:pPr>
        <w:ind w:left="340" w:right="280"/>
        <w:spacing w:after="0" w:line="277"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 value discussion below).</w:t>
      </w:r>
    </w:p>
    <w:p>
      <w:pPr>
        <w:spacing w:after="0" w:line="170" w:lineRule="exact"/>
        <w:rPr>
          <w:rFonts w:ascii="Arial" w:cs="Arial" w:eastAsia="Arial" w:hAnsi="Arial"/>
          <w:sz w:val="18"/>
          <w:szCs w:val="18"/>
          <w:color w:val="auto"/>
        </w:rPr>
      </w:pPr>
    </w:p>
    <w:p>
      <w:pPr>
        <w:ind w:left="340" w:right="680"/>
        <w:spacing w:after="0" w:line="277" w:lineRule="auto"/>
        <w:rPr>
          <w:rFonts w:ascii="Arial" w:cs="Arial" w:eastAsia="Arial" w:hAnsi="Arial"/>
          <w:sz w:val="18"/>
          <w:szCs w:val="18"/>
          <w:color w:val="auto"/>
        </w:rPr>
      </w:pPr>
      <w:r>
        <w:rPr>
          <w:rFonts w:ascii="Arial" w:cs="Arial" w:eastAsia="Arial" w:hAnsi="Arial"/>
          <w:sz w:val="18"/>
          <w:szCs w:val="18"/>
          <w:color w:val="auto"/>
        </w:rPr>
        <w:t>Unrealized gains and losses on available-for-sale securities are recorded as an increase or decrease, net of taxes, in AOCI. We record other-than-temporary losses (impairments) on available-for-sale securities in OI&amp;E.</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Changes in the fair value of debt securities classified as trading securities are recorded in OI&amp;E.</w:t>
      </w:r>
    </w:p>
    <w:p>
      <w:pPr>
        <w:spacing w:after="0" w:line="225"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selling, general and administrative expense.</w:t>
      </w:r>
    </w:p>
    <w:p>
      <w:pPr>
        <w:spacing w:after="0" w:line="181" w:lineRule="exact"/>
        <w:rPr>
          <w:sz w:val="20"/>
          <w:szCs w:val="20"/>
          <w:color w:val="auto"/>
        </w:rPr>
      </w:pPr>
    </w:p>
    <w:p>
      <w:pPr>
        <w:ind w:left="360" w:right="16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2011</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19"/>
                <w:szCs w:val="19"/>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Cash and Cash</w:t>
            </w: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Short-Term</w:t>
            </w: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Short-Term</w:t>
            </w:r>
          </w:p>
        </w:tc>
        <w:tc>
          <w:tcPr>
            <w:tcW w:w="1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34"/>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4,247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1,899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64"/>
        </w:trPr>
        <w:tc>
          <w:tcPr>
            <w:tcW w:w="3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Cost method investments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4,501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1,899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334</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1,319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57"/>
        </w:trPr>
        <w:tc>
          <w:tcPr>
            <w:tcW w:w="3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Amounts included in AOCI from</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(pre-tax)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Unrealized losses (pre-tax)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20"/>
        <w:spacing w:after="0" w:line="276" w:lineRule="auto"/>
        <w:rPr>
          <w:sz w:val="20"/>
          <w:szCs w:val="20"/>
          <w:color w:val="auto"/>
        </w:rPr>
      </w:pPr>
      <w:r>
        <w:rPr>
          <w:rFonts w:ascii="Arial" w:cs="Arial" w:eastAsia="Arial" w:hAnsi="Arial"/>
          <w:sz w:val="17"/>
          <w:szCs w:val="17"/>
          <w:color w:val="auto"/>
        </w:rPr>
        <w:t>As of June 30, 2011, and December 31, 2010, the majority of unrealized losses included in AOCI were associated with auction-rate securities classified as securities that are available-for-sale. We have determined that our available-for-sale investments with unrealized losses are not other-than-temporarily impaired as we expect to recover the entire cost basis of these securities and we do not intend to sell these investments, nor do we expect to be required to sell these investments before a recovery of the cost basis. In the second quarter of 2011, we recategorized certain auction-rate securities from an available-for-sale classification to a trading classification as we intend to sell them.</w:t>
      </w:r>
    </w:p>
    <w:p>
      <w:pPr>
        <w:spacing w:after="0" w:line="173" w:lineRule="exact"/>
        <w:rPr>
          <w:sz w:val="20"/>
          <w:szCs w:val="20"/>
          <w:color w:val="auto"/>
        </w:rPr>
      </w:pPr>
    </w:p>
    <w:p>
      <w:pPr>
        <w:ind w:left="340" w:right="420"/>
        <w:spacing w:after="0" w:line="342" w:lineRule="auto"/>
        <w:rPr>
          <w:sz w:val="20"/>
          <w:szCs w:val="20"/>
          <w:color w:val="auto"/>
        </w:rPr>
      </w:pPr>
      <w:r>
        <w:rPr>
          <w:rFonts w:ascii="Arial" w:cs="Arial" w:eastAsia="Arial" w:hAnsi="Arial"/>
          <w:sz w:val="16"/>
          <w:szCs w:val="16"/>
          <w:color w:val="auto"/>
        </w:rPr>
        <w:t>For the six months ended June 30, 2011 and 2010, the proceeds from sales, redemptions and maturities of short-term available-for-sale securities, excluding cash equivalents, were $1.62 billion and $1.80 billion, respectively. Gross realized gains and losses from these sales were not significant.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maturities of investments in money market funds and other debt securities classified as available-for-sale at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2011:</w:t>
      </w:r>
    </w:p>
    <w:p>
      <w:pPr>
        <w:spacing w:after="0" w:line="36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346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34"/>
        </w:trPr>
        <w:tc>
          <w:tcPr>
            <w:tcW w:w="7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0"/>
        </w:trPr>
        <w:tc>
          <w:tcPr>
            <w:tcW w:w="7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5,826</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to three years</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three years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w:t>
      </w:r>
    </w:p>
    <w:p>
      <w:pPr>
        <w:spacing w:after="0" w:line="90" w:lineRule="exact"/>
        <w:rPr>
          <w:sz w:val="20"/>
          <w:szCs w:val="20"/>
          <w:color w:val="auto"/>
        </w:rPr>
      </w:pPr>
    </w:p>
    <w:p>
      <w:pPr>
        <w:jc w:val="both"/>
        <w:ind w:left="340" w:right="140"/>
        <w:spacing w:after="0" w:line="264" w:lineRule="auto"/>
        <w:rPr>
          <w:sz w:val="20"/>
          <w:szCs w:val="20"/>
          <w:color w:val="auto"/>
        </w:rPr>
      </w:pPr>
      <w:r>
        <w:rPr>
          <w:rFonts w:ascii="Arial" w:cs="Arial" w:eastAsia="Arial" w:hAnsi="Arial"/>
          <w:sz w:val="18"/>
          <w:szCs w:val="18"/>
          <w:color w:val="auto"/>
        </w:rPr>
        <w:t>We measure and report our financial assets and certain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w:t>
      </w:r>
    </w:p>
    <w:p>
      <w:pPr>
        <w:sectPr>
          <w:pgSz w:w="11900" w:h="16838" w:orient="portrait"/>
          <w:cols w:equalWidth="0" w:num="1">
            <w:col w:w="11420"/>
          </w:cols>
          <w:pgMar w:left="240" w:top="28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83" w:right="239" w:bottom="1440" w:gutter="0" w:footer="0" w:header="0"/>
          <w:type w:val="continuous"/>
        </w:sectPr>
      </w:pPr>
    </w:p>
    <w:bookmarkStart w:id="10" w:name="page11"/>
    <w:bookmarkEnd w:id="10"/>
    <w:p>
      <w:pPr>
        <w:ind w:left="340"/>
        <w:spacing w:after="0"/>
        <w:rPr>
          <w:sz w:val="20"/>
          <w:szCs w:val="20"/>
          <w:color w:val="auto"/>
        </w:rPr>
      </w:pPr>
      <w:r>
        <w:rPr>
          <w:rFonts w:ascii="Arial" w:cs="Arial" w:eastAsia="Arial" w:hAnsi="Arial"/>
          <w:sz w:val="18"/>
          <w:szCs w:val="18"/>
          <w:color w:val="auto"/>
        </w:rPr>
        <w:t>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ind w:left="340" w:right="100"/>
        <w:spacing w:after="0" w:line="272"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some U.S. government agency securities and auction-rate securities that have been called for redemption. We utilize a third-party data service to provide Level 2 valuations, verifying these valuations for reasonableness relative to unadjusted quotes obtained from brokers or dealers based on observable prices for similar assets in active markets.</w:t>
      </w:r>
    </w:p>
    <w:p>
      <w:pPr>
        <w:spacing w:after="0" w:line="178" w:lineRule="exact"/>
        <w:rPr>
          <w:sz w:val="20"/>
          <w:szCs w:val="20"/>
          <w:color w:val="auto"/>
        </w:rPr>
      </w:pPr>
    </w:p>
    <w:p>
      <w:pPr>
        <w:ind w:left="340" w:right="40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Our auction-rate securities are primarily classified as Level 3 assets. Auction-rate securities are debt instruments with variable interest rates that historically would periodically reset through an auction process. These auctions have not functioned since 2008. There is no active secondary market for these securities, although limited observable transactions do occasionally occur. As a result,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 To date, we have collected all interest on all of our auction-rate securities when due and expect to continue to do so in the future.</w:t>
      </w:r>
    </w:p>
    <w:p>
      <w:pPr>
        <w:spacing w:after="0" w:line="173"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The following are our assets and liabilities that are accounted for at fair value on a recurring basis as of June 30, 2011 and December 31, 2010. These tables do not include cash on hand, assets held by our postretirement plans or assets and liabilities that are measured at historical cost or any basis other than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4"/>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5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434</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4,574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Auction-rate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84"/>
        </w:trPr>
        <w:tc>
          <w:tcPr>
            <w:tcW w:w="550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compensation</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0"/>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4"/>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5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Auction-rate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84"/>
        </w:trPr>
        <w:tc>
          <w:tcPr>
            <w:tcW w:w="550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5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1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liabilities above are a component of Accrued expenses and other liabilities or Deferred credits and other liabilities on our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changes in the fair values for Level 3 assets and liabilities.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Level 3</w:t>
            </w:r>
          </w:p>
        </w:tc>
        <w:tc>
          <w:tcPr>
            <w:tcW w:w="1500" w:type="dxa"/>
            <w:vAlign w:val="bottom"/>
          </w:tcPr>
          <w:p>
            <w:pPr>
              <w:spacing w:after="0"/>
              <w:rPr>
                <w:sz w:val="20"/>
                <w:szCs w:val="20"/>
                <w:color w:val="auto"/>
              </w:rPr>
            </w:pPr>
          </w:p>
        </w:tc>
      </w:tr>
      <w:tr>
        <w:trPr>
          <w:trHeight w:val="34"/>
        </w:trPr>
        <w:tc>
          <w:tcPr>
            <w:tcW w:w="76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5"/>
        </w:trPr>
        <w:tc>
          <w:tcPr>
            <w:tcW w:w="7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Contingent</w:t>
            </w:r>
          </w:p>
        </w:tc>
      </w:tr>
      <w:tr>
        <w:trPr>
          <w:trHeight w:val="275"/>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94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Auction-rate securities</w:t>
            </w:r>
          </w:p>
        </w:tc>
        <w:tc>
          <w:tcPr>
            <w:tcW w:w="320" w:type="dxa"/>
            <w:vAlign w:val="bottom"/>
          </w:tcPr>
          <w:p>
            <w:pPr>
              <w:spacing w:after="0"/>
              <w:rPr>
                <w:sz w:val="23"/>
                <w:szCs w:val="23"/>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consideration</w:t>
            </w:r>
          </w:p>
        </w:tc>
      </w:tr>
      <w:tr>
        <w:trPr>
          <w:trHeight w:val="264"/>
        </w:trPr>
        <w:tc>
          <w:tcPr>
            <w:tcW w:w="766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Beginning Balance, December 31, 2009</w:t>
            </w:r>
          </w:p>
        </w:tc>
        <w:tc>
          <w:tcPr>
            <w:tcW w:w="76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Reduction in unrealized loss - included in AOCI</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Redemptions</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Transfers into Level 2</w:t>
            </w: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 June 30, 2010</w:t>
            </w:r>
          </w:p>
        </w:tc>
        <w:tc>
          <w:tcPr>
            <w:tcW w:w="7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7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Reduction in unrealized loss - included in AOCI</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Redemptions</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Transfers into Level 2</w:t>
            </w: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 December 31, 2010</w:t>
            </w:r>
          </w:p>
        </w:tc>
        <w:tc>
          <w:tcPr>
            <w:tcW w:w="7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7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Reduction in unrealized loss - included in AOCI</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Redemptions and sales</w:t>
            </w:r>
          </w:p>
        </w:tc>
        <w:tc>
          <w:tcPr>
            <w:tcW w:w="7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64"/>
        </w:trPr>
        <w:tc>
          <w:tcPr>
            <w:tcW w:w="7660" w:type="dxa"/>
            <w:vAlign w:val="bottom"/>
          </w:tcPr>
          <w:p>
            <w:pPr>
              <w:ind w:left="180"/>
              <w:spacing w:after="0"/>
              <w:rPr>
                <w:sz w:val="20"/>
                <w:szCs w:val="20"/>
                <w:color w:val="auto"/>
              </w:rPr>
            </w:pPr>
            <w:r>
              <w:rPr>
                <w:rFonts w:ascii="Arial" w:cs="Arial" w:eastAsia="Arial" w:hAnsi="Arial"/>
                <w:sz w:val="18"/>
                <w:szCs w:val="18"/>
                <w:color w:val="auto"/>
              </w:rPr>
              <w:t>Ending Balance, June 30, 2011</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7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4260" w:hanging="5612"/>
        <w:spacing w:after="0" w:line="81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r>
        <w:rPr>
          <w:rFonts w:ascii="Arial" w:cs="Arial" w:eastAsia="Arial" w:hAnsi="Arial"/>
          <w:sz w:val="18"/>
          <w:szCs w:val="18"/>
          <w:color w:val="auto"/>
        </w:rPr>
        <w:t>. Components of net periodic employee benefit cost are as follows: 12</w:t>
      </w:r>
    </w:p>
    <w:p>
      <w:pPr>
        <w:sectPr>
          <w:pgSz w:w="11900" w:h="16838" w:orient="portrait"/>
          <w:cols w:equalWidth="0" w:num="1">
            <w:col w:w="11420"/>
          </w:cols>
          <w:pgMar w:left="240" w:top="28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1"/>
              </w:rPr>
              <w:t>U.S.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5"/>
              </w:rPr>
              <w:t>U.S.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Non-U.S.</w:t>
            </w:r>
          </w:p>
        </w:tc>
        <w:tc>
          <w:tcPr>
            <w:tcW w:w="7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08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0"/>
              </w:rPr>
              <w:t>Defined Benefit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Defined Benefit</w:t>
            </w:r>
          </w:p>
        </w:tc>
      </w:tr>
      <w:tr>
        <w:trPr>
          <w:trHeight w:val="34"/>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June 30,</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2010</w:t>
            </w:r>
          </w:p>
        </w:tc>
      </w:tr>
      <w:tr>
        <w:trPr>
          <w:trHeight w:val="271"/>
        </w:trPr>
        <w:tc>
          <w:tcPr>
            <w:tcW w:w="4000" w:type="dxa"/>
            <w:vAlign w:val="bottom"/>
            <w:tcBorders>
              <w:top w:val="single" w:sz="8" w:color="CCEEFF"/>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spacing w:after="0"/>
              <w:rPr>
                <w:sz w:val="23"/>
                <w:szCs w:val="23"/>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96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(11)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Recognized net actuarial loss</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77"/>
        </w:trPr>
        <w:tc>
          <w:tcPr>
            <w:tcW w:w="4000" w:type="dxa"/>
            <w:vAlign w:val="bottom"/>
            <w:tcBorders>
              <w:top w:val="single" w:sz="8" w:color="CCEEFF"/>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charges *</w:t>
            </w:r>
          </w:p>
        </w:tc>
        <w:tc>
          <w:tcPr>
            <w:tcW w:w="8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64"/>
        </w:trPr>
        <w:tc>
          <w:tcPr>
            <w:tcW w:w="4000" w:type="dxa"/>
            <w:vAlign w:val="bottom"/>
          </w:tcPr>
          <w:p>
            <w:pPr>
              <w:ind w:left="40"/>
              <w:spacing w:after="0"/>
              <w:rPr>
                <w:sz w:val="20"/>
                <w:szCs w:val="20"/>
                <w:color w:val="auto"/>
              </w:rPr>
            </w:pPr>
            <w:r>
              <w:rPr>
                <w:rFonts w:ascii="Arial" w:cs="Arial" w:eastAsia="Arial" w:hAnsi="Arial"/>
                <w:sz w:val="18"/>
                <w:szCs w:val="18"/>
                <w:color w:val="auto"/>
              </w:rPr>
              <w:t>Total, including charges</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63"/>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1"/>
              </w:rPr>
              <w:t>U.S.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5"/>
              </w:rPr>
              <w:t>U.S.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Non-U.S.</w:t>
            </w:r>
          </w:p>
        </w:tc>
        <w:tc>
          <w:tcPr>
            <w:tcW w:w="78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208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0"/>
              </w:rPr>
              <w:t>Defined Benefit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Defined Benefit</w:t>
            </w:r>
          </w:p>
        </w:tc>
      </w:tr>
      <w:tr>
        <w:trPr>
          <w:trHeight w:val="34"/>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six months ended June 30,</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2010</w:t>
            </w:r>
          </w:p>
        </w:tc>
      </w:tr>
      <w:tr>
        <w:trPr>
          <w:trHeight w:val="271"/>
        </w:trPr>
        <w:tc>
          <w:tcPr>
            <w:tcW w:w="4000" w:type="dxa"/>
            <w:vAlign w:val="bottom"/>
            <w:tcBorders>
              <w:top w:val="single" w:sz="8" w:color="CCEEFF"/>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spacing w:after="0"/>
              <w:rPr>
                <w:sz w:val="23"/>
                <w:szCs w:val="23"/>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96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(22)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(10)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Recognized net actuarial loss</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96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77"/>
        </w:trPr>
        <w:tc>
          <w:tcPr>
            <w:tcW w:w="4000" w:type="dxa"/>
            <w:vAlign w:val="bottom"/>
            <w:tcBorders>
              <w:top w:val="single" w:sz="8" w:color="CCEEFF"/>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charges *</w:t>
            </w:r>
          </w:p>
        </w:tc>
        <w:tc>
          <w:tcPr>
            <w:tcW w:w="8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64"/>
        </w:trPr>
        <w:tc>
          <w:tcPr>
            <w:tcW w:w="4000" w:type="dxa"/>
            <w:vAlign w:val="bottom"/>
          </w:tcPr>
          <w:p>
            <w:pPr>
              <w:ind w:left="40"/>
              <w:spacing w:after="0"/>
              <w:rPr>
                <w:sz w:val="20"/>
                <w:szCs w:val="20"/>
                <w:color w:val="auto"/>
              </w:rPr>
            </w:pPr>
            <w:r>
              <w:rPr>
                <w:rFonts w:ascii="Arial" w:cs="Arial" w:eastAsia="Arial" w:hAnsi="Arial"/>
                <w:sz w:val="18"/>
                <w:szCs w:val="18"/>
                <w:color w:val="auto"/>
              </w:rPr>
              <w:t>Total, including charges</w:t>
            </w:r>
          </w:p>
        </w:tc>
        <w:tc>
          <w:tcPr>
            <w:tcW w:w="800" w:type="dxa"/>
            <w:vAlign w:val="bottom"/>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96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4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restructuring and non-restructuring related settlement charges.</w:t>
      </w:r>
    </w:p>
    <w:p>
      <w:pPr>
        <w:spacing w:after="0" w:line="225" w:lineRule="exact"/>
        <w:rPr>
          <w:sz w:val="20"/>
          <w:szCs w:val="20"/>
          <w:color w:val="auto"/>
        </w:rPr>
      </w:pPr>
    </w:p>
    <w:p>
      <w:pPr>
        <w:ind w:left="340" w:right="2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81" w:lineRule="exact"/>
        <w:rPr>
          <w:rFonts w:ascii="Arial" w:cs="Arial" w:eastAsia="Arial" w:hAnsi="Arial"/>
          <w:sz w:val="18"/>
          <w:szCs w:val="18"/>
          <w:color w:val="auto"/>
        </w:rPr>
      </w:pPr>
    </w:p>
    <w:p>
      <w:pPr>
        <w:ind w:left="340" w:right="60"/>
        <w:spacing w:after="0" w:line="254"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192" w:lineRule="exact"/>
        <w:rPr>
          <w:rFonts w:ascii="Arial" w:cs="Arial" w:eastAsia="Arial" w:hAnsi="Arial"/>
          <w:sz w:val="18"/>
          <w:szCs w:val="18"/>
          <w:color w:val="auto"/>
        </w:rPr>
      </w:pPr>
    </w:p>
    <w:p>
      <w:pPr>
        <w:ind w:left="340" w:right="30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46" w:lineRule="exact"/>
        <w:rPr>
          <w:rFonts w:ascii="Arial" w:cs="Arial" w:eastAsia="Arial" w:hAnsi="Arial"/>
          <w:sz w:val="18"/>
          <w:szCs w:val="18"/>
          <w:color w:val="auto"/>
        </w:rPr>
      </w:pPr>
    </w:p>
    <w:p>
      <w:pPr>
        <w:ind w:left="340" w:right="6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Discontinued operations indemnity - </w:t>
      </w:r>
      <w:r>
        <w:rPr>
          <w:rFonts w:ascii="Arial" w:cs="Arial" w:eastAsia="Arial" w:hAnsi="Arial"/>
          <w:sz w:val="18"/>
          <w:szCs w:val="18"/>
          <w:color w:val="auto"/>
        </w:rPr>
        <w:t>In connection with the 2006 sale of the former Sensors &amp; Controls business, we have agreed to indemnify Sensata</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We have not made any indemnity payments related to this matter and do not expect that any potential payments related to this indemnity obligation would have a material adverse effect on our financial condition, results of operations or liquidity in future periods.</w:t>
      </w:r>
    </w:p>
    <w:p>
      <w:pPr>
        <w:spacing w:after="0" w:line="19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 xml:space="preserve">Acquisition reverse termination fee - </w:t>
      </w:r>
      <w:r>
        <w:rPr>
          <w:rFonts w:ascii="Arial" w:cs="Arial" w:eastAsia="Arial" w:hAnsi="Arial"/>
          <w:sz w:val="18"/>
          <w:szCs w:val="18"/>
          <w:color w:val="auto"/>
        </w:rPr>
        <w:t>In connection with our recently announced agreement to acquire National, if we</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2" w:right="239" w:bottom="1440" w:gutter="0" w:footer="0" w:header="0"/>
          <w:type w:val="continuous"/>
        </w:sectPr>
      </w:pPr>
    </w:p>
    <w:bookmarkStart w:id="13" w:name="page14"/>
    <w:bookmarkEnd w:id="13"/>
    <w:p>
      <w:pPr>
        <w:ind w:left="340" w:right="680"/>
        <w:spacing w:after="0" w:line="342" w:lineRule="auto"/>
        <w:rPr>
          <w:sz w:val="20"/>
          <w:szCs w:val="20"/>
          <w:color w:val="auto"/>
        </w:rPr>
      </w:pPr>
      <w:r>
        <w:rPr>
          <w:rFonts w:ascii="Arial" w:cs="Arial" w:eastAsia="Arial" w:hAnsi="Arial"/>
          <w:sz w:val="16"/>
          <w:szCs w:val="16"/>
          <w:color w:val="auto"/>
        </w:rPr>
        <w:t>are unable to close the transaction due to our inability to obtain the remaining regulatory approval, we may be required to pay National a reverse termination fee of $350 million. In addition, we would be required to redeem the fixed-rate portions of our long-term debt (see Note 3).</w:t>
      </w:r>
    </w:p>
    <w:p>
      <w:pPr>
        <w:spacing w:after="0" w:line="12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60" w:type="dxa"/>
            <w:vAlign w:val="bottom"/>
            <w:gridSpan w:val="6"/>
          </w:tcPr>
          <w:p>
            <w:pPr>
              <w:ind w:left="120"/>
              <w:spacing w:after="0"/>
              <w:rPr>
                <w:sz w:val="20"/>
                <w:szCs w:val="20"/>
                <w:color w:val="auto"/>
              </w:rPr>
            </w:pPr>
            <w:r>
              <w:rPr>
                <w:rFonts w:ascii="Arial" w:cs="Arial" w:eastAsia="Arial" w:hAnsi="Arial"/>
                <w:sz w:val="18"/>
                <w:szCs w:val="18"/>
                <w:b w:val="1"/>
                <w:bCs w:val="1"/>
                <w:color w:val="auto"/>
                <w:w w:val="97"/>
              </w:rPr>
              <w:t>For Three Months Ended June 30,</w:t>
            </w:r>
          </w:p>
        </w:tc>
        <w:tc>
          <w:tcPr>
            <w:tcW w:w="180" w:type="dxa"/>
            <w:vAlign w:val="bottom"/>
          </w:tcPr>
          <w:p>
            <w:pPr>
              <w:spacing w:after="0"/>
              <w:rPr>
                <w:sz w:val="20"/>
                <w:szCs w:val="20"/>
                <w:color w:val="auto"/>
              </w:rPr>
            </w:pPr>
          </w:p>
        </w:tc>
        <w:tc>
          <w:tcPr>
            <w:tcW w:w="26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For Six Months Ended June 30,</w:t>
            </w: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860" w:type="dxa"/>
            <w:vAlign w:val="bottom"/>
          </w:tcPr>
          <w:p>
            <w:pPr>
              <w:ind w:left="520"/>
              <w:spacing w:after="0"/>
              <w:rPr>
                <w:sz w:val="20"/>
                <w:szCs w:val="20"/>
                <w:color w:val="auto"/>
              </w:rPr>
            </w:pPr>
            <w:r>
              <w:rPr>
                <w:rFonts w:ascii="Arial" w:cs="Arial" w:eastAsia="Arial" w:hAnsi="Arial"/>
                <w:sz w:val="18"/>
                <w:szCs w:val="18"/>
                <w:b w:val="1"/>
                <w:bCs w:val="1"/>
                <w:color w:val="auto"/>
                <w:w w:val="79"/>
              </w:rPr>
              <w:t>2011</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Revenue</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1,588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3,123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Wireless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1,216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3,458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6,849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620" w:type="dxa"/>
            <w:vAlign w:val="bottom"/>
          </w:tcPr>
          <w:p>
            <w:pPr>
              <w:spacing w:after="0"/>
              <w:rPr>
                <w:sz w:val="24"/>
                <w:szCs w:val="24"/>
                <w:color w:val="auto"/>
              </w:rPr>
            </w:pPr>
          </w:p>
        </w:tc>
        <w:tc>
          <w:tcPr>
            <w:tcW w:w="2960" w:type="dxa"/>
            <w:vAlign w:val="bottom"/>
            <w:gridSpan w:val="6"/>
          </w:tcPr>
          <w:p>
            <w:pPr>
              <w:ind w:left="120"/>
              <w:spacing w:after="0"/>
              <w:rPr>
                <w:sz w:val="20"/>
                <w:szCs w:val="20"/>
                <w:color w:val="auto"/>
              </w:rPr>
            </w:pPr>
            <w:r>
              <w:rPr>
                <w:rFonts w:ascii="Arial" w:cs="Arial" w:eastAsia="Arial" w:hAnsi="Arial"/>
                <w:sz w:val="18"/>
                <w:szCs w:val="18"/>
                <w:b w:val="1"/>
                <w:bCs w:val="1"/>
                <w:color w:val="auto"/>
                <w:w w:val="97"/>
              </w:rPr>
              <w:t>For Three Months Ended June 30,</w:t>
            </w:r>
          </w:p>
        </w:tc>
        <w:tc>
          <w:tcPr>
            <w:tcW w:w="180" w:type="dxa"/>
            <w:vAlign w:val="bottom"/>
          </w:tcPr>
          <w:p>
            <w:pPr>
              <w:spacing w:after="0"/>
              <w:rPr>
                <w:sz w:val="24"/>
                <w:szCs w:val="24"/>
                <w:color w:val="auto"/>
              </w:rPr>
            </w:pPr>
          </w:p>
        </w:tc>
        <w:tc>
          <w:tcPr>
            <w:tcW w:w="26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For Six Months Ended June 30,</w:t>
            </w: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860" w:type="dxa"/>
            <w:vAlign w:val="bottom"/>
          </w:tcPr>
          <w:p>
            <w:pPr>
              <w:ind w:left="520"/>
              <w:spacing w:after="0"/>
              <w:rPr>
                <w:sz w:val="20"/>
                <w:szCs w:val="20"/>
                <w:color w:val="auto"/>
              </w:rPr>
            </w:pPr>
            <w:r>
              <w:rPr>
                <w:rFonts w:ascii="Arial" w:cs="Arial" w:eastAsia="Arial" w:hAnsi="Arial"/>
                <w:sz w:val="18"/>
                <w:szCs w:val="18"/>
                <w:b w:val="1"/>
                <w:bCs w:val="1"/>
                <w:color w:val="auto"/>
                <w:w w:val="79"/>
              </w:rPr>
              <w:t>2011</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Operating Profit</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864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Wireless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profit</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1,813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ind w:left="332" w:hanging="332"/>
        <w:spacing w:after="0" w:line="277" w:lineRule="auto"/>
        <w:tabs>
          <w:tab w:leader="none" w:pos="41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 On July 14, 2011, in anticipation of our pending acquisition of National, we issued an aggregate of $1.2 billion of commercial paper, which was supported by existing revolving credit facilities.</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12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were the world’s fourth largest semiconductor company in 2010 as measured by revenue, according to an external source. Additionally, we sell calculators and related products.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4, 2011, we announced that we had entered into an agreement to acquire National Semiconductor Corporation (“National”). Under the terms of the agreement, National stockholders will receive $25 in cash for each share of National common stock they hold at the time of closing. On June 21, 2011, National stockholders approved the adoption of the agreement. The acquisition has cleared all antitrust reviews with the exception of China, which is underway. We expect the transaction to close in the second half of 2011 and will fund the acquisition with a combination of available cash and the proceeds of debt issuances, including $3.5 billion of debt securities issued in the quarter. The National acquisition will bring to TI a portfolio of 12,000 analog products and strong customer design tools, and is consistent with our strategy to grow our Analog business. Upon the close of the transaction, National will become part of TI’s Analog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80,000 customers generated 43 percent of our revenue in 2010. According to external sources, the worldwide market for analog semiconductors was about $42 billion in 2010. Our Analog segment’s revenue in 2010 was about $6 billion, or about 14 percent of this fragmented market, the leading position. We believe that we are well positioned to increase our market share over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Analog product lines are: high-volume analog &amp; logic, high-performance analog and power management.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electronics products. Logic and standard linear includes commodity products marketed to many different customers for many different applications.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nearly 16,000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15 percent of our revenue in 2010. According to external sources, the worldwide market for embedded processors was about $18 billion in</w:t>
      </w:r>
    </w:p>
    <w:p>
      <w:pPr>
        <w:ind w:right="300"/>
        <w:spacing w:after="0" w:line="261" w:lineRule="auto"/>
        <w:rPr>
          <w:sz w:val="20"/>
          <w:szCs w:val="20"/>
          <w:color w:val="auto"/>
        </w:rPr>
      </w:pPr>
      <w:r>
        <w:rPr>
          <w:rFonts w:ascii="Arial" w:cs="Arial" w:eastAsia="Arial" w:hAnsi="Arial"/>
          <w:sz w:val="18"/>
          <w:szCs w:val="18"/>
          <w:color w:val="auto"/>
        </w:rPr>
        <w:t>2010. Our Embedded Processing segment’s revenue in 2010 was about $2 billion, or about 11 percent of this fragmented market. We believe we are well positioned to increase our market share over time.</w:t>
      </w:r>
    </w:p>
    <w:p>
      <w:pPr>
        <w:spacing w:after="0" w:line="18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Growth in the wireless market is being driven by the demand for smartphones, tablet computers and other emerging portable devices. Many of today’s smartphones and tablets use an applications processor to run the device’s software operating system and to enable the expanding functionality that has made smartphones the fastest growing wireless segment. Smartphones and tablets also use other semiconductors to enable connectivity through means other than the cellular network (such as Bluetooth® devices, WiFi networks, GPS location services, and Near Field Communication (NFC)).</w:t>
      </w:r>
    </w:p>
    <w:p>
      <w:pPr>
        <w:spacing w:after="0" w:line="15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and our Wireless portfolio includes both standard products and custom products. Sales of Wireless products generated about $3 billion, or 21 percent of our revenue, in 2010, with a significant portion of those sales to a single customer.</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Wireless investments are concentrated on our connectivity products and OMAP applications processors, areas we believe offer significant growth opportunities and which will enable us to take advantage of the increasing demand for more powerful and more functional mobile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$1.7 billion in 2010, to cease by the end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entered into in connection with acquisitions and divestitures.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and custom semiconductors known as application-specific integrated circuits (ASICs). This segment generated about $3 billion, or 21 percent of our revenue, in 2010.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supplement our internal wafer fabrication capacity and maximize our responsiveness to customer demand and return on capital, our wafer manufacturing strategy utilizes the capacity of outside suppliers, commonly known as foundries. We source about 25 percent of our wafers from external foundries, with the vast majority of this outsourcing being for advanced logic wafers. In 2010, external foundries provided 60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2011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revenue was $3.46 billion, net income was $672 million and earnings per share (EPS) were 56 cents.</w:t>
      </w:r>
    </w:p>
    <w:p>
      <w:pPr>
        <w:spacing w:after="0" w:line="225"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are pleased with the continued success of our portfolio in Analog and Embedded Processing. Sequential revenue growth was driven by Embedded Processing up 12 percent and Analog up 3 percent, resulting in market share gains in both segments. In the quarter, we also resumed production ahead of schedule at our Japan factories that were damaged in the March 2011 earthquake, thanks to excellent work by our teams on the ground.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growth in the third quarter, but because of mixed macroeconomic and market signals we are prepared for a broader-than-normal range of growth possibilities. We note that production at some computing and consumer manufacturers appears lukewarm even though we are heading into the back-to-school and holiday seasons. At the same time, Asian distributor resales have been strong, demand from our Japanese customers is increasing and our backlog increased in the second quarter. We have planned for modest sequential growth in the third quarter, yet are prepared to support higher demand if it materializes.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jc w:val="center"/>
        <w:ind w:right="-23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144" w:lineRule="exact"/>
        <w:rPr>
          <w:sz w:val="20"/>
          <w:szCs w:val="20"/>
          <w:color w:val="auto"/>
        </w:rPr>
      </w:pPr>
    </w:p>
    <w:tbl>
      <w:tblPr>
        <w:tblLayout w:type="fixed"/>
        <w:tblInd w:w="1040" w:type="dxa"/>
        <w:tblCellMar>
          <w:top w:w="0" w:type="dxa"/>
          <w:left w:w="0" w:type="dxa"/>
          <w:bottom w:w="0" w:type="dxa"/>
          <w:right w:w="0" w:type="dxa"/>
        </w:tblCellMar>
      </w:tblPr>
      <w:tr>
        <w:trPr>
          <w:trHeight w:val="264"/>
        </w:trPr>
        <w:tc>
          <w:tcPr>
            <w:tcW w:w="50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4000" w:type="dxa"/>
            <w:vAlign w:val="bottom"/>
            <w:tcBorders>
              <w:bottom w:val="single" w:sz="8" w:color="auto"/>
            </w:tcBorders>
            <w:gridSpan w:val="7"/>
            <w:shd w:val="clear" w:color="auto" w:fill="CCEEFF"/>
          </w:tcPr>
          <w:p>
            <w:pPr>
              <w:jc w:val="center"/>
              <w:ind w:right="270"/>
              <w:spacing w:after="0"/>
              <w:rPr>
                <w:sz w:val="20"/>
                <w:szCs w:val="20"/>
                <w:color w:val="auto"/>
              </w:rPr>
            </w:pPr>
            <w:r>
              <w:rPr>
                <w:rFonts w:ascii="Arial" w:cs="Arial" w:eastAsia="Arial" w:hAnsi="Arial"/>
                <w:sz w:val="18"/>
                <w:szCs w:val="18"/>
                <w:b w:val="1"/>
                <w:bCs w:val="1"/>
                <w:color w:val="auto"/>
                <w:w w:val="92"/>
              </w:rPr>
              <w:t>For Three Months Ended</w:t>
            </w:r>
          </w:p>
        </w:tc>
      </w:tr>
      <w:tr>
        <w:trPr>
          <w:trHeight w:val="324"/>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5"/>
        </w:trPr>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June 30,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5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June 30, 2010</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2"/>
              </w:rPr>
              <w:t>Mar. 31, 2011</w:t>
            </w:r>
          </w:p>
        </w:tc>
      </w:tr>
      <w:tr>
        <w:trPr>
          <w:trHeight w:val="291"/>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3,458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3,392</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1,705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1,664</w:t>
            </w:r>
          </w:p>
        </w:tc>
      </w:tr>
      <w:tr>
        <w:trPr>
          <w:trHeight w:val="27"/>
        </w:trPr>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1,728</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4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424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422</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396</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 cost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908</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24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918</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237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252</w:t>
            </w:r>
          </w:p>
        </w:tc>
      </w:tr>
      <w:tr>
        <w:trPr>
          <w:trHeight w:val="27"/>
        </w:trPr>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666</w:t>
            </w: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65"/>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304"/>
        </w:trPr>
        <w:tc>
          <w:tcPr>
            <w:tcW w:w="5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0.57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0.56</w:t>
            </w:r>
          </w:p>
        </w:tc>
      </w:tr>
      <w:tr>
        <w:trPr>
          <w:trHeight w:val="251"/>
        </w:trPr>
        <w:tc>
          <w:tcPr>
            <w:tcW w:w="5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0.55</w:t>
            </w: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65"/>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304"/>
        </w:trPr>
        <w:tc>
          <w:tcPr>
            <w:tcW w:w="5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1,156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1,167</w:t>
            </w:r>
          </w:p>
        </w:tc>
      </w:tr>
      <w:tr>
        <w:trPr>
          <w:trHeight w:val="251"/>
        </w:trPr>
        <w:tc>
          <w:tcPr>
            <w:tcW w:w="5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1,194</w:t>
            </w: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25"/>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0.13</w:t>
            </w: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25"/>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5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from earnings per common share was $10 million, $11 million and $10 million for the quarters ending June 30, 2011, June 30, 2010 and March 31, 2011.</w:t>
      </w: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553"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for the second quarter of 2011 was $3.46 billion, about even with the year-ago quarter, and an increase of $66 million, or 2 percent, from the prior quarter. Revenue from our core businesses, consisting of Analog and Embedded Processing and the part of our Wireless segment that is focused on smartphones and tablet computers, increased over both the year-ago quarter and the prior quarter primarily due to increased shipments across a broad range of products. Also contributing to our revenue increase from the prior quarter was the seasonal increase in calculator sales as retailers prepare for the back-to-school selling season. However, revenue was negatively impacted compared with both the year-ago quarter and the prior quarter primarily due to lower shipments to a single large wireless customer.</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Gross profit for the second quarter of 2011 was $1.75 billion, or 50.7 percent of revenue, a decrease of $141 million, or 7 percent, from the year-ago quarter. The decrease in gross profit from the year-ago quarter was primarily due to a combination of, in decreasing order, the impact of the earthquake in Japan, lower utilization of our fixed-cost manufacturing assets and lower revenue. Compared with the prior quarter, gross profit was about even as increased revenue was partially offset by the impact of lower utilization and the earthquake in Japan. Included in the results for the second quarter of 2011 were about $50 million of costs resulting from the earthquake in Japan, net of proceeds from ongoing insurance claims. These costs are included in the Other segment. See Note 2 to the Financial Statements for more details.</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Operating expenses for the second quarter of 2011 were $424 million for R&amp;D and $411 million for SG&amp;A. R&amp;D expense increased $32 million, or 8 percent, from the year-ago quarter due to higher product development costs, particularly for our core businesses and, to a lesser extent, higher compensation-related costs. Compared with the prior quarter, R&amp;D expense was about even. SG&amp;A expense increased $33 million, or 9 percent, from the year-ago quarter, due to higher compensation-related costs and, to a lesser extent, increased investments in sales and marketing activities. Compared with the prior quarter, SG&amp;A expense increased $15 million, or 4 percent, primarily due to increased investments in sales and marketing activities.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second quarter of 2011, we incurred $13 million of acquisition-related transaction costs associated with the pending acquisition of National. This compares with $2 million incurred in the prior quarter. These costs are included in the Other segment. In May 2011, we issued $3.5 billion principal amount of long-term debt in connection with this pending acquisition, which resulted in $6 million of interest and debt expense for the quarter. See Note 3 to Financial Statements for details regarding the debt issuance.</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second quarter of 2011, our operating profit was $905 million, or 26.2 percent of revenue, compared with $1.11 billion, or 31.7 percent of revenue, for the year-ago quarter and $908 million, or 26.8 percent of revenue, for the prior quarter. The decrease from the year-ago quarter was due to lower gross profit and higher operating expenses. Compared with the prior quarter, operating profit was about even as profit from higher revenue was offset by lower factory utilization and increases in costs related to the earthquake in Japan, operating expenses and acquisition-related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2011, our estimated annual effective tax rate for 2011 is about 27 percent. See Note 4 to the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For the second quarter of 2011, our tax provision was $237 million compared with $342 million in the year-ago quarter and $252 million in the prior quarter. The decreases in the tax provision from both the year-ago quarter and the prior quarter were primarily due to lower income before income taxes.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2011, our net income was $672 million compared with $769 million for the year-ago quarter and $666 million for the prior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EPS was $0.56 compared with $0.62 for the year-ago quarter and $0.55 for the prior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Orders in the second quarter were $3.60 billion, a decrease of 3 percent from the year-ago quarter and about even with the prior quarter.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383" w:lineRule="exact"/>
        <w:rPr>
          <w:sz w:val="20"/>
          <w:szCs w:val="20"/>
          <w:color w:val="auto"/>
        </w:rPr>
      </w:pPr>
    </w:p>
    <w:tbl>
      <w:tblPr>
        <w:tblLayout w:type="fixed"/>
        <w:tblInd w:w="420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2Q11</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vs.</w:t>
            </w:r>
          </w:p>
        </w:tc>
        <w:tc>
          <w:tcPr>
            <w:tcW w:w="1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2Q11</w:t>
            </w: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rPr>
              <w:t>2Q10</w:t>
            </w: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2Q10</w:t>
            </w:r>
          </w:p>
        </w:tc>
        <w:tc>
          <w:tcPr>
            <w:tcW w:w="1700" w:type="dxa"/>
            <w:vAlign w:val="bottom"/>
          </w:tcPr>
          <w:p>
            <w:pPr>
              <w:ind w:left="700"/>
              <w:spacing w:after="0"/>
              <w:rPr>
                <w:sz w:val="20"/>
                <w:szCs w:val="20"/>
                <w:color w:val="auto"/>
              </w:rPr>
            </w:pPr>
            <w:r>
              <w:rPr>
                <w:rFonts w:ascii="Arial" w:cs="Arial" w:eastAsia="Arial" w:hAnsi="Arial"/>
                <w:sz w:val="18"/>
                <w:szCs w:val="18"/>
                <w:b w:val="1"/>
                <w:bCs w:val="1"/>
                <w:color w:val="auto"/>
              </w:rPr>
              <w:t>1Q11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vs. 1Q11</w:t>
            </w:r>
          </w:p>
        </w:tc>
      </w:tr>
    </w:tbl>
    <w:p>
      <w:pPr>
        <w:spacing w:after="0" w:line="7" w:lineRule="exact"/>
        <w:rPr>
          <w:sz w:val="20"/>
          <w:szCs w:val="20"/>
          <w:color w:val="auto"/>
        </w:rPr>
      </w:pPr>
    </w:p>
    <w:tbl>
      <w:tblPr>
        <w:tblLayout w:type="fixed"/>
        <w:tblInd w:w="380" w:type="dxa"/>
        <w:tblCellMar>
          <w:top w:w="0" w:type="dxa"/>
          <w:left w:w="0" w:type="dxa"/>
          <w:bottom w:w="0" w:type="dxa"/>
          <w:right w:w="0" w:type="dxa"/>
        </w:tblCellMar>
      </w:tblPr>
      <w:tr>
        <w:trPr>
          <w:trHeight w:val="264"/>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1,588</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-5 %</w:t>
            </w:r>
          </w:p>
        </w:tc>
        <w:tc>
          <w:tcPr>
            <w:tcW w:w="66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446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-6 %</w:t>
            </w: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w:t>
            </w: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5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r>
      <w:tr>
        <w:trPr>
          <w:trHeight w:val="27"/>
        </w:trPr>
        <w:tc>
          <w:tcPr>
            <w:tcW w:w="3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Analog revenue increased 5 percent from the year-ago quarter due about equally to increased shipments of high-performance analog products and power management products. Revenue increased 3 percent from the prior quarter due to increased shipments of power management products and, to a lesser extent, high-performance analog products. Revenue from high-volume analog &amp; logic products was about even in both comparisons. Operating profit decreased compared with the year-ago quarter due to higher operating expenses and higher manufacturing costs resulting from capacity additions. Operating profit increased compared with the prior quarter primarily due to higher revenue and associated gross profit.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c>
          <w:tcPr>
            <w:tcW w:w="38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vs. 2Q10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vs. 1Q11</w:t>
            </w:r>
          </w:p>
        </w:tc>
        <w:tc>
          <w:tcPr>
            <w:tcW w:w="380" w:type="dxa"/>
            <w:vAlign w:val="bottom"/>
          </w:tcPr>
          <w:p>
            <w:pPr>
              <w:spacing w:after="0"/>
              <w:rPr>
                <w:sz w:val="20"/>
                <w:szCs w:val="20"/>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9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Embedded Processing revenue increased 16 percent from the year-ago quarter and 12 percent from the prior quarter, primarily due to increased shipments of products sold into communications infrastructure applications. Revenue from increased shipments of catalog products and products sold into automotive applications also increased in each comparison, but to a lesser extent. Operating profit increased in both comparisons due to higher revenue and associated gross profit.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383" w:lineRule="exact"/>
        <w:rPr>
          <w:sz w:val="20"/>
          <w:szCs w:val="20"/>
          <w:color w:val="auto"/>
        </w:rPr>
      </w:pPr>
    </w:p>
    <w:tbl>
      <w:tblPr>
        <w:tblLayout w:type="fixed"/>
        <w:tblInd w:w="370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2Q11</w:t>
            </w:r>
          </w:p>
        </w:tc>
        <w:tc>
          <w:tcPr>
            <w:tcW w:w="1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r>
      <w:tr>
        <w:trPr>
          <w:trHeight w:val="216"/>
        </w:trPr>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vs.</w:t>
            </w:r>
          </w:p>
        </w:tc>
        <w:tc>
          <w:tcPr>
            <w:tcW w:w="1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vs.</w:t>
            </w:r>
          </w:p>
        </w:tc>
      </w:t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2Q11</w:t>
            </w:r>
          </w:p>
        </w:tc>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2Q10</w:t>
            </w: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2Q10</w:t>
            </w:r>
          </w:p>
        </w:tc>
        <w:tc>
          <w:tcPr>
            <w:tcW w:w="1680" w:type="dxa"/>
            <w:vAlign w:val="bottom"/>
          </w:tcPr>
          <w:p>
            <w:pPr>
              <w:ind w:left="660"/>
              <w:spacing w:after="0"/>
              <w:rPr>
                <w:sz w:val="20"/>
                <w:szCs w:val="20"/>
                <w:color w:val="auto"/>
              </w:rPr>
            </w:pPr>
            <w:r>
              <w:rPr>
                <w:rFonts w:ascii="Arial" w:cs="Arial" w:eastAsia="Arial" w:hAnsi="Arial"/>
                <w:sz w:val="18"/>
                <w:szCs w:val="18"/>
                <w:b w:val="1"/>
                <w:bCs w:val="1"/>
                <w:color w:val="auto"/>
              </w:rPr>
              <w:t>1Q11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1Q11</w:t>
            </w:r>
          </w:p>
        </w:tc>
      </w:tr>
    </w:tbl>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-23 %</w:t>
            </w:r>
          </w:p>
        </w:tc>
        <w:tc>
          <w:tcPr>
            <w:tcW w:w="60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3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-15 %</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-50 %</w:t>
            </w: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-42 %</w:t>
            </w:r>
          </w:p>
        </w:tc>
      </w:tr>
      <w:tr>
        <w:trPr>
          <w:trHeight w:val="27"/>
        </w:trPr>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3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Wireless revenue for the second quarter of 2011 was negatively impacted by lower demand from a single large customer across the various products we sell to that customer, but primarily baseband products. Wireless revenue decreased 23 percent from the year-ago quarter and 15 percent from the prior quarter due to decreased shipments of baseband products. Baseband revenue for the second quarter of 2011 was $228 million, a decrease of $189 million, or 45 percent, from the year-ago quarter and $107 million, or 32 percent, from the prior quarter. Partially offsetting this decrease in both comparisons was increased revenue from a greater proportion of shipments of higher-priced applications processor products. Revenue from connectivity products increased, to a lesser extent, compared with the year-ago period due to a greater proportion of shipments of higher-priced products. Revenue from connectivity products decreased from the prior quarter due to lower shipments. The decrease in Wireless operating profit in both comparisons was primarily due to lower revenue and associated gross profit.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4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2Q11</w:t>
            </w:r>
          </w:p>
        </w:tc>
        <w:tc>
          <w:tcPr>
            <w:tcW w:w="17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r>
      <w:tr>
        <w:trPr>
          <w:trHeight w:val="216"/>
        </w:trPr>
        <w:tc>
          <w:tcPr>
            <w:tcW w:w="4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vs.</w:t>
            </w:r>
          </w:p>
        </w:tc>
        <w:tc>
          <w:tcPr>
            <w:tcW w:w="1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vs.</w:t>
            </w:r>
          </w:p>
        </w:tc>
      </w:tr>
      <w:tr>
        <w:trPr>
          <w:trHeight w:val="234"/>
        </w:trPr>
        <w:tc>
          <w:tcPr>
            <w:tcW w:w="4760" w:type="dxa"/>
            <w:vAlign w:val="bottom"/>
          </w:tcPr>
          <w:p>
            <w:pPr>
              <w:ind w:left="3800"/>
              <w:spacing w:after="0"/>
              <w:rPr>
                <w:sz w:val="20"/>
                <w:szCs w:val="20"/>
                <w:color w:val="auto"/>
              </w:rPr>
            </w:pPr>
            <w:r>
              <w:rPr>
                <w:rFonts w:ascii="Arial" w:cs="Arial" w:eastAsia="Arial" w:hAnsi="Arial"/>
                <w:sz w:val="18"/>
                <w:szCs w:val="18"/>
                <w:b w:val="1"/>
                <w:bCs w:val="1"/>
                <w:color w:val="auto"/>
              </w:rPr>
              <w:t>2Q11</w:t>
            </w:r>
          </w:p>
        </w:tc>
        <w:tc>
          <w:tcPr>
            <w:tcW w:w="1280" w:type="dxa"/>
            <w:vAlign w:val="bottom"/>
          </w:tcPr>
          <w:p>
            <w:pPr>
              <w:ind w:left="580"/>
              <w:spacing w:after="0"/>
              <w:rPr>
                <w:sz w:val="20"/>
                <w:szCs w:val="20"/>
                <w:color w:val="auto"/>
              </w:rPr>
            </w:pPr>
            <w:r>
              <w:rPr>
                <w:rFonts w:ascii="Arial" w:cs="Arial" w:eastAsia="Arial" w:hAnsi="Arial"/>
                <w:sz w:val="18"/>
                <w:szCs w:val="18"/>
                <w:b w:val="1"/>
                <w:bCs w:val="1"/>
                <w:color w:val="auto"/>
              </w:rPr>
              <w:t>2Q10</w:t>
            </w: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2Q10</w:t>
            </w:r>
          </w:p>
        </w:tc>
        <w:tc>
          <w:tcPr>
            <w:tcW w:w="1720" w:type="dxa"/>
            <w:vAlign w:val="bottom"/>
          </w:tcPr>
          <w:p>
            <w:pPr>
              <w:ind w:left="680"/>
              <w:spacing w:after="0"/>
              <w:rPr>
                <w:sz w:val="20"/>
                <w:szCs w:val="20"/>
                <w:color w:val="auto"/>
              </w:rPr>
            </w:pPr>
            <w:r>
              <w:rPr>
                <w:rFonts w:ascii="Arial" w:cs="Arial" w:eastAsia="Arial" w:hAnsi="Arial"/>
                <w:sz w:val="18"/>
                <w:szCs w:val="18"/>
                <w:b w:val="1"/>
                <w:bCs w:val="1"/>
                <w:color w:val="auto"/>
              </w:rPr>
              <w:t>1Q11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1Q11</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-3 %</w:t>
            </w:r>
          </w:p>
        </w:tc>
        <w:tc>
          <w:tcPr>
            <w:tcW w:w="64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-34 %</w:t>
            </w:r>
          </w:p>
        </w:tc>
        <w:tc>
          <w:tcPr>
            <w:tcW w:w="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6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r>
      <w:tr>
        <w:trPr>
          <w:trHeight w:val="27"/>
        </w:trPr>
        <w:tc>
          <w:tcPr>
            <w:tcW w:w="3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*Includes costs resulting from the earthquake in Japan of about $50 million in the second quarter of 2011 and about $30 million in the first quarter of 2011, and acquisition-related costs of $13 million in the second quarter of 2011 and $2 million in the first quarter of 2011.</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Other revenue decreased 3 percent from the year-ago quarter, primarily due to, in decreasing order, lower shipments of DLP products, lower royalties and the sale of a cable modem product line in the fourth quarter of 2010. These declines were partially offset by increased revenue from transitional supply agreements and increased shipments of calculators and custom ASIC products. Compared with the prior quarter, revenue increased 8 percent due to increased shipments of calculators, which was partially offset by lower revenue from DLP and custom ASIC products. Calculator shipments increased seasonally as retailers prepared for the back-to-school selling season. Operating profit for the second quarter of 2011 decreased from the year-ago quarter primarily due to the costs resulting from the earthquake in Japan and, to a lesser extent, lower revenue and associated gross profit. Operating profit decreased from the prior quarter due to the higher costs resulting from the earthquake in Japan and, to a lesser extent, higher acquisition-related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of 2011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2011, we report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was $6.85 billion, an increase of $148 million, or 2 percent, compared with the year-ago period due to increased shipments in our core businesses.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baseband products in the Wireless segment decreased $278 million from the year-ago period due to lower shipments.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was $3.48 billion, a decrease of $103 million, or 3 percent, from the year-ago period due to the impact of the earthquake in Japan and, to a lesser extent, increased manufacturing costs resulting from capacity additions. Gross profit margin was 50.8 percent of revenue compared with 53.5 percent in the year-ago period.</w:t>
      </w:r>
    </w:p>
    <w:p>
      <w:pPr>
        <w:spacing w:after="0" w:line="18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R&amp;D expense of $846 million increased 11 percent from the year-ago period due to higher product development costs and, to a lesser extent, higher compensation-related costs. R&amp;D expense as a percent of revenue was 12.4 percent compared with 11.4 percent in the year-ago period.</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SG&amp;A expense was $806 million, an increase of 9 percent from the year-ago period, primarily due to higher compensation-related costs, and to a lesser extent, increased investments in sales and marketing activities. SG&amp;A expense as a percent of revenue was 11.8 percent compared with 11.0 percent in the year-ago period.</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were no restructuring expenses for the first six months of 2011, compared with $28 million in the year-ago period. Acquisition-related expenses associated with the pending acquisition of National were $15 million in the first six months of 2011.</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profit was $1.81 billion, or 26.5 percent of revenue, compared with $2.06 billion, or 30.7 percent of revenue, in the year-ago period. The decrease was due to higher operating expenses and, to a lesser extent, lower gross profit.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tax provision was $488 million compared with $641 million in the year-ago period. The decrease was due to lower income before income taxes and, to a lesser extent, the effects of non-U.S. tax rates and the reinstatement of the federal research tax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$1.34 billion compared with $1.43 billion in the year-ago period. EPS was $1.11 compared with $1.14 in the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Orders were $7.18 billion, a decrease of 3 percent from the year-ago period.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Segment results</w:t>
            </w:r>
          </w:p>
        </w:tc>
        <w:tc>
          <w:tcPr>
            <w:tcW w:w="5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53"/>
        </w:trPr>
        <w:tc>
          <w:tcPr>
            <w:tcW w:w="6400" w:type="dxa"/>
            <w:vAlign w:val="bottom"/>
            <w:gridSpan w:val="3"/>
          </w:tcPr>
          <w:p>
            <w:pPr>
              <w:spacing w:after="0"/>
              <w:rPr>
                <w:sz w:val="20"/>
                <w:szCs w:val="20"/>
                <w:color w:val="auto"/>
              </w:rPr>
            </w:pPr>
            <w:r>
              <w:rPr>
                <w:rFonts w:ascii="Arial" w:cs="Arial" w:eastAsia="Arial" w:hAnsi="Arial"/>
                <w:sz w:val="18"/>
                <w:szCs w:val="18"/>
                <w:i w:val="1"/>
                <w:iCs w:val="1"/>
                <w:color w:val="auto"/>
              </w:rPr>
              <w:t>Analog</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0"/>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YTD 2011</w:t>
            </w:r>
          </w:p>
        </w:tc>
        <w:tc>
          <w:tcPr>
            <w:tcW w:w="3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YTD</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YTD</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vs.</w:t>
            </w:r>
          </w:p>
        </w:tc>
        <w:tc>
          <w:tcPr>
            <w:tcW w:w="32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YTD 2010</w:t>
            </w:r>
          </w:p>
        </w:tc>
        <w:tc>
          <w:tcPr>
            <w:tcW w:w="320" w:type="dxa"/>
            <w:vAlign w:val="bottom"/>
          </w:tcPr>
          <w:p>
            <w:pPr>
              <w:spacing w:after="0"/>
              <w:rPr>
                <w:sz w:val="20"/>
                <w:szCs w:val="20"/>
                <w:color w:val="auto"/>
              </w:rPr>
            </w:pPr>
          </w:p>
        </w:tc>
      </w:tr>
      <w:tr>
        <w:trPr>
          <w:trHeight w:val="27"/>
        </w:trPr>
        <w:tc>
          <w:tcPr>
            <w:tcW w:w="26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3,123</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2,880</w:t>
            </w:r>
          </w:p>
        </w:tc>
        <w:tc>
          <w:tcPr>
            <w:tcW w:w="1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r>
      <w:tr>
        <w:trPr>
          <w:trHeight w:val="243"/>
        </w:trPr>
        <w:tc>
          <w:tcPr>
            <w:tcW w:w="26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864</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871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r>
      <w:tr>
        <w:trPr>
          <w:trHeight w:val="27"/>
        </w:trPr>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260" w:type="dxa"/>
            <w:vAlign w:val="bottom"/>
          </w:tcPr>
          <w:p>
            <w:pPr>
              <w:spacing w:after="0"/>
              <w:rPr>
                <w:sz w:val="21"/>
                <w:szCs w:val="21"/>
                <w:color w:val="auto"/>
              </w:rPr>
            </w:pP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Analog revenue increased 8 percent from the year-ago period due to increased shipments of, in decreasing order, high-performance analog products, power management products and high-volume analog &amp; logic products. For the first six months of 2011, operating profit was about even compared with the year-ago period, as profit from increased revenue was offset by increased investments and manufacturing costs, primarily resulting from capacity additions.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2011</w:t>
            </w:r>
          </w:p>
        </w:tc>
        <w:tc>
          <w:tcPr>
            <w:tcW w:w="32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YTD</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YTD</w:t>
            </w: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vs.</w:t>
            </w:r>
          </w:p>
        </w:tc>
        <w:tc>
          <w:tcPr>
            <w:tcW w:w="32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2010</w:t>
            </w:r>
          </w:p>
        </w:tc>
        <w:tc>
          <w:tcPr>
            <w:tcW w:w="32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1,129</w:t>
            </w: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1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43"/>
        </w:trPr>
        <w:tc>
          <w:tcPr>
            <w:tcW w:w="140" w:type="dxa"/>
            <w:vAlign w:val="bottom"/>
          </w:tcPr>
          <w:p>
            <w:pPr>
              <w:spacing w:after="0"/>
              <w:rPr>
                <w:sz w:val="21"/>
                <w:szCs w:val="21"/>
                <w:color w:val="auto"/>
              </w:rPr>
            </w:pPr>
          </w:p>
        </w:tc>
        <w:tc>
          <w:tcPr>
            <w:tcW w:w="60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243</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7"/>
        </w:trPr>
        <w:tc>
          <w:tcPr>
            <w:tcW w:w="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Embedded Processing revenue increased 18 percent from the year-ago period due to increased shipments of, in decreasing order, communications infrastructure products, catalog products and products sold into automotive applications. Compared with the year ago-period, operating profit increased 29 percent due to higher revenue and associated gross profit.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60"/>
        </w:trPr>
        <w:tc>
          <w:tcPr>
            <w:tcW w:w="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YTD</w:t>
            </w:r>
          </w:p>
        </w:tc>
      </w:tr>
      <w:tr>
        <w:trPr>
          <w:trHeight w:val="216"/>
        </w:trPr>
        <w:tc>
          <w:tcPr>
            <w:tcW w:w="3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vs.</w:t>
            </w:r>
          </w:p>
        </w:tc>
      </w:tr>
      <w:tr>
        <w:trPr>
          <w:trHeight w:val="216"/>
        </w:trPr>
        <w:tc>
          <w:tcPr>
            <w:tcW w:w="3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YTD</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YTD</w:t>
            </w:r>
          </w:p>
        </w:tc>
        <w:tc>
          <w:tcPr>
            <w:tcW w:w="320" w:type="dxa"/>
            <w:vAlign w:val="bottom"/>
          </w:tcPr>
          <w:p>
            <w:pPr>
              <w:spacing w:after="0"/>
              <w:rPr>
                <w:sz w:val="18"/>
                <w:szCs w:val="18"/>
                <w:color w:val="auto"/>
              </w:rPr>
            </w:pPr>
          </w:p>
        </w:tc>
        <w:tc>
          <w:tcPr>
            <w:tcW w:w="166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YTD</w:t>
            </w:r>
          </w:p>
        </w:tc>
      </w:tr>
      <w:tr>
        <w:trPr>
          <w:trHeight w:val="234"/>
        </w:trPr>
        <w:tc>
          <w:tcPr>
            <w:tcW w:w="3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16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r>
      <w:tr>
        <w:trPr>
          <w:trHeight w:val="244"/>
        </w:trPr>
        <w:tc>
          <w:tcPr>
            <w:tcW w:w="36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1,216</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1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-16 %</w:t>
            </w:r>
          </w:p>
        </w:tc>
      </w:tr>
      <w:tr>
        <w:trPr>
          <w:trHeight w:val="243"/>
        </w:trPr>
        <w:tc>
          <w:tcPr>
            <w:tcW w:w="36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223</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-31 %</w:t>
            </w:r>
          </w:p>
        </w:tc>
      </w:tr>
      <w:tr>
        <w:trPr>
          <w:trHeight w:val="27"/>
        </w:trPr>
        <w:tc>
          <w:tcPr>
            <w:tcW w:w="3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360" w:type="dxa"/>
            <w:vAlign w:val="bottom"/>
          </w:tcPr>
          <w:p>
            <w:pPr>
              <w:spacing w:after="0"/>
              <w:rPr>
                <w:sz w:val="21"/>
                <w:szCs w:val="21"/>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Wireless revenue decreased 16 percent from the year-ago period due to decreased shipments of baseband products. Baseband revenue was $562 million, a decrease of 33 percent from the year-ago period. Partially offsetting this decrease was increased revenue from increased shipments of non-baseband products, which include connectivity and applications processor products. Compared with the year-ago period, operating profit decreased primarily due to lower revenue and associated gross profit.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0"/>
        </w:trPr>
        <w:tc>
          <w:tcPr>
            <w:tcW w:w="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rPr>
              <w:t>YTD</w:t>
            </w:r>
          </w:p>
        </w:tc>
      </w:tr>
      <w:tr>
        <w:trPr>
          <w:trHeight w:val="216"/>
        </w:trPr>
        <w:tc>
          <w:tcPr>
            <w:tcW w:w="3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rPr>
              <w:t>vs.</w:t>
            </w:r>
          </w:p>
        </w:tc>
      </w:tr>
      <w:tr>
        <w:trPr>
          <w:trHeight w:val="216"/>
        </w:trPr>
        <w:tc>
          <w:tcPr>
            <w:tcW w:w="3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YTD</w:t>
            </w:r>
          </w:p>
        </w:tc>
        <w:tc>
          <w:tcPr>
            <w:tcW w:w="320" w:type="dxa"/>
            <w:vAlign w:val="bottom"/>
          </w:tcPr>
          <w:p>
            <w:pPr>
              <w:spacing w:after="0"/>
              <w:rPr>
                <w:sz w:val="18"/>
                <w:szCs w:val="18"/>
                <w:color w:val="auto"/>
              </w:rPr>
            </w:pPr>
          </w:p>
        </w:tc>
        <w:tc>
          <w:tcPr>
            <w:tcW w:w="158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rPr>
              <w:t>YTD</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17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3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1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-3 %</w:t>
            </w:r>
          </w:p>
        </w:tc>
      </w:tr>
      <w:tr>
        <w:trPr>
          <w:trHeight w:val="243"/>
        </w:trPr>
        <w:tc>
          <w:tcPr>
            <w:tcW w:w="360" w:type="dxa"/>
            <w:vAlign w:val="bottom"/>
          </w:tcPr>
          <w:p>
            <w:pPr>
              <w:spacing w:after="0"/>
              <w:rPr>
                <w:sz w:val="21"/>
                <w:szCs w:val="21"/>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-29 %</w:t>
            </w:r>
          </w:p>
        </w:tc>
      </w:tr>
      <w:tr>
        <w:trPr>
          <w:trHeight w:val="27"/>
        </w:trPr>
        <w:tc>
          <w:tcPr>
            <w:tcW w:w="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360" w:type="dxa"/>
            <w:vAlign w:val="bottom"/>
          </w:tcPr>
          <w:p>
            <w:pPr>
              <w:spacing w:after="0"/>
              <w:rPr>
                <w:sz w:val="21"/>
                <w:szCs w:val="21"/>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6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first six months of 2011 are costs resulting from the earthquake in Japan of about $80 million and acquisition-related costs of $15 million.</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revenue decreased 3 percent from the year-ago period due to, in decreasing order, lower royalties, the sale of a cable modem product line in the fourth quarter of 2010 and decreased shipments of DLP products. These decreases were partially</w:t>
      </w:r>
    </w:p>
    <w:p>
      <w:pPr>
        <w:sectPr>
          <w:pgSz w:w="11900" w:h="16838" w:orient="portrait"/>
          <w:cols w:equalWidth="0" w:num="1">
            <w:col w:w="11360"/>
          </w:cols>
          <w:pgMar w:left="240" w:top="324"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60"/>
          </w:cols>
          <w:pgMar w:left="240" w:top="324" w:right="299" w:bottom="1440" w:gutter="0" w:footer="0" w:header="0"/>
          <w:type w:val="continuous"/>
        </w:sectPr>
      </w:pPr>
    </w:p>
    <w:bookmarkStart w:id="24" w:name="page25"/>
    <w:bookmarkEnd w:id="24"/>
    <w:p>
      <w:pPr>
        <w:ind w:right="740"/>
        <w:spacing w:after="0" w:line="308" w:lineRule="auto"/>
        <w:rPr>
          <w:sz w:val="20"/>
          <w:szCs w:val="20"/>
          <w:color w:val="auto"/>
        </w:rPr>
      </w:pPr>
      <w:r>
        <w:rPr>
          <w:rFonts w:ascii="Arial" w:cs="Arial" w:eastAsia="Arial" w:hAnsi="Arial"/>
          <w:sz w:val="17"/>
          <w:szCs w:val="17"/>
          <w:color w:val="auto"/>
        </w:rPr>
        <w:t>offset by increased revenue from transitional supply agreements and increased shipments of custom ASIC products and calculators. Operating profit decreased from the year-ago period primarily due to the costs resulting from the earthquake in Japan and lower royalties.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the end of the second quarter of 2011, total cash (cash and cash equivalents plus short-term investments) was $6.40 billion. This was $3.33 billion higher than at the end of 2010 as a result of our issuance of $3.5 billion of long-term debt in May 2011.</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Accounts receivable were $1.67 billion at the end of the second quarter. This was an increase of $154 million from the end of 2010. Days sales outstanding were 44 at the end of the quarter compared with 39 at the end of 2010. The increase in accounts receivable was due to higher receivables from calculators, the result of seasonally higher revenue.</w:t>
      </w:r>
    </w:p>
    <w:p>
      <w:pPr>
        <w:spacing w:after="0" w:line="18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Inventory was $1.76 billion at the end of the second quarter. This was an increase of $242 million from the end of 2010. Days of inventory at the end of the second quarter were 93 compared with 83 at the end of 2010. Most of the increase was to help support high customer service levels and to provide alternate factory sourcing for parts affected by the Japan earthquake. To a lesser extent, the increase was Wireless baseband inventory that resulted from weaker-than-expected demand from a single large wireless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sources of liquidity are our cash flows from operations, cash and cash equivalents, short-term investments and revolving credit facilities. Cash flow from operations for the first six months of 2011 was $1.15 billion, a decrease of $125 million from the year-ago period primarily due to the decrease in net income. As of June 30, 2011, we have $4.50 billion of cash and cash equivalents and $1.90 billion of short-term investments. We maintain lines of credit to provide additional liquidity through bank loans and to support commercial paper borrowings. As of June 30, 2011, we had a variable-rate revolving credit facility that allows us to borrow for general corporate purposes up to $1 billion until August 2011 and up to $920 million from August 2011 until August 2012. As of June 30, 2011, this credit facility was undrawn, and no commercial paper was outstanding. As of July 2011, we have an additional variable-rate revolving credit facility that allows us to borrow an additional $1 billion until July 2012.</w:t>
      </w:r>
    </w:p>
    <w:p>
      <w:pPr>
        <w:spacing w:after="0" w:line="17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July 2011, we issued a total of $1.2 billion of commercial paper to finance a portion of the pending acquisition of National. As a result, the combined commercial paper and credit facility capacity available under the two revolving credit facilities has been reduced by this amount.</w:t>
      </w:r>
    </w:p>
    <w:p>
      <w:pPr>
        <w:spacing w:after="0" w:line="14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For the first six months of 2011, investing activities used cash of $481 million. In the year-ago period, investing activities provided cash of $153 million. Capital expenditures in the first six months of 2011 totaled $470 million. This was a decrease of $32 million from the year-ago period due to decreased expenditures for analog wafer manufacturing equipment. Net purchases of short-term investments used cash of $72 million in the first six months of 2011, compared with $589 million provided from net sales and maturities of short-term investments in the year-ago period.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Financing activities provided net cash of $2.52 billion for the first six months of 2011 and used $1.47 billion in the year-ago period. For the first six months of 2011, we received proceeds of $3.497 billion from the issuance of fixed- and variable-rate long-term debt (net of the original issuance discount) associated with our pending acquisition of National. In conjunction with the issuance of debt we also entered into an interest rate swap that effectively fixes the interest rate on the variable-rate debt. See Note 3 to Financial Statements for additional details. During the first six months of 2011, we used $1.22 billion of cash to repurchase 35 million shares of our common stock and paid dividends of $303 million. In the same period last year, we used $1.25 billion of cash to repurchase 50 million shares of common stock and paid $296 million in dividends. Employee exercises of TI stock options provided cash proceeds of $530 million compared with $79 million for the year-ago period.</w:t>
      </w:r>
    </w:p>
    <w:p>
      <w:pPr>
        <w:spacing w:after="0" w:line="18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expect our acquisition of National for $25 per share, or approximately $6.5 billion, to close in the second half of 2011. We will fund the acquisition with a combination of available cash and the proceeds of debt issuances, including $3.5 billion of debt securities issued in the quarter. In connection with the announced acquisition agreement, we initially obtained commitments for an unsecured bridge loan term facility and a revolving credit facility. The aggregate amount of these facilities was $3.5 billion. During the second quarter of 2011, we terminated the $2.5 billion bridge loan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our planned acquisition of National has not closed by April 30, 2012, or the agreement is otherwise terminated, we are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ind w:left="20"/>
        <w:spacing w:after="0"/>
        <w:rPr>
          <w:sz w:val="20"/>
          <w:szCs w:val="20"/>
          <w:color w:val="auto"/>
        </w:rPr>
      </w:pPr>
      <w:r>
        <w:rPr>
          <w:rFonts w:ascii="Arial" w:cs="Arial" w:eastAsia="Arial" w:hAnsi="Arial"/>
          <w:sz w:val="18"/>
          <w:szCs w:val="18"/>
          <w:color w:val="auto"/>
        </w:rPr>
        <w:t>obligated to redeem the $2.5 billion of fixed-rate debt. See Note 3 to the Financial Statements.</w:t>
      </w:r>
    </w:p>
    <w:p>
      <w:pPr>
        <w:spacing w:after="0" w:line="225" w:lineRule="exact"/>
        <w:rPr>
          <w:sz w:val="20"/>
          <w:szCs w:val="20"/>
          <w:color w:val="auto"/>
        </w:rPr>
      </w:pPr>
    </w:p>
    <w:p>
      <w:pPr>
        <w:ind w:left="20" w:right="760"/>
        <w:spacing w:after="0" w:line="277" w:lineRule="auto"/>
        <w:rPr>
          <w:sz w:val="20"/>
          <w:szCs w:val="20"/>
          <w:color w:val="auto"/>
        </w:rPr>
      </w:pPr>
      <w:r>
        <w:rPr>
          <w:rFonts w:ascii="Arial" w:cs="Arial" w:eastAsia="Arial" w:hAnsi="Arial"/>
          <w:sz w:val="18"/>
          <w:szCs w:val="18"/>
          <w:color w:val="auto"/>
        </w:rPr>
        <w:t>In 2011, we expect approximately: an annual effective tax rate of 27 percent; R&amp;D expense of $1.7 billion; capital expenditures of $0.9 billion; and depreciation of $0.9 billion.</w:t>
      </w:r>
    </w:p>
    <w:p>
      <w:pPr>
        <w:spacing w:after="0" w:line="170" w:lineRule="exact"/>
        <w:rPr>
          <w:sz w:val="20"/>
          <w:szCs w:val="20"/>
          <w:color w:val="auto"/>
        </w:rPr>
      </w:pPr>
    </w:p>
    <w:p>
      <w:pPr>
        <w:ind w:left="20" w:right="72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left="20" w:right="40"/>
        <w:spacing w:after="0" w:line="286" w:lineRule="auto"/>
        <w:rPr>
          <w:sz w:val="20"/>
          <w:szCs w:val="20"/>
          <w:color w:val="auto"/>
        </w:rPr>
      </w:pPr>
      <w:r>
        <w:rPr>
          <w:rFonts w:ascii="Arial" w:cs="Arial" w:eastAsia="Arial" w:hAnsi="Arial"/>
          <w:sz w:val="17"/>
          <w:szCs w:val="17"/>
          <w:color w:val="auto"/>
        </w:rPr>
        <w:t>Information concerning our long-term contractual obligations is contained on page 43 of Exhibit 13 to our Form 10-K for the year ended December 31, 2010, and is incorporated by reference, with the exception of our long-term contractual obligations related to our $3.5 billion principal amount of fixed- and variable-rate debt issued in May 2011 and the associated maturity dates. See Note 3 to the Financial Statements for detailed information.</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 1 to the Financial Statements for detailed information regarding the status of new accounting and reporting standards.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20" w:right="260"/>
        <w:spacing w:after="0" w:line="277" w:lineRule="auto"/>
        <w:rPr>
          <w:sz w:val="20"/>
          <w:szCs w:val="20"/>
          <w:color w:val="auto"/>
        </w:rPr>
      </w:pPr>
      <w:r>
        <w:rPr>
          <w:rFonts w:ascii="Arial" w:cs="Arial" w:eastAsia="Arial" w:hAnsi="Arial"/>
          <w:sz w:val="18"/>
          <w:szCs w:val="18"/>
          <w:color w:val="auto"/>
        </w:rPr>
        <w:t>Information concerning market risk is contained on page 45 of Exhibit 13 to our Form 10-K for the year ended December 31, 2010, and is incorporated by reference to such exhibit, with the exception of interest rate risk, which is discussed below.</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rate risk</w:t>
      </w:r>
    </w:p>
    <w:p>
      <w:pPr>
        <w:spacing w:after="0" w:line="225" w:lineRule="exact"/>
        <w:rPr>
          <w:sz w:val="20"/>
          <w:szCs w:val="20"/>
          <w:color w:val="auto"/>
        </w:rPr>
      </w:pPr>
    </w:p>
    <w:p>
      <w:pPr>
        <w:ind w:left="20" w:right="20"/>
        <w:spacing w:after="0" w:line="342" w:lineRule="auto"/>
        <w:rPr>
          <w:sz w:val="20"/>
          <w:szCs w:val="20"/>
          <w:color w:val="auto"/>
        </w:rPr>
      </w:pPr>
      <w:r>
        <w:rPr>
          <w:rFonts w:ascii="Arial" w:cs="Arial" w:eastAsia="Arial" w:hAnsi="Arial"/>
          <w:sz w:val="16"/>
          <w:szCs w:val="16"/>
          <w:color w:val="auto"/>
        </w:rPr>
        <w:t>We have the following potential exposure to changes in interest rates: (1) the effect of changes in interest rates on the fair value of our investments in cash equivalents and short-term investments; and (2) the effect of changes in interest rates on the fair value of our long-term debt and associated interest rate swap.</w:t>
      </w:r>
    </w:p>
    <w:p>
      <w:pPr>
        <w:spacing w:after="0" w:line="124" w:lineRule="exact"/>
        <w:rPr>
          <w:sz w:val="20"/>
          <w:szCs w:val="20"/>
          <w:color w:val="auto"/>
        </w:rPr>
      </w:pPr>
    </w:p>
    <w:p>
      <w:pPr>
        <w:ind w:left="20" w:right="40"/>
        <w:spacing w:after="0" w:line="277" w:lineRule="auto"/>
        <w:rPr>
          <w:sz w:val="20"/>
          <w:szCs w:val="20"/>
          <w:color w:val="auto"/>
        </w:rPr>
      </w:pPr>
      <w:r>
        <w:rPr>
          <w:rFonts w:ascii="Arial" w:cs="Arial" w:eastAsia="Arial" w:hAnsi="Arial"/>
          <w:sz w:val="18"/>
          <w:szCs w:val="18"/>
          <w:color w:val="auto"/>
        </w:rPr>
        <w:t>Prior to the second quarter of 2011, we had no debt. Therefore, our primary exposure to changes in interest rates was limited to the effect on the fair values of our investments in cash equivalents and short-term investments.</w:t>
      </w:r>
    </w:p>
    <w:p>
      <w:pPr>
        <w:spacing w:after="0" w:line="170" w:lineRule="exact"/>
        <w:rPr>
          <w:sz w:val="20"/>
          <w:szCs w:val="20"/>
          <w:color w:val="auto"/>
        </w:rPr>
      </w:pPr>
    </w:p>
    <w:p>
      <w:pPr>
        <w:ind w:left="20" w:right="320"/>
        <w:spacing w:after="0" w:line="264" w:lineRule="auto"/>
        <w:rPr>
          <w:sz w:val="20"/>
          <w:szCs w:val="20"/>
          <w:color w:val="auto"/>
        </w:rPr>
      </w:pPr>
      <w:r>
        <w:rPr>
          <w:rFonts w:ascii="Arial" w:cs="Arial" w:eastAsia="Arial" w:hAnsi="Arial"/>
          <w:sz w:val="18"/>
          <w:szCs w:val="18"/>
          <w:color w:val="auto"/>
        </w:rPr>
        <w:t>As of June 30, 2011, a hypothetical 10 basis point increase or decrease in interest rates would change the fair value of our $3.5 billion long term debt by a decrease or increase of $10 million, respectively. Because interest rates on our long-term debts are fixed or have been swapped to fixed rates, changes in interest rates would not affect the cash flows associated with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20" w:top="125" w:right="259" w:bottom="1440" w:gutter="0" w:footer="0" w:header="0"/>
        </w:sectPr>
      </w:pPr>
    </w:p>
    <w:bookmarkStart w:id="26" w:name="page27"/>
    <w:bookmarkEnd w:id="26"/>
    <w:p>
      <w:pPr>
        <w:jc w:val="center"/>
        <w:ind w:right="-58"/>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ind w:left="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19" w:right="260"/>
        <w:spacing w:after="0" w:line="277" w:lineRule="auto"/>
        <w:rPr>
          <w:sz w:val="20"/>
          <w:szCs w:val="20"/>
          <w:color w:val="auto"/>
        </w:rPr>
      </w:pPr>
      <w:r>
        <w:rPr>
          <w:rFonts w:ascii="Arial" w:cs="Arial" w:eastAsia="Arial" w:hAnsi="Arial"/>
          <w:sz w:val="18"/>
          <w:szCs w:val="18"/>
          <w:color w:val="auto"/>
        </w:rPr>
        <w:t>Information concerning risk factors is contained on pages 9-12 of our Form 10-K for the year ended December 31, 2010, and is incorporated by reference, with the exception of the additional risk factor discussed below.</w:t>
      </w:r>
    </w:p>
    <w:p>
      <w:pPr>
        <w:spacing w:after="0" w:line="170" w:lineRule="exact"/>
        <w:rPr>
          <w:sz w:val="20"/>
          <w:szCs w:val="20"/>
          <w:color w:val="auto"/>
        </w:rPr>
      </w:pPr>
    </w:p>
    <w:p>
      <w:pPr>
        <w:ind w:left="519"/>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ind w:left="19"/>
        <w:spacing w:after="0" w:line="268"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cause us to raise funds through such means as the issuance of new debt or equity, or the disposition of assets.</w:t>
      </w:r>
    </w:p>
    <w:p>
      <w:pPr>
        <w:spacing w:after="0" w:line="3" w:lineRule="exact"/>
        <w:rPr>
          <w:sz w:val="20"/>
          <w:szCs w:val="20"/>
          <w:color w:val="auto"/>
        </w:rPr>
      </w:pPr>
    </w:p>
    <w:p>
      <w:pPr>
        <w:ind w:lef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1" w:lineRule="exact"/>
        <w:rPr>
          <w:sz w:val="20"/>
          <w:szCs w:val="20"/>
          <w:color w:val="auto"/>
        </w:rPr>
      </w:pPr>
    </w:p>
    <w:p>
      <w:pPr>
        <w:ind w:left="19"/>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70" w:lineRule="exact"/>
        <w:rPr>
          <w:sz w:val="20"/>
          <w:szCs w:val="20"/>
          <w:color w:val="auto"/>
        </w:rPr>
      </w:pPr>
    </w:p>
    <w:p>
      <w:pPr>
        <w:jc w:val="center"/>
        <w:ind w:right="-58"/>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87" w:lineRule="exact"/>
        <w:rPr>
          <w:sz w:val="20"/>
          <w:szCs w:val="20"/>
          <w:color w:val="auto"/>
        </w:rPr>
      </w:pPr>
    </w:p>
    <w:tbl>
      <w:tblPr>
        <w:tblLayout w:type="fixed"/>
        <w:tblInd w:w="679"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Total Number</w:t>
            </w:r>
          </w:p>
        </w:tc>
        <w:tc>
          <w:tcPr>
            <w:tcW w:w="26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of Shares</w:t>
            </w:r>
          </w:p>
        </w:tc>
        <w:tc>
          <w:tcPr>
            <w:tcW w:w="2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Approximate Dollar Value of</w:t>
            </w:r>
          </w:p>
        </w:tc>
      </w:tr>
      <w:tr>
        <w:trPr>
          <w:trHeight w:val="216"/>
        </w:trPr>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85"/>
              </w:rPr>
              <w:t>Purchased as</w:t>
            </w:r>
          </w:p>
        </w:tc>
        <w:tc>
          <w:tcPr>
            <w:tcW w:w="2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Part of</w:t>
            </w:r>
          </w:p>
        </w:tc>
        <w:tc>
          <w:tcPr>
            <w:tcW w:w="2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780" w:type="dxa"/>
            <w:vAlign w:val="bottom"/>
          </w:tcPr>
          <w:p>
            <w:pPr>
              <w:spacing w:after="0"/>
              <w:rPr>
                <w:sz w:val="18"/>
                <w:szCs w:val="18"/>
                <w:color w:val="auto"/>
              </w:rPr>
            </w:pPr>
          </w:p>
        </w:tc>
        <w:tc>
          <w:tcPr>
            <w:tcW w:w="164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Total</w:t>
            </w:r>
          </w:p>
        </w:tc>
        <w:tc>
          <w:tcPr>
            <w:tcW w:w="1300" w:type="dxa"/>
            <w:vAlign w:val="bottom"/>
          </w:tcPr>
          <w:p>
            <w:pPr>
              <w:spacing w:after="0"/>
              <w:rPr>
                <w:sz w:val="18"/>
                <w:szCs w:val="18"/>
                <w:color w:val="auto"/>
              </w:rPr>
            </w:pPr>
          </w:p>
        </w:tc>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Publicly</w:t>
            </w:r>
          </w:p>
        </w:tc>
        <w:tc>
          <w:tcPr>
            <w:tcW w:w="2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780" w:type="dxa"/>
            <w:vAlign w:val="bottom"/>
          </w:tcPr>
          <w:p>
            <w:pPr>
              <w:spacing w:after="0"/>
              <w:rPr>
                <w:sz w:val="18"/>
                <w:szCs w:val="18"/>
                <w:color w:val="auto"/>
              </w:rPr>
            </w:pPr>
          </w:p>
        </w:tc>
        <w:tc>
          <w:tcPr>
            <w:tcW w:w="164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Number of</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Announced</w:t>
            </w:r>
          </w:p>
        </w:tc>
        <w:tc>
          <w:tcPr>
            <w:tcW w:w="2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2780" w:type="dxa"/>
            <w:vAlign w:val="bottom"/>
          </w:tcPr>
          <w:p>
            <w:pPr>
              <w:spacing w:after="0"/>
              <w:rPr>
                <w:sz w:val="18"/>
                <w:szCs w:val="18"/>
                <w:color w:val="auto"/>
              </w:rPr>
            </w:pPr>
          </w:p>
        </w:tc>
        <w:tc>
          <w:tcPr>
            <w:tcW w:w="1640" w:type="dxa"/>
            <w:vAlign w:val="bottom"/>
          </w:tcPr>
          <w:p>
            <w:pPr>
              <w:jc w:val="center"/>
              <w:ind w:left="210"/>
              <w:spacing w:after="0"/>
              <w:rPr>
                <w:sz w:val="20"/>
                <w:szCs w:val="20"/>
                <w:color w:val="auto"/>
              </w:rPr>
            </w:pPr>
            <w:r>
              <w:rPr>
                <w:rFonts w:ascii="Arial" w:cs="Arial" w:eastAsia="Arial" w:hAnsi="Arial"/>
                <w:sz w:val="18"/>
                <w:szCs w:val="18"/>
                <w:b w:val="1"/>
                <w:bCs w:val="1"/>
                <w:color w:val="auto"/>
                <w:w w:val="83"/>
              </w:rPr>
              <w:t>Shares</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Price Paid</w:t>
            </w:r>
          </w:p>
        </w:tc>
        <w:tc>
          <w:tcPr>
            <w:tcW w:w="174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Plans or</w:t>
            </w:r>
          </w:p>
        </w:tc>
        <w:tc>
          <w:tcPr>
            <w:tcW w:w="2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6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9"/>
              </w:rPr>
              <w:t>Purchased</w:t>
            </w: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per Share</w:t>
            </w:r>
          </w:p>
        </w:tc>
        <w:tc>
          <w:tcPr>
            <w:tcW w:w="17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0"/>
              </w:rPr>
              <w:t>Programs</w:t>
            </w:r>
          </w:p>
        </w:tc>
        <w:tc>
          <w:tcPr>
            <w:tcW w:w="2660" w:type="dxa"/>
            <w:vAlign w:val="bottom"/>
            <w:tcBorders>
              <w:bottom w:val="single" w:sz="8" w:color="auto"/>
            </w:tcBorders>
          </w:tcPr>
          <w:p>
            <w:pPr>
              <w:jc w:val="center"/>
              <w:ind w:right="170"/>
              <w:spacing w:after="0" w:line="262" w:lineRule="exact"/>
              <w:rPr>
                <w:sz w:val="20"/>
                <w:szCs w:val="20"/>
                <w:color w:val="auto"/>
              </w:rPr>
            </w:pPr>
            <w:r>
              <w:rPr>
                <w:rFonts w:ascii="Arial" w:cs="Arial" w:eastAsia="Arial" w:hAnsi="Arial"/>
                <w:sz w:val="18"/>
                <w:szCs w:val="18"/>
                <w:b w:val="1"/>
                <w:bCs w:val="1"/>
                <w:color w:val="auto"/>
                <w:w w:val="87"/>
              </w:rPr>
              <w:t xml:space="preserve">Programs </w:t>
            </w:r>
            <w:r>
              <w:rPr>
                <w:rFonts w:ascii="Arial" w:cs="Arial" w:eastAsia="Arial" w:hAnsi="Arial"/>
                <w:sz w:val="25"/>
                <w:szCs w:val="25"/>
                <w:b w:val="1"/>
                <w:bCs w:val="1"/>
                <w:color w:val="auto"/>
                <w:w w:val="87"/>
                <w:vertAlign w:val="superscript"/>
              </w:rPr>
              <w:t>(1)</w:t>
            </w: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through April 30, 2011</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11,498,700</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$ 34.76</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11,498,700</w:t>
            </w:r>
          </w:p>
        </w:tc>
        <w:tc>
          <w:tcPr>
            <w:tcW w:w="26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$ 6.47 billion</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May 1 through May 31, 2011</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487,050</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$ 34.17</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487,050</w:t>
            </w:r>
          </w:p>
        </w:tc>
        <w:tc>
          <w:tcPr>
            <w:tcW w:w="2660" w:type="dxa"/>
            <w:vAlign w:val="bottom"/>
          </w:tcPr>
          <w:p>
            <w:pPr>
              <w:ind w:left="1360"/>
              <w:spacing w:after="0"/>
              <w:rPr>
                <w:sz w:val="20"/>
                <w:szCs w:val="20"/>
                <w:color w:val="auto"/>
              </w:rPr>
            </w:pPr>
            <w:r>
              <w:rPr>
                <w:rFonts w:ascii="Arial" w:cs="Arial" w:eastAsia="Arial" w:hAnsi="Arial"/>
                <w:sz w:val="18"/>
                <w:szCs w:val="18"/>
                <w:color w:val="auto"/>
              </w:rPr>
              <w:t>$ 6.46 billion</w:t>
            </w:r>
          </w:p>
        </w:tc>
      </w:tr>
      <w:tr>
        <w:trPr>
          <w:trHeight w:val="27"/>
        </w:trPr>
        <w:tc>
          <w:tcPr>
            <w:tcW w:w="2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7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through June 30, 2011</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1,052,507</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$ 33.89</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1,052,507</w:t>
            </w:r>
          </w:p>
        </w:tc>
        <w:tc>
          <w:tcPr>
            <w:tcW w:w="26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$ 6.42 billion</w:t>
            </w:r>
          </w:p>
        </w:tc>
      </w:tr>
      <w:tr>
        <w:trPr>
          <w:trHeight w:val="335"/>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13,038,257</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$ 34.67</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xml:space="preserve">13,038,257  </w:t>
            </w:r>
            <w:r>
              <w:rPr>
                <w:rFonts w:ascii="Arial" w:cs="Arial" w:eastAsia="Arial" w:hAnsi="Arial"/>
                <w:sz w:val="25"/>
                <w:szCs w:val="25"/>
                <w:color w:val="auto"/>
                <w:vertAlign w:val="superscript"/>
              </w:rPr>
              <w:t>(2)</w:t>
            </w:r>
          </w:p>
        </w:tc>
        <w:tc>
          <w:tcPr>
            <w:tcW w:w="266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 xml:space="preserve">$ 6.42 billion </w:t>
            </w:r>
            <w:r>
              <w:rPr>
                <w:rFonts w:ascii="Arial" w:cs="Arial" w:eastAsia="Arial" w:hAnsi="Arial"/>
                <w:sz w:val="25"/>
                <w:szCs w:val="25"/>
                <w:color w:val="auto"/>
                <w:vertAlign w:val="superscript"/>
              </w:rPr>
              <w:t>(3)</w:t>
            </w:r>
          </w:p>
        </w:tc>
      </w:tr>
    </w:tbl>
    <w:p>
      <w:pPr>
        <w:spacing w:after="0" w:line="130" w:lineRule="exact"/>
        <w:rPr>
          <w:sz w:val="20"/>
          <w:szCs w:val="20"/>
          <w:color w:val="auto"/>
        </w:rPr>
      </w:pPr>
    </w:p>
    <w:p>
      <w:pPr>
        <w:ind w:left="359" w:right="200" w:hanging="359"/>
        <w:spacing w:after="0" w:line="216" w:lineRule="auto"/>
        <w:tabs>
          <w:tab w:leader="none" w:pos="325"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w:t>
      </w:r>
    </w:p>
    <w:p>
      <w:pPr>
        <w:spacing w:after="0" w:line="1" w:lineRule="exact"/>
        <w:rPr>
          <w:rFonts w:ascii="Arial" w:cs="Arial" w:eastAsia="Arial" w:hAnsi="Arial"/>
          <w:sz w:val="25"/>
          <w:szCs w:val="25"/>
          <w:color w:val="auto"/>
          <w:vertAlign w:val="superscript"/>
        </w:rPr>
      </w:pPr>
    </w:p>
    <w:p>
      <w:pPr>
        <w:ind w:left="319" w:hanging="319"/>
        <w:spacing w:after="0" w:line="180" w:lineRule="auto"/>
        <w:tabs>
          <w:tab w:leader="none" w:pos="319"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 w:lineRule="exact"/>
        <w:rPr>
          <w:rFonts w:ascii="Arial" w:cs="Arial" w:eastAsia="Arial" w:hAnsi="Arial"/>
          <w:sz w:val="25"/>
          <w:szCs w:val="25"/>
          <w:color w:val="auto"/>
          <w:vertAlign w:val="superscript"/>
        </w:rPr>
      </w:pPr>
    </w:p>
    <w:p>
      <w:pPr>
        <w:ind w:left="359" w:right="860" w:hanging="359"/>
        <w:spacing w:after="0" w:line="208" w:lineRule="auto"/>
        <w:tabs>
          <w:tab w:leader="none" w:pos="325"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As of June 30, 2011, this amount consisted of the remaining portion of the $7.5 billion authorization. No expiration date was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99"/>
          </w:cols>
          <w:pgMar w:left="221" w:top="121" w:right="2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8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Designation of</w:t>
            </w:r>
          </w:p>
        </w:tc>
        <w:tc>
          <w:tcPr>
            <w:tcW w:w="988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Exhibits in This</w:t>
            </w:r>
          </w:p>
        </w:tc>
        <w:tc>
          <w:tcPr>
            <w:tcW w:w="988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Report</w:t>
            </w:r>
          </w:p>
        </w:tc>
        <w:tc>
          <w:tcPr>
            <w:tcW w:w="98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29"/>
        </w:trPr>
        <w:tc>
          <w:tcPr>
            <w:tcW w:w="14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Agreement and Plan of Merger by and among National Semiconductor Corporation, Texas Instruments Incorporated and Orion Merger</w:t>
            </w:r>
          </w:p>
        </w:tc>
      </w:tr>
      <w:tr>
        <w:trPr>
          <w:trHeight w:val="237"/>
        </w:trPr>
        <w:tc>
          <w:tcPr>
            <w:tcW w:w="140" w:type="dxa"/>
            <w:vAlign w:val="bottom"/>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Corp. (dated April 4, 2011) (incorporated by reference to Exhibit 2.1 to the Registrant's Report on Form 8-K dated April 4, 2011).</w:t>
            </w:r>
          </w:p>
        </w:tc>
      </w:tr>
      <w:tr>
        <w:trPr>
          <w:trHeight w:val="229"/>
        </w:trPr>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w w:val="96"/>
              </w:rPr>
              <w:t>Indenture between Texas Instruments Incorporated and U.S. Bank National Association, as Trustee (dated as of May 23, 2011)</w:t>
            </w:r>
          </w:p>
        </w:tc>
      </w:tr>
      <w:tr>
        <w:trPr>
          <w:trHeight w:val="230"/>
        </w:trPr>
        <w:tc>
          <w:tcPr>
            <w:tcW w:w="146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4.1</w:t>
            </w:r>
          </w:p>
        </w:tc>
        <w:tc>
          <w:tcPr>
            <w:tcW w:w="9880" w:type="dxa"/>
            <w:vAlign w:val="bottom"/>
          </w:tcPr>
          <w:p>
            <w:pPr>
              <w:ind w:left="40"/>
              <w:spacing w:after="0"/>
              <w:rPr>
                <w:sz w:val="20"/>
                <w:szCs w:val="20"/>
                <w:color w:val="auto"/>
              </w:rPr>
            </w:pPr>
            <w:r>
              <w:rPr>
                <w:rFonts w:ascii="Arial" w:cs="Arial" w:eastAsia="Arial" w:hAnsi="Arial"/>
                <w:sz w:val="18"/>
                <w:szCs w:val="18"/>
                <w:color w:val="auto"/>
              </w:rPr>
              <w:t>(incorporated by reference to Exhibit 4.2 to the Registrant's Report on Form 8-K dated May 16, 2011).</w:t>
            </w:r>
          </w:p>
        </w:tc>
      </w:tr>
      <w:tr>
        <w:trPr>
          <w:trHeight w:val="27"/>
        </w:trPr>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29"/>
        </w:trPr>
        <w:tc>
          <w:tcPr>
            <w:tcW w:w="14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Officer's Certificate setting forth the terms of the Notes (dated May 23, 2011) (incorporated by reference to Exhibit 4.3 to the</w:t>
            </w:r>
          </w:p>
        </w:tc>
      </w:tr>
      <w:tr>
        <w:trPr>
          <w:trHeight w:val="237"/>
        </w:trPr>
        <w:tc>
          <w:tcPr>
            <w:tcW w:w="140" w:type="dxa"/>
            <w:vAlign w:val="bottom"/>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Registrant's Report on Form 8-K dated May 16, 2011).</w:t>
            </w:r>
          </w:p>
        </w:tc>
      </w:tr>
      <w:tr>
        <w:trPr>
          <w:trHeight w:val="243"/>
        </w:trPr>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31.1</w:t>
            </w:r>
          </w:p>
        </w:tc>
        <w:tc>
          <w:tcPr>
            <w:tcW w:w="9880" w:type="dxa"/>
            <w:vAlign w:val="bottom"/>
          </w:tcPr>
          <w:p>
            <w:pPr>
              <w:ind w:left="4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7"/>
        </w:trPr>
        <w:tc>
          <w:tcPr>
            <w:tcW w:w="1460" w:type="dxa"/>
            <w:vAlign w:val="bottom"/>
            <w:gridSpan w:val="2"/>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31.2</w:t>
            </w:r>
          </w:p>
        </w:tc>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43"/>
        </w:trPr>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32.1</w:t>
            </w:r>
          </w:p>
        </w:tc>
        <w:tc>
          <w:tcPr>
            <w:tcW w:w="9880" w:type="dxa"/>
            <w:vAlign w:val="bottom"/>
          </w:tcPr>
          <w:p>
            <w:pPr>
              <w:ind w:left="4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7"/>
        </w:trPr>
        <w:tc>
          <w:tcPr>
            <w:tcW w:w="1460" w:type="dxa"/>
            <w:vAlign w:val="bottom"/>
            <w:gridSpan w:val="2"/>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32.2</w:t>
            </w:r>
          </w:p>
        </w:tc>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43"/>
        </w:trPr>
        <w:tc>
          <w:tcPr>
            <w:tcW w:w="1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101.ins</w:t>
            </w:r>
          </w:p>
        </w:tc>
        <w:tc>
          <w:tcPr>
            <w:tcW w:w="9880" w:type="dxa"/>
            <w:vAlign w:val="bottom"/>
          </w:tcPr>
          <w:p>
            <w:pPr>
              <w:ind w:left="40"/>
              <w:spacing w:after="0"/>
              <w:rPr>
                <w:sz w:val="20"/>
                <w:szCs w:val="20"/>
                <w:color w:val="auto"/>
              </w:rPr>
            </w:pPr>
            <w:r>
              <w:rPr>
                <w:rFonts w:ascii="Arial" w:cs="Arial" w:eastAsia="Arial" w:hAnsi="Arial"/>
                <w:sz w:val="18"/>
                <w:szCs w:val="18"/>
                <w:color w:val="auto"/>
              </w:rPr>
              <w:t>Instance Document*</w:t>
            </w:r>
          </w:p>
        </w:tc>
      </w:tr>
      <w:tr>
        <w:trPr>
          <w:trHeight w:val="27"/>
        </w:trPr>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101.def</w:t>
            </w:r>
          </w:p>
        </w:tc>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101.sch</w:t>
            </w:r>
          </w:p>
        </w:tc>
        <w:tc>
          <w:tcPr>
            <w:tcW w:w="988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101.cal</w:t>
            </w:r>
          </w:p>
        </w:tc>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101.lab</w:t>
            </w:r>
          </w:p>
        </w:tc>
        <w:tc>
          <w:tcPr>
            <w:tcW w:w="988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40" w:type="dxa"/>
            <w:vAlign w:val="bottom"/>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9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Furnished, not filed, herewith.</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2" w:lineRule="exact"/>
        <w:rPr>
          <w:sz w:val="20"/>
          <w:szCs w:val="20"/>
          <w:color w:val="auto"/>
        </w:rPr>
      </w:pPr>
    </w:p>
    <w:p>
      <w:pPr>
        <w:ind w:right="500"/>
        <w:spacing w:after="0" w:line="324"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4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128" w:lineRule="exact"/>
        <w:rPr>
          <w:rFonts w:ascii="Arial" w:cs="Arial" w:eastAsia="Arial" w:hAnsi="Arial"/>
          <w:sz w:val="17"/>
          <w:szCs w:val="17"/>
          <w:color w:val="auto"/>
        </w:rPr>
      </w:pPr>
    </w:p>
    <w:p>
      <w:pPr>
        <w:ind w:left="660" w:right="2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17" w:lineRule="exact"/>
        <w:rPr>
          <w:rFonts w:ascii="Arial" w:cs="Arial" w:eastAsia="Arial" w:hAnsi="Arial"/>
          <w:sz w:val="18"/>
          <w:szCs w:val="18"/>
          <w:color w:val="auto"/>
        </w:rPr>
      </w:pPr>
    </w:p>
    <w:p>
      <w:pPr>
        <w:ind w:left="660" w:right="5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60" w:right="4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62" w:lineRule="exact"/>
        <w:rPr>
          <w:rFonts w:ascii="Arial" w:cs="Arial" w:eastAsia="Arial" w:hAnsi="Arial"/>
          <w:sz w:val="18"/>
          <w:szCs w:val="18"/>
          <w:color w:val="auto"/>
        </w:rPr>
      </w:pPr>
    </w:p>
    <w:p>
      <w:pPr>
        <w:ind w:left="660" w:right="22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17"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 and</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obligations to make principal and interest payments on its debt.</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10-Q are made only as of the date of this report, and we undertake no obligation to update the forward-looking statements to reflect subsequent events or circumstances.</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152" w:right="399" w:bottom="1440" w:gutter="0" w:footer="0" w:header="0"/>
        </w:sectPr>
      </w:pPr>
    </w:p>
    <w:bookmarkStart w:id="29" w:name="page30"/>
    <w:bookmarkEnd w:id="29"/>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August 5, 2011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03" w:lineRule="exact"/>
        <w:rPr>
          <w:sz w:val="20"/>
          <w:szCs w:val="20"/>
          <w:color w:val="auto"/>
        </w:rPr>
      </w:pPr>
    </w:p>
    <w:p>
      <w:pPr>
        <w:ind w:left="440" w:right="20"/>
        <w:spacing w:after="0" w:line="277" w:lineRule="auto"/>
        <w:tabs>
          <w:tab w:leader="none" w:pos="6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80"/>
        <w:spacing w:after="0" w:line="277"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5, 2011</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03" w:lineRule="exact"/>
        <w:rPr>
          <w:sz w:val="20"/>
          <w:szCs w:val="20"/>
          <w:color w:val="auto"/>
        </w:rPr>
      </w:pPr>
    </w:p>
    <w:p>
      <w:pPr>
        <w:ind w:left="440" w:right="20"/>
        <w:spacing w:after="0" w:line="277"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80"/>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5, 2011</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5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160"/>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2011,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5, 2011</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160"/>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2011,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5, 2011</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S"/>
      <w:numFmt w:val="bullet"/>
      <w:start w:val="1"/>
    </w:lvl>
  </w:abstractNum>
  <w:abstractNum w:abstractNumId="1">
    <w:nsid w:val="66EF438D"/>
    <w:multiLevelType w:val="hybridMultilevel"/>
    <w:lvl w:ilvl="0">
      <w:lvlJc w:val="left"/>
      <w:lvlText w:val="%1."/>
      <w:numFmt w:val="decimal"/>
      <w:start w:val="1"/>
    </w:lvl>
    <w:lvl w:ilvl="1">
      <w:lvlJc w:val="left"/>
      <w:lvlText w:val="Ÿ"/>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6"/>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2019-12-10T03:22:45Z</dcterms:created>
  <dcterms:modified xsi:type="dcterms:W3CDTF">2019-12-10T03:22:45Z</dcterms:modified>
</cp:coreProperties>
</file>