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tbl>
      <w:tblPr>
        <w:tblLayout w:type="fixed"/>
        <w:tblInd w:w="0" w:type="dxa"/>
        <w:tblCellMar>
          <w:top w:w="0" w:type="dxa"/>
          <w:left w:w="0" w:type="dxa"/>
          <w:bottom w:w="0" w:type="dxa"/>
          <w:right w:w="0" w:type="dxa"/>
        </w:tblCellMar>
      </w:tblPr>
      <w:tr>
        <w:trPr>
          <w:trHeight w:val="203"/>
        </w:trPr>
        <w:tc>
          <w:tcPr>
            <w:tcW w:w="4960" w:type="dxa"/>
            <w:vAlign w:val="bottom"/>
            <w:gridSpan w:val="2"/>
          </w:tcPr>
          <w:p>
            <w:pPr>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882508104</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882508104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FMR Corp.</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Commonwealth of Massachusetts</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6,218,811</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112,499,983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112,499,983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6.502%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HC</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882508104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Reporting Person - Edward C. Johnson 3d</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112,499,983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112,499,983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6.502%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IN</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Cusip #</w:t>
            </w:r>
          </w:p>
        </w:tc>
        <w:tc>
          <w:tcPr>
            <w:tcW w:w="4100" w:type="dxa"/>
            <w:vAlign w:val="bottom"/>
          </w:tcPr>
          <w:p>
            <w:pPr>
              <w:spacing w:after="0"/>
              <w:rPr>
                <w:sz w:val="20"/>
                <w:szCs w:val="20"/>
                <w:color w:val="auto"/>
              </w:rPr>
            </w:pPr>
            <w:r>
              <w:rPr>
                <w:rFonts w:ascii="Courier New" w:cs="Courier New" w:eastAsia="Courier New" w:hAnsi="Courier New"/>
                <w:sz w:val="18"/>
                <w:szCs w:val="18"/>
                <w:color w:val="auto"/>
              </w:rPr>
              <w:t>882508104</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112,499,983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112,499,983</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11:</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6.502%</w:t>
            </w:r>
          </w:p>
        </w:tc>
      </w:tr>
      <w:tr>
        <w:trPr>
          <w:trHeight w:val="203"/>
        </w:trPr>
        <w:tc>
          <w:tcPr>
            <w:tcW w:w="8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Item 12:</w:t>
            </w:r>
          </w:p>
        </w:tc>
        <w:tc>
          <w:tcPr>
            <w:tcW w:w="4100" w:type="dxa"/>
            <w:vAlign w:val="bottom"/>
          </w:tcPr>
          <w:p>
            <w:pPr>
              <w:jc w:val="right"/>
              <w:ind w:right="255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55"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Texas Instruments Incorporated</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13500 North Central Expressway, P.O. Box 655474</w:t>
      </w:r>
    </w:p>
    <w:p>
      <w:pPr>
        <w:spacing w:after="0" w:line="16" w:lineRule="exact"/>
        <w:rPr>
          <w:sz w:val="24"/>
          <w:szCs w:val="24"/>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w:t>
      </w:r>
    </w:p>
    <w:p>
      <w:pPr>
        <w:sectPr>
          <w:pgSz w:w="11900" w:h="16855" w:orient="portrait"/>
          <w:cols w:equalWidth="0" w:num="1">
            <w:col w:w="10219"/>
          </w:cols>
          <w:pgMar w:left="240" w:top="447"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Residence: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w:t>
      </w:r>
    </w:p>
    <w:p>
      <w:pPr>
        <w:spacing w:after="0" w:line="402"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55" w:orient="portrait"/>
          <w:cols w:equalWidth="0" w:num="2">
            <w:col w:w="6220" w:space="220"/>
            <w:col w:w="3779"/>
          </w:cols>
          <w:pgMar w:left="240" w:top="447"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0" w:lineRule="exact"/>
        <w:rPr>
          <w:sz w:val="24"/>
          <w:szCs w:val="24"/>
          <w:color w:val="auto"/>
        </w:rPr>
      </w:pPr>
    </w:p>
    <w:p>
      <w:pPr>
        <w:sectPr>
          <w:pgSz w:w="11900" w:h="16855" w:orient="portrait"/>
          <w:cols w:equalWidth="0" w:num="2">
            <w:col w:w="1060" w:space="640"/>
            <w:col w:w="8519"/>
          </w:cols>
          <w:pgMar w:left="240" w:top="447"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882508104</w:t>
      </w:r>
    </w:p>
    <w:p>
      <w:pPr>
        <w:sectPr>
          <w:pgSz w:w="11900" w:h="16855" w:orient="portrait"/>
          <w:cols w:equalWidth="0" w:num="1">
            <w:col w:w="10219"/>
          </w:cols>
          <w:pgMar w:left="240" w:top="447" w:right="1440" w:bottom="0" w:gutter="0" w:footer="0" w:header="0"/>
          <w:type w:val="continuous"/>
        </w:sectPr>
      </w:pPr>
    </w:p>
    <w:p>
      <w:pPr>
        <w:spacing w:after="0" w:line="224" w:lineRule="exact"/>
        <w:rPr>
          <w:sz w:val="24"/>
          <w:szCs w:val="24"/>
          <w:color w:val="auto"/>
        </w:rPr>
      </w:pPr>
    </w:p>
    <w:p>
      <w:pPr>
        <w:ind w:right="293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55" w:orient="portrait"/>
          <w:cols w:equalWidth="0" w:num="1">
            <w:col w:w="10219"/>
          </w:cols>
          <w:pgMar w:left="240" w:top="447" w:right="1440" w:bottom="0" w:gutter="0" w:footer="0" w:header="0"/>
          <w:type w:val="continuous"/>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112,499,983</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6.502%</w:t>
            </w:r>
          </w:p>
        </w:tc>
        <w:tc>
          <w:tcPr>
            <w:tcW w:w="126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w w:val="94"/>
              </w:rPr>
              <w:t>6,218,811</w:t>
            </w:r>
          </w:p>
        </w:tc>
      </w:tr>
      <w:tr>
        <w:trPr>
          <w:trHeight w:val="405"/>
        </w:trPr>
        <w:tc>
          <w:tcPr>
            <w:tcW w:w="6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5000" w:type="dxa"/>
            <w:vAlign w:val="bottom"/>
          </w:tcPr>
          <w:p>
            <w:pPr>
              <w:ind w:left="220"/>
              <w:spacing w:after="0"/>
              <w:rPr>
                <w:sz w:val="20"/>
                <w:szCs w:val="20"/>
                <w:color w:val="auto"/>
              </w:rPr>
            </w:pPr>
            <w:r>
              <w:rPr>
                <w:rFonts w:ascii="Courier New" w:cs="Courier New" w:eastAsia="Courier New" w:hAnsi="Courier New"/>
                <w:sz w:val="18"/>
                <w:szCs w:val="18"/>
                <w:color w:val="auto"/>
              </w:rPr>
              <w:t>shared power to vote or to direct the vote:</w:t>
            </w:r>
          </w:p>
        </w:tc>
        <w:tc>
          <w:tcPr>
            <w:tcW w:w="1220" w:type="dxa"/>
            <w:vAlign w:val="bottom"/>
          </w:tcPr>
          <w:p>
            <w:pPr>
              <w:ind w:left="28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112,499,983</w:t>
      </w:r>
    </w:p>
    <w:p>
      <w:pPr>
        <w:spacing w:after="0" w:line="208"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CommonStock.</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2619" w:firstLine="843"/>
        <w:spacing w:after="0" w:line="273"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Texas Instruments Incorporated. No one person's interest in the common stock of Texas Instruments Incorporated is more than five percent of the total outstanding common stock.</w:t>
      </w:r>
    </w:p>
    <w:p>
      <w:pPr>
        <w:spacing w:after="0" w:line="185"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Texas Instruments Incorporated at December 31, 2000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2001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Eric D. Roiter</w:t>
      </w:r>
    </w:p>
    <w:p>
      <w:pPr>
        <w:ind w:left="860"/>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ind w:left="860"/>
        <w:spacing w:after="0"/>
        <w:rPr>
          <w:sz w:val="20"/>
          <w:szCs w:val="20"/>
          <w:color w:val="auto"/>
        </w:rPr>
      </w:pPr>
      <w:r>
        <w:rPr>
          <w:rFonts w:ascii="Courier New" w:cs="Courier New" w:eastAsia="Courier New" w:hAnsi="Courier New"/>
          <w:sz w:val="18"/>
          <w:szCs w:val="18"/>
          <w:color w:val="auto"/>
        </w:rPr>
        <w:t>dated December 30, 1997, by and on behalf</w:t>
      </w:r>
    </w:p>
    <w:p>
      <w:pPr>
        <w:ind w:left="860"/>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ind w:left="860"/>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0" w:gutter="0" w:footer="0" w:header="0"/>
        </w:sectPr>
      </w:pPr>
    </w:p>
    <w:bookmarkStart w:id="2" w:name="page3"/>
    <w:bookmarkEnd w:id="2"/>
    <w:p>
      <w:pPr>
        <w:ind w:right="2619" w:firstLine="843"/>
        <w:spacing w:after="0" w:line="238"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105,302,872 shares or 6.086% of the common stock outstanding of Texas Instruments Incorporated ("the Company") as a result of acting as investment adviser to various investment companies registered under Section 8 of the Investment Company Act of 1940. The number of shares of common stock of Texas Instruments Incorporated owned by the investment companies at December 31, 2000 included 59,392 shares of common stock resulting from the assumed conversion of $2,640,000 principal amount of BURR-BROWN CONV 4.25% 2/15/07 (22.497 shares of common stock for each $1,000 principal amount of debenture).</w:t>
      </w:r>
    </w:p>
    <w:p>
      <w:pPr>
        <w:spacing w:after="0" w:line="208" w:lineRule="exact"/>
        <w:rPr>
          <w:sz w:val="20"/>
          <w:szCs w:val="20"/>
          <w:color w:val="auto"/>
        </w:rPr>
      </w:pPr>
    </w:p>
    <w:p>
      <w:pPr>
        <w:ind w:right="251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105,302,872 shares owned by the Funds.</w:t>
      </w:r>
    </w:p>
    <w:p>
      <w:pPr>
        <w:spacing w:after="0" w:line="209"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5,645,026 shares or 0.326% of the common stock outstanding of the Company as a result of its serving as investment manager of the institutional account(s).</w:t>
      </w:r>
    </w:p>
    <w:p>
      <w:pPr>
        <w:spacing w:after="0" w:line="210"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5,645,026 shares and sole power to vote or to direct the voting of 4,666,726 shares, and no power to vote or to direct the voting of 978,300 shares of common stock owned by the institutional account(s) as reported above.</w:t>
      </w:r>
    </w:p>
    <w:p>
      <w:pPr>
        <w:spacing w:after="0" w:line="210" w:lineRule="exact"/>
        <w:rPr>
          <w:sz w:val="20"/>
          <w:szCs w:val="20"/>
          <w:color w:val="auto"/>
        </w:rPr>
      </w:pPr>
    </w:p>
    <w:p>
      <w:pPr>
        <w:ind w:right="251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It does not have sole power to vote or direct the voting of shares of certain securities held for clients and has sole dispositive power over such securities.</w:t>
      </w:r>
    </w:p>
    <w:p>
      <w:pPr>
        <w:spacing w:after="0" w:line="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As such, FMR Corp.'s beneficial ownership may include shares beneficially owned through Strategic Advisers, Inc.</w:t>
      </w:r>
    </w:p>
    <w:p>
      <w:pPr>
        <w:spacing w:after="0" w:line="208" w:lineRule="exact"/>
        <w:rPr>
          <w:sz w:val="20"/>
          <w:szCs w:val="20"/>
          <w:color w:val="auto"/>
        </w:rPr>
      </w:pPr>
    </w:p>
    <w:p>
      <w:pPr>
        <w:ind w:right="273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1,552,085 shares or 0.089% of the common stock outstanding of the Company. Additional information with respect to the beneficial ownership of Fidelity International Limited is shown on Exhibit B, page 9.</w:t>
      </w:r>
    </w:p>
    <w:p>
      <w:pPr>
        <w:spacing w:after="0" w:line="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619" w:firstLine="843"/>
        <w:spacing w:after="0" w:line="279"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 a Bermudan joint stock company</w:t>
      </w:r>
    </w:p>
    <w:p>
      <w:pPr>
        <w:sectPr>
          <w:pgSz w:w="11900" w:h="16838" w:orient="portrait"/>
          <w:cols w:equalWidth="0" w:num="1">
            <w:col w:w="10219"/>
          </w:cols>
          <w:pgMar w:left="240" w:top="142" w:right="1440" w:bottom="0" w:gutter="0" w:footer="0" w:header="0"/>
        </w:sectPr>
      </w:pPr>
    </w:p>
    <w:bookmarkStart w:id="3" w:name="page4"/>
    <w:bookmarkEnd w:id="3"/>
    <w:p>
      <w:pPr>
        <w:ind w:right="2939"/>
        <w:spacing w:after="0" w:line="273" w:lineRule="auto"/>
        <w:rPr>
          <w:sz w:val="20"/>
          <w:szCs w:val="20"/>
          <w:color w:val="auto"/>
        </w:rPr>
      </w:pPr>
      <w:r>
        <w:rPr>
          <w:rFonts w:ascii="Courier New" w:cs="Courier New" w:eastAsia="Courier New" w:hAnsi="Courier New"/>
          <w:sz w:val="16"/>
          <w:szCs w:val="16"/>
          <w:color w:val="auto"/>
        </w:rPr>
        <w:t>incorporated for an unlimited duration by private act of the Bermuda Legislature (FIL) and an investment adviser to various investment companies (the "International Funds") and certain institutional investors, as a beneficial owner of the 1,552,085 shares or 0.089% of the common stock outstanding of Texas Instruments Incorporated.</w:t>
      </w:r>
    </w:p>
    <w:p>
      <w:pPr>
        <w:spacing w:after="0" w:line="18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2"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4"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5"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273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4"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w:t>
      </w:r>
    </w:p>
    <w:p>
      <w:pPr>
        <w:spacing w:after="0" w:line="1" w:lineRule="exact"/>
        <w:rPr>
          <w:sz w:val="20"/>
          <w:szCs w:val="20"/>
          <w:color w:val="auto"/>
        </w:rPr>
      </w:pPr>
    </w:p>
    <w:p>
      <w:pPr>
        <w:ind w:right="2739" w:firstLine="8"/>
        <w:spacing w:after="0" w:line="237" w:lineRule="auto"/>
        <w:tabs>
          <w:tab w:leader="none" w:pos="632"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0"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1,552,085 shares.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261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2001, agree and consent to the joint filing on their behalf of this Schedule 13G in connection with their beneficial ownership of the common stock of Texas Instruments Incorporated at December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jc w:val="both"/>
        <w:spacing w:after="0"/>
        <w:tabs>
          <w:tab w:leader="none" w:pos="5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jc w:val="right"/>
        <w:ind w:right="7899"/>
        <w:spacing w:after="0" w:line="238" w:lineRule="auto"/>
        <w:rPr>
          <w:sz w:val="20"/>
          <w:szCs w:val="20"/>
          <w:color w:val="auto"/>
        </w:rPr>
      </w:pPr>
      <w:r>
        <w:rPr>
          <w:rFonts w:ascii="Courier New" w:cs="Courier New" w:eastAsia="Courier New" w:hAnsi="Courier New"/>
          <w:sz w:val="18"/>
          <w:szCs w:val="18"/>
          <w:color w:val="auto"/>
        </w:rPr>
        <w:t>Eric D. Roiter</w:t>
      </w:r>
    </w:p>
    <w:p>
      <w:pPr>
        <w:sectPr>
          <w:pgSz w:w="11900" w:h="16838" w:orient="portrait"/>
          <w:cols w:equalWidth="0" w:num="1">
            <w:col w:w="10219"/>
          </w:cols>
          <w:pgMar w:left="240" w:top="142" w:right="1440" w:bottom="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2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of FMR Corp. and its direct and indirect</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5160" w:type="dxa"/>
            <w:vAlign w:val="bottom"/>
            <w:gridSpan w:val="3"/>
          </w:tcPr>
          <w:p>
            <w:pPr>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Senior V.P. and General Counsel</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3"/>
    </w:lvl>
  </w:abstractNum>
  <w:abstractNum w:abstractNumId="1">
    <w:nsid w:val="74B0DC51"/>
    <w:multiLevelType w:val="hybridMultilevel"/>
    <w:lvl w:ilvl="0">
      <w:lvlJc w:val="left"/>
      <w:lvlText w:val="(%1)"/>
      <w:numFmt w:val="lowerRoman"/>
      <w:start w:val="3"/>
    </w:lvl>
  </w:abstractNum>
  <w:abstractNum w:abstractNumId="2">
    <w:nsid w:val="19495CFF"/>
    <w:multiLevelType w:val="hybridMultilevel"/>
    <w:lvl w:ilvl="0">
      <w:lvlJc w:val="left"/>
      <w:lvlText w:val="(%1)"/>
      <w:numFmt w:val="lowerRoman"/>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2019-12-13T07:49:59Z</dcterms:created>
  <dcterms:modified xsi:type="dcterms:W3CDTF">2019-12-13T07:49:59Z</dcterms:modified>
</cp:coreProperties>
</file>