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September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September 20, 2018, regarding a share repurchase program and planned dividend increase, attached hereto as Exhibit 99 is incorporated by reference 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00"/>
          </w:cols>
          <w:pgMar w:left="240" w:top="125" w:right="359" w:bottom="1440" w:gutter="0" w:footer="0" w:header="0"/>
        </w:sectPr>
      </w:pPr>
    </w:p>
    <w:p>
      <w:pPr>
        <w:spacing w:after="0" w:line="225" w:lineRule="exact"/>
        <w:rPr>
          <w:sz w:val="20"/>
          <w:szCs w:val="20"/>
          <w:color w:val="auto"/>
        </w:rPr>
      </w:pPr>
    </w:p>
    <w:p>
      <w:pPr>
        <w:jc w:val="center"/>
        <w:ind w:left="140"/>
        <w:spacing w:after="0" w:line="428"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-92075</wp:posOffset>
            </wp:positionV>
            <wp:extent cx="654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450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0975" cy="889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1020" w:space="240"/>
            <w:col w:w="10040"/>
          </w:cols>
          <w:pgMar w:left="240" w:top="125" w:right="359" w:bottom="1440" w:gutter="0" w:footer="0" w:header="0"/>
          <w:type w:val="continuous"/>
        </w:sectPr>
      </w:pPr>
    </w:p>
    <w:p>
      <w:pPr>
        <w:jc w:val="both"/>
        <w:ind w:left="1260" w:right="8120" w:hanging="768"/>
        <w:spacing w:after="0" w:line="381" w:lineRule="auto"/>
        <w:tabs>
          <w:tab w:leader="none" w:pos="1260" w:val="left"/>
        </w:tabs>
        <w:numPr>
          <w:ilvl w:val="0"/>
          <w:numId w:val="2"/>
        </w:numPr>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Registrant’s News Release</w:t>
        </w:r>
      </w:hyperlink>
      <w:r>
        <w:rPr>
          <w:rFonts w:ascii="Arial" w:cs="Arial" w:eastAsia="Arial" w:hAnsi="Arial"/>
          <w:sz w:val="15"/>
          <w:szCs w:val="15"/>
          <w:u w:val="single" w:color="auto"/>
          <w:color w:val="0000EE"/>
        </w:rPr>
        <w:t xml:space="preserve"> </w:t>
      </w:r>
      <w:r>
        <w:rPr>
          <w:rFonts w:ascii="Arial" w:cs="Arial" w:eastAsia="Arial" w:hAnsi="Arial"/>
          <w:sz w:val="15"/>
          <w:szCs w:val="15"/>
          <w:color w:val="000000"/>
        </w:rPr>
        <w:t>Dated September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20, 2018</w:t>
            </w:r>
          </w:p>
        </w:tc>
        <w:tc>
          <w:tcPr>
            <w:tcW w:w="2480" w:type="dxa"/>
            <w:vAlign w:val="bottom"/>
          </w:tcPr>
          <w:p>
            <w:pPr>
              <w:ind w:left="18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ind w:left="10460"/>
        <w:spacing w:after="0"/>
        <w:rPr>
          <w:sz w:val="20"/>
          <w:szCs w:val="20"/>
          <w:color w:val="auto"/>
        </w:rPr>
      </w:pPr>
      <w:r>
        <w:rPr>
          <w:rFonts w:ascii="Arial" w:cs="Arial" w:eastAsia="Arial" w:hAnsi="Arial"/>
          <w:sz w:val="19"/>
          <w:szCs w:val="19"/>
          <w:b w:val="1"/>
          <w:bCs w:val="1"/>
          <w:u w:val="single" w:color="auto"/>
          <w:color w:val="auto"/>
        </w:rPr>
        <w:t>Exhibit 99</w:t>
      </w:r>
    </w:p>
    <w:p>
      <w:pPr>
        <w:spacing w:after="0" w:line="24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TI to return more cash to shareholders with 24% dividend increase and authorization for additional $12 billion in share repurchases</w:t>
      </w:r>
    </w:p>
    <w:p>
      <w:pPr>
        <w:spacing w:after="0" w:line="244"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DALLAS (Sept. 20, 2018) – Texas Instruments Incorporated (TI) (NASDAQ: TXN) today said it will raise its quarterly cash dividend by 24 percent, from $0.62 per share to $0.77, or $3.08 annualized. The higher dividend will be payable November 19, 2018, to stockholders of record on October 31, 2018, contingent upon formal declaration by the board of directors at its regular meeting in October.</w:t>
      </w:r>
    </w:p>
    <w:p>
      <w:pPr>
        <w:spacing w:after="0" w:line="185"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The board of directors also authorized the company to repurchase an additional $12 billion of its common stock over time. This is in addition to approximately $7.4 billion of previously authorized repurchases that remained at the end of June 2018.</w:t>
      </w:r>
    </w:p>
    <w:p>
      <w:pPr>
        <w:spacing w:after="0" w:line="105"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Dividend increases and share repurchases are integral pieces of TI's capital management strategy, reflecting the company’s continued strength in free cash flow generation and its commitment to return excess cash to stockholders. In the 12-month period ending June 2018, TI has paid 41 percent of its free cash flow in dividends. Today’s announcement marks 15 consecutive years of dividend increases. As of second quarter 2018, the company has reduced its outstanding shares by 43 percent through its consistent share repurchases since the end of 2004.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10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7"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We urge you to carefully consider the following important factors that could cause actual results to differ materially from the expectations of TI or our management:</w:t>
      </w:r>
    </w:p>
    <w:p>
      <w:pPr>
        <w:spacing w:after="0" w:line="17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Market demand for semiconductors, particularly in our end markets;</w:t>
      </w:r>
    </w:p>
    <w:p>
      <w:pPr>
        <w:spacing w:after="0" w:line="8"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compete in products and prices in an intensely competitive industry;</w:t>
      </w:r>
    </w:p>
    <w:p>
      <w:pPr>
        <w:ind w:left="380" w:right="220" w:hanging="372"/>
        <w:spacing w:after="0" w:line="230" w:lineRule="auto"/>
        <w:tabs>
          <w:tab w:leader="none" w:pos="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Customer demand that differs from forecasts and the financial impact of inadequate or excess company inventory that results from demand that differs from projections;</w:t>
      </w:r>
    </w:p>
    <w:p>
      <w:pPr>
        <w:spacing w:after="0" w:line="1" w:lineRule="exact"/>
        <w:rPr>
          <w:rFonts w:ascii="Arial" w:cs="Arial" w:eastAsia="Arial" w:hAnsi="Arial"/>
          <w:sz w:val="22"/>
          <w:szCs w:val="22"/>
          <w:color w:val="auto"/>
        </w:rPr>
      </w:pPr>
    </w:p>
    <w:p>
      <w:pPr>
        <w:ind w:left="380" w:right="400" w:hanging="372"/>
        <w:spacing w:after="0" w:line="267" w:lineRule="auto"/>
        <w:tabs>
          <w:tab w:leader="none" w:pos="380" w:val="left"/>
        </w:tabs>
        <w:numPr>
          <w:ilvl w:val="0"/>
          <w:numId w:val="3"/>
        </w:numPr>
        <w:rPr>
          <w:rFonts w:ascii="Arial" w:cs="Arial" w:eastAsia="Arial" w:hAnsi="Arial"/>
          <w:sz w:val="19"/>
          <w:szCs w:val="19"/>
          <w:color w:val="auto"/>
        </w:rPr>
      </w:pPr>
      <w:r>
        <w:rPr>
          <w:rFonts w:ascii="Arial" w:cs="Arial" w:eastAsia="Arial" w:hAnsi="Arial"/>
          <w:sz w:val="19"/>
          <w:szCs w:val="19"/>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ind w:left="380" w:hanging="372"/>
        <w:spacing w:after="0" w:line="230" w:lineRule="auto"/>
        <w:tabs>
          <w:tab w:leader="none" w:pos="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Evolving cybersecurity threats to our information technology systems or those of our customers or suppliers;</w:t>
      </w:r>
    </w:p>
    <w:p>
      <w:pPr>
        <w:ind w:left="380" w:right="20" w:hanging="372"/>
        <w:spacing w:after="0" w:line="230" w:lineRule="auto"/>
        <w:tabs>
          <w:tab w:leader="none" w:pos="3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Natural events such as severe weather, geological events or health epidemics in the locations in which we, our customers or our suppliers operate;</w:t>
      </w:r>
    </w:p>
    <w:p>
      <w:pPr>
        <w:spacing w:after="0" w:line="1" w:lineRule="exact"/>
        <w:rPr>
          <w:rFonts w:ascii="Arial" w:cs="Arial" w:eastAsia="Arial" w:hAnsi="Arial"/>
          <w:sz w:val="22"/>
          <w:szCs w:val="22"/>
          <w:color w:val="auto"/>
        </w:rPr>
      </w:pPr>
    </w:p>
    <w:p>
      <w:pPr>
        <w:ind w:left="380" w:hanging="372"/>
        <w:spacing w:after="0"/>
        <w:tabs>
          <w:tab w:leader="none" w:pos="380" w:val="left"/>
        </w:tabs>
        <w:numPr>
          <w:ilvl w:val="0"/>
          <w:numId w:val="3"/>
        </w:numPr>
        <w:rPr>
          <w:rFonts w:ascii="Arial" w:cs="Arial" w:eastAsia="Arial" w:hAnsi="Arial"/>
          <w:sz w:val="21"/>
          <w:szCs w:val="21"/>
          <w:color w:val="auto"/>
        </w:rPr>
      </w:pPr>
      <w:r>
        <w:rPr>
          <w:rFonts w:ascii="Arial" w:cs="Arial" w:eastAsia="Arial" w:hAnsi="Arial"/>
          <w:sz w:val="21"/>
          <w:szCs w:val="21"/>
          <w:color w:val="auto"/>
        </w:rPr>
        <w:t>Our ability to develop, manufacture and market innovative products in a rapidly changing technological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Page 2</w:t>
      </w:r>
    </w:p>
    <w:p>
      <w:pPr>
        <w:spacing w:after="0" w:line="321" w:lineRule="exact"/>
        <w:rPr>
          <w:sz w:val="20"/>
          <w:szCs w:val="20"/>
          <w:color w:val="auto"/>
        </w:rPr>
      </w:pPr>
    </w:p>
    <w:p>
      <w:pPr>
        <w:ind w:left="380" w:right="440" w:hanging="372"/>
        <w:spacing w:after="0" w:line="239"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Timely implementation of new manufacturing technologies and installation of manufacturing equipment, and the ability to obtain needed third-party foundry and assembly/test subcontract services;</w:t>
      </w:r>
    </w:p>
    <w:p>
      <w:pPr>
        <w:ind w:left="380" w:right="124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Availability and cost of raw materials, utilities, manufacturing equipment, third-party manufacturing services and manufacturing technology;</w:t>
      </w:r>
    </w:p>
    <w:p>
      <w:pPr>
        <w:spacing w:after="0" w:line="1" w:lineRule="exact"/>
        <w:rPr>
          <w:rFonts w:ascii="Arial" w:cs="Arial" w:eastAsia="Arial" w:hAnsi="Arial"/>
          <w:sz w:val="22"/>
          <w:szCs w:val="22"/>
          <w:color w:val="auto"/>
        </w:rPr>
      </w:pPr>
    </w:p>
    <w:p>
      <w:pPr>
        <w:ind w:left="380" w:right="20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2" w:lineRule="exact"/>
        <w:rPr>
          <w:rFonts w:ascii="Arial" w:cs="Arial" w:eastAsia="Arial" w:hAnsi="Arial"/>
          <w:sz w:val="22"/>
          <w:szCs w:val="22"/>
          <w:color w:val="auto"/>
        </w:rPr>
      </w:pPr>
    </w:p>
    <w:p>
      <w:pPr>
        <w:jc w:val="both"/>
        <w:ind w:left="380" w:right="480" w:hanging="372"/>
        <w:spacing w:after="0" w:line="267" w:lineRule="auto"/>
        <w:tabs>
          <w:tab w:leader="none" w:pos="38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ind w:left="380" w:right="12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loss suffered by one of our customers or distributors with respect to TI-consigned inventory;</w:t>
      </w:r>
    </w:p>
    <w:p>
      <w:pPr>
        <w:ind w:left="380" w:right="78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difficulties of our distributors or their promotion of competing product lines to our detriment, or the loss of a significant number of distributors;</w:t>
      </w:r>
    </w:p>
    <w:p>
      <w:pPr>
        <w:spacing w:after="0" w:line="1" w:lineRule="exact"/>
        <w:rPr>
          <w:rFonts w:ascii="Arial" w:cs="Arial" w:eastAsia="Arial" w:hAnsi="Arial"/>
          <w:sz w:val="22"/>
          <w:szCs w:val="22"/>
          <w:color w:val="auto"/>
        </w:rPr>
      </w:pPr>
    </w:p>
    <w:p>
      <w:pPr>
        <w:ind w:left="380" w:right="16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Losses or curtailments of purchases from key customers or the timing and amount of distributor and other customer inventory adjustments;</w:t>
      </w:r>
    </w:p>
    <w:p>
      <w:pPr>
        <w:spacing w:after="0" w:line="1" w:lineRule="exact"/>
        <w:rPr>
          <w:rFonts w:ascii="Arial" w:cs="Arial" w:eastAsia="Arial" w:hAnsi="Arial"/>
          <w:sz w:val="22"/>
          <w:szCs w:val="22"/>
          <w:color w:val="auto"/>
        </w:rPr>
      </w:pPr>
    </w:p>
    <w:p>
      <w:pPr>
        <w:ind w:left="380" w:right="2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 w:lineRule="exact"/>
        <w:rPr>
          <w:rFonts w:ascii="Arial" w:cs="Arial" w:eastAsia="Arial" w:hAnsi="Arial"/>
          <w:sz w:val="22"/>
          <w:szCs w:val="22"/>
          <w:color w:val="auto"/>
        </w:rPr>
      </w:pPr>
    </w:p>
    <w:p>
      <w:pPr>
        <w:ind w:left="380" w:right="108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maintain and enforce a strong intellectual property portfolio and maintain freedom of operation in all jurisdictions where we conduct business; or our exposure to infringement claims;</w:t>
      </w:r>
    </w:p>
    <w:p>
      <w:pPr>
        <w:spacing w:after="0" w:line="1" w:lineRule="exact"/>
        <w:rPr>
          <w:rFonts w:ascii="Arial" w:cs="Arial" w:eastAsia="Arial" w:hAnsi="Arial"/>
          <w:sz w:val="22"/>
          <w:szCs w:val="22"/>
          <w:color w:val="auto"/>
        </w:rPr>
      </w:pPr>
    </w:p>
    <w:p>
      <w:pPr>
        <w:ind w:left="380" w:right="16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Instability in the global credit and financial markets that affects our ability to fund our daily operations, invest in the business, make strategic acquisitions, or make principal and interest payments on our debt;</w:t>
      </w:r>
    </w:p>
    <w:p>
      <w:pPr>
        <w:spacing w:after="0" w:line="1"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Increases in health care and pension benefit costs;</w:t>
      </w:r>
    </w:p>
    <w:p>
      <w:pPr>
        <w:ind w:left="380" w:hanging="372"/>
        <w:spacing w:after="0" w:line="230" w:lineRule="auto"/>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recruit and retain skilled engineering, management and technical personnel;</w:t>
      </w:r>
    </w:p>
    <w:p>
      <w:pPr>
        <w:ind w:left="380" w:right="800" w:hanging="372"/>
        <w:spacing w:after="0" w:line="267" w:lineRule="auto"/>
        <w:tabs>
          <w:tab w:leader="none" w:pos="38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successfully integrate and realize opportunities for growth from acquisitions, or our ability to realize our expectations regarding the amount and timing of restructuring charges and associated cost savings; and</w:t>
      </w:r>
    </w:p>
    <w:p>
      <w:pPr>
        <w:ind w:left="380" w:hanging="372"/>
        <w:spacing w:after="0"/>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Impairments of our non-financial assets.</w:t>
      </w:r>
    </w:p>
    <w:p>
      <w:pPr>
        <w:spacing w:after="0" w:line="215" w:lineRule="exact"/>
        <w:rPr>
          <w:sz w:val="20"/>
          <w:szCs w:val="20"/>
          <w:color w:val="auto"/>
        </w:rPr>
      </w:pPr>
    </w:p>
    <w:p>
      <w:pPr>
        <w:ind w:right="200"/>
        <w:spacing w:after="0" w:line="258" w:lineRule="auto"/>
        <w:rPr>
          <w:sz w:val="20"/>
          <w:szCs w:val="20"/>
          <w:color w:val="auto"/>
        </w:rPr>
      </w:pPr>
      <w:r>
        <w:rPr>
          <w:rFonts w:ascii="Arial" w:cs="Arial" w:eastAsia="Arial" w:hAnsi="Arial"/>
          <w:sz w:val="21"/>
          <w:szCs w:val="21"/>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12"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21"/>
          <w:szCs w:val="21"/>
          <w:u w:val="single" w:color="auto"/>
          <w:color w:val="0000FF"/>
        </w:rPr>
        <w:t>www.ti.com</w:t>
      </w:r>
      <w:r>
        <w:rPr>
          <w:rFonts w:ascii="Arial" w:cs="Arial" w:eastAsia="Arial" w:hAnsi="Arial"/>
          <w:sz w:val="21"/>
          <w:szCs w:val="21"/>
          <w:color w:val="auto"/>
        </w:rPr>
        <w:t>.</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2019-12-28T19:28:39Z</dcterms:created>
  <dcterms:modified xsi:type="dcterms:W3CDTF">2019-12-28T19:28:39Z</dcterms:modified>
</cp:coreProperties>
</file>