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591185</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61"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DATE OF REPORT (DATE OF EARLIEST EVENT REPORTED): September 11,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600710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0" w:lineRule="exact"/>
        <w:rPr>
          <w:sz w:val="24"/>
          <w:szCs w:val="24"/>
          <w:color w:val="auto"/>
        </w:rPr>
      </w:pPr>
    </w:p>
    <w:p>
      <w:pPr>
        <w:spacing w:after="0" w:line="302" w:lineRule="exact"/>
        <w:rPr>
          <w:sz w:val="24"/>
          <w:szCs w:val="24"/>
          <w:color w:val="auto"/>
        </w:rPr>
      </w:pPr>
    </w:p>
    <w:p>
      <w:pPr>
        <w:ind w:left="1400"/>
        <w:spacing w:after="0"/>
        <w:tabs>
          <w:tab w:leader="none" w:pos="5360" w:val="left"/>
          <w:tab w:leader="none" w:pos="912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001-03761</w:t>
      </w:r>
      <w:r>
        <w:rPr>
          <w:sz w:val="20"/>
          <w:szCs w:val="20"/>
          <w:color w:val="auto"/>
        </w:rPr>
        <w:tab/>
      </w:r>
      <w:r>
        <w:rPr>
          <w:rFonts w:ascii="Arial" w:cs="Arial" w:eastAsia="Arial" w:hAnsi="Arial"/>
          <w:sz w:val="16"/>
          <w:szCs w:val="16"/>
          <w:b w:val="1"/>
          <w:bCs w:val="1"/>
          <w:color w:val="auto"/>
        </w:rPr>
        <w:t>75-0289970</w:t>
      </w:r>
    </w:p>
    <w:p>
      <w:pPr>
        <w:spacing w:after="0" w:line="63" w:lineRule="exact"/>
        <w:rPr>
          <w:sz w:val="24"/>
          <w:szCs w:val="24"/>
          <w:color w:val="auto"/>
        </w:rPr>
      </w:pPr>
    </w:p>
    <w:p>
      <w:pPr>
        <w:ind w:left="200"/>
        <w:spacing w:after="0"/>
        <w:tabs>
          <w:tab w:leader="none" w:pos="4740" w:val="left"/>
          <w:tab w:leader="none" w:pos="8220" w:val="left"/>
        </w:tabs>
        <w:rPr>
          <w:sz w:val="20"/>
          <w:szCs w:val="20"/>
          <w:color w:val="auto"/>
        </w:rPr>
      </w:pPr>
      <w:r>
        <w:rPr>
          <w:rFonts w:ascii="Arial" w:cs="Arial" w:eastAsia="Arial" w:hAnsi="Arial"/>
          <w:sz w:val="18"/>
          <w:szCs w:val="18"/>
          <w:b w:val="1"/>
          <w:bCs w:val="1"/>
          <w:color w:val="auto"/>
        </w:rPr>
        <w:t>(State or other jurisdiction of incorporation)</w:t>
      </w:r>
      <w:r>
        <w:rPr>
          <w:sz w:val="20"/>
          <w:szCs w:val="20"/>
          <w:color w:val="auto"/>
        </w:rPr>
        <w:tab/>
      </w:r>
      <w:r>
        <w:rPr>
          <w:rFonts w:ascii="Arial" w:cs="Arial" w:eastAsia="Arial" w:hAnsi="Arial"/>
          <w:sz w:val="18"/>
          <w:szCs w:val="18"/>
          <w:b w:val="1"/>
          <w:bCs w:val="1"/>
          <w:color w:val="auto"/>
        </w:rPr>
        <w:t>(Commission file number)</w:t>
      </w:r>
      <w:r>
        <w:rPr>
          <w:sz w:val="20"/>
          <w:szCs w:val="20"/>
          <w:color w:val="auto"/>
        </w:rPr>
        <w:tab/>
      </w:r>
      <w:r>
        <w:rPr>
          <w:rFonts w:ascii="Arial" w:cs="Arial" w:eastAsia="Arial" w:hAnsi="Arial"/>
          <w:sz w:val="16"/>
          <w:szCs w:val="16"/>
          <w:b w:val="1"/>
          <w:bCs w:val="1"/>
          <w:color w:val="auto"/>
        </w:rPr>
        <w:t>(I.R.S. employer identification no.)</w:t>
      </w:r>
    </w:p>
    <w:p>
      <w:pPr>
        <w:spacing w:after="0" w:line="33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6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600710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24"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00"/>
          </w:cols>
          <w:pgMar w:left="240" w:top="477" w:right="759" w:bottom="1440" w:gutter="0" w:footer="0" w:header="0"/>
        </w:sectPr>
      </w:pPr>
    </w:p>
    <w:p>
      <w:pPr>
        <w:spacing w:after="0" w:line="200" w:lineRule="exact"/>
        <w:rPr>
          <w:sz w:val="24"/>
          <w:szCs w:val="24"/>
          <w:color w:val="auto"/>
        </w:rPr>
      </w:pPr>
    </w:p>
    <w:p>
      <w:pPr>
        <w:spacing w:after="0" w:line="318" w:lineRule="exact"/>
        <w:rPr>
          <w:sz w:val="24"/>
          <w:szCs w:val="24"/>
          <w:color w:val="auto"/>
        </w:rPr>
      </w:pPr>
    </w:p>
    <w:p>
      <w:pPr>
        <w:jc w:val="center"/>
        <w:ind w:right="-519"/>
        <w:spacing w:after="0"/>
        <w:rPr>
          <w:sz w:val="20"/>
          <w:szCs w:val="20"/>
          <w:color w:val="auto"/>
        </w:rPr>
      </w:pPr>
      <w:r>
        <w:rPr>
          <w:rFonts w:ascii="Arial" w:cs="Arial" w:eastAsia="Arial" w:hAnsi="Arial"/>
          <w:sz w:val="10"/>
          <w:szCs w:val="1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477"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Registrant's news release dated September 11, 2006, regarding the Registrant's outlook for the third quarter of 2006 attached hereto as Exhibit 99 is incorporated by reference herein.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0"/>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53"/>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70"/>
        </w:trPr>
        <w:tc>
          <w:tcPr>
            <w:tcW w:w="1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September 11, 2006 (furnished pursuant to Item 7.01)</w:t>
            </w:r>
          </w:p>
        </w:tc>
      </w:tr>
    </w:tbl>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306"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September 11,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5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-130175</wp:posOffset>
            </wp:positionV>
            <wp:extent cx="3267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68" w:right="239" w:bottom="453"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453" w:gutter="0" w:footer="0" w:header="0"/>
          <w:type w:val="continuous"/>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TI Updates Third-Quarter 2006 Business Outlook</w:t>
      </w:r>
    </w:p>
    <w:p>
      <w:pPr>
        <w:spacing w:after="0" w:line="327" w:lineRule="exact"/>
        <w:rPr>
          <w:sz w:val="20"/>
          <w:szCs w:val="20"/>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Expected between $3.71 Billion and $3.87 Billion</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Expected between $0.44 and $0.46</w:t>
      </w:r>
    </w:p>
    <w:p>
      <w:pPr>
        <w:spacing w:after="0" w:line="23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Conference Call on TI Web Site at 4 p.m. CDT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www.ti.com</w:t>
      </w: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DALLAS (Sept. 11, 2006) - In a scheduled update to its business outlook for the third quarter of 2006, Texas Instruments Incorporated (TI) (NYSE: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TXN) today revised its expected ranges for revenue and earnings per share (EPS).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expectations for revenue from continuing operations are:</w:t>
      </w:r>
    </w:p>
    <w:p>
      <w:pPr>
        <w:spacing w:after="0" w:line="279" w:lineRule="exact"/>
        <w:rPr>
          <w:sz w:val="20"/>
          <w:szCs w:val="20"/>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between $3.71 billion and $3.87 billion, compared with the prior range of $3.63 billion to $3.95 billion;</w:t>
      </w:r>
    </w:p>
    <w:p>
      <w:pPr>
        <w:spacing w:after="0" w:line="279" w:lineRule="exact"/>
        <w:rPr>
          <w:rFonts w:ascii="Arial" w:cs="Arial" w:eastAsia="Arial" w:hAnsi="Arial"/>
          <w:sz w:val="18"/>
          <w:szCs w:val="18"/>
          <w:color w:val="auto"/>
        </w:rPr>
      </w:pPr>
    </w:p>
    <w:p>
      <w:pPr>
        <w:ind w:left="1140" w:hanging="132"/>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Semiconductor revenue between $3.53 billion and $3.67 billion, compared with the prior range of $3.45 billion to $3.75 billion; and</w:t>
      </w:r>
    </w:p>
    <w:p>
      <w:pPr>
        <w:spacing w:after="0" w:line="290" w:lineRule="exact"/>
        <w:rPr>
          <w:rFonts w:ascii="Arial" w:cs="Arial" w:eastAsia="Arial" w:hAnsi="Arial"/>
          <w:sz w:val="17"/>
          <w:szCs w:val="17"/>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Educational &amp; Productivity Solutions revenue between $180 million and $200 million, unchanged from the prior estimate.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expects EPS from continuing operations between $0.44 and $0.46, compared with the previous range of $0.42 to $0.48.</w:t>
      </w:r>
    </w:p>
    <w:p>
      <w:pPr>
        <w:spacing w:after="0" w:line="27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The company will hold a conference call at 4 p.m. CDT today to discuss this update. This conference call will be available live at </w:t>
      </w:r>
      <w:r>
        <w:rPr>
          <w:rFonts w:ascii="Arial" w:cs="Arial" w:eastAsia="Arial" w:hAnsi="Arial"/>
          <w:sz w:val="18"/>
          <w:szCs w:val="18"/>
          <w:u w:val="single" w:color="auto"/>
          <w:color w:val="auto"/>
        </w:rPr>
        <w:t>www.ti.com</w:t>
      </w:r>
      <w:r>
        <w:rPr>
          <w:rFonts w:ascii="Arial" w:cs="Arial" w:eastAsia="Arial" w:hAnsi="Arial"/>
          <w:sz w:val="18"/>
          <w:szCs w:val="18"/>
          <w:color w:val="auto"/>
        </w:rPr>
        <w:t xml:space="preserve">. TI’s original third-quarter outlook was published in the company’s second-quarter 2006 earnings release on July 24, available at </w:t>
      </w:r>
      <w:r>
        <w:rPr>
          <w:rFonts w:ascii="Arial" w:cs="Arial" w:eastAsia="Arial" w:hAnsi="Arial"/>
          <w:sz w:val="18"/>
          <w:szCs w:val="18"/>
          <w:u w:val="single" w:color="auto"/>
          <w:color w:val="auto"/>
        </w:rPr>
        <w:t>www.ti.com</w:t>
      </w:r>
      <w:r>
        <w:rPr>
          <w:rFonts w:ascii="Arial" w:cs="Arial" w:eastAsia="Arial" w:hAnsi="Arial"/>
          <w:sz w:val="18"/>
          <w:szCs w:val="18"/>
          <w:color w:val="auto"/>
        </w:rPr>
        <w:t>. TI’s third quarter ends on September 30.</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660" w:hanging="139"/>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3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 includes the Educational &amp; Productivity Solutions business. TI is headquartered in Dallas, Texas, and has manufacturing, design or sales operations in more than 25 countries.</w:t>
      </w:r>
    </w:p>
    <w:p>
      <w:pPr>
        <w:sectPr>
          <w:pgSz w:w="11900" w:h="16838" w:orient="portrait"/>
          <w:cols w:equalWidth="0" w:num="1">
            <w:col w:w="11420"/>
          </w:cols>
          <w:pgMar w:left="240" w:top="125" w:right="239" w:bottom="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sectPr>
      <w:pgSz w:w="11900" w:h="16838" w:orient="portrait"/>
      <w:cols w:equalWidth="0" w:num="1">
        <w:col w:w="11200"/>
      </w:cols>
      <w:pgMar w:left="240" w:top="12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2019-12-13T07:41:49Z</dcterms:created>
  <dcterms:modified xsi:type="dcterms:W3CDTF">2019-12-13T07:41:49Z</dcterms:modified>
</cp:coreProperties>
</file>