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17"/>
          <w:szCs w:val="17"/>
          <w:color w:val="auto"/>
        </w:rPr>
        <w:t>SCHEDULE 14A</w:t>
      </w:r>
    </w:p>
    <w:p>
      <w:pPr>
        <w:spacing w:after="0" w:line="244" w:lineRule="exact"/>
        <w:rPr>
          <w:sz w:val="24"/>
          <w:szCs w:val="24"/>
          <w:color w:val="auto"/>
        </w:rPr>
      </w:pPr>
    </w:p>
    <w:p>
      <w:pPr>
        <w:jc w:val="center"/>
        <w:ind w:right="-339"/>
        <w:spacing w:after="0"/>
        <w:rPr>
          <w:sz w:val="20"/>
          <w:szCs w:val="20"/>
          <w:color w:val="auto"/>
        </w:rPr>
      </w:pPr>
      <w:r>
        <w:rPr>
          <w:rFonts w:ascii="Arial" w:cs="Arial" w:eastAsia="Arial" w:hAnsi="Arial"/>
          <w:sz w:val="17"/>
          <w:szCs w:val="17"/>
          <w:color w:val="auto"/>
        </w:rPr>
        <w:t>(Rule 14a-101)</w:t>
      </w:r>
    </w:p>
    <w:p>
      <w:pPr>
        <w:spacing w:after="0" w:line="244" w:lineRule="exact"/>
        <w:rPr>
          <w:sz w:val="24"/>
          <w:szCs w:val="24"/>
          <w:color w:val="auto"/>
        </w:rPr>
      </w:pPr>
    </w:p>
    <w:p>
      <w:pPr>
        <w:jc w:val="center"/>
        <w:ind w:right="-339"/>
        <w:spacing w:after="0"/>
        <w:rPr>
          <w:sz w:val="20"/>
          <w:szCs w:val="20"/>
          <w:color w:val="auto"/>
        </w:rPr>
      </w:pPr>
      <w:r>
        <w:rPr>
          <w:rFonts w:ascii="Arial" w:cs="Arial" w:eastAsia="Arial" w:hAnsi="Arial"/>
          <w:sz w:val="16"/>
          <w:szCs w:val="16"/>
          <w:color w:val="auto"/>
        </w:rPr>
        <w:t>INFORMATION REQUIRED IN PROXY STATEMENT</w:t>
      </w:r>
    </w:p>
    <w:p>
      <w:pPr>
        <w:spacing w:after="0" w:line="255" w:lineRule="exact"/>
        <w:rPr>
          <w:sz w:val="24"/>
          <w:szCs w:val="24"/>
          <w:color w:val="auto"/>
        </w:rPr>
      </w:pPr>
    </w:p>
    <w:p>
      <w:pPr>
        <w:jc w:val="center"/>
        <w:ind w:right="-339"/>
        <w:spacing w:after="0"/>
        <w:rPr>
          <w:sz w:val="20"/>
          <w:szCs w:val="20"/>
          <w:color w:val="auto"/>
        </w:rPr>
      </w:pPr>
      <w:r>
        <w:rPr>
          <w:rFonts w:ascii="Arial" w:cs="Arial" w:eastAsia="Arial" w:hAnsi="Arial"/>
          <w:sz w:val="17"/>
          <w:szCs w:val="17"/>
          <w:color w:val="auto"/>
        </w:rPr>
        <w:t>SCHEDULE 14A INFORMATION</w:t>
      </w:r>
    </w:p>
    <w:p>
      <w:pPr>
        <w:spacing w:after="0" w:line="244" w:lineRule="exact"/>
        <w:rPr>
          <w:sz w:val="24"/>
          <w:szCs w:val="24"/>
          <w:color w:val="auto"/>
        </w:rPr>
      </w:pPr>
    </w:p>
    <w:p>
      <w:pPr>
        <w:jc w:val="center"/>
        <w:ind w:right="-339"/>
        <w:spacing w:after="0"/>
        <w:rPr>
          <w:sz w:val="20"/>
          <w:szCs w:val="20"/>
          <w:color w:val="auto"/>
        </w:rPr>
      </w:pPr>
      <w:r>
        <w:rPr>
          <w:rFonts w:ascii="Arial" w:cs="Arial" w:eastAsia="Arial" w:hAnsi="Arial"/>
          <w:sz w:val="17"/>
          <w:szCs w:val="17"/>
          <w:color w:val="auto"/>
        </w:rPr>
        <w:t>Proxy Statement Pursuant to Section 14(a) of the</w:t>
      </w:r>
    </w:p>
    <w:p>
      <w:pPr>
        <w:spacing w:after="0" w:line="18" w:lineRule="exact"/>
        <w:rPr>
          <w:sz w:val="24"/>
          <w:szCs w:val="24"/>
          <w:color w:val="auto"/>
        </w:rPr>
      </w:pPr>
    </w:p>
    <w:p>
      <w:pPr>
        <w:jc w:val="center"/>
        <w:ind w:right="-339"/>
        <w:spacing w:after="0"/>
        <w:rPr>
          <w:sz w:val="20"/>
          <w:szCs w:val="20"/>
          <w:color w:val="auto"/>
        </w:rPr>
      </w:pPr>
      <w:r>
        <w:rPr>
          <w:rFonts w:ascii="Arial" w:cs="Arial" w:eastAsia="Arial" w:hAnsi="Arial"/>
          <w:sz w:val="16"/>
          <w:szCs w:val="16"/>
          <w:color w:val="auto"/>
        </w:rPr>
        <w:t>Securities Exchange Act of 1934 (Amendment No. )</w:t>
      </w:r>
    </w:p>
    <w:p>
      <w:pPr>
        <w:sectPr>
          <w:pgSz w:w="11900" w:h="16838" w:orient="portrait"/>
          <w:cols w:equalWidth="0" w:num="1">
            <w:col w:w="11100"/>
          </w:cols>
          <w:pgMar w:left="240" w:top="467" w:right="559" w:bottom="1440" w:gutter="0" w:footer="0" w:header="0"/>
        </w:sectPr>
      </w:pPr>
    </w:p>
    <w:p>
      <w:pPr>
        <w:spacing w:after="0" w:line="261" w:lineRule="exact"/>
        <w:rPr>
          <w:sz w:val="24"/>
          <w:szCs w:val="24"/>
          <w:color w:val="auto"/>
        </w:rPr>
      </w:pPr>
    </w:p>
    <w:p>
      <w:pPr>
        <w:spacing w:after="0"/>
        <w:rPr>
          <w:sz w:val="20"/>
          <w:szCs w:val="20"/>
          <w:color w:val="auto"/>
        </w:rPr>
      </w:pPr>
      <w:r>
        <w:rPr>
          <w:rFonts w:ascii="Arial" w:cs="Arial" w:eastAsia="Arial" w:hAnsi="Arial"/>
          <w:sz w:val="17"/>
          <w:szCs w:val="17"/>
          <w:color w:val="auto"/>
        </w:rPr>
        <w:t>Filed by the Registrant [X]</w:t>
      </w:r>
    </w:p>
    <w:p>
      <w:pPr>
        <w:spacing w:after="0" w:line="37"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211" w:lineRule="exact"/>
        <w:rPr>
          <w:sz w:val="24"/>
          <w:szCs w:val="24"/>
          <w:color w:val="auto"/>
        </w:rPr>
      </w:pPr>
    </w:p>
    <w:p>
      <w:pPr>
        <w:sectPr>
          <w:pgSz w:w="11900" w:h="16838" w:orient="portrait"/>
          <w:cols w:equalWidth="0" w:num="2">
            <w:col w:w="2860" w:space="140"/>
            <w:col w:w="8100"/>
          </w:cols>
          <w:pgMar w:left="240" w:top="467" w:right="559" w:bottom="1440" w:gutter="0" w:footer="0" w:header="0"/>
          <w:type w:val="continuous"/>
        </w:sectPr>
      </w:pPr>
    </w:p>
    <w:p>
      <w:pPr>
        <w:spacing w:after="0" w:line="93"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37" w:lineRule="exact"/>
        <w:rPr>
          <w:sz w:val="24"/>
          <w:szCs w:val="24"/>
          <w:color w:val="auto"/>
        </w:rPr>
      </w:pPr>
    </w:p>
    <w:p>
      <w:pPr>
        <w:spacing w:after="0"/>
        <w:tabs>
          <w:tab w:leader="none" w:pos="50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5"/>
          <w:szCs w:val="15"/>
          <w:color w:val="auto"/>
        </w:rPr>
        <w:t>Preliminary Proxy Statement</w:t>
      </w:r>
    </w:p>
    <w:p>
      <w:pPr>
        <w:spacing w:after="0" w:line="24" w:lineRule="exact"/>
        <w:rPr>
          <w:sz w:val="24"/>
          <w:szCs w:val="24"/>
          <w:color w:val="auto"/>
        </w:rPr>
      </w:pPr>
    </w:p>
    <w:p>
      <w:pPr>
        <w:spacing w:after="0"/>
        <w:tabs>
          <w:tab w:leader="none" w:pos="50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5"/>
          <w:szCs w:val="15"/>
          <w:color w:val="auto"/>
        </w:rPr>
        <w:t>Confidential, For Use of the</w:t>
      </w:r>
    </w:p>
    <w:p>
      <w:pPr>
        <w:spacing w:after="0" w:line="18" w:lineRule="exact"/>
        <w:rPr>
          <w:sz w:val="24"/>
          <w:szCs w:val="24"/>
          <w:color w:val="auto"/>
        </w:rPr>
      </w:pPr>
    </w:p>
    <w:p>
      <w:pPr>
        <w:ind w:left="520"/>
        <w:spacing w:after="0"/>
        <w:rPr>
          <w:sz w:val="20"/>
          <w:szCs w:val="20"/>
          <w:color w:val="auto"/>
        </w:rPr>
      </w:pPr>
      <w:r>
        <w:rPr>
          <w:rFonts w:ascii="Arial" w:cs="Arial" w:eastAsia="Arial" w:hAnsi="Arial"/>
          <w:sz w:val="15"/>
          <w:szCs w:val="15"/>
          <w:color w:val="auto"/>
        </w:rPr>
        <w:t>Commission Only (as permitted</w:t>
      </w:r>
    </w:p>
    <w:p>
      <w:pPr>
        <w:spacing w:after="0" w:line="34" w:lineRule="exact"/>
        <w:rPr>
          <w:sz w:val="24"/>
          <w:szCs w:val="24"/>
          <w:color w:val="auto"/>
        </w:rPr>
      </w:pPr>
    </w:p>
    <w:p>
      <w:pPr>
        <w:ind w:left="520"/>
        <w:spacing w:after="0"/>
        <w:rPr>
          <w:sz w:val="20"/>
          <w:szCs w:val="20"/>
          <w:color w:val="auto"/>
        </w:rPr>
      </w:pPr>
      <w:r>
        <w:rPr>
          <w:rFonts w:ascii="Arial" w:cs="Arial" w:eastAsia="Arial" w:hAnsi="Arial"/>
          <w:sz w:val="17"/>
          <w:szCs w:val="17"/>
          <w:color w:val="auto"/>
        </w:rPr>
        <w:t>by Rule 14a-6(e)(2))</w:t>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rPr>
          <w:sz w:val="20"/>
          <w:szCs w:val="20"/>
          <w:color w:val="auto"/>
        </w:rPr>
      </w:pPr>
      <w:r>
        <w:rPr>
          <w:rFonts w:ascii="Arial" w:cs="Arial" w:eastAsia="Arial" w:hAnsi="Arial"/>
          <w:sz w:val="16"/>
          <w:szCs w:val="16"/>
          <w:color w:val="auto"/>
        </w:rPr>
        <w:t>[  ] Soliciting Material Under Rule 14a-12</w:t>
      </w:r>
    </w:p>
    <w:p>
      <w:pPr>
        <w:spacing w:after="0" w:line="668" w:lineRule="exact"/>
        <w:rPr>
          <w:sz w:val="24"/>
          <w:szCs w:val="24"/>
          <w:color w:val="auto"/>
        </w:rPr>
      </w:pPr>
    </w:p>
    <w:p>
      <w:pPr>
        <w:sectPr>
          <w:pgSz w:w="11900" w:h="16838" w:orient="portrait"/>
          <w:cols w:equalWidth="0" w:num="2">
            <w:col w:w="2680" w:space="420"/>
            <w:col w:w="8000"/>
          </w:cols>
          <w:pgMar w:left="240" w:top="467" w:right="559" w:bottom="1440" w:gutter="0" w:footer="0" w:header="0"/>
          <w:type w:val="continuous"/>
        </w:sectPr>
      </w:pPr>
    </w:p>
    <w:p>
      <w:pPr>
        <w:ind w:left="520" w:hanging="517"/>
        <w:spacing w:after="0"/>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Definitive Proxy Statement</w:t>
      </w:r>
    </w:p>
    <w:p>
      <w:pPr>
        <w:spacing w:after="0" w:line="37" w:lineRule="exact"/>
        <w:rPr>
          <w:sz w:val="24"/>
          <w:szCs w:val="24"/>
          <w:color w:val="auto"/>
        </w:rPr>
      </w:pPr>
    </w:p>
    <w:p>
      <w:pPr>
        <w:spacing w:after="0"/>
        <w:tabs>
          <w:tab w:leader="none" w:pos="50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6"/>
          <w:szCs w:val="16"/>
          <w:color w:val="auto"/>
        </w:rPr>
        <w:t>Definitive Additional Materials</w:t>
      </w:r>
    </w:p>
    <w:p>
      <w:pPr>
        <w:spacing w:after="0" w:line="270" w:lineRule="exact"/>
        <w:rPr>
          <w:sz w:val="24"/>
          <w:szCs w:val="24"/>
          <w:color w:val="auto"/>
        </w:rPr>
      </w:pPr>
    </w:p>
    <w:p>
      <w:pPr>
        <w:jc w:val="center"/>
        <w:ind w:right="-339"/>
        <w:spacing w:after="0"/>
        <w:rPr>
          <w:sz w:val="20"/>
          <w:szCs w:val="20"/>
          <w:color w:val="auto"/>
        </w:rPr>
      </w:pPr>
      <w:r>
        <w:rPr>
          <w:rFonts w:ascii="Arial" w:cs="Arial" w:eastAsia="Arial" w:hAnsi="Arial"/>
          <w:sz w:val="17"/>
          <w:szCs w:val="17"/>
          <w:color w:val="auto"/>
        </w:rPr>
        <w:t>Texas Instruments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223520</wp:posOffset>
            </wp:positionH>
            <wp:positionV relativeFrom="paragraph">
              <wp:posOffset>20955</wp:posOffset>
            </wp:positionV>
            <wp:extent cx="68179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7995" cy="8255"/>
                    </a:xfrm>
                    <a:prstGeom prst="rect">
                      <a:avLst/>
                    </a:prstGeom>
                    <a:noFill/>
                  </pic:spPr>
                </pic:pic>
              </a:graphicData>
            </a:graphic>
          </wp:anchor>
        </w:drawing>
      </w:r>
    </w:p>
    <w:p>
      <w:pPr>
        <w:spacing w:after="0" w:line="30" w:lineRule="exact"/>
        <w:rPr>
          <w:sz w:val="24"/>
          <w:szCs w:val="24"/>
          <w:color w:val="auto"/>
        </w:rPr>
      </w:pPr>
    </w:p>
    <w:p>
      <w:pPr>
        <w:jc w:val="center"/>
        <w:ind w:right="-339"/>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223520</wp:posOffset>
            </wp:positionH>
            <wp:positionV relativeFrom="paragraph">
              <wp:posOffset>316230</wp:posOffset>
            </wp:positionV>
            <wp:extent cx="68179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17995"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324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70"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37" w:lineRule="exact"/>
        <w:rPr>
          <w:sz w:val="24"/>
          <w:szCs w:val="24"/>
          <w:color w:val="auto"/>
        </w:rPr>
      </w:pPr>
    </w:p>
    <w:p>
      <w:pPr>
        <w:ind w:left="500" w:hanging="484"/>
        <w:spacing w:after="0"/>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No fee required.</w:t>
      </w:r>
    </w:p>
    <w:p>
      <w:pPr>
        <w:spacing w:after="0" w:line="37" w:lineRule="exact"/>
        <w:rPr>
          <w:sz w:val="24"/>
          <w:szCs w:val="24"/>
          <w:color w:val="auto"/>
        </w:rPr>
      </w:pPr>
    </w:p>
    <w:p>
      <w:pPr>
        <w:ind w:left="200" w:hanging="189"/>
        <w:spacing w:after="0"/>
        <w:tabs>
          <w:tab w:leader="none" w:pos="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   Fee computed on table below per Exchange Act Rules 14a-6(i)(4) and 0-11.</w:t>
      </w:r>
    </w:p>
    <w:p>
      <w:pPr>
        <w:spacing w:after="0" w:line="37" w:lineRule="exact"/>
        <w:rPr>
          <w:rFonts w:ascii="Arial" w:cs="Arial" w:eastAsia="Arial" w:hAnsi="Arial"/>
          <w:sz w:val="17"/>
          <w:szCs w:val="17"/>
          <w:color w:val="auto"/>
        </w:rPr>
      </w:pPr>
    </w:p>
    <w:p>
      <w:pPr>
        <w:ind w:left="960" w:hanging="451"/>
        <w:spacing w:after="0"/>
        <w:tabs>
          <w:tab w:leader="none" w:pos="960" w:val="left"/>
        </w:tabs>
        <w:numPr>
          <w:ilvl w:val="1"/>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308" w:lineRule="exact"/>
        <w:rPr>
          <w:rFonts w:ascii="Arial" w:cs="Arial" w:eastAsia="Arial" w:hAnsi="Arial"/>
          <w:sz w:val="17"/>
          <w:szCs w:val="17"/>
          <w:color w:val="auto"/>
        </w:rPr>
      </w:pPr>
    </w:p>
    <w:p>
      <w:pPr>
        <w:ind w:left="960" w:hanging="451"/>
        <w:spacing w:after="0"/>
        <w:tabs>
          <w:tab w:leader="none" w:pos="960" w:val="left"/>
        </w:tabs>
        <w:numPr>
          <w:ilvl w:val="1"/>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82" w:lineRule="exact"/>
        <w:rPr>
          <w:rFonts w:ascii="Arial" w:cs="Arial" w:eastAsia="Arial" w:hAnsi="Arial"/>
          <w:sz w:val="17"/>
          <w:szCs w:val="17"/>
          <w:color w:val="auto"/>
        </w:rPr>
      </w:pPr>
    </w:p>
    <w:p>
      <w:pPr>
        <w:ind w:left="960" w:right="180" w:hanging="451"/>
        <w:spacing w:after="0" w:line="307" w:lineRule="auto"/>
        <w:tabs>
          <w:tab w:leader="none" w:pos="96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7"/>
          <w:szCs w:val="17"/>
          <w:color w:val="auto"/>
        </w:rPr>
      </w:pPr>
    </w:p>
    <w:p>
      <w:pPr>
        <w:ind w:left="960" w:hanging="451"/>
        <w:spacing w:after="0"/>
        <w:tabs>
          <w:tab w:leader="none" w:pos="960" w:val="left"/>
        </w:tabs>
        <w:numPr>
          <w:ilvl w:val="1"/>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82" w:lineRule="exact"/>
        <w:rPr>
          <w:rFonts w:ascii="Arial" w:cs="Arial" w:eastAsia="Arial" w:hAnsi="Arial"/>
          <w:sz w:val="17"/>
          <w:szCs w:val="17"/>
          <w:color w:val="auto"/>
        </w:rPr>
      </w:pPr>
    </w:p>
    <w:p>
      <w:pPr>
        <w:ind w:left="960" w:hanging="451"/>
        <w:spacing w:after="0"/>
        <w:tabs>
          <w:tab w:leader="none" w:pos="96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608965</wp:posOffset>
            </wp:positionH>
            <wp:positionV relativeFrom="paragraph">
              <wp:posOffset>168275</wp:posOffset>
            </wp:positionV>
            <wp:extent cx="6645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45275" cy="825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-134620</wp:posOffset>
            </wp:positionV>
            <wp:extent cx="6645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45275" cy="825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-438150</wp:posOffset>
            </wp:positionV>
            <wp:extent cx="6645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45275" cy="825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-889000</wp:posOffset>
            </wp:positionV>
            <wp:extent cx="6645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45275" cy="825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-1192530</wp:posOffset>
            </wp:positionV>
            <wp:extent cx="6645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45275" cy="8255"/>
                    </a:xfrm>
                    <a:prstGeom prst="rect">
                      <a:avLst/>
                    </a:prstGeom>
                    <a:noFill/>
                  </pic:spPr>
                </pic:pic>
              </a:graphicData>
            </a:graphic>
          </wp:anchor>
        </w:drawing>
      </w:r>
    </w:p>
    <w:p>
      <w:pPr>
        <w:spacing w:after="0" w:line="250" w:lineRule="exact"/>
        <w:rPr>
          <w:sz w:val="24"/>
          <w:szCs w:val="24"/>
          <w:color w:val="auto"/>
        </w:rPr>
      </w:pPr>
    </w:p>
    <w:p>
      <w:pPr>
        <w:ind w:left="20"/>
        <w:spacing w:after="0"/>
        <w:tabs>
          <w:tab w:leader="none" w:pos="48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5"/>
          <w:szCs w:val="15"/>
          <w:color w:val="auto"/>
        </w:rPr>
        <w:t>Fee paid previously with preliminary materials:</w:t>
      </w:r>
    </w:p>
    <w:p>
      <w:pPr>
        <w:spacing w:after="0" w:line="24" w:lineRule="exact"/>
        <w:rPr>
          <w:sz w:val="24"/>
          <w:szCs w:val="24"/>
          <w:color w:val="auto"/>
        </w:rPr>
      </w:pPr>
    </w:p>
    <w:p>
      <w:pPr>
        <w:ind w:left="500" w:hanging="489"/>
        <w:spacing w:after="0" w:line="261" w:lineRule="auto"/>
        <w:tabs>
          <w:tab w:leader="none" w:pos="186" w:val="left"/>
        </w:tabs>
        <w:numPr>
          <w:ilvl w:val="0"/>
          <w:numId w:val="4"/>
        </w:numPr>
        <w:rPr>
          <w:rFonts w:ascii="Arial" w:cs="Arial" w:eastAsia="Arial" w:hAnsi="Arial"/>
          <w:sz w:val="17"/>
          <w:szCs w:val="17"/>
          <w:color w:val="auto"/>
        </w:rPr>
      </w:pPr>
      <w:r>
        <w:rPr>
          <w:rFonts w:ascii="Arial" w:cs="Arial" w:eastAsia="Arial" w:hAnsi="Arial"/>
          <w:sz w:val="17"/>
          <w:szCs w:val="17"/>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7"/>
          <w:szCs w:val="17"/>
          <w:color w:val="auto"/>
        </w:rPr>
      </w:pPr>
    </w:p>
    <w:p>
      <w:pPr>
        <w:ind w:left="960" w:hanging="453"/>
        <w:spacing w:after="0"/>
        <w:tabs>
          <w:tab w:leader="none" w:pos="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360" w:lineRule="exact"/>
        <w:rPr>
          <w:rFonts w:ascii="Arial" w:cs="Arial" w:eastAsia="Arial" w:hAnsi="Arial"/>
          <w:sz w:val="17"/>
          <w:szCs w:val="17"/>
          <w:color w:val="auto"/>
        </w:rPr>
      </w:pPr>
    </w:p>
    <w:p>
      <w:pPr>
        <w:ind w:left="960" w:hanging="453"/>
        <w:spacing w:after="0"/>
        <w:tabs>
          <w:tab w:leader="none" w:pos="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95" w:lineRule="exact"/>
        <w:rPr>
          <w:rFonts w:ascii="Arial" w:cs="Arial" w:eastAsia="Arial" w:hAnsi="Arial"/>
          <w:sz w:val="17"/>
          <w:szCs w:val="17"/>
          <w:color w:val="auto"/>
        </w:rPr>
      </w:pPr>
    </w:p>
    <w:p>
      <w:pPr>
        <w:ind w:left="960" w:hanging="453"/>
        <w:spacing w:after="0"/>
        <w:tabs>
          <w:tab w:leader="none" w:pos="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95" w:lineRule="exact"/>
        <w:rPr>
          <w:rFonts w:ascii="Arial" w:cs="Arial" w:eastAsia="Arial" w:hAnsi="Arial"/>
          <w:sz w:val="17"/>
          <w:szCs w:val="17"/>
          <w:color w:val="auto"/>
        </w:rPr>
      </w:pPr>
    </w:p>
    <w:p>
      <w:pPr>
        <w:ind w:left="960" w:hanging="453"/>
        <w:spacing w:after="0"/>
        <w:tabs>
          <w:tab w:leader="none" w:pos="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608965</wp:posOffset>
            </wp:positionH>
            <wp:positionV relativeFrom="paragraph">
              <wp:posOffset>168275</wp:posOffset>
            </wp:positionV>
            <wp:extent cx="6645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45275" cy="825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-134620</wp:posOffset>
            </wp:positionV>
            <wp:extent cx="66452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45275" cy="825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-446405</wp:posOffset>
            </wp:positionV>
            <wp:extent cx="66452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45275" cy="825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-758190</wp:posOffset>
            </wp:positionV>
            <wp:extent cx="66452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452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387985</wp:posOffset>
            </wp:positionV>
            <wp:extent cx="727329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100"/>
          </w:cols>
          <w:pgMar w:left="240" w:top="467" w:right="5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1"/>
          <w:szCs w:val="21"/>
          <w:b w:val="1"/>
          <w:bCs w:val="1"/>
          <w:color w:val="808285"/>
        </w:rPr>
        <w:t>Notice of annual meeting of stockholders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April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7256780" cy="554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6780" cy="55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Dear Stockholder:</w:t>
      </w:r>
    </w:p>
    <w:p>
      <w:pPr>
        <w:spacing w:after="0" w:line="205" w:lineRule="exact"/>
        <w:rPr>
          <w:sz w:val="20"/>
          <w:szCs w:val="20"/>
          <w:color w:val="auto"/>
        </w:rPr>
      </w:pPr>
    </w:p>
    <w:p>
      <w:pPr>
        <w:ind w:right="500"/>
        <w:spacing w:after="0" w:line="245" w:lineRule="auto"/>
        <w:rPr>
          <w:sz w:val="20"/>
          <w:szCs w:val="20"/>
          <w:color w:val="auto"/>
        </w:rPr>
      </w:pPr>
      <w:r>
        <w:rPr>
          <w:rFonts w:ascii="Arial" w:cs="Arial" w:eastAsia="Arial" w:hAnsi="Arial"/>
          <w:sz w:val="17"/>
          <w:szCs w:val="17"/>
          <w:color w:val="auto"/>
        </w:rPr>
        <w:t>You are cordially invited to attend the 2013 annual meeting of stockholders on Thursday, April 18, 2013, at the cafeteria on our property at 12500 TI Boulevard, Dallas, Texas, at 10:00 a.m. (Central time). At the meeting we will consider and act upon the following matters:</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election of directors for the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advisory approval of the company’s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1220"/>
        <w:spacing w:after="0" w:line="261" w:lineRule="auto"/>
        <w:rPr>
          <w:sz w:val="20"/>
          <w:szCs w:val="20"/>
          <w:color w:val="auto"/>
        </w:rPr>
      </w:pPr>
      <w:r>
        <w:rPr>
          <w:rFonts w:ascii="Arial" w:cs="Arial" w:eastAsia="Arial" w:hAnsi="Arial"/>
          <w:sz w:val="17"/>
          <w:szCs w:val="17"/>
          <w:color w:val="auto"/>
        </w:rPr>
        <w:t>ratification of the appointment of Ernst &amp; Young LLP as the company’s independent registered public accounting firm for 2013, and such other matters as may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-234950</wp:posOffset>
            </wp:positionV>
            <wp:extent cx="58420" cy="584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194310</wp:posOffset>
            </wp:positionH>
            <wp:positionV relativeFrom="paragraph">
              <wp:posOffset>-103505</wp:posOffset>
            </wp:positionV>
            <wp:extent cx="58420" cy="584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Stockholders of record at the close of business on February 19, 2013, are entitled to vote at the annual meeting.</w:t>
      </w:r>
    </w:p>
    <w:p>
      <w:pPr>
        <w:spacing w:after="0" w:line="185"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b w:val="1"/>
          <w:bCs w:val="1"/>
          <w:color w:val="auto"/>
        </w:rPr>
        <w:t>We urge you to vote your shares as promptly as possible by: (1) accessing the Internet website, (2) calling the toll-free number or (3) signing, dating and mailing the enclosed proxy.</w:t>
      </w:r>
    </w:p>
    <w:p>
      <w:pPr>
        <w:spacing w:after="0" w:line="187" w:lineRule="exact"/>
        <w:rPr>
          <w:sz w:val="20"/>
          <w:szCs w:val="20"/>
          <w:color w:val="auto"/>
        </w:rPr>
      </w:pPr>
    </w:p>
    <w:p>
      <w:pPr>
        <w:ind w:left="800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13335</wp:posOffset>
            </wp:positionV>
            <wp:extent cx="1944370" cy="574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4437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000"/>
        <w:spacing w:after="0"/>
        <w:rPr>
          <w:sz w:val="20"/>
          <w:szCs w:val="20"/>
          <w:color w:val="auto"/>
        </w:rPr>
      </w:pPr>
      <w:r>
        <w:rPr>
          <w:rFonts w:ascii="Arial" w:cs="Arial" w:eastAsia="Arial" w:hAnsi="Arial"/>
          <w:sz w:val="17"/>
          <w:szCs w:val="17"/>
          <w:color w:val="auto"/>
        </w:rPr>
        <w:t>Joseph F. Hubach</w:t>
      </w:r>
    </w:p>
    <w:p>
      <w:pPr>
        <w:spacing w:after="0" w:line="37" w:lineRule="exact"/>
        <w:rPr>
          <w:sz w:val="20"/>
          <w:szCs w:val="20"/>
          <w:color w:val="auto"/>
        </w:rPr>
      </w:pPr>
    </w:p>
    <w:p>
      <w:pPr>
        <w:ind w:left="8000"/>
        <w:spacing w:after="0"/>
        <w:rPr>
          <w:sz w:val="20"/>
          <w:szCs w:val="20"/>
          <w:color w:val="auto"/>
        </w:rPr>
      </w:pPr>
      <w:r>
        <w:rPr>
          <w:rFonts w:ascii="Arial" w:cs="Arial" w:eastAsia="Arial" w:hAnsi="Arial"/>
          <w:sz w:val="17"/>
          <w:szCs w:val="17"/>
          <w:color w:val="auto"/>
        </w:rPr>
        <w:t>Senior Vice President,</w:t>
      </w:r>
    </w:p>
    <w:p>
      <w:pPr>
        <w:spacing w:after="0" w:line="37" w:lineRule="exact"/>
        <w:rPr>
          <w:sz w:val="20"/>
          <w:szCs w:val="20"/>
          <w:color w:val="auto"/>
        </w:rPr>
      </w:pPr>
    </w:p>
    <w:p>
      <w:pPr>
        <w:ind w:left="8000"/>
        <w:spacing w:after="0"/>
        <w:rPr>
          <w:sz w:val="20"/>
          <w:szCs w:val="20"/>
          <w:color w:val="auto"/>
        </w:rPr>
      </w:pPr>
      <w:r>
        <w:rPr>
          <w:rFonts w:ascii="Arial" w:cs="Arial" w:eastAsia="Arial" w:hAnsi="Arial"/>
          <w:sz w:val="17"/>
          <w:szCs w:val="17"/>
          <w:color w:val="auto"/>
        </w:rPr>
        <w:t>Secretary and</w:t>
      </w:r>
    </w:p>
    <w:p>
      <w:pPr>
        <w:spacing w:after="0" w:line="37" w:lineRule="exact"/>
        <w:rPr>
          <w:sz w:val="20"/>
          <w:szCs w:val="20"/>
          <w:color w:val="auto"/>
        </w:rPr>
      </w:pPr>
    </w:p>
    <w:p>
      <w:pPr>
        <w:ind w:left="8000"/>
        <w:spacing w:after="0"/>
        <w:rPr>
          <w:sz w:val="20"/>
          <w:szCs w:val="20"/>
          <w:color w:val="auto"/>
        </w:rPr>
      </w:pPr>
      <w:r>
        <w:rPr>
          <w:rFonts w:ascii="Arial" w:cs="Arial" w:eastAsia="Arial" w:hAnsi="Arial"/>
          <w:sz w:val="17"/>
          <w:szCs w:val="17"/>
          <w:color w:val="auto"/>
        </w:rPr>
        <w:t>General Counsel</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Dallas, Texas</w:t>
      </w:r>
    </w:p>
    <w:p>
      <w:pPr>
        <w:spacing w:after="0"/>
        <w:rPr>
          <w:sz w:val="20"/>
          <w:szCs w:val="20"/>
          <w:color w:val="auto"/>
        </w:rPr>
      </w:pPr>
      <w:r>
        <w:rPr>
          <w:rFonts w:ascii="Arial" w:cs="Arial" w:eastAsia="Arial" w:hAnsi="Arial"/>
          <w:sz w:val="17"/>
          <w:szCs w:val="17"/>
          <w:color w:val="auto"/>
        </w:rPr>
        <w:t>March 5, 2013</w:t>
      </w:r>
    </w:p>
    <w:p>
      <w:pPr>
        <w:spacing w:after="0" w:line="224" w:lineRule="exact"/>
        <w:rPr>
          <w:sz w:val="20"/>
          <w:szCs w:val="20"/>
          <w:color w:val="auto"/>
        </w:rPr>
      </w:pPr>
    </w:p>
    <w:p>
      <w:pPr>
        <w:spacing w:after="0"/>
        <w:tabs>
          <w:tab w:leader="none" w:pos="95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2"/>
          <w:szCs w:val="12"/>
          <w:b w:val="1"/>
          <w:bCs w:val="1"/>
          <w:color w:val="808285"/>
        </w:rPr>
        <w:t>2013 PROXY STATEMENT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192405</wp:posOffset>
            </wp:positionV>
            <wp:extent cx="727329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2" w:name="page3"/>
    <w:bookmarkEnd w:id="2"/>
    <w:p>
      <w:pPr>
        <w:spacing w:after="0"/>
        <w:rPr>
          <w:sz w:val="20"/>
          <w:szCs w:val="20"/>
          <w:color w:val="auto"/>
        </w:rPr>
      </w:pPr>
      <w:r>
        <w:rPr>
          <w:rFonts w:ascii="Arial" w:cs="Arial" w:eastAsia="Arial" w:hAnsi="Arial"/>
          <w:sz w:val="21"/>
          <w:szCs w:val="21"/>
          <w:b w:val="1"/>
          <w:bCs w:val="1"/>
          <w:color w:val="808285"/>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25233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60" w:type="dxa"/>
            <w:vAlign w:val="bottom"/>
            <w:shd w:val="clear" w:color="auto" w:fill="E9E9E9"/>
          </w:tcPr>
          <w:p>
            <w:pPr>
              <w:spacing w:after="0"/>
              <w:rPr>
                <w:sz w:val="20"/>
                <w:szCs w:val="20"/>
                <w:color w:val="auto"/>
              </w:rPr>
            </w:pPr>
            <w:r>
              <w:rPr>
                <w:rFonts w:ascii="Arial" w:cs="Arial" w:eastAsia="Arial" w:hAnsi="Arial"/>
                <w:sz w:val="17"/>
                <w:szCs w:val="17"/>
                <w:color w:val="auto"/>
              </w:rPr>
              <w:t>Voting procedures and quorum</w:t>
            </w:r>
          </w:p>
        </w:tc>
        <w:tc>
          <w:tcPr>
            <w:tcW w:w="1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56</w:t>
            </w:r>
          </w:p>
        </w:tc>
        <w:tc>
          <w:tcPr>
            <w:tcW w:w="260" w:type="dxa"/>
            <w:vAlign w:val="bottom"/>
          </w:tcPr>
          <w:p>
            <w:pPr>
              <w:spacing w:after="0"/>
              <w:rPr>
                <w:sz w:val="20"/>
                <w:szCs w:val="20"/>
                <w:color w:val="auto"/>
              </w:rPr>
            </w:pPr>
          </w:p>
        </w:tc>
        <w:tc>
          <w:tcPr>
            <w:tcW w:w="5220" w:type="dxa"/>
            <w:vAlign w:val="bottom"/>
            <w:shd w:val="clear" w:color="auto" w:fill="E9E9E9"/>
          </w:tcPr>
          <w:p>
            <w:pPr>
              <w:ind w:left="220"/>
              <w:spacing w:after="0"/>
              <w:rPr>
                <w:sz w:val="20"/>
                <w:szCs w:val="20"/>
                <w:color w:val="auto"/>
              </w:rPr>
            </w:pPr>
            <w:r>
              <w:rPr>
                <w:rFonts w:ascii="Arial" w:cs="Arial" w:eastAsia="Arial" w:hAnsi="Arial"/>
                <w:sz w:val="17"/>
                <w:szCs w:val="17"/>
                <w:color w:val="auto"/>
              </w:rPr>
              <w:t>Outstanding equity awards at fiscal year-end 2012</w:t>
            </w: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83</w:t>
            </w:r>
          </w:p>
        </w:tc>
      </w:tr>
      <w:tr>
        <w:trPr>
          <w:trHeight w:val="225"/>
        </w:trPr>
        <w:tc>
          <w:tcPr>
            <w:tcW w:w="4360" w:type="dxa"/>
            <w:vAlign w:val="bottom"/>
          </w:tcPr>
          <w:p>
            <w:pPr>
              <w:spacing w:after="0"/>
              <w:rPr>
                <w:sz w:val="20"/>
                <w:szCs w:val="20"/>
                <w:color w:val="auto"/>
              </w:rPr>
            </w:pPr>
            <w:r>
              <w:rPr>
                <w:rFonts w:ascii="Arial" w:cs="Arial" w:eastAsia="Arial" w:hAnsi="Arial"/>
                <w:sz w:val="17"/>
                <w:szCs w:val="17"/>
                <w:color w:val="auto"/>
              </w:rPr>
              <w:t>Election of directors</w:t>
            </w:r>
          </w:p>
        </w:tc>
        <w:tc>
          <w:tcPr>
            <w:tcW w:w="1400" w:type="dxa"/>
            <w:vAlign w:val="bottom"/>
            <w:gridSpan w:val="2"/>
          </w:tcPr>
          <w:p>
            <w:pPr>
              <w:jc w:val="right"/>
              <w:ind w:right="260"/>
              <w:spacing w:after="0"/>
              <w:rPr>
                <w:sz w:val="20"/>
                <w:szCs w:val="20"/>
                <w:color w:val="auto"/>
              </w:rPr>
            </w:pPr>
            <w:r>
              <w:rPr>
                <w:rFonts w:ascii="Arial" w:cs="Arial" w:eastAsia="Arial" w:hAnsi="Arial"/>
                <w:sz w:val="17"/>
                <w:szCs w:val="17"/>
                <w:color w:val="auto"/>
              </w:rPr>
              <w:t>57</w:t>
            </w:r>
          </w:p>
        </w:tc>
        <w:tc>
          <w:tcPr>
            <w:tcW w:w="5220" w:type="dxa"/>
            <w:vAlign w:val="bottom"/>
          </w:tcPr>
          <w:p>
            <w:pPr>
              <w:ind w:left="220"/>
              <w:spacing w:after="0"/>
              <w:rPr>
                <w:sz w:val="20"/>
                <w:szCs w:val="20"/>
                <w:color w:val="auto"/>
              </w:rPr>
            </w:pPr>
            <w:r>
              <w:rPr>
                <w:rFonts w:ascii="Arial" w:cs="Arial" w:eastAsia="Arial" w:hAnsi="Arial"/>
                <w:sz w:val="17"/>
                <w:szCs w:val="17"/>
                <w:color w:val="auto"/>
              </w:rPr>
              <w:t>2012 option exercises and stock vested</w:t>
            </w:r>
          </w:p>
        </w:tc>
        <w:tc>
          <w:tcPr>
            <w:tcW w:w="44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40"/>
        </w:trPr>
        <w:tc>
          <w:tcPr>
            <w:tcW w:w="4360" w:type="dxa"/>
            <w:vAlign w:val="bottom"/>
            <w:shd w:val="clear" w:color="auto" w:fill="E9E9E9"/>
          </w:tcPr>
          <w:p>
            <w:pPr>
              <w:ind w:left="240"/>
              <w:spacing w:after="0"/>
              <w:rPr>
                <w:sz w:val="20"/>
                <w:szCs w:val="20"/>
                <w:color w:val="auto"/>
              </w:rPr>
            </w:pPr>
            <w:r>
              <w:rPr>
                <w:rFonts w:ascii="Arial" w:cs="Arial" w:eastAsia="Arial" w:hAnsi="Arial"/>
                <w:sz w:val="17"/>
                <w:szCs w:val="17"/>
                <w:color w:val="auto"/>
              </w:rPr>
              <w:t>Nominees for directorship</w:t>
            </w:r>
          </w:p>
        </w:tc>
        <w:tc>
          <w:tcPr>
            <w:tcW w:w="1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57</w:t>
            </w:r>
          </w:p>
        </w:tc>
        <w:tc>
          <w:tcPr>
            <w:tcW w:w="260" w:type="dxa"/>
            <w:vAlign w:val="bottom"/>
          </w:tcPr>
          <w:p>
            <w:pPr>
              <w:spacing w:after="0"/>
              <w:rPr>
                <w:sz w:val="20"/>
                <w:szCs w:val="20"/>
                <w:color w:val="auto"/>
              </w:rPr>
            </w:pPr>
          </w:p>
        </w:tc>
        <w:tc>
          <w:tcPr>
            <w:tcW w:w="5220" w:type="dxa"/>
            <w:vAlign w:val="bottom"/>
            <w:shd w:val="clear" w:color="auto" w:fill="E9E9E9"/>
          </w:tcPr>
          <w:p>
            <w:pPr>
              <w:ind w:left="220"/>
              <w:spacing w:after="0"/>
              <w:rPr>
                <w:sz w:val="20"/>
                <w:szCs w:val="20"/>
                <w:color w:val="auto"/>
              </w:rPr>
            </w:pPr>
            <w:r>
              <w:rPr>
                <w:rFonts w:ascii="Arial" w:cs="Arial" w:eastAsia="Arial" w:hAnsi="Arial"/>
                <w:sz w:val="17"/>
                <w:szCs w:val="17"/>
                <w:color w:val="auto"/>
              </w:rPr>
              <w:t>2012 pension benefits</w:t>
            </w: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86</w:t>
            </w:r>
          </w:p>
        </w:tc>
      </w:tr>
      <w:tr>
        <w:trPr>
          <w:trHeight w:val="225"/>
        </w:trPr>
        <w:tc>
          <w:tcPr>
            <w:tcW w:w="4360" w:type="dxa"/>
            <w:vAlign w:val="bottom"/>
          </w:tcPr>
          <w:p>
            <w:pPr>
              <w:ind w:left="240"/>
              <w:spacing w:after="0"/>
              <w:rPr>
                <w:sz w:val="20"/>
                <w:szCs w:val="20"/>
                <w:color w:val="auto"/>
              </w:rPr>
            </w:pPr>
            <w:r>
              <w:rPr>
                <w:rFonts w:ascii="Arial" w:cs="Arial" w:eastAsia="Arial" w:hAnsi="Arial"/>
                <w:sz w:val="17"/>
                <w:szCs w:val="17"/>
                <w:color w:val="auto"/>
              </w:rPr>
              <w:t>Director nomination process</w:t>
            </w:r>
          </w:p>
        </w:tc>
        <w:tc>
          <w:tcPr>
            <w:tcW w:w="1400" w:type="dxa"/>
            <w:vAlign w:val="bottom"/>
            <w:gridSpan w:val="2"/>
          </w:tcPr>
          <w:p>
            <w:pPr>
              <w:jc w:val="right"/>
              <w:ind w:right="260"/>
              <w:spacing w:after="0"/>
              <w:rPr>
                <w:sz w:val="20"/>
                <w:szCs w:val="20"/>
                <w:color w:val="auto"/>
              </w:rPr>
            </w:pPr>
            <w:r>
              <w:rPr>
                <w:rFonts w:ascii="Arial" w:cs="Arial" w:eastAsia="Arial" w:hAnsi="Arial"/>
                <w:sz w:val="17"/>
                <w:szCs w:val="17"/>
                <w:color w:val="auto"/>
              </w:rPr>
              <w:t>58</w:t>
            </w:r>
          </w:p>
        </w:tc>
        <w:tc>
          <w:tcPr>
            <w:tcW w:w="5220" w:type="dxa"/>
            <w:vAlign w:val="bottom"/>
          </w:tcPr>
          <w:p>
            <w:pPr>
              <w:ind w:left="220"/>
              <w:spacing w:after="0"/>
              <w:rPr>
                <w:sz w:val="20"/>
                <w:szCs w:val="20"/>
                <w:color w:val="auto"/>
              </w:rPr>
            </w:pPr>
            <w:r>
              <w:rPr>
                <w:rFonts w:ascii="Arial" w:cs="Arial" w:eastAsia="Arial" w:hAnsi="Arial"/>
                <w:sz w:val="17"/>
                <w:szCs w:val="17"/>
                <w:color w:val="auto"/>
              </w:rPr>
              <w:t>2012 non-qualified deferred compensation</w:t>
            </w:r>
          </w:p>
        </w:tc>
        <w:tc>
          <w:tcPr>
            <w:tcW w:w="44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40"/>
        </w:trPr>
        <w:tc>
          <w:tcPr>
            <w:tcW w:w="4360" w:type="dxa"/>
            <w:vAlign w:val="bottom"/>
            <w:shd w:val="clear" w:color="auto" w:fill="E9E9E9"/>
          </w:tcPr>
          <w:p>
            <w:pPr>
              <w:ind w:left="240"/>
              <w:spacing w:after="0"/>
              <w:rPr>
                <w:sz w:val="20"/>
                <w:szCs w:val="20"/>
                <w:color w:val="auto"/>
              </w:rPr>
            </w:pPr>
            <w:r>
              <w:rPr>
                <w:rFonts w:ascii="Arial" w:cs="Arial" w:eastAsia="Arial" w:hAnsi="Arial"/>
                <w:sz w:val="17"/>
                <w:szCs w:val="17"/>
                <w:color w:val="auto"/>
              </w:rPr>
              <w:t>Board diversity and nominee qualifications</w:t>
            </w:r>
          </w:p>
        </w:tc>
        <w:tc>
          <w:tcPr>
            <w:tcW w:w="1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58</w:t>
            </w:r>
          </w:p>
        </w:tc>
        <w:tc>
          <w:tcPr>
            <w:tcW w:w="260" w:type="dxa"/>
            <w:vAlign w:val="bottom"/>
          </w:tcPr>
          <w:p>
            <w:pPr>
              <w:spacing w:after="0"/>
              <w:rPr>
                <w:sz w:val="20"/>
                <w:szCs w:val="20"/>
                <w:color w:val="auto"/>
              </w:rPr>
            </w:pPr>
          </w:p>
        </w:tc>
        <w:tc>
          <w:tcPr>
            <w:tcW w:w="5220" w:type="dxa"/>
            <w:vAlign w:val="bottom"/>
            <w:shd w:val="clear" w:color="auto" w:fill="E9E9E9"/>
          </w:tcPr>
          <w:p>
            <w:pPr>
              <w:ind w:left="220"/>
              <w:spacing w:after="0"/>
              <w:rPr>
                <w:sz w:val="20"/>
                <w:szCs w:val="20"/>
                <w:color w:val="auto"/>
              </w:rPr>
            </w:pPr>
            <w:r>
              <w:rPr>
                <w:rFonts w:ascii="Arial" w:cs="Arial" w:eastAsia="Arial" w:hAnsi="Arial"/>
                <w:sz w:val="17"/>
                <w:szCs w:val="17"/>
                <w:color w:val="auto"/>
              </w:rPr>
              <w:t>Potential payments upon termination or</w:t>
            </w:r>
          </w:p>
        </w:tc>
        <w:tc>
          <w:tcPr>
            <w:tcW w:w="440" w:type="dxa"/>
            <w:vAlign w:val="bottom"/>
            <w:shd w:val="clear" w:color="auto" w:fill="E9E9E9"/>
          </w:tcPr>
          <w:p>
            <w:pPr>
              <w:spacing w:after="0"/>
              <w:rPr>
                <w:sz w:val="20"/>
                <w:szCs w:val="20"/>
                <w:color w:val="auto"/>
              </w:rPr>
            </w:pPr>
          </w:p>
        </w:tc>
      </w:tr>
      <w:tr>
        <w:trPr>
          <w:trHeight w:val="233"/>
        </w:trPr>
        <w:tc>
          <w:tcPr>
            <w:tcW w:w="4360" w:type="dxa"/>
            <w:vAlign w:val="bottom"/>
          </w:tcPr>
          <w:p>
            <w:pPr>
              <w:ind w:left="240"/>
              <w:spacing w:after="0"/>
              <w:rPr>
                <w:sz w:val="20"/>
                <w:szCs w:val="20"/>
                <w:color w:val="auto"/>
              </w:rPr>
            </w:pPr>
            <w:r>
              <w:rPr>
                <w:rFonts w:ascii="Arial" w:cs="Arial" w:eastAsia="Arial" w:hAnsi="Arial"/>
                <w:sz w:val="17"/>
                <w:szCs w:val="17"/>
                <w:color w:val="auto"/>
              </w:rPr>
              <w:t>Communications with the board</w:t>
            </w:r>
          </w:p>
        </w:tc>
        <w:tc>
          <w:tcPr>
            <w:tcW w:w="1400" w:type="dxa"/>
            <w:vAlign w:val="bottom"/>
            <w:gridSpan w:val="2"/>
          </w:tcPr>
          <w:p>
            <w:pPr>
              <w:jc w:val="right"/>
              <w:ind w:right="260"/>
              <w:spacing w:after="0"/>
              <w:rPr>
                <w:sz w:val="20"/>
                <w:szCs w:val="20"/>
                <w:color w:val="auto"/>
              </w:rPr>
            </w:pPr>
            <w:r>
              <w:rPr>
                <w:rFonts w:ascii="Arial" w:cs="Arial" w:eastAsia="Arial" w:hAnsi="Arial"/>
                <w:sz w:val="17"/>
                <w:szCs w:val="17"/>
                <w:color w:val="auto"/>
              </w:rPr>
              <w:t>60</w:t>
            </w:r>
          </w:p>
        </w:tc>
        <w:tc>
          <w:tcPr>
            <w:tcW w:w="5220" w:type="dxa"/>
            <w:vAlign w:val="bottom"/>
            <w:shd w:val="clear" w:color="auto" w:fill="E9E9E9"/>
          </w:tcPr>
          <w:p>
            <w:pPr>
              <w:ind w:left="460"/>
              <w:spacing w:after="0"/>
              <w:rPr>
                <w:sz w:val="20"/>
                <w:szCs w:val="20"/>
                <w:color w:val="auto"/>
              </w:rPr>
            </w:pPr>
            <w:r>
              <w:rPr>
                <w:rFonts w:ascii="Arial" w:cs="Arial" w:eastAsia="Arial" w:hAnsi="Arial"/>
                <w:sz w:val="17"/>
                <w:szCs w:val="17"/>
                <w:color w:val="auto"/>
              </w:rPr>
              <w:t>change in control</w:t>
            </w: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89</w:t>
            </w:r>
          </w:p>
        </w:tc>
      </w:tr>
      <w:tr>
        <w:trPr>
          <w:trHeight w:val="233"/>
        </w:trPr>
        <w:tc>
          <w:tcPr>
            <w:tcW w:w="4360" w:type="dxa"/>
            <w:vAlign w:val="bottom"/>
            <w:shd w:val="clear" w:color="auto" w:fill="E9E9E9"/>
          </w:tcPr>
          <w:p>
            <w:pPr>
              <w:ind w:left="240"/>
              <w:spacing w:after="0"/>
              <w:rPr>
                <w:sz w:val="20"/>
                <w:szCs w:val="20"/>
                <w:color w:val="auto"/>
              </w:rPr>
            </w:pPr>
            <w:r>
              <w:rPr>
                <w:rFonts w:ascii="Arial" w:cs="Arial" w:eastAsia="Arial" w:hAnsi="Arial"/>
                <w:sz w:val="17"/>
                <w:szCs w:val="17"/>
                <w:color w:val="auto"/>
              </w:rPr>
              <w:t>Corporate governance</w:t>
            </w:r>
          </w:p>
        </w:tc>
        <w:tc>
          <w:tcPr>
            <w:tcW w:w="1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60</w:t>
            </w:r>
          </w:p>
        </w:tc>
        <w:tc>
          <w:tcPr>
            <w:tcW w:w="26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Audit Committee report</w:t>
            </w:r>
          </w:p>
        </w:tc>
        <w:tc>
          <w:tcPr>
            <w:tcW w:w="44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225"/>
        </w:trPr>
        <w:tc>
          <w:tcPr>
            <w:tcW w:w="4360" w:type="dxa"/>
            <w:vAlign w:val="bottom"/>
          </w:tcPr>
          <w:p>
            <w:pPr>
              <w:ind w:left="240"/>
              <w:spacing w:after="0"/>
              <w:rPr>
                <w:sz w:val="20"/>
                <w:szCs w:val="20"/>
                <w:color w:val="auto"/>
              </w:rPr>
            </w:pPr>
            <w:r>
              <w:rPr>
                <w:rFonts w:ascii="Arial" w:cs="Arial" w:eastAsia="Arial" w:hAnsi="Arial"/>
                <w:sz w:val="17"/>
                <w:szCs w:val="17"/>
                <w:color w:val="auto"/>
              </w:rPr>
              <w:t>Annual meeting attendance</w:t>
            </w:r>
          </w:p>
        </w:tc>
        <w:tc>
          <w:tcPr>
            <w:tcW w:w="1400" w:type="dxa"/>
            <w:vAlign w:val="bottom"/>
            <w:gridSpan w:val="2"/>
          </w:tcPr>
          <w:p>
            <w:pPr>
              <w:jc w:val="right"/>
              <w:ind w:right="260"/>
              <w:spacing w:after="0"/>
              <w:rPr>
                <w:sz w:val="20"/>
                <w:szCs w:val="20"/>
                <w:color w:val="auto"/>
              </w:rPr>
            </w:pPr>
            <w:r>
              <w:rPr>
                <w:rFonts w:ascii="Arial" w:cs="Arial" w:eastAsia="Arial" w:hAnsi="Arial"/>
                <w:sz w:val="17"/>
                <w:szCs w:val="17"/>
                <w:color w:val="auto"/>
              </w:rPr>
              <w:t>60</w:t>
            </w:r>
          </w:p>
        </w:tc>
        <w:tc>
          <w:tcPr>
            <w:tcW w:w="5220" w:type="dxa"/>
            <w:vAlign w:val="bottom"/>
            <w:shd w:val="clear" w:color="auto" w:fill="E9E9E9"/>
          </w:tcPr>
          <w:p>
            <w:pPr>
              <w:spacing w:after="0"/>
              <w:rPr>
                <w:sz w:val="20"/>
                <w:szCs w:val="20"/>
                <w:color w:val="auto"/>
              </w:rPr>
            </w:pPr>
            <w:r>
              <w:rPr>
                <w:rFonts w:ascii="Arial" w:cs="Arial" w:eastAsia="Arial" w:hAnsi="Arial"/>
                <w:sz w:val="17"/>
                <w:szCs w:val="17"/>
                <w:color w:val="auto"/>
              </w:rPr>
              <w:t>Proposal to ratify appointment of independent</w:t>
            </w:r>
          </w:p>
        </w:tc>
        <w:tc>
          <w:tcPr>
            <w:tcW w:w="440" w:type="dxa"/>
            <w:vAlign w:val="bottom"/>
            <w:shd w:val="clear" w:color="auto" w:fill="E9E9E9"/>
          </w:tcPr>
          <w:p>
            <w:pPr>
              <w:spacing w:after="0"/>
              <w:rPr>
                <w:sz w:val="19"/>
                <w:szCs w:val="19"/>
                <w:color w:val="auto"/>
              </w:rPr>
            </w:pPr>
          </w:p>
        </w:tc>
      </w:tr>
      <w:tr>
        <w:trPr>
          <w:trHeight w:val="240"/>
        </w:trPr>
        <w:tc>
          <w:tcPr>
            <w:tcW w:w="4360" w:type="dxa"/>
            <w:vAlign w:val="bottom"/>
            <w:shd w:val="clear" w:color="auto" w:fill="E9E9E9"/>
          </w:tcPr>
          <w:p>
            <w:pPr>
              <w:ind w:left="240"/>
              <w:spacing w:after="0"/>
              <w:rPr>
                <w:sz w:val="20"/>
                <w:szCs w:val="20"/>
                <w:color w:val="auto"/>
              </w:rPr>
            </w:pPr>
            <w:r>
              <w:rPr>
                <w:rFonts w:ascii="Arial" w:cs="Arial" w:eastAsia="Arial" w:hAnsi="Arial"/>
                <w:sz w:val="17"/>
                <w:szCs w:val="17"/>
                <w:color w:val="auto"/>
              </w:rPr>
              <w:t>Director independence</w:t>
            </w:r>
          </w:p>
        </w:tc>
        <w:tc>
          <w:tcPr>
            <w:tcW w:w="1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60</w:t>
            </w:r>
          </w:p>
        </w:tc>
        <w:tc>
          <w:tcPr>
            <w:tcW w:w="260" w:type="dxa"/>
            <w:vAlign w:val="bottom"/>
          </w:tcPr>
          <w:p>
            <w:pPr>
              <w:spacing w:after="0"/>
              <w:rPr>
                <w:sz w:val="20"/>
                <w:szCs w:val="20"/>
                <w:color w:val="auto"/>
              </w:rPr>
            </w:pPr>
          </w:p>
        </w:tc>
        <w:tc>
          <w:tcPr>
            <w:tcW w:w="5220" w:type="dxa"/>
            <w:vAlign w:val="bottom"/>
            <w:shd w:val="clear" w:color="auto" w:fill="E9E9E9"/>
          </w:tcPr>
          <w:p>
            <w:pPr>
              <w:ind w:left="220"/>
              <w:spacing w:after="0"/>
              <w:rPr>
                <w:sz w:val="20"/>
                <w:szCs w:val="20"/>
                <w:color w:val="auto"/>
              </w:rPr>
            </w:pPr>
            <w:r>
              <w:rPr>
                <w:rFonts w:ascii="Arial" w:cs="Arial" w:eastAsia="Arial" w:hAnsi="Arial"/>
                <w:sz w:val="17"/>
                <w:szCs w:val="17"/>
                <w:color w:val="auto"/>
              </w:rPr>
              <w:t>registered public accounting firm</w:t>
            </w: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93</w:t>
            </w:r>
          </w:p>
        </w:tc>
      </w:tr>
      <w:tr>
        <w:trPr>
          <w:trHeight w:val="225"/>
        </w:trPr>
        <w:tc>
          <w:tcPr>
            <w:tcW w:w="4360" w:type="dxa"/>
            <w:vAlign w:val="bottom"/>
          </w:tcPr>
          <w:p>
            <w:pPr>
              <w:spacing w:after="0"/>
              <w:rPr>
                <w:sz w:val="20"/>
                <w:szCs w:val="20"/>
                <w:color w:val="auto"/>
              </w:rPr>
            </w:pPr>
            <w:r>
              <w:rPr>
                <w:rFonts w:ascii="Arial" w:cs="Arial" w:eastAsia="Arial" w:hAnsi="Arial"/>
                <w:sz w:val="17"/>
                <w:szCs w:val="17"/>
                <w:color w:val="auto"/>
              </w:rPr>
              <w:t>Board organization</w:t>
            </w:r>
          </w:p>
        </w:tc>
        <w:tc>
          <w:tcPr>
            <w:tcW w:w="1400" w:type="dxa"/>
            <w:vAlign w:val="bottom"/>
            <w:gridSpan w:val="2"/>
          </w:tcPr>
          <w:p>
            <w:pPr>
              <w:jc w:val="right"/>
              <w:ind w:right="260"/>
              <w:spacing w:after="0"/>
              <w:rPr>
                <w:sz w:val="20"/>
                <w:szCs w:val="20"/>
                <w:color w:val="auto"/>
              </w:rPr>
            </w:pPr>
            <w:r>
              <w:rPr>
                <w:rFonts w:ascii="Arial" w:cs="Arial" w:eastAsia="Arial" w:hAnsi="Arial"/>
                <w:sz w:val="17"/>
                <w:szCs w:val="17"/>
                <w:color w:val="auto"/>
              </w:rPr>
              <w:t>61</w:t>
            </w:r>
          </w:p>
        </w:tc>
        <w:tc>
          <w:tcPr>
            <w:tcW w:w="5220" w:type="dxa"/>
            <w:vAlign w:val="bottom"/>
          </w:tcPr>
          <w:p>
            <w:pPr>
              <w:spacing w:after="0"/>
              <w:rPr>
                <w:sz w:val="20"/>
                <w:szCs w:val="20"/>
                <w:color w:val="auto"/>
              </w:rPr>
            </w:pPr>
            <w:r>
              <w:rPr>
                <w:rFonts w:ascii="Arial" w:cs="Arial" w:eastAsia="Arial" w:hAnsi="Arial"/>
                <w:sz w:val="17"/>
                <w:szCs w:val="17"/>
                <w:color w:val="auto"/>
              </w:rPr>
              <w:t>Additional information</w:t>
            </w:r>
          </w:p>
        </w:tc>
        <w:tc>
          <w:tcPr>
            <w:tcW w:w="44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240"/>
        </w:trPr>
        <w:tc>
          <w:tcPr>
            <w:tcW w:w="4360" w:type="dxa"/>
            <w:vAlign w:val="bottom"/>
            <w:shd w:val="clear" w:color="auto" w:fill="E9E9E9"/>
          </w:tcPr>
          <w:p>
            <w:pPr>
              <w:ind w:left="240"/>
              <w:spacing w:after="0"/>
              <w:rPr>
                <w:sz w:val="20"/>
                <w:szCs w:val="20"/>
                <w:color w:val="auto"/>
              </w:rPr>
            </w:pPr>
            <w:r>
              <w:rPr>
                <w:rFonts w:ascii="Arial" w:cs="Arial" w:eastAsia="Arial" w:hAnsi="Arial"/>
                <w:sz w:val="17"/>
                <w:szCs w:val="17"/>
                <w:color w:val="auto"/>
              </w:rPr>
              <w:t>Board and committee meetings</w:t>
            </w:r>
          </w:p>
        </w:tc>
        <w:tc>
          <w:tcPr>
            <w:tcW w:w="1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61</w:t>
            </w:r>
          </w:p>
        </w:tc>
        <w:tc>
          <w:tcPr>
            <w:tcW w:w="260" w:type="dxa"/>
            <w:vAlign w:val="bottom"/>
          </w:tcPr>
          <w:p>
            <w:pPr>
              <w:spacing w:after="0"/>
              <w:rPr>
                <w:sz w:val="20"/>
                <w:szCs w:val="20"/>
                <w:color w:val="auto"/>
              </w:rPr>
            </w:pPr>
          </w:p>
        </w:tc>
        <w:tc>
          <w:tcPr>
            <w:tcW w:w="5220" w:type="dxa"/>
            <w:vAlign w:val="bottom"/>
            <w:shd w:val="clear" w:color="auto" w:fill="E9E9E9"/>
          </w:tcPr>
          <w:p>
            <w:pPr>
              <w:ind w:left="220"/>
              <w:spacing w:after="0"/>
              <w:rPr>
                <w:sz w:val="20"/>
                <w:szCs w:val="20"/>
                <w:color w:val="auto"/>
              </w:rPr>
            </w:pPr>
            <w:r>
              <w:rPr>
                <w:rFonts w:ascii="Arial" w:cs="Arial" w:eastAsia="Arial" w:hAnsi="Arial"/>
                <w:sz w:val="17"/>
                <w:szCs w:val="17"/>
                <w:color w:val="auto"/>
              </w:rPr>
              <w:t>Voting securities</w:t>
            </w: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94</w:t>
            </w:r>
          </w:p>
        </w:tc>
      </w:tr>
      <w:tr>
        <w:trPr>
          <w:trHeight w:val="225"/>
        </w:trPr>
        <w:tc>
          <w:tcPr>
            <w:tcW w:w="4360" w:type="dxa"/>
            <w:vAlign w:val="bottom"/>
          </w:tcPr>
          <w:p>
            <w:pPr>
              <w:ind w:left="240"/>
              <w:spacing w:after="0"/>
              <w:rPr>
                <w:sz w:val="20"/>
                <w:szCs w:val="20"/>
                <w:color w:val="auto"/>
              </w:rPr>
            </w:pPr>
            <w:r>
              <w:rPr>
                <w:rFonts w:ascii="Arial" w:cs="Arial" w:eastAsia="Arial" w:hAnsi="Arial"/>
                <w:sz w:val="17"/>
                <w:szCs w:val="17"/>
                <w:color w:val="auto"/>
              </w:rPr>
              <w:t>Committees of the board</w:t>
            </w:r>
          </w:p>
        </w:tc>
        <w:tc>
          <w:tcPr>
            <w:tcW w:w="1400" w:type="dxa"/>
            <w:vAlign w:val="bottom"/>
            <w:gridSpan w:val="2"/>
          </w:tcPr>
          <w:p>
            <w:pPr>
              <w:jc w:val="right"/>
              <w:ind w:right="260"/>
              <w:spacing w:after="0"/>
              <w:rPr>
                <w:sz w:val="20"/>
                <w:szCs w:val="20"/>
                <w:color w:val="auto"/>
              </w:rPr>
            </w:pPr>
            <w:r>
              <w:rPr>
                <w:rFonts w:ascii="Arial" w:cs="Arial" w:eastAsia="Arial" w:hAnsi="Arial"/>
                <w:sz w:val="17"/>
                <w:szCs w:val="17"/>
                <w:color w:val="auto"/>
              </w:rPr>
              <w:t>61</w:t>
            </w:r>
          </w:p>
        </w:tc>
        <w:tc>
          <w:tcPr>
            <w:tcW w:w="5220" w:type="dxa"/>
            <w:vAlign w:val="bottom"/>
          </w:tcPr>
          <w:p>
            <w:pPr>
              <w:ind w:left="220"/>
              <w:spacing w:after="0"/>
              <w:rPr>
                <w:sz w:val="20"/>
                <w:szCs w:val="20"/>
                <w:color w:val="auto"/>
              </w:rPr>
            </w:pPr>
            <w:r>
              <w:rPr>
                <w:rFonts w:ascii="Arial" w:cs="Arial" w:eastAsia="Arial" w:hAnsi="Arial"/>
                <w:sz w:val="17"/>
                <w:szCs w:val="17"/>
                <w:color w:val="auto"/>
              </w:rPr>
              <w:t>Security ownership of certain beneficial owners</w:t>
            </w:r>
          </w:p>
        </w:tc>
        <w:tc>
          <w:tcPr>
            <w:tcW w:w="44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240"/>
        </w:trPr>
        <w:tc>
          <w:tcPr>
            <w:tcW w:w="4360" w:type="dxa"/>
            <w:vAlign w:val="bottom"/>
            <w:shd w:val="clear" w:color="auto" w:fill="E9E9E9"/>
          </w:tcPr>
          <w:p>
            <w:pPr>
              <w:ind w:left="240"/>
              <w:spacing w:after="0"/>
              <w:rPr>
                <w:sz w:val="20"/>
                <w:szCs w:val="20"/>
                <w:color w:val="auto"/>
              </w:rPr>
            </w:pPr>
            <w:r>
              <w:rPr>
                <w:rFonts w:ascii="Arial" w:cs="Arial" w:eastAsia="Arial" w:hAnsi="Arial"/>
                <w:sz w:val="17"/>
                <w:szCs w:val="17"/>
                <w:color w:val="auto"/>
              </w:rPr>
              <w:t>Board leadership structure</w:t>
            </w:r>
          </w:p>
        </w:tc>
        <w:tc>
          <w:tcPr>
            <w:tcW w:w="1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63</w:t>
            </w:r>
          </w:p>
        </w:tc>
        <w:tc>
          <w:tcPr>
            <w:tcW w:w="260" w:type="dxa"/>
            <w:vAlign w:val="bottom"/>
          </w:tcPr>
          <w:p>
            <w:pPr>
              <w:spacing w:after="0"/>
              <w:rPr>
                <w:sz w:val="20"/>
                <w:szCs w:val="20"/>
                <w:color w:val="auto"/>
              </w:rPr>
            </w:pPr>
          </w:p>
        </w:tc>
        <w:tc>
          <w:tcPr>
            <w:tcW w:w="5220" w:type="dxa"/>
            <w:vAlign w:val="bottom"/>
            <w:shd w:val="clear" w:color="auto" w:fill="E9E9E9"/>
          </w:tcPr>
          <w:p>
            <w:pPr>
              <w:ind w:left="220"/>
              <w:spacing w:after="0"/>
              <w:rPr>
                <w:sz w:val="20"/>
                <w:szCs w:val="20"/>
                <w:color w:val="auto"/>
              </w:rPr>
            </w:pPr>
            <w:r>
              <w:rPr>
                <w:rFonts w:ascii="Arial" w:cs="Arial" w:eastAsia="Arial" w:hAnsi="Arial"/>
                <w:sz w:val="17"/>
                <w:szCs w:val="17"/>
                <w:color w:val="auto"/>
              </w:rPr>
              <w:t>Security ownership of directors and management</w:t>
            </w: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95</w:t>
            </w:r>
          </w:p>
        </w:tc>
      </w:tr>
      <w:tr>
        <w:trPr>
          <w:trHeight w:val="225"/>
        </w:trPr>
        <w:tc>
          <w:tcPr>
            <w:tcW w:w="4360" w:type="dxa"/>
            <w:vAlign w:val="bottom"/>
          </w:tcPr>
          <w:p>
            <w:pPr>
              <w:ind w:left="240"/>
              <w:spacing w:after="0"/>
              <w:rPr>
                <w:sz w:val="20"/>
                <w:szCs w:val="20"/>
                <w:color w:val="auto"/>
              </w:rPr>
            </w:pPr>
            <w:r>
              <w:rPr>
                <w:rFonts w:ascii="Arial" w:cs="Arial" w:eastAsia="Arial" w:hAnsi="Arial"/>
                <w:sz w:val="17"/>
                <w:szCs w:val="17"/>
                <w:color w:val="auto"/>
              </w:rPr>
              <w:t>Risk oversight by the board</w:t>
            </w:r>
          </w:p>
        </w:tc>
        <w:tc>
          <w:tcPr>
            <w:tcW w:w="1400" w:type="dxa"/>
            <w:vAlign w:val="bottom"/>
            <w:gridSpan w:val="2"/>
          </w:tcPr>
          <w:p>
            <w:pPr>
              <w:jc w:val="right"/>
              <w:ind w:right="260"/>
              <w:spacing w:after="0"/>
              <w:rPr>
                <w:sz w:val="20"/>
                <w:szCs w:val="20"/>
                <w:color w:val="auto"/>
              </w:rPr>
            </w:pPr>
            <w:r>
              <w:rPr>
                <w:rFonts w:ascii="Arial" w:cs="Arial" w:eastAsia="Arial" w:hAnsi="Arial"/>
                <w:sz w:val="17"/>
                <w:szCs w:val="17"/>
                <w:color w:val="auto"/>
              </w:rPr>
              <w:t>64</w:t>
            </w:r>
          </w:p>
        </w:tc>
        <w:tc>
          <w:tcPr>
            <w:tcW w:w="5220" w:type="dxa"/>
            <w:vAlign w:val="bottom"/>
          </w:tcPr>
          <w:p>
            <w:pPr>
              <w:ind w:left="220"/>
              <w:spacing w:after="0"/>
              <w:rPr>
                <w:sz w:val="20"/>
                <w:szCs w:val="20"/>
                <w:color w:val="auto"/>
              </w:rPr>
            </w:pPr>
            <w:r>
              <w:rPr>
                <w:rFonts w:ascii="Arial" w:cs="Arial" w:eastAsia="Arial" w:hAnsi="Arial"/>
                <w:sz w:val="17"/>
                <w:szCs w:val="17"/>
                <w:color w:val="auto"/>
              </w:rPr>
              <w:t>Related person transactions</w:t>
            </w:r>
          </w:p>
        </w:tc>
        <w:tc>
          <w:tcPr>
            <w:tcW w:w="44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240"/>
        </w:trPr>
        <w:tc>
          <w:tcPr>
            <w:tcW w:w="4360" w:type="dxa"/>
            <w:vAlign w:val="bottom"/>
            <w:shd w:val="clear" w:color="auto" w:fill="E9E9E9"/>
          </w:tcPr>
          <w:p>
            <w:pPr>
              <w:spacing w:after="0"/>
              <w:rPr>
                <w:sz w:val="20"/>
                <w:szCs w:val="20"/>
                <w:color w:val="auto"/>
              </w:rPr>
            </w:pPr>
            <w:r>
              <w:rPr>
                <w:rFonts w:ascii="Arial" w:cs="Arial" w:eastAsia="Arial" w:hAnsi="Arial"/>
                <w:sz w:val="17"/>
                <w:szCs w:val="17"/>
                <w:color w:val="auto"/>
              </w:rPr>
              <w:t>Director compensation</w:t>
            </w:r>
          </w:p>
        </w:tc>
        <w:tc>
          <w:tcPr>
            <w:tcW w:w="1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64</w:t>
            </w:r>
          </w:p>
        </w:tc>
        <w:tc>
          <w:tcPr>
            <w:tcW w:w="260" w:type="dxa"/>
            <w:vAlign w:val="bottom"/>
          </w:tcPr>
          <w:p>
            <w:pPr>
              <w:spacing w:after="0"/>
              <w:rPr>
                <w:sz w:val="20"/>
                <w:szCs w:val="20"/>
                <w:color w:val="auto"/>
              </w:rPr>
            </w:pPr>
          </w:p>
        </w:tc>
        <w:tc>
          <w:tcPr>
            <w:tcW w:w="5220" w:type="dxa"/>
            <w:vAlign w:val="bottom"/>
            <w:shd w:val="clear" w:color="auto" w:fill="E9E9E9"/>
          </w:tcPr>
          <w:p>
            <w:pPr>
              <w:ind w:left="220"/>
              <w:spacing w:after="0"/>
              <w:rPr>
                <w:sz w:val="20"/>
                <w:szCs w:val="20"/>
                <w:color w:val="auto"/>
              </w:rPr>
            </w:pPr>
            <w:r>
              <w:rPr>
                <w:rFonts w:ascii="Arial" w:cs="Arial" w:eastAsia="Arial" w:hAnsi="Arial"/>
                <w:sz w:val="17"/>
                <w:szCs w:val="17"/>
                <w:color w:val="auto"/>
              </w:rPr>
              <w:t>Compensation committee interlocks and</w:t>
            </w:r>
          </w:p>
        </w:tc>
        <w:tc>
          <w:tcPr>
            <w:tcW w:w="440" w:type="dxa"/>
            <w:vAlign w:val="bottom"/>
            <w:shd w:val="clear" w:color="auto" w:fill="E9E9E9"/>
          </w:tcPr>
          <w:p>
            <w:pPr>
              <w:spacing w:after="0"/>
              <w:rPr>
                <w:sz w:val="20"/>
                <w:szCs w:val="20"/>
                <w:color w:val="auto"/>
              </w:rPr>
            </w:pPr>
          </w:p>
        </w:tc>
      </w:tr>
      <w:tr>
        <w:trPr>
          <w:trHeight w:val="233"/>
        </w:trPr>
        <w:tc>
          <w:tcPr>
            <w:tcW w:w="4360" w:type="dxa"/>
            <w:vAlign w:val="bottom"/>
          </w:tcPr>
          <w:p>
            <w:pPr>
              <w:ind w:left="240"/>
              <w:spacing w:after="0"/>
              <w:rPr>
                <w:sz w:val="20"/>
                <w:szCs w:val="20"/>
                <w:color w:val="auto"/>
              </w:rPr>
            </w:pPr>
            <w:r>
              <w:rPr>
                <w:rFonts w:ascii="Arial" w:cs="Arial" w:eastAsia="Arial" w:hAnsi="Arial"/>
                <w:sz w:val="17"/>
                <w:szCs w:val="17"/>
                <w:color w:val="auto"/>
              </w:rPr>
              <w:t>2012 director compensation</w:t>
            </w:r>
          </w:p>
        </w:tc>
        <w:tc>
          <w:tcPr>
            <w:tcW w:w="1400" w:type="dxa"/>
            <w:vAlign w:val="bottom"/>
            <w:gridSpan w:val="2"/>
          </w:tcPr>
          <w:p>
            <w:pPr>
              <w:jc w:val="right"/>
              <w:ind w:right="260"/>
              <w:spacing w:after="0"/>
              <w:rPr>
                <w:sz w:val="20"/>
                <w:szCs w:val="20"/>
                <w:color w:val="auto"/>
              </w:rPr>
            </w:pPr>
            <w:r>
              <w:rPr>
                <w:rFonts w:ascii="Arial" w:cs="Arial" w:eastAsia="Arial" w:hAnsi="Arial"/>
                <w:sz w:val="17"/>
                <w:szCs w:val="17"/>
                <w:color w:val="auto"/>
              </w:rPr>
              <w:t>65</w:t>
            </w:r>
          </w:p>
        </w:tc>
        <w:tc>
          <w:tcPr>
            <w:tcW w:w="5220" w:type="dxa"/>
            <w:vAlign w:val="bottom"/>
            <w:shd w:val="clear" w:color="auto" w:fill="E9E9E9"/>
          </w:tcPr>
          <w:p>
            <w:pPr>
              <w:ind w:left="460"/>
              <w:spacing w:after="0"/>
              <w:rPr>
                <w:sz w:val="20"/>
                <w:szCs w:val="20"/>
                <w:color w:val="auto"/>
              </w:rPr>
            </w:pPr>
            <w:r>
              <w:rPr>
                <w:rFonts w:ascii="Arial" w:cs="Arial" w:eastAsia="Arial" w:hAnsi="Arial"/>
                <w:sz w:val="17"/>
                <w:szCs w:val="17"/>
                <w:color w:val="auto"/>
              </w:rPr>
              <w:t>insider participation</w:t>
            </w: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97</w:t>
            </w:r>
          </w:p>
        </w:tc>
      </w:tr>
      <w:tr>
        <w:trPr>
          <w:trHeight w:val="233"/>
        </w:trPr>
        <w:tc>
          <w:tcPr>
            <w:tcW w:w="4360" w:type="dxa"/>
            <w:vAlign w:val="bottom"/>
            <w:shd w:val="clear" w:color="auto" w:fill="E9E9E9"/>
          </w:tcPr>
          <w:p>
            <w:pPr>
              <w:spacing w:after="0"/>
              <w:rPr>
                <w:sz w:val="20"/>
                <w:szCs w:val="20"/>
                <w:color w:val="auto"/>
              </w:rPr>
            </w:pPr>
            <w:r>
              <w:rPr>
                <w:rFonts w:ascii="Arial" w:cs="Arial" w:eastAsia="Arial" w:hAnsi="Arial"/>
                <w:sz w:val="17"/>
                <w:szCs w:val="17"/>
                <w:color w:val="auto"/>
              </w:rPr>
              <w:t>Executive compensation</w:t>
            </w:r>
          </w:p>
        </w:tc>
        <w:tc>
          <w:tcPr>
            <w:tcW w:w="1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67</w:t>
            </w:r>
          </w:p>
        </w:tc>
        <w:tc>
          <w:tcPr>
            <w:tcW w:w="260" w:type="dxa"/>
            <w:vAlign w:val="bottom"/>
          </w:tcPr>
          <w:p>
            <w:pPr>
              <w:spacing w:after="0"/>
              <w:rPr>
                <w:sz w:val="20"/>
                <w:szCs w:val="20"/>
                <w:color w:val="auto"/>
              </w:rPr>
            </w:pPr>
          </w:p>
        </w:tc>
        <w:tc>
          <w:tcPr>
            <w:tcW w:w="5220" w:type="dxa"/>
            <w:vAlign w:val="bottom"/>
          </w:tcPr>
          <w:p>
            <w:pPr>
              <w:ind w:left="220"/>
              <w:spacing w:after="0"/>
              <w:rPr>
                <w:sz w:val="20"/>
                <w:szCs w:val="20"/>
                <w:color w:val="auto"/>
              </w:rPr>
            </w:pPr>
            <w:r>
              <w:rPr>
                <w:rFonts w:ascii="Arial" w:cs="Arial" w:eastAsia="Arial" w:hAnsi="Arial"/>
                <w:sz w:val="17"/>
                <w:szCs w:val="17"/>
                <w:color w:val="auto"/>
              </w:rPr>
              <w:t>Cost of solicitation</w:t>
            </w:r>
          </w:p>
        </w:tc>
        <w:tc>
          <w:tcPr>
            <w:tcW w:w="44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233"/>
        </w:trPr>
        <w:tc>
          <w:tcPr>
            <w:tcW w:w="4360" w:type="dxa"/>
            <w:vAlign w:val="bottom"/>
          </w:tcPr>
          <w:p>
            <w:pPr>
              <w:ind w:left="240"/>
              <w:spacing w:after="0"/>
              <w:rPr>
                <w:sz w:val="20"/>
                <w:szCs w:val="20"/>
                <w:color w:val="auto"/>
              </w:rPr>
            </w:pPr>
            <w:r>
              <w:rPr>
                <w:rFonts w:ascii="Arial" w:cs="Arial" w:eastAsia="Arial" w:hAnsi="Arial"/>
                <w:sz w:val="17"/>
                <w:szCs w:val="17"/>
                <w:color w:val="auto"/>
              </w:rPr>
              <w:t>Proposal regarding advisory approval of</w:t>
            </w: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20" w:type="dxa"/>
            <w:vAlign w:val="bottom"/>
            <w:shd w:val="clear" w:color="auto" w:fill="E9E9E9"/>
          </w:tcPr>
          <w:p>
            <w:pPr>
              <w:ind w:left="220"/>
              <w:spacing w:after="0"/>
              <w:rPr>
                <w:sz w:val="20"/>
                <w:szCs w:val="20"/>
                <w:color w:val="auto"/>
              </w:rPr>
            </w:pPr>
            <w:r>
              <w:rPr>
                <w:rFonts w:ascii="Arial" w:cs="Arial" w:eastAsia="Arial" w:hAnsi="Arial"/>
                <w:sz w:val="17"/>
                <w:szCs w:val="17"/>
                <w:color w:val="auto"/>
              </w:rPr>
              <w:t>Stockholder proposals for 2014</w:t>
            </w: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97</w:t>
            </w:r>
          </w:p>
        </w:tc>
      </w:tr>
      <w:tr>
        <w:trPr>
          <w:trHeight w:val="225"/>
        </w:trPr>
        <w:tc>
          <w:tcPr>
            <w:tcW w:w="4360" w:type="dxa"/>
            <w:vAlign w:val="bottom"/>
          </w:tcPr>
          <w:p>
            <w:pPr>
              <w:ind w:left="480"/>
              <w:spacing w:after="0"/>
              <w:rPr>
                <w:sz w:val="20"/>
                <w:szCs w:val="20"/>
                <w:color w:val="auto"/>
              </w:rPr>
            </w:pPr>
            <w:r>
              <w:rPr>
                <w:rFonts w:ascii="Arial" w:cs="Arial" w:eastAsia="Arial" w:hAnsi="Arial"/>
                <w:sz w:val="17"/>
                <w:szCs w:val="17"/>
                <w:color w:val="auto"/>
              </w:rPr>
              <w:t>the company’s executive compensation</w:t>
            </w:r>
          </w:p>
        </w:tc>
        <w:tc>
          <w:tcPr>
            <w:tcW w:w="1400" w:type="dxa"/>
            <w:vAlign w:val="bottom"/>
            <w:gridSpan w:val="2"/>
          </w:tcPr>
          <w:p>
            <w:pPr>
              <w:jc w:val="right"/>
              <w:ind w:right="260"/>
              <w:spacing w:after="0"/>
              <w:rPr>
                <w:sz w:val="20"/>
                <w:szCs w:val="20"/>
                <w:color w:val="auto"/>
              </w:rPr>
            </w:pPr>
            <w:r>
              <w:rPr>
                <w:rFonts w:ascii="Arial" w:cs="Arial" w:eastAsia="Arial" w:hAnsi="Arial"/>
                <w:sz w:val="17"/>
                <w:szCs w:val="17"/>
                <w:color w:val="auto"/>
              </w:rPr>
              <w:t>67</w:t>
            </w:r>
          </w:p>
        </w:tc>
        <w:tc>
          <w:tcPr>
            <w:tcW w:w="5220" w:type="dxa"/>
            <w:vAlign w:val="bottom"/>
          </w:tcPr>
          <w:p>
            <w:pPr>
              <w:ind w:left="220"/>
              <w:spacing w:after="0"/>
              <w:rPr>
                <w:sz w:val="20"/>
                <w:szCs w:val="20"/>
                <w:color w:val="auto"/>
              </w:rPr>
            </w:pPr>
            <w:r>
              <w:rPr>
                <w:rFonts w:ascii="Arial" w:cs="Arial" w:eastAsia="Arial" w:hAnsi="Arial"/>
                <w:sz w:val="17"/>
                <w:szCs w:val="17"/>
                <w:color w:val="auto"/>
              </w:rPr>
              <w:t>Benefit plan voting</w:t>
            </w:r>
          </w:p>
        </w:tc>
        <w:tc>
          <w:tcPr>
            <w:tcW w:w="44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240"/>
        </w:trPr>
        <w:tc>
          <w:tcPr>
            <w:tcW w:w="4360" w:type="dxa"/>
            <w:vAlign w:val="bottom"/>
            <w:shd w:val="clear" w:color="auto" w:fill="E9E9E9"/>
          </w:tcPr>
          <w:p>
            <w:pPr>
              <w:spacing w:after="0"/>
              <w:rPr>
                <w:sz w:val="20"/>
                <w:szCs w:val="20"/>
                <w:color w:val="auto"/>
              </w:rPr>
            </w:pPr>
            <w:r>
              <w:rPr>
                <w:rFonts w:ascii="Arial" w:cs="Arial" w:eastAsia="Arial" w:hAnsi="Arial"/>
                <w:sz w:val="17"/>
                <w:szCs w:val="17"/>
                <w:color w:val="auto"/>
              </w:rPr>
              <w:t>Compensation discussion and analysis</w:t>
            </w:r>
          </w:p>
        </w:tc>
        <w:tc>
          <w:tcPr>
            <w:tcW w:w="1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68</w:t>
            </w:r>
          </w:p>
        </w:tc>
        <w:tc>
          <w:tcPr>
            <w:tcW w:w="260" w:type="dxa"/>
            <w:vAlign w:val="bottom"/>
          </w:tcPr>
          <w:p>
            <w:pPr>
              <w:spacing w:after="0"/>
              <w:rPr>
                <w:sz w:val="20"/>
                <w:szCs w:val="20"/>
                <w:color w:val="auto"/>
              </w:rPr>
            </w:pPr>
          </w:p>
        </w:tc>
        <w:tc>
          <w:tcPr>
            <w:tcW w:w="5220" w:type="dxa"/>
            <w:vAlign w:val="bottom"/>
            <w:shd w:val="clear" w:color="auto" w:fill="E9E9E9"/>
          </w:tcPr>
          <w:p>
            <w:pPr>
              <w:ind w:left="220"/>
              <w:spacing w:after="0"/>
              <w:rPr>
                <w:sz w:val="20"/>
                <w:szCs w:val="20"/>
                <w:color w:val="auto"/>
              </w:rPr>
            </w:pPr>
            <w:r>
              <w:rPr>
                <w:rFonts w:ascii="Arial" w:cs="Arial" w:eastAsia="Arial" w:hAnsi="Arial"/>
                <w:sz w:val="17"/>
                <w:szCs w:val="17"/>
                <w:color w:val="auto"/>
              </w:rPr>
              <w:t>Section 16(a) beneficial ownership reporting compliance</w:t>
            </w: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98</w:t>
            </w:r>
          </w:p>
        </w:tc>
      </w:tr>
      <w:tr>
        <w:trPr>
          <w:trHeight w:val="225"/>
        </w:trPr>
        <w:tc>
          <w:tcPr>
            <w:tcW w:w="4360" w:type="dxa"/>
            <w:vAlign w:val="bottom"/>
          </w:tcPr>
          <w:p>
            <w:pPr>
              <w:spacing w:after="0"/>
              <w:rPr>
                <w:sz w:val="20"/>
                <w:szCs w:val="20"/>
                <w:color w:val="auto"/>
              </w:rPr>
            </w:pPr>
            <w:r>
              <w:rPr>
                <w:rFonts w:ascii="Arial" w:cs="Arial" w:eastAsia="Arial" w:hAnsi="Arial"/>
                <w:sz w:val="17"/>
                <w:szCs w:val="17"/>
                <w:color w:val="auto"/>
              </w:rPr>
              <w:t>Compensation Committee report</w:t>
            </w:r>
          </w:p>
        </w:tc>
        <w:tc>
          <w:tcPr>
            <w:tcW w:w="1400" w:type="dxa"/>
            <w:vAlign w:val="bottom"/>
            <w:gridSpan w:val="2"/>
          </w:tcPr>
          <w:p>
            <w:pPr>
              <w:jc w:val="right"/>
              <w:ind w:right="260"/>
              <w:spacing w:after="0"/>
              <w:rPr>
                <w:sz w:val="20"/>
                <w:szCs w:val="20"/>
                <w:color w:val="auto"/>
              </w:rPr>
            </w:pPr>
            <w:r>
              <w:rPr>
                <w:rFonts w:ascii="Arial" w:cs="Arial" w:eastAsia="Arial" w:hAnsi="Arial"/>
                <w:sz w:val="17"/>
                <w:szCs w:val="17"/>
                <w:color w:val="auto"/>
              </w:rPr>
              <w:t>80</w:t>
            </w:r>
          </w:p>
        </w:tc>
        <w:tc>
          <w:tcPr>
            <w:tcW w:w="5220" w:type="dxa"/>
            <w:vAlign w:val="bottom"/>
          </w:tcPr>
          <w:p>
            <w:pPr>
              <w:ind w:left="220"/>
              <w:spacing w:after="0"/>
              <w:rPr>
                <w:sz w:val="20"/>
                <w:szCs w:val="20"/>
                <w:color w:val="auto"/>
              </w:rPr>
            </w:pPr>
            <w:r>
              <w:rPr>
                <w:rFonts w:ascii="Arial" w:cs="Arial" w:eastAsia="Arial" w:hAnsi="Arial"/>
                <w:sz w:val="17"/>
                <w:szCs w:val="17"/>
                <w:color w:val="auto"/>
              </w:rPr>
              <w:t>Telephone and Internet voting</w:t>
            </w:r>
          </w:p>
        </w:tc>
        <w:tc>
          <w:tcPr>
            <w:tcW w:w="44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240"/>
        </w:trPr>
        <w:tc>
          <w:tcPr>
            <w:tcW w:w="4360" w:type="dxa"/>
            <w:vAlign w:val="bottom"/>
            <w:shd w:val="clear" w:color="auto" w:fill="E9E9E9"/>
          </w:tcPr>
          <w:p>
            <w:pPr>
              <w:spacing w:after="0"/>
              <w:rPr>
                <w:sz w:val="20"/>
                <w:szCs w:val="20"/>
                <w:color w:val="auto"/>
              </w:rPr>
            </w:pPr>
            <w:r>
              <w:rPr>
                <w:rFonts w:ascii="Arial" w:cs="Arial" w:eastAsia="Arial" w:hAnsi="Arial"/>
                <w:sz w:val="17"/>
                <w:szCs w:val="17"/>
                <w:color w:val="auto"/>
              </w:rPr>
              <w:t>2012 summary compensation table</w:t>
            </w:r>
          </w:p>
        </w:tc>
        <w:tc>
          <w:tcPr>
            <w:tcW w:w="1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80</w:t>
            </w:r>
          </w:p>
        </w:tc>
        <w:tc>
          <w:tcPr>
            <w:tcW w:w="260" w:type="dxa"/>
            <w:vAlign w:val="bottom"/>
          </w:tcPr>
          <w:p>
            <w:pPr>
              <w:spacing w:after="0"/>
              <w:rPr>
                <w:sz w:val="20"/>
                <w:szCs w:val="20"/>
                <w:color w:val="auto"/>
              </w:rPr>
            </w:pPr>
          </w:p>
        </w:tc>
        <w:tc>
          <w:tcPr>
            <w:tcW w:w="5220" w:type="dxa"/>
            <w:vAlign w:val="bottom"/>
            <w:shd w:val="clear" w:color="auto" w:fill="E9E9E9"/>
          </w:tcPr>
          <w:p>
            <w:pPr>
              <w:ind w:left="220"/>
              <w:spacing w:after="0"/>
              <w:rPr>
                <w:sz w:val="20"/>
                <w:szCs w:val="20"/>
                <w:color w:val="auto"/>
              </w:rPr>
            </w:pPr>
            <w:r>
              <w:rPr>
                <w:rFonts w:ascii="Arial" w:cs="Arial" w:eastAsia="Arial" w:hAnsi="Arial"/>
                <w:sz w:val="17"/>
                <w:szCs w:val="17"/>
                <w:color w:val="auto"/>
              </w:rPr>
              <w:t>Stockholders sharing the same address</w:t>
            </w: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98</w:t>
            </w:r>
          </w:p>
        </w:tc>
      </w:tr>
      <w:tr>
        <w:trPr>
          <w:trHeight w:val="218"/>
        </w:trPr>
        <w:tc>
          <w:tcPr>
            <w:tcW w:w="4360" w:type="dxa"/>
            <w:vAlign w:val="bottom"/>
          </w:tcPr>
          <w:p>
            <w:pPr>
              <w:ind w:left="240"/>
              <w:spacing w:after="0"/>
              <w:rPr>
                <w:sz w:val="20"/>
                <w:szCs w:val="20"/>
                <w:color w:val="auto"/>
              </w:rPr>
            </w:pPr>
            <w:r>
              <w:rPr>
                <w:rFonts w:ascii="Arial" w:cs="Arial" w:eastAsia="Arial" w:hAnsi="Arial"/>
                <w:sz w:val="17"/>
                <w:szCs w:val="17"/>
                <w:color w:val="auto"/>
              </w:rPr>
              <w:t>Grants of plan-based awards in 2012</w:t>
            </w:r>
          </w:p>
        </w:tc>
        <w:tc>
          <w:tcPr>
            <w:tcW w:w="1400" w:type="dxa"/>
            <w:vAlign w:val="bottom"/>
            <w:gridSpan w:val="2"/>
          </w:tcPr>
          <w:p>
            <w:pPr>
              <w:jc w:val="right"/>
              <w:ind w:right="260"/>
              <w:spacing w:after="0"/>
              <w:rPr>
                <w:sz w:val="20"/>
                <w:szCs w:val="20"/>
                <w:color w:val="auto"/>
              </w:rPr>
            </w:pPr>
            <w:r>
              <w:rPr>
                <w:rFonts w:ascii="Arial" w:cs="Arial" w:eastAsia="Arial" w:hAnsi="Arial"/>
                <w:sz w:val="17"/>
                <w:szCs w:val="17"/>
                <w:color w:val="auto"/>
              </w:rPr>
              <w:t>82</w:t>
            </w:r>
          </w:p>
        </w:tc>
        <w:tc>
          <w:tcPr>
            <w:tcW w:w="5220" w:type="dxa"/>
            <w:vAlign w:val="bottom"/>
          </w:tcPr>
          <w:p>
            <w:pPr>
              <w:ind w:left="220"/>
              <w:spacing w:after="0"/>
              <w:rPr>
                <w:sz w:val="20"/>
                <w:szCs w:val="20"/>
                <w:color w:val="auto"/>
              </w:rPr>
            </w:pPr>
            <w:r>
              <w:rPr>
                <w:rFonts w:ascii="Arial" w:cs="Arial" w:eastAsia="Arial" w:hAnsi="Arial"/>
                <w:sz w:val="17"/>
                <w:szCs w:val="17"/>
                <w:color w:val="auto"/>
              </w:rPr>
              <w:t>Electronic delivery of proxy materials</w:t>
            </w:r>
          </w:p>
        </w:tc>
        <w:tc>
          <w:tcPr>
            <w:tcW w:w="440" w:type="dxa"/>
            <w:vAlign w:val="bottom"/>
          </w:tcPr>
          <w:p>
            <w:pPr>
              <w:jc w:val="right"/>
              <w:spacing w:after="0"/>
              <w:rPr>
                <w:sz w:val="20"/>
                <w:szCs w:val="20"/>
                <w:color w:val="auto"/>
              </w:rPr>
            </w:pPr>
            <w:r>
              <w:rPr>
                <w:rFonts w:ascii="Arial" w:cs="Arial" w:eastAsia="Arial" w:hAnsi="Arial"/>
                <w:sz w:val="17"/>
                <w:szCs w:val="17"/>
                <w:color w:val="auto"/>
              </w:rPr>
              <w:t>98</w:t>
            </w:r>
          </w:p>
        </w:tc>
      </w:tr>
    </w:tbl>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b w:val="1"/>
          <w:bCs w:val="1"/>
          <w:color w:val="808285"/>
        </w:rPr>
        <w:t>Proxy statement – March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25233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12500 TI BOULEVARD, DALLAS, TEXAS 75243</w:t>
      </w:r>
    </w:p>
    <w:p>
      <w:pPr>
        <w:spacing w:after="0"/>
        <w:rPr>
          <w:sz w:val="20"/>
          <w:szCs w:val="20"/>
          <w:color w:val="auto"/>
        </w:rPr>
      </w:pPr>
      <w:r>
        <w:rPr>
          <w:rFonts w:ascii="Arial" w:cs="Arial" w:eastAsia="Arial" w:hAnsi="Arial"/>
          <w:sz w:val="17"/>
          <w:szCs w:val="17"/>
          <w:color w:val="auto"/>
        </w:rPr>
        <w:t>MAILING ADDRESS: P.O. BOX 660199, DALLAS, TEXAS 75266-0199</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procedures and quorum</w:t>
      </w:r>
    </w:p>
    <w:p>
      <w:pPr>
        <w:spacing w:after="0" w:line="22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TI’s board of directors requests your proxy for the annual meeting of stockholders on April 18, 2013. If you sign and return the enclosed proxy, or vote by telephone or on the Internet, you authorize the persons named in the proxy to represent you and vote your shares for the purposes mentioned in the notice of annual meeting. This proxy statement and related proxy are being distributed on or about March 5, 2013. If you come to the meeting, you can vote in person. If you do not come to the meeting, your shares can be voted only if you have returned a properly signed proxy or followed the telephone or Internet voting instructions, which can be found on the enclosed proxy. If you sign and return your proxy but do not give voting instructions, the shares represented by that proxy will be voted as recommended by the board of directors. You can revoke your authorization at any time before the shares are voted at the meeting.</w:t>
      </w:r>
    </w:p>
    <w:p>
      <w:pPr>
        <w:spacing w:after="0" w:line="5" w:lineRule="exact"/>
        <w:rPr>
          <w:sz w:val="20"/>
          <w:szCs w:val="20"/>
          <w:color w:val="auto"/>
        </w:rPr>
      </w:pPr>
    </w:p>
    <w:p>
      <w:pPr>
        <w:ind w:right="400" w:firstLine="233"/>
        <w:spacing w:after="0" w:line="237" w:lineRule="auto"/>
        <w:rPr>
          <w:sz w:val="20"/>
          <w:szCs w:val="20"/>
          <w:color w:val="auto"/>
        </w:rPr>
      </w:pPr>
      <w:r>
        <w:rPr>
          <w:rFonts w:ascii="Arial" w:cs="Arial" w:eastAsia="Arial" w:hAnsi="Arial"/>
          <w:sz w:val="17"/>
          <w:szCs w:val="17"/>
          <w:color w:val="auto"/>
        </w:rPr>
        <w:t>A quorum of stockholders is necessary to hold a valid meeting. If at least a majority of the shares of TI common stock issued and outstanding and entitled to vote are present in person or by proxy, a quorum will exist. Abstentions and broker non-votes are counted as present for purposes of establishing a quorum. Broker non-votes occur when a beneficial owner who holds company stock through a broker does not provide the broker with voting instructions as to any matter on which the broker is not permitted to exercise its discretion and vote without specific instruction.</w:t>
      </w:r>
    </w:p>
    <w:p>
      <w:pPr>
        <w:spacing w:after="0" w:line="3" w:lineRule="exact"/>
        <w:rPr>
          <w:sz w:val="20"/>
          <w:szCs w:val="20"/>
          <w:color w:val="auto"/>
        </w:rPr>
      </w:pPr>
    </w:p>
    <w:p>
      <w:pPr>
        <w:ind w:right="160" w:firstLine="233"/>
        <w:spacing w:after="0" w:line="237" w:lineRule="auto"/>
        <w:rPr>
          <w:sz w:val="20"/>
          <w:szCs w:val="20"/>
          <w:color w:val="auto"/>
        </w:rPr>
      </w:pPr>
      <w:r>
        <w:rPr>
          <w:rFonts w:ascii="Arial" w:cs="Arial" w:eastAsia="Arial" w:hAnsi="Arial"/>
          <w:sz w:val="17"/>
          <w:szCs w:val="17"/>
          <w:color w:val="auto"/>
        </w:rPr>
        <w:t>Scheduled to be considered at the meeting are the election of directors, an advisory vote regarding approval of the company’s executive compensation, and ratification of the appointment of our independent registered public accounting firm. Each of these matters is discussed elsewhere in this proxy statement.</w:t>
      </w:r>
    </w:p>
    <w:p>
      <w:pPr>
        <w:spacing w:after="0" w:line="2" w:lineRule="exact"/>
        <w:rPr>
          <w:sz w:val="20"/>
          <w:szCs w:val="20"/>
          <w:color w:val="auto"/>
        </w:rPr>
      </w:pPr>
    </w:p>
    <w:p>
      <w:pPr>
        <w:ind w:right="20" w:firstLine="233"/>
        <w:spacing w:after="0" w:line="245" w:lineRule="auto"/>
        <w:rPr>
          <w:sz w:val="20"/>
          <w:szCs w:val="20"/>
          <w:color w:val="auto"/>
        </w:rPr>
      </w:pPr>
      <w:r>
        <w:rPr>
          <w:rFonts w:ascii="Arial" w:cs="Arial" w:eastAsia="Arial" w:hAnsi="Arial"/>
          <w:sz w:val="17"/>
          <w:szCs w:val="17"/>
          <w:color w:val="auto"/>
        </w:rPr>
        <w:t>Any other matter that may properly be submitted at the meeting is approved if a majority of the votes present at the meeting vote “for” the proposal. On such matters you may vote “for,” “against” or “abstain”; abstentions and broker non-votes have the same effect as votes “against.”</w:t>
      </w:r>
    </w:p>
    <w:p>
      <w:pPr>
        <w:spacing w:after="0" w:line="214" w:lineRule="exact"/>
        <w:rPr>
          <w:sz w:val="20"/>
          <w:szCs w:val="20"/>
          <w:color w:val="auto"/>
        </w:rPr>
      </w:pPr>
    </w:p>
    <w:p>
      <w:pPr>
        <w:spacing w:after="0"/>
        <w:tabs>
          <w:tab w:leader="none" w:pos="10000" w:val="left"/>
        </w:tabs>
        <w:rPr>
          <w:sz w:val="20"/>
          <w:szCs w:val="20"/>
          <w:color w:val="auto"/>
        </w:rPr>
      </w:pPr>
      <w:r>
        <w:rPr>
          <w:rFonts w:ascii="Arial" w:cs="Arial" w:eastAsia="Arial" w:hAnsi="Arial"/>
          <w:sz w:val="13"/>
          <w:szCs w:val="13"/>
          <w:b w:val="1"/>
          <w:bCs w:val="1"/>
          <w:color w:val="808285"/>
        </w:rPr>
        <w:t>56 •  2013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Election of directors</w:t>
      </w:r>
    </w:p>
    <w:p>
      <w:pPr>
        <w:spacing w:after="0" w:line="225" w:lineRule="exact"/>
        <w:rPr>
          <w:sz w:val="20"/>
          <w:szCs w:val="20"/>
          <w:color w:val="auto"/>
        </w:rPr>
      </w:pPr>
    </w:p>
    <w:p>
      <w:pPr>
        <w:jc w:val="both"/>
        <w:ind w:right="200"/>
        <w:spacing w:after="0" w:line="252" w:lineRule="auto"/>
        <w:rPr>
          <w:sz w:val="20"/>
          <w:szCs w:val="20"/>
          <w:color w:val="auto"/>
        </w:rPr>
      </w:pPr>
      <w:r>
        <w:rPr>
          <w:rFonts w:ascii="Arial" w:cs="Arial" w:eastAsia="Arial" w:hAnsi="Arial"/>
          <w:sz w:val="16"/>
          <w:szCs w:val="16"/>
          <w:color w:val="auto"/>
        </w:rPr>
        <w:t>Directors are elected at the annual meeting to hold office until the next annual meeting and until their successors are elected and qualified. The board of directors has designated the following persons as nominees: RALPH W. BABB, JR., MARK A. BLINN, DANIEL A. CARP, CARRIE S. COX, PAMELA H. PATSLEY, ROBERT E. SANCHEZ, WAYNE R. SANDERS, RUTH J. SIMMONS, RICHARD K. TEMPLETON and CHRISTINE TODD WHITMAN.</w:t>
      </w:r>
    </w:p>
    <w:p>
      <w:pPr>
        <w:ind w:left="240"/>
        <w:spacing w:after="0"/>
        <w:rPr>
          <w:sz w:val="20"/>
          <w:szCs w:val="20"/>
          <w:color w:val="auto"/>
        </w:rPr>
      </w:pPr>
      <w:r>
        <w:rPr>
          <w:rFonts w:ascii="Arial" w:cs="Arial" w:eastAsia="Arial" w:hAnsi="Arial"/>
          <w:sz w:val="17"/>
          <w:szCs w:val="17"/>
          <w:color w:val="auto"/>
        </w:rPr>
        <w:t>If you return a proxy that is not otherwise marked, your shares will be voted FOR each of the nominees.</w:t>
      </w:r>
    </w:p>
    <w:p>
      <w:pPr>
        <w:ind w:right="480" w:firstLine="233"/>
        <w:spacing w:after="0" w:line="245" w:lineRule="auto"/>
        <w:rPr>
          <w:sz w:val="20"/>
          <w:szCs w:val="20"/>
          <w:color w:val="auto"/>
        </w:rPr>
      </w:pPr>
      <w:r>
        <w:rPr>
          <w:rFonts w:ascii="Arial" w:cs="Arial" w:eastAsia="Arial" w:hAnsi="Arial"/>
          <w:sz w:val="17"/>
          <w:szCs w:val="17"/>
          <w:color w:val="auto"/>
        </w:rPr>
        <w:t>Directors must be elected by a majority of the votes present at the meeting and entitled to be cast in the election. You may vote “for,” “against,” or “abstain.” Abstentions have the same effect as votes “against.” Broker non-votes are not counted as votes “for” or “against.”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Nominees for directorship</w:t>
      </w:r>
    </w:p>
    <w:p>
      <w:pPr>
        <w:spacing w:after="0" w:line="225"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All of the nominees for directorship are directors of the company. For a discussion of each nominee’s qualifications to serve as a director of the company, please see pages 58-60. If any nominee becomes unable to serve before the meeting, the persons named as proxies may vote for a substitute or the number of directors will be reduced accordingly.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w:t>
      </w:r>
    </w:p>
    <w:p>
      <w:pPr>
        <w:sectPr>
          <w:pgSz w:w="11900" w:h="16838" w:orient="portrait"/>
          <w:cols w:equalWidth="0" w:num="1">
            <w:col w:w="11460"/>
          </w:cols>
          <w:pgMar w:left="240" w:top="562" w:right="199" w:bottom="1440" w:gutter="0" w:footer="0" w:header="0"/>
        </w:sectPr>
      </w:pPr>
    </w:p>
    <w:p>
      <w:pPr>
        <w:spacing w:after="0" w:line="37"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auto"/>
        </w:rPr>
        <w:t>RALPH W. BABB,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795655" cy="975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95655" cy="975995"/>
                    </a:xfrm>
                    <a:prstGeom prst="rect">
                      <a:avLst/>
                    </a:prstGeom>
                    <a:noFill/>
                  </pic:spPr>
                </pic:pic>
              </a:graphicData>
            </a:graphic>
          </wp:anchor>
        </w:drawing>
      </w:r>
    </w:p>
    <w:p>
      <w:pPr>
        <w:spacing w:after="0" w:line="37"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Age 64</w:t>
      </w:r>
    </w:p>
    <w:p>
      <w:pPr>
        <w:spacing w:after="0" w:line="37"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Director since 2010</w:t>
      </w:r>
    </w:p>
    <w:p>
      <w:pPr>
        <w:spacing w:after="0" w:line="19" w:lineRule="exact"/>
        <w:rPr>
          <w:sz w:val="20"/>
          <w:szCs w:val="20"/>
          <w:color w:val="auto"/>
        </w:rPr>
      </w:pPr>
    </w:p>
    <w:p>
      <w:pPr>
        <w:ind w:left="1420"/>
        <w:spacing w:after="0"/>
        <w:rPr>
          <w:sz w:val="20"/>
          <w:szCs w:val="20"/>
          <w:color w:val="auto"/>
        </w:rPr>
      </w:pPr>
      <w:r>
        <w:rPr>
          <w:rFonts w:ascii="Arial" w:cs="Arial" w:eastAsia="Arial" w:hAnsi="Arial"/>
          <w:sz w:val="16"/>
          <w:szCs w:val="16"/>
          <w:i w:val="1"/>
          <w:iCs w:val="1"/>
          <w:color w:val="auto"/>
        </w:rPr>
        <w:t>Member, Audit Committee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ROBERT E. SANCHEZ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-120650</wp:posOffset>
            </wp:positionV>
            <wp:extent cx="812165" cy="9683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12165" cy="96837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Age 47</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Director since 2011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Member, Audit Committee</w:t>
      </w:r>
    </w:p>
    <w:p>
      <w:pPr>
        <w:spacing w:after="0" w:line="200" w:lineRule="exact"/>
        <w:rPr>
          <w:sz w:val="20"/>
          <w:szCs w:val="20"/>
          <w:color w:val="auto"/>
        </w:rPr>
      </w:pPr>
    </w:p>
    <w:p>
      <w:pPr>
        <w:sectPr>
          <w:pgSz w:w="11900" w:h="16838" w:orient="portrait"/>
          <w:cols w:equalWidth="0" w:num="2">
            <w:col w:w="6460" w:space="720"/>
            <w:col w:w="4280"/>
          </w:cols>
          <w:pgMar w:left="240" w:top="562" w:right="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auto"/>
        </w:rPr>
        <w:t>MARK A. BLINN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795655" cy="9601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95655" cy="960120"/>
                    </a:xfrm>
                    <a:prstGeom prst="rect">
                      <a:avLst/>
                    </a:prstGeom>
                    <a:noFill/>
                  </pic:spPr>
                </pic:pic>
              </a:graphicData>
            </a:graphic>
          </wp:anchor>
        </w:drawing>
      </w:r>
    </w:p>
    <w:p>
      <w:pPr>
        <w:spacing w:after="0" w:line="37"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Age 51</w:t>
      </w:r>
    </w:p>
    <w:p>
      <w:pPr>
        <w:spacing w:after="0" w:line="37"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Director since February 21,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WAYNE R.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-120650</wp:posOffset>
            </wp:positionV>
            <wp:extent cx="812165" cy="9683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12165" cy="96837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Age 65</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Director since 1997</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Member, Compensation Committee</w:t>
      </w:r>
    </w:p>
    <w:p>
      <w:pPr>
        <w:spacing w:after="0" w:line="200" w:lineRule="exact"/>
        <w:rPr>
          <w:sz w:val="20"/>
          <w:szCs w:val="20"/>
          <w:color w:val="auto"/>
        </w:rPr>
      </w:pPr>
    </w:p>
    <w:p>
      <w:pPr>
        <w:sectPr>
          <w:pgSz w:w="11900" w:h="16838" w:orient="portrait"/>
          <w:cols w:equalWidth="0" w:num="2">
            <w:col w:w="6460" w:space="720"/>
            <w:col w:w="4280"/>
          </w:cols>
          <w:pgMar w:left="240" w:top="562" w:right="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auto"/>
        </w:rPr>
        <w:t>DANIEL A. CARP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795655" cy="975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95655" cy="975995"/>
                    </a:xfrm>
                    <a:prstGeom prst="rect">
                      <a:avLst/>
                    </a:prstGeom>
                    <a:noFill/>
                  </pic:spPr>
                </pic:pic>
              </a:graphicData>
            </a:graphic>
          </wp:anchor>
        </w:drawing>
      </w:r>
    </w:p>
    <w:p>
      <w:pPr>
        <w:spacing w:after="0" w:line="37"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Age 64</w:t>
      </w:r>
    </w:p>
    <w:p>
      <w:pPr>
        <w:spacing w:after="0" w:line="37"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Director since 1997</w:t>
      </w:r>
    </w:p>
    <w:p>
      <w:pPr>
        <w:spacing w:after="0" w:line="19" w:lineRule="exact"/>
        <w:rPr>
          <w:sz w:val="20"/>
          <w:szCs w:val="20"/>
          <w:color w:val="auto"/>
        </w:rPr>
      </w:pPr>
    </w:p>
    <w:p>
      <w:pPr>
        <w:ind w:left="1420"/>
        <w:spacing w:after="0"/>
        <w:rPr>
          <w:sz w:val="20"/>
          <w:szCs w:val="20"/>
          <w:color w:val="auto"/>
        </w:rPr>
      </w:pPr>
      <w:r>
        <w:rPr>
          <w:rFonts w:ascii="Arial" w:cs="Arial" w:eastAsia="Arial" w:hAnsi="Arial"/>
          <w:sz w:val="16"/>
          <w:szCs w:val="16"/>
          <w:i w:val="1"/>
          <w:iCs w:val="1"/>
          <w:color w:val="auto"/>
        </w:rPr>
        <w:t>Member, Governance and Stockholder</w:t>
      </w:r>
    </w:p>
    <w:p>
      <w:pPr>
        <w:spacing w:after="0" w:line="49" w:lineRule="exact"/>
        <w:rPr>
          <w:sz w:val="20"/>
          <w:szCs w:val="20"/>
          <w:color w:val="auto"/>
        </w:rPr>
      </w:pPr>
    </w:p>
    <w:p>
      <w:pPr>
        <w:ind w:left="1420"/>
        <w:spacing w:after="0"/>
        <w:rPr>
          <w:sz w:val="20"/>
          <w:szCs w:val="20"/>
          <w:color w:val="auto"/>
        </w:rPr>
      </w:pPr>
      <w:r>
        <w:rPr>
          <w:rFonts w:ascii="Arial" w:cs="Arial" w:eastAsia="Arial" w:hAnsi="Arial"/>
          <w:sz w:val="17"/>
          <w:szCs w:val="17"/>
          <w:i w:val="1"/>
          <w:iCs w:val="1"/>
          <w:color w:val="auto"/>
        </w:rPr>
        <w:t>Relations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RUTH J.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-120650</wp:posOffset>
            </wp:positionV>
            <wp:extent cx="812165" cy="9683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12165" cy="96837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Age 67</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Director since 1999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Member, Compensation Committee</w:t>
      </w:r>
    </w:p>
    <w:p>
      <w:pPr>
        <w:spacing w:after="0" w:line="444" w:lineRule="exact"/>
        <w:rPr>
          <w:sz w:val="20"/>
          <w:szCs w:val="20"/>
          <w:color w:val="auto"/>
        </w:rPr>
      </w:pPr>
    </w:p>
    <w:p>
      <w:pPr>
        <w:sectPr>
          <w:pgSz w:w="11900" w:h="16838" w:orient="portrait"/>
          <w:cols w:equalWidth="0" w:num="2">
            <w:col w:w="6460" w:space="720"/>
            <w:col w:w="4280"/>
          </w:cols>
          <w:pgMar w:left="240" w:top="562" w:right="199" w:bottom="1440"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auto"/>
        </w:rPr>
        <w:t>CARRIE S.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795655" cy="9683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95655" cy="968375"/>
                    </a:xfrm>
                    <a:prstGeom prst="rect">
                      <a:avLst/>
                    </a:prstGeom>
                    <a:noFill/>
                  </pic:spPr>
                </pic:pic>
              </a:graphicData>
            </a:graphic>
          </wp:anchor>
        </w:drawing>
      </w:r>
    </w:p>
    <w:p>
      <w:pPr>
        <w:spacing w:after="0" w:line="37"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Age 55</w:t>
      </w:r>
    </w:p>
    <w:p>
      <w:pPr>
        <w:spacing w:after="0" w:line="37"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Director since 2004</w:t>
      </w:r>
    </w:p>
    <w:p>
      <w:pPr>
        <w:spacing w:after="0" w:line="19" w:lineRule="exact"/>
        <w:rPr>
          <w:sz w:val="20"/>
          <w:szCs w:val="20"/>
          <w:color w:val="auto"/>
        </w:rPr>
      </w:pPr>
    </w:p>
    <w:p>
      <w:pPr>
        <w:ind w:left="1420"/>
        <w:spacing w:after="0"/>
        <w:rPr>
          <w:sz w:val="20"/>
          <w:szCs w:val="20"/>
          <w:color w:val="auto"/>
        </w:rPr>
      </w:pPr>
      <w:r>
        <w:rPr>
          <w:rFonts w:ascii="Arial" w:cs="Arial" w:eastAsia="Arial" w:hAnsi="Arial"/>
          <w:sz w:val="16"/>
          <w:szCs w:val="16"/>
          <w:i w:val="1"/>
          <w:iCs w:val="1"/>
          <w:color w:val="auto"/>
        </w:rPr>
        <w:t>Chair, 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-113665</wp:posOffset>
            </wp:positionV>
            <wp:extent cx="803910" cy="9683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03910" cy="96837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Age 54</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Chairman since 2008 and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director since 2003</w:t>
      </w:r>
    </w:p>
    <w:p>
      <w:pPr>
        <w:spacing w:after="0" w:line="200" w:lineRule="exact"/>
        <w:rPr>
          <w:sz w:val="20"/>
          <w:szCs w:val="20"/>
          <w:color w:val="auto"/>
        </w:rPr>
      </w:pPr>
    </w:p>
    <w:p>
      <w:pPr>
        <w:sectPr>
          <w:pgSz w:w="11900" w:h="16838" w:orient="portrait"/>
          <w:cols w:equalWidth="0" w:num="2">
            <w:col w:w="6460" w:space="720"/>
            <w:col w:w="4280"/>
          </w:cols>
          <w:pgMar w:left="240" w:top="562" w:right="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20" w:type="dxa"/>
            <w:vAlign w:val="bottom"/>
          </w:tcPr>
          <w:p>
            <w:pPr>
              <w:ind w:left="1420"/>
              <w:spacing w:after="0"/>
              <w:rPr>
                <w:sz w:val="20"/>
                <w:szCs w:val="20"/>
                <w:color w:val="auto"/>
              </w:rPr>
            </w:pPr>
            <w:r>
              <w:rPr>
                <w:rFonts w:ascii="Arial" w:cs="Arial" w:eastAsia="Arial" w:hAnsi="Arial"/>
                <w:sz w:val="17"/>
                <w:szCs w:val="17"/>
                <w:b w:val="1"/>
                <w:bCs w:val="1"/>
                <w:color w:val="auto"/>
              </w:rPr>
              <w:t>PAMELA H. PATSLEY</w:t>
            </w:r>
          </w:p>
        </w:tc>
        <w:tc>
          <w:tcPr>
            <w:tcW w:w="5740" w:type="dxa"/>
            <w:vAlign w:val="bottom"/>
          </w:tcPr>
          <w:p>
            <w:pPr>
              <w:ind w:left="1460"/>
              <w:spacing w:after="0"/>
              <w:rPr>
                <w:sz w:val="20"/>
                <w:szCs w:val="20"/>
                <w:color w:val="auto"/>
              </w:rPr>
            </w:pPr>
            <w:r>
              <w:rPr>
                <w:rFonts w:ascii="Arial" w:cs="Arial" w:eastAsia="Arial" w:hAnsi="Arial"/>
                <w:sz w:val="17"/>
                <w:szCs w:val="17"/>
                <w:b w:val="1"/>
                <w:bCs w:val="1"/>
                <w:color w:val="auto"/>
              </w:rPr>
              <w:t>CHRISTINE TODD WHITMAN</w:t>
            </w:r>
          </w:p>
        </w:tc>
      </w:tr>
      <w:tr>
        <w:trPr>
          <w:trHeight w:val="233"/>
        </w:trPr>
        <w:tc>
          <w:tcPr>
            <w:tcW w:w="5720" w:type="dxa"/>
            <w:vAlign w:val="bottom"/>
          </w:tcPr>
          <w:p>
            <w:pPr>
              <w:ind w:left="1420"/>
              <w:spacing w:after="0"/>
              <w:rPr>
                <w:sz w:val="20"/>
                <w:szCs w:val="20"/>
                <w:color w:val="auto"/>
              </w:rPr>
            </w:pPr>
            <w:r>
              <w:rPr>
                <w:rFonts w:ascii="Arial" w:cs="Arial" w:eastAsia="Arial" w:hAnsi="Arial"/>
                <w:sz w:val="17"/>
                <w:szCs w:val="17"/>
                <w:color w:val="auto"/>
              </w:rPr>
              <w:t>Age 56</w:t>
            </w:r>
          </w:p>
        </w:tc>
        <w:tc>
          <w:tcPr>
            <w:tcW w:w="5740" w:type="dxa"/>
            <w:vAlign w:val="bottom"/>
          </w:tcPr>
          <w:p>
            <w:pPr>
              <w:ind w:left="1460"/>
              <w:spacing w:after="0"/>
              <w:rPr>
                <w:sz w:val="20"/>
                <w:szCs w:val="20"/>
                <w:color w:val="auto"/>
              </w:rPr>
            </w:pPr>
            <w:r>
              <w:rPr>
                <w:rFonts w:ascii="Arial" w:cs="Arial" w:eastAsia="Arial" w:hAnsi="Arial"/>
                <w:sz w:val="17"/>
                <w:szCs w:val="17"/>
                <w:color w:val="auto"/>
              </w:rPr>
              <w:t>Age 66</w:t>
            </w:r>
          </w:p>
        </w:tc>
      </w:tr>
      <w:tr>
        <w:trPr>
          <w:trHeight w:val="233"/>
        </w:trPr>
        <w:tc>
          <w:tcPr>
            <w:tcW w:w="5720" w:type="dxa"/>
            <w:vAlign w:val="bottom"/>
          </w:tcPr>
          <w:p>
            <w:pPr>
              <w:ind w:left="1420"/>
              <w:spacing w:after="0"/>
              <w:rPr>
                <w:sz w:val="20"/>
                <w:szCs w:val="20"/>
                <w:color w:val="auto"/>
              </w:rPr>
            </w:pPr>
            <w:r>
              <w:rPr>
                <w:rFonts w:ascii="Arial" w:cs="Arial" w:eastAsia="Arial" w:hAnsi="Arial"/>
                <w:sz w:val="17"/>
                <w:szCs w:val="17"/>
                <w:color w:val="auto"/>
              </w:rPr>
              <w:t>Director since 2004</w:t>
            </w:r>
          </w:p>
        </w:tc>
        <w:tc>
          <w:tcPr>
            <w:tcW w:w="5740" w:type="dxa"/>
            <w:vAlign w:val="bottom"/>
          </w:tcPr>
          <w:p>
            <w:pPr>
              <w:ind w:left="1460"/>
              <w:spacing w:after="0"/>
              <w:rPr>
                <w:sz w:val="20"/>
                <w:szCs w:val="20"/>
                <w:color w:val="auto"/>
              </w:rPr>
            </w:pPr>
            <w:r>
              <w:rPr>
                <w:rFonts w:ascii="Arial" w:cs="Arial" w:eastAsia="Arial" w:hAnsi="Arial"/>
                <w:sz w:val="17"/>
                <w:szCs w:val="17"/>
                <w:color w:val="auto"/>
              </w:rPr>
              <w:t>Director since 2003</w:t>
            </w:r>
          </w:p>
        </w:tc>
      </w:tr>
      <w:tr>
        <w:trPr>
          <w:trHeight w:val="233"/>
        </w:trPr>
        <w:tc>
          <w:tcPr>
            <w:tcW w:w="5720" w:type="dxa"/>
            <w:vAlign w:val="bottom"/>
          </w:tcPr>
          <w:p>
            <w:pPr>
              <w:ind w:left="1420"/>
              <w:spacing w:after="0"/>
              <w:rPr>
                <w:sz w:val="20"/>
                <w:szCs w:val="20"/>
                <w:color w:val="auto"/>
              </w:rPr>
            </w:pPr>
            <w:r>
              <w:rPr>
                <w:rFonts w:ascii="Arial" w:cs="Arial" w:eastAsia="Arial" w:hAnsi="Arial"/>
                <w:sz w:val="17"/>
                <w:szCs w:val="17"/>
                <w:i w:val="1"/>
                <w:iCs w:val="1"/>
                <w:color w:val="auto"/>
              </w:rPr>
              <w:t>Lead Director; Chair, Audit Committee</w:t>
            </w:r>
          </w:p>
        </w:tc>
        <w:tc>
          <w:tcPr>
            <w:tcW w:w="5740" w:type="dxa"/>
            <w:vAlign w:val="bottom"/>
          </w:tcPr>
          <w:p>
            <w:pPr>
              <w:ind w:left="1460"/>
              <w:spacing w:after="0"/>
              <w:rPr>
                <w:sz w:val="20"/>
                <w:szCs w:val="20"/>
                <w:color w:val="auto"/>
              </w:rPr>
            </w:pPr>
            <w:r>
              <w:rPr>
                <w:rFonts w:ascii="Arial" w:cs="Arial" w:eastAsia="Arial" w:hAnsi="Arial"/>
                <w:sz w:val="17"/>
                <w:szCs w:val="17"/>
                <w:i w:val="1"/>
                <w:iCs w:val="1"/>
                <w:color w:val="auto"/>
              </w:rPr>
              <w:t>Chair, Governance and Stockholder</w:t>
            </w:r>
          </w:p>
        </w:tc>
      </w:tr>
      <w:tr>
        <w:trPr>
          <w:trHeight w:val="233"/>
        </w:trPr>
        <w:tc>
          <w:tcPr>
            <w:tcW w:w="5720" w:type="dxa"/>
            <w:vAlign w:val="bottom"/>
          </w:tcPr>
          <w:p>
            <w:pPr>
              <w:spacing w:after="0"/>
              <w:rPr>
                <w:sz w:val="20"/>
                <w:szCs w:val="20"/>
                <w:color w:val="auto"/>
              </w:rPr>
            </w:pPr>
          </w:p>
        </w:tc>
        <w:tc>
          <w:tcPr>
            <w:tcW w:w="5740" w:type="dxa"/>
            <w:vAlign w:val="bottom"/>
          </w:tcPr>
          <w:p>
            <w:pPr>
              <w:ind w:left="1460"/>
              <w:spacing w:after="0"/>
              <w:rPr>
                <w:sz w:val="20"/>
                <w:szCs w:val="20"/>
                <w:color w:val="auto"/>
              </w:rPr>
            </w:pPr>
            <w:r>
              <w:rPr>
                <w:rFonts w:ascii="Arial" w:cs="Arial" w:eastAsia="Arial" w:hAnsi="Arial"/>
                <w:sz w:val="17"/>
                <w:szCs w:val="17"/>
                <w:i w:val="1"/>
                <w:iCs w:val="1"/>
                <w:color w:val="auto"/>
              </w:rPr>
              <w:t>Relations Committee</w:t>
            </w:r>
          </w:p>
        </w:tc>
      </w:tr>
      <w:tr>
        <w:trPr>
          <w:trHeight w:val="815"/>
        </w:trPr>
        <w:tc>
          <w:tcPr>
            <w:tcW w:w="5720" w:type="dxa"/>
            <w:vAlign w:val="bottom"/>
          </w:tcPr>
          <w:p>
            <w:pPr>
              <w:spacing w:after="0"/>
              <w:rPr>
                <w:sz w:val="20"/>
                <w:szCs w:val="20"/>
                <w:color w:val="auto"/>
              </w:rPr>
            </w:pPr>
            <w:r>
              <w:rPr>
                <w:rFonts w:ascii="Arial" w:cs="Arial" w:eastAsia="Arial" w:hAnsi="Arial"/>
                <w:sz w:val="13"/>
                <w:szCs w:val="13"/>
                <w:b w:val="1"/>
                <w:bCs w:val="1"/>
                <w:color w:val="808285"/>
              </w:rPr>
              <w:t>TEXAS INSTRUMENTS</w:t>
            </w:r>
          </w:p>
        </w:tc>
        <w:tc>
          <w:tcPr>
            <w:tcW w:w="5740" w:type="dxa"/>
            <w:vAlign w:val="bottom"/>
          </w:tcPr>
          <w:p>
            <w:pPr>
              <w:ind w:left="3800"/>
              <w:spacing w:after="0"/>
              <w:rPr>
                <w:sz w:val="20"/>
                <w:szCs w:val="20"/>
                <w:color w:val="auto"/>
              </w:rPr>
            </w:pPr>
            <w:r>
              <w:rPr>
                <w:rFonts w:ascii="Arial" w:cs="Arial" w:eastAsia="Arial" w:hAnsi="Arial"/>
                <w:sz w:val="13"/>
                <w:szCs w:val="13"/>
                <w:b w:val="1"/>
                <w:bCs w:val="1"/>
                <w:color w:val="808285"/>
              </w:rPr>
              <w:t>2013 PROXY STATEMENT •  57</w:t>
            </w:r>
          </w:p>
        </w:tc>
      </w:tr>
      <w:tr>
        <w:trPr>
          <w:trHeight w:val="385"/>
        </w:trPr>
        <w:tc>
          <w:tcPr>
            <w:tcW w:w="572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-1503045</wp:posOffset>
            </wp:positionV>
            <wp:extent cx="803910" cy="9759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03910" cy="975995"/>
                    </a:xfrm>
                    <a:prstGeom prst="rect">
                      <a:avLst/>
                    </a:prstGeom>
                    <a:noFill/>
                  </pic:spPr>
                </pic:pic>
              </a:graphicData>
            </a:graphic>
          </wp:anchor>
        </w:drawing>
        <w:drawing>
          <wp:anchor simplePos="0" relativeHeight="251657728" behindDoc="1" locked="0" layoutInCell="0" allowOverlap="1">
            <wp:simplePos x="0" y="0"/>
            <wp:positionH relativeFrom="column">
              <wp:posOffset>3653155</wp:posOffset>
            </wp:positionH>
            <wp:positionV relativeFrom="paragraph">
              <wp:posOffset>-1503045</wp:posOffset>
            </wp:positionV>
            <wp:extent cx="803910" cy="9683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03910" cy="968375"/>
                    </a:xfrm>
                    <a:prstGeom prst="rect">
                      <a:avLst/>
                    </a:prstGeom>
                    <a:noFill/>
                  </pic:spPr>
                </pic:pic>
              </a:graphicData>
            </a:graphic>
          </wp:anchor>
        </w:drawing>
      </w:r>
    </w:p>
    <w:p>
      <w:pPr>
        <w:sectPr>
          <w:pgSz w:w="11900" w:h="16838" w:orient="portrait"/>
          <w:cols w:equalWidth="0" w:num="1">
            <w:col w:w="11460"/>
          </w:cols>
          <w:pgMar w:left="240" w:top="562" w:right="1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7"/>
          <w:szCs w:val="17"/>
          <w:b w:val="1"/>
          <w:bCs w:val="1"/>
          <w:color w:val="auto"/>
        </w:rPr>
        <w:t>Director nomination process</w:t>
      </w:r>
    </w:p>
    <w:p>
      <w:pPr>
        <w:spacing w:after="0" w:line="225"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board is responsible for approving nominees for election as directors. To assist in this task, the board has designated a standing committee, the Governance and Stockholder Relations Committee (the G&amp;SR Committee), which is responsible for reviewing and recommending nominees to the board. The G&amp;SR Committee is comprised solely of independent directors as defined by the rules of The NASDAQ Stock Market (NASDAQ) and the board’s corporate governance guidelines. Our board of directors has adopted a written charter for the G&amp;SR Committee. It can be found on our website at www.ti.com/corporategovernance.</w:t>
      </w:r>
    </w:p>
    <w:p>
      <w:pPr>
        <w:spacing w:after="0" w:line="4" w:lineRule="exact"/>
        <w:rPr>
          <w:sz w:val="20"/>
          <w:szCs w:val="20"/>
          <w:color w:val="auto"/>
        </w:rPr>
      </w:pPr>
    </w:p>
    <w:p>
      <w:pPr>
        <w:ind w:right="200" w:firstLine="233"/>
        <w:spacing w:after="0" w:line="237" w:lineRule="auto"/>
        <w:rPr>
          <w:sz w:val="20"/>
          <w:szCs w:val="20"/>
          <w:color w:val="auto"/>
        </w:rPr>
      </w:pPr>
      <w:r>
        <w:rPr>
          <w:rFonts w:ascii="Arial" w:cs="Arial" w:eastAsia="Arial" w:hAnsi="Arial"/>
          <w:sz w:val="17"/>
          <w:szCs w:val="17"/>
          <w:color w:val="auto"/>
        </w:rPr>
        <w:t>It is a long-standing policy of the board to consider prospective board nominees recommended by stockholders. A stockholder who wishes to recommend a prospective board nominee for the G&amp;SR Committee’s consideration can write to the Secretary of the G&amp;SR Committee, Texas Instruments Incorporated, P.O. Box 655936, MS 8658, Dallas, TX 75265-5936. The G&amp;SR Committee will evaluate the stockholder’s prospective board nominee in the same manner as it evaluates other nominees.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evaluating prospective nominees, the G&amp;SR Committee looks for the following minimum qualifications, qualities and skills:</w:t>
      </w:r>
    </w:p>
    <w:p>
      <w:pPr>
        <w:ind w:left="520"/>
        <w:spacing w:after="0"/>
        <w:rPr>
          <w:sz w:val="20"/>
          <w:szCs w:val="20"/>
          <w:color w:val="auto"/>
        </w:rPr>
      </w:pPr>
      <w:r>
        <w:rPr>
          <w:rFonts w:ascii="Arial" w:cs="Arial" w:eastAsia="Arial" w:hAnsi="Arial"/>
          <w:sz w:val="17"/>
          <w:szCs w:val="17"/>
          <w:color w:val="auto"/>
        </w:rPr>
        <w:t>Outstanding achievement in the individual’s personal career.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Breadth of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Soundness of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Ability to make independent, analytical inquiries.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Ability to contribute to a diversity of viewpoints among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340"/>
        <w:spacing w:after="0" w:line="253" w:lineRule="auto"/>
        <w:rPr>
          <w:sz w:val="20"/>
          <w:szCs w:val="20"/>
          <w:color w:val="auto"/>
        </w:rPr>
      </w:pPr>
      <w:r>
        <w:rPr>
          <w:rFonts w:ascii="Arial" w:cs="Arial" w:eastAsia="Arial" w:hAnsi="Arial"/>
          <w:sz w:val="17"/>
          <w:szCs w:val="17"/>
          <w:color w:val="auto"/>
        </w:rPr>
        <w:t>Willingness and ability to devote the time required to perform board activities adequately (in this regard, the G&amp;SR Committee will consider the number of other boards on which the individual serves as a director, and in particular the board’s policy that directors should not serve on the boards of more than three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-357505</wp:posOffset>
            </wp:positionV>
            <wp:extent cx="58420" cy="584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140"/>
        <w:spacing w:after="0" w:line="253" w:lineRule="auto"/>
        <w:rPr>
          <w:sz w:val="20"/>
          <w:szCs w:val="20"/>
          <w:color w:val="auto"/>
        </w:rPr>
      </w:pPr>
      <w:r>
        <w:rPr>
          <w:rFonts w:ascii="Arial" w:cs="Arial" w:eastAsia="Arial" w:hAnsi="Arial"/>
          <w:sz w:val="17"/>
          <w:szCs w:val="17"/>
          <w:color w:val="auto"/>
        </w:rPr>
        <w:t>Ability to represent the total corporate interests of TI (a director will not be selected to, nor will he or she be expected to, represent the interests of any particular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-226695</wp:posOffset>
            </wp:positionV>
            <wp:extent cx="58420" cy="584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7"/>
          <w:szCs w:val="17"/>
          <w:color w:val="auto"/>
        </w:rPr>
        <w:t>Stockholders, non-employee directors, management and others may submit recommendations to the G&amp;SR Committee.</w:t>
      </w:r>
    </w:p>
    <w:p>
      <w:pPr>
        <w:ind w:right="300" w:firstLine="233"/>
        <w:spacing w:after="0" w:line="237" w:lineRule="auto"/>
        <w:rPr>
          <w:sz w:val="20"/>
          <w:szCs w:val="20"/>
          <w:color w:val="auto"/>
        </w:rPr>
      </w:pPr>
      <w:r>
        <w:rPr>
          <w:rFonts w:ascii="Arial" w:cs="Arial" w:eastAsia="Arial" w:hAnsi="Arial"/>
          <w:sz w:val="17"/>
          <w:szCs w:val="17"/>
          <w:color w:val="auto"/>
        </w:rPr>
        <w:t>Mr. Blinn was elected to the board effective February 21, 2013. He is the only director nominee at the 2013 annual meeting of stockholders who is standing for election by the stockholders for the first time. A search firm retained by the company to assist the G&amp;SR Committee in identifying and evaluating potential nominees initially identified Mr. Blinn as a potential director candidate. The search firm conducted research to identify a number of potential candidates, based on qualifications and skills the G&amp;SR Committee determined that candidates should possess. It then conducted further research on the candidates in whom the G&amp;SR Committee had the most interest.</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board believes its current size is within the desired range as stated in the board’s corporate governance guidelines.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diversity and nominee qualifications</w:t>
      </w:r>
    </w:p>
    <w:p>
      <w:pPr>
        <w:spacing w:after="0" w:line="225"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As indicated by the criteria above, the board prefers a mix of background and experience among its members. The board does not follow any ratio or formula to determine the appropriate mix. Rather, it uses its judgment to identify nominees whose backgrounds, attributes and experiences, taken as a whole, will contribute to the high standards of board service at the company. The effectiveness of this approach is evidenced by the directors’ participation in the insightful and robust yet collegial deliberation that occurs at board and committee meetings and in shaping the agendas for those meetings.</w:t>
      </w:r>
    </w:p>
    <w:p>
      <w:pPr>
        <w:spacing w:after="0" w:line="2" w:lineRule="exact"/>
        <w:rPr>
          <w:sz w:val="20"/>
          <w:szCs w:val="20"/>
          <w:color w:val="auto"/>
        </w:rPr>
      </w:pPr>
    </w:p>
    <w:p>
      <w:pPr>
        <w:ind w:right="220" w:firstLine="233"/>
        <w:spacing w:after="0" w:line="252" w:lineRule="auto"/>
        <w:rPr>
          <w:sz w:val="20"/>
          <w:szCs w:val="20"/>
          <w:color w:val="auto"/>
        </w:rPr>
      </w:pPr>
      <w:r>
        <w:rPr>
          <w:rFonts w:ascii="Arial" w:cs="Arial" w:eastAsia="Arial" w:hAnsi="Arial"/>
          <w:sz w:val="16"/>
          <w:szCs w:val="16"/>
          <w:color w:val="auto"/>
        </w:rPr>
        <w:t>As it considered director nominees for the 2013 annual meeting, the board kept in mind that the most important issues it considers typically relate to the company’s strategic direction; succession planning for senior executive positions; the company’s financial performance; the challenges of running a large, complex enterprise, including the management of its risks; major acquisitions and divestitures; and significant research and development (R&amp;D) and capital investment decisions. These issues arise in the context of the company’s operations, which primarily involve the manufacture and sale of semiconductors all over the world into communications, computing, industrial, consumer electronics and automotive end markets.</w:t>
      </w:r>
    </w:p>
    <w:p>
      <w:pPr>
        <w:spacing w:after="0" w:line="3" w:lineRule="exact"/>
        <w:rPr>
          <w:sz w:val="20"/>
          <w:szCs w:val="20"/>
          <w:color w:val="auto"/>
        </w:rPr>
      </w:pPr>
    </w:p>
    <w:p>
      <w:pPr>
        <w:jc w:val="both"/>
        <w:ind w:right="40" w:firstLine="233"/>
        <w:spacing w:after="0" w:line="252" w:lineRule="auto"/>
        <w:rPr>
          <w:sz w:val="20"/>
          <w:szCs w:val="20"/>
          <w:color w:val="auto"/>
        </w:rPr>
      </w:pPr>
      <w:r>
        <w:rPr>
          <w:rFonts w:ascii="Arial" w:cs="Arial" w:eastAsia="Arial" w:hAnsi="Arial"/>
          <w:sz w:val="16"/>
          <w:szCs w:val="16"/>
          <w:color w:val="auto"/>
        </w:rPr>
        <w:t>As described below, each of our director nominees has achieved an extremely high level of success in his or her career, whether at multi-billion dollar multinational corporate enterprises, major U.S. universities or large governmental organizations. In these positions, each has been directly involved in the challenges relating to setting the strategic direction and managing the financial performance, personnel and processes of large, complex organizations.</w:t>
      </w:r>
    </w:p>
    <w:p>
      <w:pPr>
        <w:spacing w:after="0" w:line="2" w:lineRule="exact"/>
        <w:rPr>
          <w:sz w:val="20"/>
          <w:szCs w:val="20"/>
          <w:color w:val="auto"/>
        </w:rPr>
      </w:pPr>
    </w:p>
    <w:p>
      <w:pPr>
        <w:jc w:val="both"/>
        <w:ind w:right="180"/>
        <w:spacing w:after="0" w:line="237" w:lineRule="auto"/>
        <w:rPr>
          <w:sz w:val="20"/>
          <w:szCs w:val="20"/>
          <w:color w:val="auto"/>
        </w:rPr>
      </w:pPr>
      <w:r>
        <w:rPr>
          <w:rFonts w:ascii="Arial" w:cs="Arial" w:eastAsia="Arial" w:hAnsi="Arial"/>
          <w:sz w:val="17"/>
          <w:szCs w:val="17"/>
          <w:color w:val="auto"/>
        </w:rPr>
        <w:t>Each has had exposure to effective leaders and has developed the ability to judge leadership qualities. Nine of them have experience in serving on the board of directors of at least one other major corporation, and one has served in high political office, all of which provides additional relevant experience on which each nominee can draw.</w:t>
      </w:r>
    </w:p>
    <w:p>
      <w:pPr>
        <w:spacing w:after="0" w:line="2" w:lineRule="exact"/>
        <w:rPr>
          <w:sz w:val="20"/>
          <w:szCs w:val="20"/>
          <w:color w:val="auto"/>
        </w:rPr>
      </w:pPr>
    </w:p>
    <w:p>
      <w:pPr>
        <w:ind w:firstLine="233"/>
        <w:spacing w:after="0" w:line="241" w:lineRule="auto"/>
        <w:rPr>
          <w:sz w:val="20"/>
          <w:szCs w:val="20"/>
          <w:color w:val="auto"/>
        </w:rPr>
      </w:pPr>
      <w:r>
        <w:rPr>
          <w:rFonts w:ascii="Arial" w:cs="Arial" w:eastAsia="Arial" w:hAnsi="Arial"/>
          <w:sz w:val="17"/>
          <w:szCs w:val="17"/>
          <w:color w:val="auto"/>
        </w:rPr>
        <w:t>In concluding that each nominee should serve as a director, the board relied on the specific experiences and attributes listed below and on the direct personal knowledge (except as to Mr. Blinn, who joined the board on February 21, 2013) born of previous service on the board, that each of the nominees brings insight and collegiality to board deliberations.</w:t>
      </w:r>
    </w:p>
    <w:p>
      <w:pPr>
        <w:spacing w:after="0" w:line="218" w:lineRule="exact"/>
        <w:rPr>
          <w:sz w:val="20"/>
          <w:szCs w:val="20"/>
          <w:color w:val="auto"/>
        </w:rPr>
      </w:pPr>
    </w:p>
    <w:p>
      <w:pPr>
        <w:spacing w:after="0"/>
        <w:tabs>
          <w:tab w:leader="none" w:pos="10000" w:val="left"/>
        </w:tabs>
        <w:rPr>
          <w:sz w:val="20"/>
          <w:szCs w:val="20"/>
          <w:color w:val="auto"/>
        </w:rPr>
      </w:pPr>
      <w:r>
        <w:rPr>
          <w:rFonts w:ascii="Arial" w:cs="Arial" w:eastAsia="Arial" w:hAnsi="Arial"/>
          <w:sz w:val="13"/>
          <w:szCs w:val="13"/>
          <w:b w:val="1"/>
          <w:bCs w:val="1"/>
          <w:color w:val="808285"/>
        </w:rPr>
        <w:t>58 •  2013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auto"/>
        </w:rPr>
        <w:t>Mr. Babb</w:t>
      </w:r>
    </w:p>
    <w:p>
      <w:pPr>
        <w:ind w:left="520" w:right="180"/>
        <w:spacing w:after="0" w:line="253" w:lineRule="auto"/>
        <w:rPr>
          <w:sz w:val="20"/>
          <w:szCs w:val="20"/>
          <w:color w:val="auto"/>
        </w:rPr>
      </w:pPr>
      <w:r>
        <w:rPr>
          <w:rFonts w:ascii="Arial" w:cs="Arial" w:eastAsia="Arial" w:hAnsi="Arial"/>
          <w:sz w:val="17"/>
          <w:szCs w:val="17"/>
          <w:color w:val="auto"/>
        </w:rPr>
        <w:t>As chairman and CEO of Comerica Incorporated and Comerica Bank (2002-present) and through a long career in banking, has gained first-hand experience in managing large, complex institutions, as well as insight into financial markets, which experience is particularly relevant to the company due to its global presence.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-357505</wp:posOffset>
            </wp:positionV>
            <wp:extent cx="58420" cy="584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520"/>
        <w:spacing w:after="0" w:line="253" w:lineRule="auto"/>
        <w:rPr>
          <w:sz w:val="20"/>
          <w:szCs w:val="20"/>
          <w:color w:val="auto"/>
        </w:rPr>
      </w:pPr>
      <w:r>
        <w:rPr>
          <w:rFonts w:ascii="Arial" w:cs="Arial" w:eastAsia="Arial" w:hAnsi="Arial"/>
          <w:sz w:val="17"/>
          <w:szCs w:val="17"/>
          <w:color w:val="auto"/>
        </w:rPr>
        <w:t>As chief financial officer of Comerica Incorporated and Comerica Bank (1995-2002), controller and later chief financial officer of Mercantile Bancorporation (1978-1995), and auditor and later audit manager at the accounting firm of Peat Marwick Mitchell &amp; Co. (1971-1978), gained extensive audit knowledge and experience in audit- and financial control-related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-357505</wp:posOffset>
            </wp:positionV>
            <wp:extent cx="58420" cy="584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u w:val="single" w:color="auto"/>
          <w:color w:val="auto"/>
        </w:rPr>
        <w:t>Mr. Blinn</w:t>
      </w:r>
    </w:p>
    <w:p>
      <w:pPr>
        <w:jc w:val="both"/>
        <w:ind w:left="520" w:right="180"/>
        <w:spacing w:after="0" w:line="253" w:lineRule="auto"/>
        <w:rPr>
          <w:sz w:val="20"/>
          <w:szCs w:val="20"/>
          <w:color w:val="auto"/>
        </w:rPr>
      </w:pPr>
      <w:r>
        <w:rPr>
          <w:rFonts w:ascii="Arial" w:cs="Arial" w:eastAsia="Arial" w:hAnsi="Arial"/>
          <w:sz w:val="17"/>
          <w:szCs w:val="17"/>
          <w:color w:val="auto"/>
        </w:rPr>
        <w:t>As CEO and a director of Flowserve Corporation (2009-present), has gained first-hand experience in managing a large, multinational corporation operating in global industrial markets, with ultimate management responsibility for the organization’s financial performance and significant capital and R&amp;D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-357505</wp:posOffset>
            </wp:positionV>
            <wp:extent cx="58420" cy="584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180"/>
        <w:spacing w:after="0" w:line="253" w:lineRule="auto"/>
        <w:rPr>
          <w:sz w:val="20"/>
          <w:szCs w:val="20"/>
          <w:color w:val="auto"/>
        </w:rPr>
      </w:pPr>
      <w:r>
        <w:rPr>
          <w:rFonts w:ascii="Arial" w:cs="Arial" w:eastAsia="Arial" w:hAnsi="Arial"/>
          <w:sz w:val="17"/>
          <w:szCs w:val="17"/>
          <w:color w:val="auto"/>
        </w:rPr>
        <w:t>As chief financial officer of Flowserve Corporation (2004-2009), chief financial officer of FedEx Kinko’s Office and Print Services Inc. (2003-2004) and vice president and controller of Centex Corporation (2000-2002), developed a keen appreciation for audit- and financial control-related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-357505</wp:posOffset>
            </wp:positionV>
            <wp:extent cx="58420" cy="584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u w:val="single" w:color="auto"/>
          <w:color w:val="auto"/>
        </w:rPr>
        <w:t>Mr. Carp</w:t>
      </w:r>
    </w:p>
    <w:p>
      <w:pPr>
        <w:ind w:left="520"/>
        <w:spacing w:after="0" w:line="253" w:lineRule="auto"/>
        <w:rPr>
          <w:sz w:val="20"/>
          <w:szCs w:val="20"/>
          <w:color w:val="auto"/>
        </w:rPr>
      </w:pPr>
      <w:r>
        <w:rPr>
          <w:rFonts w:ascii="Arial" w:cs="Arial" w:eastAsia="Arial" w:hAnsi="Arial"/>
          <w:sz w:val="17"/>
          <w:szCs w:val="17"/>
          <w:color w:val="auto"/>
        </w:rPr>
        <w:t>As chairman and CEO (2000-2005) and president (1997-2001, 2002-2003) of Eastman Kodak Company, gained first-hand experience in managing a large, multinational corporation focused on worldwide electronic consumer markets (which are of relevance to the company), with ultimate management responsibility for the corporation’s financial performance and its significant investments in capital and R&amp;D.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-357505</wp:posOffset>
            </wp:positionV>
            <wp:extent cx="58420" cy="584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260"/>
        <w:spacing w:after="0" w:line="253" w:lineRule="auto"/>
        <w:rPr>
          <w:sz w:val="20"/>
          <w:szCs w:val="20"/>
          <w:color w:val="auto"/>
        </w:rPr>
      </w:pPr>
      <w:r>
        <w:rPr>
          <w:rFonts w:ascii="Arial" w:cs="Arial" w:eastAsia="Arial" w:hAnsi="Arial"/>
          <w:sz w:val="17"/>
          <w:szCs w:val="17"/>
          <w:color w:val="auto"/>
        </w:rPr>
        <w:t>As chairman of the board of directors of Delta Air Lines, Inc. (2007-present), a director of Norfolk Southern Corporation (2006-present) and a former director of Liz Claiborne, Inc. (2006-2009), has helped oversee the strategy and operations of major multinational corporations in various industries, including some that are capital-intensive.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-357505</wp:posOffset>
            </wp:positionV>
            <wp:extent cx="58420" cy="584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u w:val="single" w:color="auto"/>
          <w:color w:val="auto"/>
        </w:rPr>
        <w:t>Ms. Cox</w:t>
      </w:r>
    </w:p>
    <w:p>
      <w:pPr>
        <w:ind w:left="520" w:right="40"/>
        <w:spacing w:after="0" w:line="253" w:lineRule="auto"/>
        <w:rPr>
          <w:sz w:val="20"/>
          <w:szCs w:val="20"/>
          <w:color w:val="auto"/>
        </w:rPr>
      </w:pPr>
      <w:r>
        <w:rPr>
          <w:rFonts w:ascii="Arial" w:cs="Arial" w:eastAsia="Arial" w:hAnsi="Arial"/>
          <w:sz w:val="17"/>
          <w:szCs w:val="17"/>
          <w:color w:val="auto"/>
        </w:rPr>
        <w:t>As chairman (January 2013-present), CEO and a director (2010-present) of Humacyte, Inc., executive vice president and president of Global Pharmaceuticals at Schering-Plough Corporation (2003-2009) and executive vice president and president of Global Prescription Business at Pharmacia Corporation (1997-2003), has gained first-hand experience in managing large, multinational organizations focused on medical-related markets (which are of relevance to the company), with responsibility for those organizations’ financial performance and significant capital and R&amp;D investments. Is also a director of Cardinal Health, Inc. (2009-present) and Celgene Corporation (2009-present).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-619125</wp:posOffset>
            </wp:positionV>
            <wp:extent cx="58420" cy="584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u w:val="single" w:color="auto"/>
          <w:color w:val="auto"/>
        </w:rPr>
        <w:t>Ms. Patsley</w:t>
      </w:r>
    </w:p>
    <w:p>
      <w:pPr>
        <w:ind w:left="520" w:right="20"/>
        <w:spacing w:after="0" w:line="253" w:lineRule="auto"/>
        <w:rPr>
          <w:sz w:val="20"/>
          <w:szCs w:val="20"/>
          <w:color w:val="auto"/>
        </w:rPr>
      </w:pPr>
      <w:r>
        <w:rPr>
          <w:rFonts w:ascii="Arial" w:cs="Arial" w:eastAsia="Arial" w:hAnsi="Arial"/>
          <w:sz w:val="17"/>
          <w:szCs w:val="17"/>
          <w:color w:val="auto"/>
        </w:rPr>
        <w:t>As chairman and CEO (2009-present) of MoneyGram International, Inc., senior executive vice president of First Data Corporation (2000-2007) and president and CEO of Paymentech, Inc. (1991-2000), has gained first-hand experience in managing large, multinational organizations, including the application of technology in the financial services sector, with ultimate management responsibility for their financial performance and significant capital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-488315</wp:posOffset>
            </wp:positionV>
            <wp:extent cx="58420" cy="584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jc w:val="both"/>
        <w:ind w:left="520" w:right="80"/>
        <w:spacing w:after="0" w:line="253" w:lineRule="auto"/>
        <w:rPr>
          <w:sz w:val="20"/>
          <w:szCs w:val="20"/>
          <w:color w:val="auto"/>
        </w:rPr>
      </w:pPr>
      <w:r>
        <w:rPr>
          <w:rFonts w:ascii="Arial" w:cs="Arial" w:eastAsia="Arial" w:hAnsi="Arial"/>
          <w:sz w:val="17"/>
          <w:szCs w:val="17"/>
          <w:color w:val="auto"/>
        </w:rPr>
        <w:t>As Audit Committee chair at the company, a member of the audit committee at Dr Pepper Snapple Group, Inc., chief financial officer of First USA, Inc. (1987-1994) and a former auditor at KPMG Peat Marwick for almost six years before joining First USA, has developed a keen appreciation for audit- and financial control-related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-357505</wp:posOffset>
            </wp:positionV>
            <wp:extent cx="58420" cy="584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100"/>
        <w:spacing w:after="0" w:line="253" w:lineRule="auto"/>
        <w:rPr>
          <w:sz w:val="20"/>
          <w:szCs w:val="20"/>
          <w:color w:val="auto"/>
        </w:rPr>
      </w:pPr>
      <w:r>
        <w:rPr>
          <w:rFonts w:ascii="Arial" w:cs="Arial" w:eastAsia="Arial" w:hAnsi="Arial"/>
          <w:sz w:val="17"/>
          <w:szCs w:val="17"/>
          <w:color w:val="auto"/>
        </w:rPr>
        <w:t>As a director of Dr Pepper Snapple Group, Inc. (2008-present) and a former director of Molson Coors Brewing Company (2005-2009), has helped oversee the strategy and operations of other major multinational corporations.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-226695</wp:posOffset>
            </wp:positionV>
            <wp:extent cx="58420" cy="584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u w:val="single" w:color="auto"/>
          <w:color w:val="auto"/>
        </w:rPr>
        <w:t>Mr. Sanchez</w:t>
      </w:r>
    </w:p>
    <w:p>
      <w:pPr>
        <w:ind w:left="520"/>
        <w:spacing w:after="0" w:line="253" w:lineRule="auto"/>
        <w:rPr>
          <w:sz w:val="20"/>
          <w:szCs w:val="20"/>
          <w:color w:val="auto"/>
        </w:rPr>
      </w:pPr>
      <w:r>
        <w:rPr>
          <w:rFonts w:ascii="Arial" w:cs="Arial" w:eastAsia="Arial" w:hAnsi="Arial"/>
          <w:sz w:val="17"/>
          <w:szCs w:val="17"/>
          <w:color w:val="auto"/>
        </w:rPr>
        <w:t>As CEO and a director (January 2013-present), president (2012 to present) and chief operating officer (2012) of Ryder System, Inc., and as president of its Global Fleet Management Solutions business segment (2010-2012), has gained first-hand experience in managing a large, multinational, transportation-related organization, with responsibility for the organization’s financial performance and significant capital investments. As executive vice president and chief financial officer (2007-2010) and as senior vice president and chief information officer (2003-2005) of Ryder System, Inc., developed a keen appreciation for audit- and financial control-related issues and gained first-hand experience with all technology-related functions of a large, multinational corporation focused on transportation and logistics.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-749935</wp:posOffset>
            </wp:positionV>
            <wp:extent cx="58420" cy="584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194310</wp:posOffset>
            </wp:positionH>
            <wp:positionV relativeFrom="paragraph">
              <wp:posOffset>-356235</wp:posOffset>
            </wp:positionV>
            <wp:extent cx="58420" cy="584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u w:val="single" w:color="auto"/>
          <w:color w:val="auto"/>
        </w:rPr>
        <w:t>Mr. Sanders</w:t>
      </w:r>
    </w:p>
    <w:p>
      <w:pPr>
        <w:ind w:left="520"/>
        <w:spacing w:after="0" w:line="256" w:lineRule="auto"/>
        <w:rPr>
          <w:sz w:val="20"/>
          <w:szCs w:val="20"/>
          <w:color w:val="auto"/>
        </w:rPr>
      </w:pPr>
      <w:r>
        <w:rPr>
          <w:rFonts w:ascii="Arial" w:cs="Arial" w:eastAsia="Arial" w:hAnsi="Arial"/>
          <w:sz w:val="17"/>
          <w:szCs w:val="17"/>
          <w:color w:val="auto"/>
        </w:rPr>
        <w:t>As chairman (1992-2003) and CEO (1991-2002) of Kimberly-Clark Corporation, gained first-hand experience in managing a large, multinational consumer goods corporation, with ultimate management responsibility for its financial performance and its significant capital and R&amp;D investments. As chairman of Dr Pepper Snapple Group, Inc. (2008-present) and a director of Belo Corporation (2003-present), has helped oversee the strategy and operations of other large corporations.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-494665</wp:posOffset>
            </wp:positionV>
            <wp:extent cx="58420" cy="584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194310</wp:posOffset>
            </wp:positionH>
            <wp:positionV relativeFrom="paragraph">
              <wp:posOffset>-231775</wp:posOffset>
            </wp:positionV>
            <wp:extent cx="58420" cy="584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60" w:lineRule="exact"/>
        <w:rPr>
          <w:sz w:val="20"/>
          <w:szCs w:val="20"/>
          <w:color w:val="auto"/>
        </w:rPr>
      </w:pPr>
    </w:p>
    <w:p>
      <w:pPr>
        <w:spacing w:after="0"/>
        <w:tabs>
          <w:tab w:leader="none" w:pos="95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2"/>
          <w:szCs w:val="12"/>
          <w:b w:val="1"/>
          <w:bCs w:val="1"/>
          <w:color w:val="808285"/>
        </w:rPr>
        <w:t>2013 PROXY STATEMENT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auto"/>
        </w:rPr>
        <w:t>Ms. Simmons</w:t>
      </w:r>
    </w:p>
    <w:p>
      <w:pPr>
        <w:ind w:left="520" w:right="560"/>
        <w:spacing w:after="0" w:line="253" w:lineRule="auto"/>
        <w:rPr>
          <w:sz w:val="20"/>
          <w:szCs w:val="20"/>
          <w:color w:val="auto"/>
        </w:rPr>
      </w:pPr>
      <w:r>
        <w:rPr>
          <w:rFonts w:ascii="Arial" w:cs="Arial" w:eastAsia="Arial" w:hAnsi="Arial"/>
          <w:sz w:val="17"/>
          <w:szCs w:val="17"/>
          <w:color w:val="auto"/>
        </w:rPr>
        <w:t>As president of Brown University (2001-2012) and president of Smith College (1995-2001), gained first-hand experience in managing large, complex institutions, and developed deep insight into the development and training of professionals, including engineers, scientists and technologists, on whom the company relies for its next generation of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-357505</wp:posOffset>
            </wp:positionV>
            <wp:extent cx="58420" cy="584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420"/>
        <w:spacing w:after="0" w:line="253" w:lineRule="auto"/>
        <w:rPr>
          <w:sz w:val="20"/>
          <w:szCs w:val="20"/>
          <w:color w:val="auto"/>
        </w:rPr>
      </w:pPr>
      <w:r>
        <w:rPr>
          <w:rFonts w:ascii="Arial" w:cs="Arial" w:eastAsia="Arial" w:hAnsi="Arial"/>
          <w:sz w:val="17"/>
          <w:szCs w:val="17"/>
          <w:color w:val="auto"/>
        </w:rPr>
        <w:t>As a director of Chrysler Group LLC (2012-present) and Mondelez International, Inc. (2012-present) and as a former director of The Goldman Sachs Group, Inc. (2000-2010), helped oversee the strategy and operations of other large corporations.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-226695</wp:posOffset>
            </wp:positionV>
            <wp:extent cx="58420" cy="584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u w:val="single" w:color="auto"/>
          <w:color w:val="auto"/>
        </w:rPr>
        <w:t>Mr. Templeton</w:t>
      </w:r>
    </w:p>
    <w:p>
      <w:pPr>
        <w:ind w:left="520"/>
        <w:spacing w:after="0" w:line="269" w:lineRule="auto"/>
        <w:rPr>
          <w:sz w:val="20"/>
          <w:szCs w:val="20"/>
          <w:color w:val="auto"/>
        </w:rPr>
      </w:pPr>
      <w:r>
        <w:rPr>
          <w:rFonts w:ascii="Arial" w:cs="Arial" w:eastAsia="Arial" w:hAnsi="Arial"/>
          <w:sz w:val="16"/>
          <w:szCs w:val="16"/>
          <w:color w:val="auto"/>
        </w:rPr>
        <w:t>As a 32-year veteran of the semiconductor industry, serving the last 17 years at a senior level at the company, including as chairman since April 2008, CEO since 2004 and director since 2003, has developed a deep knowledge of all aspects of the company and of the semiconductor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-226695</wp:posOffset>
            </wp:positionV>
            <wp:extent cx="58420" cy="584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u w:val="single" w:color="auto"/>
          <w:color w:val="auto"/>
        </w:rPr>
        <w:t>Ms. Whitman</w:t>
      </w:r>
    </w:p>
    <w:p>
      <w:pPr>
        <w:ind w:left="520"/>
        <w:spacing w:after="0" w:line="253" w:lineRule="auto"/>
        <w:rPr>
          <w:sz w:val="20"/>
          <w:szCs w:val="20"/>
          <w:color w:val="auto"/>
        </w:rPr>
      </w:pPr>
      <w:r>
        <w:rPr>
          <w:rFonts w:ascii="Arial" w:cs="Arial" w:eastAsia="Arial" w:hAnsi="Arial"/>
          <w:sz w:val="17"/>
          <w:szCs w:val="17"/>
          <w:color w:val="auto"/>
        </w:rPr>
        <w:t>As Administrator of the Environmental Protection Agency (2001-2003) and Governor of the state of New Jersey (1994-2000), gained first-hand experience managing a large, complex organization and developed keen insight into the workings of government on the federal and state level and how they might impact company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-357505</wp:posOffset>
            </wp:positionV>
            <wp:extent cx="58420" cy="584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400"/>
        <w:spacing w:after="0" w:line="261" w:lineRule="auto"/>
        <w:rPr>
          <w:sz w:val="20"/>
          <w:szCs w:val="20"/>
          <w:color w:val="auto"/>
        </w:rPr>
      </w:pPr>
      <w:r>
        <w:rPr>
          <w:rFonts w:ascii="Arial" w:cs="Arial" w:eastAsia="Arial" w:hAnsi="Arial"/>
          <w:sz w:val="17"/>
          <w:szCs w:val="17"/>
          <w:color w:val="auto"/>
        </w:rPr>
        <w:t>As a director of S.C. Johnson &amp; Son, Inc. (2003-present) and United Technologies Corp. (2003-present), has helped oversee the strategy and operations of other large corporations.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-234950</wp:posOffset>
            </wp:positionV>
            <wp:extent cx="58420" cy="584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Communications with the board</w:t>
      </w:r>
    </w:p>
    <w:p>
      <w:pPr>
        <w:spacing w:after="0" w:line="225"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Stockholders and others who wish to communicate with the board as a whole, or to individual directors, may write to them at: P.O. Box 655936, MS 8658, Dallas, TX 75265-5936. All communications sent to this address will be shared with the board or the individual director, if so addressed.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governance</w:t>
      </w:r>
    </w:p>
    <w:p>
      <w:pPr>
        <w:spacing w:after="0" w:line="225"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The board has a long-standing commitment to responsible and effective corporate governance. The board’s corporate governance guidelines (which include the director independence standards), the charters of each of the board’s committees, TI’s code of business conduct and our code of ethics for our CEO and senior financial officers are available on our website at www.ti.com/corporategovernance. Stockholders may request copies of these documents free of charge by writing to Texas Instruments Incorporated, P.O. Box 660199, MS 8657, Dallas, TX 75266-0199, Attn: Investor Relations.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meeting attendance</w:t>
      </w:r>
    </w:p>
    <w:p>
      <w:pPr>
        <w:spacing w:after="0" w:line="225" w:lineRule="exact"/>
        <w:rPr>
          <w:sz w:val="20"/>
          <w:szCs w:val="20"/>
          <w:color w:val="auto"/>
        </w:rPr>
      </w:pPr>
    </w:p>
    <w:p>
      <w:pPr>
        <w:ind w:right="320"/>
        <w:spacing w:after="0" w:line="245" w:lineRule="auto"/>
        <w:rPr>
          <w:sz w:val="20"/>
          <w:szCs w:val="20"/>
          <w:color w:val="auto"/>
        </w:rPr>
      </w:pPr>
      <w:r>
        <w:rPr>
          <w:rFonts w:ascii="Arial" w:cs="Arial" w:eastAsia="Arial" w:hAnsi="Arial"/>
          <w:sz w:val="17"/>
          <w:szCs w:val="17"/>
          <w:color w:val="auto"/>
        </w:rPr>
        <w:t>It is a policy of the board to encourage directors to attend each annual meeting of stockholders. Such attendance allows for direct interaction between stockholders and board members. In 2012, all directors attended TI’s annual meeting of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225" w:lineRule="exact"/>
        <w:rPr>
          <w:sz w:val="20"/>
          <w:szCs w:val="20"/>
          <w:color w:val="auto"/>
        </w:rPr>
      </w:pPr>
    </w:p>
    <w:p>
      <w:pPr>
        <w:jc w:val="both"/>
        <w:ind w:right="440"/>
        <w:spacing w:after="0" w:line="264" w:lineRule="auto"/>
        <w:rPr>
          <w:sz w:val="20"/>
          <w:szCs w:val="20"/>
          <w:color w:val="auto"/>
        </w:rPr>
      </w:pPr>
      <w:r>
        <w:rPr>
          <w:rFonts w:ascii="Arial" w:cs="Arial" w:eastAsia="Arial" w:hAnsi="Arial"/>
          <w:sz w:val="16"/>
          <w:szCs w:val="16"/>
          <w:color w:val="auto"/>
        </w:rPr>
        <w:t>The board has determined that each of our directors is independent except for Mr. Templeton. In connection with this determination, information was reviewed regarding directors’ business and charitable affiliations, directors’ immediate family members and their employers, and any transactions or arrangements between the company and such persons or entities. The board has adopted the following standards for determining independence.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A. In no event will a director be considered independent if:</w:t>
      </w:r>
    </w:p>
    <w:p>
      <w:pPr>
        <w:ind w:left="400" w:hanging="190"/>
        <w:spacing w:after="0" w:line="237" w:lineRule="auto"/>
        <w:tabs>
          <w:tab w:leader="none" w:pos="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He or she is a current partner of or is employed by the company’s independent auditors;</w:t>
      </w:r>
    </w:p>
    <w:p>
      <w:pPr>
        <w:ind w:left="400" w:right="780" w:hanging="190"/>
        <w:spacing w:after="0" w:line="237" w:lineRule="auto"/>
        <w:tabs>
          <w:tab w:leader="none" w:pos="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family member of the director is (a) a current partner of the company’s independent auditors or (b) currently employed by the company’s independent auditors and personally works on the company’s audit;</w:t>
      </w:r>
    </w:p>
    <w:p>
      <w:pPr>
        <w:spacing w:after="0" w:line="1" w:lineRule="exact"/>
        <w:rPr>
          <w:rFonts w:ascii="Arial" w:cs="Arial" w:eastAsia="Arial" w:hAnsi="Arial"/>
          <w:sz w:val="17"/>
          <w:szCs w:val="17"/>
          <w:color w:val="auto"/>
        </w:rPr>
      </w:pPr>
    </w:p>
    <w:p>
      <w:pPr>
        <w:ind w:left="400" w:right="60" w:hanging="190"/>
        <w:spacing w:after="0" w:line="239" w:lineRule="auto"/>
        <w:tabs>
          <w:tab w:leader="none" w:pos="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Within the current or preceding three fiscal years he or she was, and remains at the time of the determination, a partner in or a controlling shareholder, an executive officer or an employee of an organization that in the current year or any of the past three fiscal years (a) made payments to, or received payments from, the company for property or services, (b) extended loans to or received loans from, the company, or (c) received charitable contributions from the company, in an amount or amounts which, in the aggregate in such fiscal year, exceeded the greater of $200,000 or 2 percent of the recipient’s consolidated gross revenues for that year (for purposes of this standard, “payments” excludes payments arising solely from investments in the company’s securities and payments under non-discretionary charitable contribution matching programs); or</w:t>
      </w:r>
    </w:p>
    <w:p>
      <w:pPr>
        <w:spacing w:after="0" w:line="246" w:lineRule="exact"/>
        <w:rPr>
          <w:sz w:val="20"/>
          <w:szCs w:val="20"/>
          <w:color w:val="auto"/>
        </w:rPr>
      </w:pPr>
    </w:p>
    <w:p>
      <w:pPr>
        <w:spacing w:after="0"/>
        <w:tabs>
          <w:tab w:leader="none" w:pos="10000" w:val="left"/>
        </w:tabs>
        <w:rPr>
          <w:sz w:val="20"/>
          <w:szCs w:val="20"/>
          <w:color w:val="auto"/>
        </w:rPr>
      </w:pPr>
      <w:r>
        <w:rPr>
          <w:rFonts w:ascii="Arial" w:cs="Arial" w:eastAsia="Arial" w:hAnsi="Arial"/>
          <w:sz w:val="13"/>
          <w:szCs w:val="13"/>
          <w:b w:val="1"/>
          <w:bCs w:val="1"/>
          <w:color w:val="808285"/>
        </w:rPr>
        <w:t>60 •  2013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ind w:left="400" w:right="40" w:hanging="190"/>
        <w:spacing w:after="0" w:line="237" w:lineRule="auto"/>
        <w:tabs>
          <w:tab w:leader="none" w:pos="400" w:val="left"/>
        </w:tabs>
        <w:numPr>
          <w:ilvl w:val="1"/>
          <w:numId w:val="6"/>
        </w:numPr>
        <w:rPr>
          <w:rFonts w:ascii="Arial" w:cs="Arial" w:eastAsia="Arial" w:hAnsi="Arial"/>
          <w:sz w:val="17"/>
          <w:szCs w:val="17"/>
          <w:color w:val="auto"/>
        </w:rPr>
      </w:pPr>
      <w:r>
        <w:rPr>
          <w:rFonts w:ascii="Arial" w:cs="Arial" w:eastAsia="Arial" w:hAnsi="Arial"/>
          <w:sz w:val="17"/>
          <w:szCs w:val="17"/>
          <w:color w:val="auto"/>
        </w:rPr>
        <w:t>Within the current or preceding three fiscal years a family member of the director was, and remains at the time of the determination, a partner in or a controlling shareholder or an executive officer of an organization that in the current year or any of the past three fiscal years (a) made payments to, or received payments from, the company for property or services, (b) extended loans to or received loans from the company, or (c) received charitable contributions from the company, in an amount or amounts which, in the aggregate in such fiscal year, exceeded the greater of $200,000 or 2 percent of the recipient’s consolidated gross revenues for that year (for purposes of this standard, “payments” excludes payments arising solely from investments in the company’s securities and payments under non-discretionary charitable contribution matching programs).</w:t>
      </w:r>
    </w:p>
    <w:p>
      <w:pPr>
        <w:spacing w:after="0" w:line="4" w:lineRule="exact"/>
        <w:rPr>
          <w:rFonts w:ascii="Arial" w:cs="Arial" w:eastAsia="Arial" w:hAnsi="Arial"/>
          <w:sz w:val="17"/>
          <w:szCs w:val="17"/>
          <w:color w:val="auto"/>
        </w:rPr>
      </w:pPr>
    </w:p>
    <w:p>
      <w:pPr>
        <w:ind w:left="220" w:hanging="217"/>
        <w:spacing w:after="0" w:line="237" w:lineRule="auto"/>
        <w:tabs>
          <w:tab w:leader="none" w:pos="2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no event will a director be considered independent if, within the preceding three years:</w:t>
      </w:r>
    </w:p>
    <w:p>
      <w:pPr>
        <w:ind w:left="400" w:right="180" w:hanging="190"/>
        <w:spacing w:after="0" w:line="237" w:lineRule="auto"/>
        <w:tabs>
          <w:tab w:leader="none" w:pos="400" w:val="left"/>
        </w:tabs>
        <w:numPr>
          <w:ilvl w:val="1"/>
          <w:numId w:val="7"/>
        </w:numPr>
        <w:rPr>
          <w:rFonts w:ascii="Arial" w:cs="Arial" w:eastAsia="Arial" w:hAnsi="Arial"/>
          <w:sz w:val="17"/>
          <w:szCs w:val="17"/>
          <w:color w:val="auto"/>
        </w:rPr>
      </w:pPr>
      <w:r>
        <w:rPr>
          <w:rFonts w:ascii="Arial" w:cs="Arial" w:eastAsia="Arial" w:hAnsi="Arial"/>
          <w:sz w:val="17"/>
          <w:szCs w:val="17"/>
          <w:color w:val="auto"/>
        </w:rPr>
        <w:t>He or she was employed by the company (except in the capacity of interim chairman of the board, chief executive officer or other executive officer, provided the interim employment did not last longer than one year);</w:t>
      </w:r>
    </w:p>
    <w:p>
      <w:pPr>
        <w:spacing w:after="0" w:line="1" w:lineRule="exact"/>
        <w:rPr>
          <w:rFonts w:ascii="Arial" w:cs="Arial" w:eastAsia="Arial" w:hAnsi="Arial"/>
          <w:sz w:val="17"/>
          <w:szCs w:val="17"/>
          <w:color w:val="auto"/>
        </w:rPr>
      </w:pPr>
    </w:p>
    <w:p>
      <w:pPr>
        <w:jc w:val="both"/>
        <w:ind w:left="400" w:right="80" w:hanging="190"/>
        <w:spacing w:after="0" w:line="237" w:lineRule="auto"/>
        <w:tabs>
          <w:tab w:leader="none" w:pos="400" w:val="left"/>
        </w:tabs>
        <w:numPr>
          <w:ilvl w:val="1"/>
          <w:numId w:val="7"/>
        </w:numPr>
        <w:rPr>
          <w:rFonts w:ascii="Arial" w:cs="Arial" w:eastAsia="Arial" w:hAnsi="Arial"/>
          <w:sz w:val="17"/>
          <w:szCs w:val="17"/>
          <w:color w:val="auto"/>
        </w:rPr>
      </w:pPr>
      <w:r>
        <w:rPr>
          <w:rFonts w:ascii="Arial" w:cs="Arial" w:eastAsia="Arial" w:hAnsi="Arial"/>
          <w:sz w:val="17"/>
          <w:szCs w:val="17"/>
          <w:color w:val="auto"/>
        </w:rPr>
        <w:t>He or she received more than $120,000 during any twelve-month period in compensation from the company (other than (a) compensation for board or board committee service, (b) compensation received for former service lasting no longer than one year as an interim chairman of the board, chief executive officer or other executive officer and (c) benefits under a tax-qualified retirement plan, or non-discretionary compensation);</w:t>
      </w:r>
    </w:p>
    <w:p>
      <w:pPr>
        <w:spacing w:after="0" w:line="2" w:lineRule="exact"/>
        <w:rPr>
          <w:rFonts w:ascii="Arial" w:cs="Arial" w:eastAsia="Arial" w:hAnsi="Arial"/>
          <w:sz w:val="17"/>
          <w:szCs w:val="17"/>
          <w:color w:val="auto"/>
        </w:rPr>
      </w:pPr>
    </w:p>
    <w:p>
      <w:pPr>
        <w:ind w:left="400" w:hanging="190"/>
        <w:spacing w:after="0" w:line="237" w:lineRule="auto"/>
        <w:tabs>
          <w:tab w:leader="none" w:pos="400" w:val="left"/>
        </w:tabs>
        <w:numPr>
          <w:ilvl w:val="1"/>
          <w:numId w:val="7"/>
        </w:numPr>
        <w:rPr>
          <w:rFonts w:ascii="Arial" w:cs="Arial" w:eastAsia="Arial" w:hAnsi="Arial"/>
          <w:sz w:val="17"/>
          <w:szCs w:val="17"/>
          <w:color w:val="auto"/>
        </w:rPr>
      </w:pPr>
      <w:r>
        <w:rPr>
          <w:rFonts w:ascii="Arial" w:cs="Arial" w:eastAsia="Arial" w:hAnsi="Arial"/>
          <w:sz w:val="17"/>
          <w:szCs w:val="17"/>
          <w:color w:val="auto"/>
        </w:rPr>
        <w:t>A family member of the director was employed as an executive officer by the company;</w:t>
      </w:r>
    </w:p>
    <w:p>
      <w:pPr>
        <w:ind w:left="400" w:right="580" w:hanging="190"/>
        <w:spacing w:after="0" w:line="237" w:lineRule="auto"/>
        <w:tabs>
          <w:tab w:leader="none" w:pos="400" w:val="left"/>
        </w:tabs>
        <w:numPr>
          <w:ilvl w:val="1"/>
          <w:numId w:val="7"/>
        </w:numPr>
        <w:rPr>
          <w:rFonts w:ascii="Arial" w:cs="Arial" w:eastAsia="Arial" w:hAnsi="Arial"/>
          <w:sz w:val="17"/>
          <w:szCs w:val="17"/>
          <w:color w:val="auto"/>
        </w:rPr>
      </w:pPr>
      <w:r>
        <w:rPr>
          <w:rFonts w:ascii="Arial" w:cs="Arial" w:eastAsia="Arial" w:hAnsi="Arial"/>
          <w:sz w:val="17"/>
          <w:szCs w:val="17"/>
          <w:color w:val="auto"/>
        </w:rPr>
        <w:t>A family member of the director received more than $120,000 during any twelve-month period in compensation from the company (excluding compensation as a non-executive officer employee of the company);</w:t>
      </w:r>
    </w:p>
    <w:p>
      <w:pPr>
        <w:spacing w:after="0" w:line="1" w:lineRule="exact"/>
        <w:rPr>
          <w:rFonts w:ascii="Arial" w:cs="Arial" w:eastAsia="Arial" w:hAnsi="Arial"/>
          <w:sz w:val="17"/>
          <w:szCs w:val="17"/>
          <w:color w:val="auto"/>
        </w:rPr>
      </w:pPr>
    </w:p>
    <w:p>
      <w:pPr>
        <w:ind w:left="400" w:hanging="190"/>
        <w:spacing w:after="0"/>
        <w:tabs>
          <w:tab w:leader="none" w:pos="400" w:val="left"/>
        </w:tabs>
        <w:numPr>
          <w:ilvl w:val="1"/>
          <w:numId w:val="7"/>
        </w:numPr>
        <w:rPr>
          <w:rFonts w:ascii="Arial" w:cs="Arial" w:eastAsia="Arial" w:hAnsi="Arial"/>
          <w:sz w:val="16"/>
          <w:szCs w:val="16"/>
          <w:color w:val="auto"/>
        </w:rPr>
      </w:pPr>
      <w:r>
        <w:rPr>
          <w:rFonts w:ascii="Arial" w:cs="Arial" w:eastAsia="Arial" w:hAnsi="Arial"/>
          <w:sz w:val="16"/>
          <w:szCs w:val="16"/>
          <w:color w:val="auto"/>
        </w:rPr>
        <w:t>He or she was (but is no longer) a partner or employee of the company’s independent auditors and worked on the company’s audit within that time;</w:t>
      </w:r>
    </w:p>
    <w:p>
      <w:pPr>
        <w:spacing w:after="0" w:line="9" w:lineRule="exact"/>
        <w:rPr>
          <w:rFonts w:ascii="Arial" w:cs="Arial" w:eastAsia="Arial" w:hAnsi="Arial"/>
          <w:sz w:val="16"/>
          <w:szCs w:val="16"/>
          <w:color w:val="auto"/>
        </w:rPr>
      </w:pPr>
    </w:p>
    <w:p>
      <w:pPr>
        <w:ind w:left="400" w:right="140" w:hanging="190"/>
        <w:spacing w:after="0" w:line="237" w:lineRule="auto"/>
        <w:tabs>
          <w:tab w:leader="none" w:pos="400" w:val="left"/>
        </w:tabs>
        <w:numPr>
          <w:ilvl w:val="1"/>
          <w:numId w:val="7"/>
        </w:numPr>
        <w:rPr>
          <w:rFonts w:ascii="Arial" w:cs="Arial" w:eastAsia="Arial" w:hAnsi="Arial"/>
          <w:sz w:val="17"/>
          <w:szCs w:val="17"/>
          <w:color w:val="auto"/>
        </w:rPr>
      </w:pPr>
      <w:r>
        <w:rPr>
          <w:rFonts w:ascii="Arial" w:cs="Arial" w:eastAsia="Arial" w:hAnsi="Arial"/>
          <w:sz w:val="17"/>
          <w:szCs w:val="17"/>
          <w:color w:val="auto"/>
        </w:rPr>
        <w:t>A family member of the director was (but is no longer) a partner or employee of the company’s independent auditors and worked on the company’s audit within that time;</w:t>
      </w:r>
    </w:p>
    <w:p>
      <w:pPr>
        <w:spacing w:after="0" w:line="1" w:lineRule="exact"/>
        <w:rPr>
          <w:rFonts w:ascii="Arial" w:cs="Arial" w:eastAsia="Arial" w:hAnsi="Arial"/>
          <w:sz w:val="17"/>
          <w:szCs w:val="17"/>
          <w:color w:val="auto"/>
        </w:rPr>
      </w:pPr>
    </w:p>
    <w:p>
      <w:pPr>
        <w:ind w:left="400" w:right="80" w:hanging="190"/>
        <w:spacing w:after="0" w:line="237" w:lineRule="auto"/>
        <w:tabs>
          <w:tab w:leader="none" w:pos="400" w:val="left"/>
        </w:tabs>
        <w:numPr>
          <w:ilvl w:val="1"/>
          <w:numId w:val="7"/>
        </w:numPr>
        <w:rPr>
          <w:rFonts w:ascii="Arial" w:cs="Arial" w:eastAsia="Arial" w:hAnsi="Arial"/>
          <w:sz w:val="17"/>
          <w:szCs w:val="17"/>
          <w:color w:val="auto"/>
        </w:rPr>
      </w:pPr>
      <w:r>
        <w:rPr>
          <w:rFonts w:ascii="Arial" w:cs="Arial" w:eastAsia="Arial" w:hAnsi="Arial"/>
          <w:sz w:val="17"/>
          <w:szCs w:val="17"/>
          <w:color w:val="auto"/>
        </w:rPr>
        <w:t>He or she was an executive officer of another entity at which any of the company’s current executive officers at any time during the past three years served on that entity’s compensation committee; or</w:t>
      </w:r>
    </w:p>
    <w:p>
      <w:pPr>
        <w:spacing w:after="0" w:line="1" w:lineRule="exact"/>
        <w:rPr>
          <w:rFonts w:ascii="Arial" w:cs="Arial" w:eastAsia="Arial" w:hAnsi="Arial"/>
          <w:sz w:val="17"/>
          <w:szCs w:val="17"/>
          <w:color w:val="auto"/>
        </w:rPr>
      </w:pPr>
    </w:p>
    <w:p>
      <w:pPr>
        <w:ind w:left="400" w:hanging="190"/>
        <w:spacing w:after="0" w:line="237" w:lineRule="auto"/>
        <w:tabs>
          <w:tab w:leader="none" w:pos="400" w:val="left"/>
        </w:tabs>
        <w:numPr>
          <w:ilvl w:val="1"/>
          <w:numId w:val="7"/>
        </w:numPr>
        <w:rPr>
          <w:rFonts w:ascii="Arial" w:cs="Arial" w:eastAsia="Arial" w:hAnsi="Arial"/>
          <w:sz w:val="17"/>
          <w:szCs w:val="17"/>
          <w:color w:val="auto"/>
        </w:rPr>
      </w:pPr>
      <w:r>
        <w:rPr>
          <w:rFonts w:ascii="Arial" w:cs="Arial" w:eastAsia="Arial" w:hAnsi="Arial"/>
          <w:sz w:val="17"/>
          <w:szCs w:val="17"/>
          <w:color w:val="auto"/>
        </w:rPr>
        <w:t>A family member of the director was an executive officer of another entity at which any of the company’s current executive officers at any time during the past three years served on that entity’s compensation committee.</w:t>
      </w:r>
    </w:p>
    <w:p>
      <w:pPr>
        <w:spacing w:after="0" w:line="1" w:lineRule="exact"/>
        <w:rPr>
          <w:rFonts w:ascii="Arial" w:cs="Arial" w:eastAsia="Arial" w:hAnsi="Arial"/>
          <w:sz w:val="17"/>
          <w:szCs w:val="17"/>
          <w:color w:val="auto"/>
        </w:rPr>
      </w:pPr>
    </w:p>
    <w:p>
      <w:pPr>
        <w:ind w:left="220" w:hanging="217"/>
        <w:spacing w:after="0" w:line="237" w:lineRule="auto"/>
        <w:tabs>
          <w:tab w:leader="none" w:pos="22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 member of the Audit Committee or Compensation Committee may accept directly or indirectly any consulting, advisory or other compensatory fee from the company, other than in his or her capacity as a member of the board or any board committee. Compensatory fees do not include the receipt of fixed amounts of compensation under a retirement plan (including deferred compensation) for prior service with the company (provided that such compensation is not contingent in any way on continued service). In addition, no member of the Audit Committee may be an affiliated person of the company except in his or her capacity as a director.</w:t>
      </w:r>
    </w:p>
    <w:p>
      <w:pPr>
        <w:spacing w:after="0" w:line="3" w:lineRule="exact"/>
        <w:rPr>
          <w:rFonts w:ascii="Arial" w:cs="Arial" w:eastAsia="Arial" w:hAnsi="Arial"/>
          <w:sz w:val="17"/>
          <w:szCs w:val="17"/>
          <w:color w:val="auto"/>
        </w:rPr>
      </w:pPr>
    </w:p>
    <w:p>
      <w:pPr>
        <w:ind w:left="220" w:right="40" w:hanging="217"/>
        <w:spacing w:after="0" w:line="237" w:lineRule="auto"/>
        <w:tabs>
          <w:tab w:leader="none" w:pos="2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determining whether a director is eligible to serve on the Compensation Committee, the board also will consider whether the director is affiliated with TI, a subsidiary of TI or an affiliate of a subsidiary of TI to determine whether such affiliation would impair the director’s judgment as a member of the committee.</w:t>
      </w:r>
    </w:p>
    <w:p>
      <w:pPr>
        <w:spacing w:after="0" w:line="2" w:lineRule="exact"/>
        <w:rPr>
          <w:rFonts w:ascii="Arial" w:cs="Arial" w:eastAsia="Arial" w:hAnsi="Arial"/>
          <w:sz w:val="17"/>
          <w:szCs w:val="17"/>
          <w:color w:val="auto"/>
        </w:rPr>
      </w:pPr>
    </w:p>
    <w:p>
      <w:pPr>
        <w:ind w:left="220" w:right="40" w:hanging="217"/>
        <w:spacing w:after="0" w:line="237" w:lineRule="auto"/>
        <w:tabs>
          <w:tab w:leader="none" w:pos="22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 any other relationship, the determination of whether it would interfere with the director’s exercise of independent judgment in carrying out his or her responsibilities, and consequently whether the director involved is independent, will be made by directors who satisfy the independence criteria set forth in this section.</w:t>
      </w:r>
    </w:p>
    <w:p>
      <w:pPr>
        <w:spacing w:after="0" w:line="2" w:lineRule="exact"/>
        <w:rPr>
          <w:rFonts w:ascii="Arial" w:cs="Arial" w:eastAsia="Arial" w:hAnsi="Arial"/>
          <w:sz w:val="17"/>
          <w:szCs w:val="17"/>
          <w:color w:val="auto"/>
        </w:rPr>
      </w:pPr>
    </w:p>
    <w:p>
      <w:pPr>
        <w:ind w:left="240"/>
        <w:spacing w:after="0"/>
        <w:rPr>
          <w:rFonts w:ascii="Arial" w:cs="Arial" w:eastAsia="Arial" w:hAnsi="Arial"/>
          <w:sz w:val="17"/>
          <w:szCs w:val="17"/>
          <w:color w:val="auto"/>
        </w:rPr>
      </w:pPr>
      <w:r>
        <w:rPr>
          <w:rFonts w:ascii="Arial" w:cs="Arial" w:eastAsia="Arial" w:hAnsi="Arial"/>
          <w:sz w:val="17"/>
          <w:szCs w:val="17"/>
          <w:color w:val="auto"/>
        </w:rPr>
        <w:t>For purposes of these independence determinations, “company” and “family member” will have the same meaning as under NASDAQ rules.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organization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and committee meetings</w:t>
      </w:r>
    </w:p>
    <w:p>
      <w:pPr>
        <w:spacing w:after="0" w:line="225"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During 2012, the board held ten meetings. The board has three standing committees described below. The committees of the board collectively held 19 meetings in 2012. Each director attended at least 94 percent of board and relevant committee meetings combined. Overall attendance at board and committee meetings was approximately 99 percent.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Audit Committee</w:t>
      </w:r>
    </w:p>
    <w:p>
      <w:pPr>
        <w:spacing w:after="0" w:line="237" w:lineRule="auto"/>
        <w:rPr>
          <w:sz w:val="20"/>
          <w:szCs w:val="20"/>
          <w:color w:val="auto"/>
        </w:rPr>
      </w:pPr>
      <w:r>
        <w:rPr>
          <w:rFonts w:ascii="Arial" w:cs="Arial" w:eastAsia="Arial" w:hAnsi="Arial"/>
          <w:sz w:val="17"/>
          <w:szCs w:val="17"/>
          <w:color w:val="auto"/>
        </w:rPr>
        <w:t>The Audit Committee is a separately designated standing committee established in accordance with Section 3(a)(58)(A) of the Securities Exchange Act of 1934, as amended. All members of the Audit Committee are independent under NASDAQ rules and the board’s corporate governance guidelines. Since April 2011, the committee members have been Ms. Patsley (Chair), Mr. Babb and Mr. Sanchez. The Audit Committee is generally responsible for:</w:t>
      </w:r>
    </w:p>
    <w:p>
      <w:pPr>
        <w:spacing w:after="0" w:line="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Appointing, compensating, retaining and overseeing TI’s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Reviewing the annual report of TI’s independent registered public accounting firm related to quality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Reviewing TI’s annual reports to the SEC, including the financial statements and the “Management’s Discussion and Analysis” portion of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reports, and recommending appropriate action to the board.</w:t>
      </w:r>
    </w:p>
    <w:p>
      <w:pPr>
        <w:spacing w:after="0" w:line="1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Reviewing TI’s audit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Reviewing before issuance TI’s news releases regarding annual and interim financial results and discussing with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78" w:lineRule="exact"/>
        <w:rPr>
          <w:sz w:val="20"/>
          <w:szCs w:val="20"/>
          <w:color w:val="auto"/>
        </w:rPr>
      </w:pPr>
    </w:p>
    <w:p>
      <w:pPr>
        <w:spacing w:after="0"/>
        <w:tabs>
          <w:tab w:leader="none" w:pos="95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2"/>
          <w:szCs w:val="12"/>
          <w:b w:val="1"/>
          <w:bCs w:val="1"/>
          <w:color w:val="808285"/>
        </w:rPr>
        <w:t>2013 PROXY STATEMENT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8" w:name="page9"/>
    <w:bookmarkEnd w:id="8"/>
    <w:p>
      <w:pPr>
        <w:ind w:left="520"/>
        <w:spacing w:after="0"/>
        <w:rPr>
          <w:sz w:val="20"/>
          <w:szCs w:val="20"/>
          <w:color w:val="auto"/>
        </w:rPr>
      </w:pPr>
      <w:r>
        <w:rPr>
          <w:rFonts w:ascii="Arial" w:cs="Arial" w:eastAsia="Arial" w:hAnsi="Arial"/>
          <w:sz w:val="17"/>
          <w:szCs w:val="17"/>
          <w:color w:val="auto"/>
        </w:rPr>
        <w:t>any related earnings guidance that may be provided to analysts and rating agencies.</w:t>
      </w:r>
    </w:p>
    <w:p>
      <w:pPr>
        <w:ind w:left="520" w:right="160"/>
        <w:spacing w:after="0" w:line="253" w:lineRule="auto"/>
        <w:rPr>
          <w:sz w:val="20"/>
          <w:szCs w:val="20"/>
          <w:color w:val="auto"/>
        </w:rPr>
      </w:pPr>
      <w:r>
        <w:rPr>
          <w:rFonts w:ascii="Arial" w:cs="Arial" w:eastAsia="Arial" w:hAnsi="Arial"/>
          <w:sz w:val="17"/>
          <w:szCs w:val="17"/>
          <w:color w:val="auto"/>
        </w:rPr>
        <w:t>Discussing TI’s audited financial statements with management and the independent registered public accounting firm, including a discussion with the firm regarding the matters required to be reviewed under applicable legal or regulatory requirements. Reviewing relationships between the independent registered public accounting firm and 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-357505</wp:posOffset>
            </wp:positionV>
            <wp:extent cx="58420" cy="584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194310</wp:posOffset>
            </wp:positionH>
            <wp:positionV relativeFrom="paragraph">
              <wp:posOffset>-94615</wp:posOffset>
            </wp:positionV>
            <wp:extent cx="58420" cy="584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340"/>
        <w:spacing w:after="0" w:line="263" w:lineRule="auto"/>
        <w:rPr>
          <w:sz w:val="20"/>
          <w:szCs w:val="20"/>
          <w:color w:val="auto"/>
        </w:rPr>
      </w:pPr>
      <w:r>
        <w:rPr>
          <w:rFonts w:ascii="Arial" w:cs="Arial" w:eastAsia="Arial" w:hAnsi="Arial"/>
          <w:sz w:val="17"/>
          <w:szCs w:val="17"/>
          <w:color w:val="auto"/>
        </w:rPr>
        <w:t>Reviewing and discussing the adequacy of TI’s internal accounting controls and other factors affecting the integrity of TI’s financial reports with management and with the independent registered public accounting firm. Creating and periodically reviewing TI’s whistleblower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-236855</wp:posOffset>
            </wp:positionV>
            <wp:extent cx="58420" cy="584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194310</wp:posOffset>
            </wp:positionH>
            <wp:positionV relativeFrom="paragraph">
              <wp:posOffset>25400</wp:posOffset>
            </wp:positionV>
            <wp:extent cx="58420" cy="584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Reviewing TI’s risk assessment and risk management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Reviewing TI’s compliance and ethics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320"/>
        <w:spacing w:after="0" w:line="253" w:lineRule="auto"/>
        <w:rPr>
          <w:sz w:val="20"/>
          <w:szCs w:val="20"/>
          <w:color w:val="auto"/>
        </w:rPr>
      </w:pPr>
      <w:r>
        <w:rPr>
          <w:rFonts w:ascii="Arial" w:cs="Arial" w:eastAsia="Arial" w:hAnsi="Arial"/>
          <w:sz w:val="17"/>
          <w:szCs w:val="17"/>
          <w:color w:val="auto"/>
        </w:rPr>
        <w:t>Reviewing a report of compliance of management and operating personnel with TI’s code of business conduct, including TI’s conflict of interest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-226695</wp:posOffset>
            </wp:positionV>
            <wp:extent cx="58420" cy="584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Reviewing TI’s non-employee-related insurance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Reviewing changes, if any, in major accounting policies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Reviewing trends in accounting policy changes that are relevant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Reviewing the company’s policy regarding investments and financial derivative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jc w:val="both"/>
        <w:ind w:firstLine="233"/>
        <w:spacing w:after="0" w:line="237" w:lineRule="auto"/>
        <w:rPr>
          <w:sz w:val="20"/>
          <w:szCs w:val="20"/>
          <w:color w:val="auto"/>
        </w:rPr>
      </w:pPr>
      <w:r>
        <w:rPr>
          <w:rFonts w:ascii="Arial" w:cs="Arial" w:eastAsia="Arial" w:hAnsi="Arial"/>
          <w:sz w:val="17"/>
          <w:szCs w:val="17"/>
          <w:color w:val="auto"/>
        </w:rPr>
        <w:t>The board has determined that all members of the Audit Committee are financially sophisticated, as the board has interpreted such qualifications in its business judgment. In addition, the board has designated Ms. Patsley as the audit committee financial expert as defined in the Securities Exchange Act of 1934, as amended.</w:t>
      </w:r>
    </w:p>
    <w:p>
      <w:pPr>
        <w:spacing w:after="0" w:line="2" w:lineRule="exact"/>
        <w:rPr>
          <w:sz w:val="20"/>
          <w:szCs w:val="20"/>
          <w:color w:val="auto"/>
        </w:rPr>
      </w:pPr>
    </w:p>
    <w:p>
      <w:pPr>
        <w:ind w:right="500" w:firstLine="233"/>
        <w:spacing w:after="0" w:line="241" w:lineRule="auto"/>
        <w:rPr>
          <w:sz w:val="20"/>
          <w:szCs w:val="20"/>
          <w:color w:val="auto"/>
        </w:rPr>
      </w:pPr>
      <w:r>
        <w:rPr>
          <w:rFonts w:ascii="Arial" w:cs="Arial" w:eastAsia="Arial" w:hAnsi="Arial"/>
          <w:sz w:val="17"/>
          <w:szCs w:val="17"/>
          <w:color w:val="auto"/>
        </w:rPr>
        <w:t>The Audit Committee met six times in 2012. The Audit Committee holds regularly scheduled meetings and reports its activities to the board. The committee also continued its long-standing practice of meeting directly with our internal audit staff to discuss the audit plan and to allow for direct interaction between Audit Committee members and our internal auditors. Please see page 93 for a report of the committee.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Compensation Committee</w:t>
      </w:r>
    </w:p>
    <w:p>
      <w:pPr>
        <w:ind w:right="180"/>
        <w:spacing w:after="0" w:line="237" w:lineRule="auto"/>
        <w:rPr>
          <w:sz w:val="20"/>
          <w:szCs w:val="20"/>
          <w:color w:val="auto"/>
        </w:rPr>
      </w:pPr>
      <w:r>
        <w:rPr>
          <w:rFonts w:ascii="Arial" w:cs="Arial" w:eastAsia="Arial" w:hAnsi="Arial"/>
          <w:sz w:val="17"/>
          <w:szCs w:val="17"/>
          <w:color w:val="auto"/>
        </w:rPr>
        <w:t>All members of the Compensation Committee are independent. From April 2011 to February 17, 2012, the committee members were Ms. Cox (Chair), Stephen P. MacMillan (an independent director who resigned from the board in February 2012) and Ms. Simmons. From February 17, 2012, to April 20, 2012, the committee members were Ms. Cox (Chair) and Ms. Simmons. Since April 20, 2012, the committee members have been Ms. Cox (Chair), Mr. Sanders and Ms. Simmons. The committee is responsible for:</w:t>
      </w:r>
    </w:p>
    <w:p>
      <w:pPr>
        <w:spacing w:after="0" w:line="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Reviewing the performance of the CEO and determining his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Setting the compensation of the company’s 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Overseeing administration of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Making recommendations to the board regarding: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40" w:right="260"/>
        <w:spacing w:after="0" w:line="253" w:lineRule="auto"/>
        <w:rPr>
          <w:sz w:val="20"/>
          <w:szCs w:val="20"/>
          <w:color w:val="auto"/>
        </w:rPr>
      </w:pPr>
      <w:r>
        <w:rPr>
          <w:rFonts w:ascii="Arial" w:cs="Arial" w:eastAsia="Arial" w:hAnsi="Arial"/>
          <w:sz w:val="17"/>
          <w:szCs w:val="17"/>
          <w:color w:val="auto"/>
        </w:rPr>
        <w:t>Institution and termination of, revisions in and actions under employee benefit plans that (i) increase benefits only for officers of the company or disproportionately increase benefits for officers of the company more than other employees of the company, (ii) require or permit the issuance of the company’s stock or (iii) the board must approve.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-357505</wp:posOffset>
            </wp:positionV>
            <wp:extent cx="58420" cy="584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40" w:right="540"/>
        <w:spacing w:after="0" w:line="253" w:lineRule="auto"/>
        <w:rPr>
          <w:sz w:val="20"/>
          <w:szCs w:val="20"/>
          <w:color w:val="auto"/>
        </w:rPr>
      </w:pPr>
      <w:r>
        <w:rPr>
          <w:rFonts w:ascii="Arial" w:cs="Arial" w:eastAsia="Arial" w:hAnsi="Arial"/>
          <w:sz w:val="17"/>
          <w:szCs w:val="17"/>
          <w:color w:val="auto"/>
        </w:rPr>
        <w:t>Reservation of company stock for use as awards of grants under plans or as contributions or sales to any trustee of any employee benefit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-226695</wp:posOffset>
            </wp:positionV>
            <wp:extent cx="58420" cy="584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640"/>
        <w:spacing w:after="0" w:line="253" w:lineRule="auto"/>
        <w:rPr>
          <w:sz w:val="20"/>
          <w:szCs w:val="20"/>
          <w:color w:val="auto"/>
        </w:rPr>
      </w:pPr>
      <w:r>
        <w:rPr>
          <w:rFonts w:ascii="Arial" w:cs="Arial" w:eastAsia="Arial" w:hAnsi="Arial"/>
          <w:sz w:val="17"/>
          <w:szCs w:val="17"/>
          <w:color w:val="auto"/>
        </w:rPr>
        <w:t>Taking action as appropriate regarding the institution and termination of, revisions in and actions under employee benefit plans that are not required to be approved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-226695</wp:posOffset>
            </wp:positionV>
            <wp:extent cx="58420" cy="584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firstLine="233"/>
        <w:spacing w:after="0" w:line="237" w:lineRule="auto"/>
        <w:rPr>
          <w:sz w:val="20"/>
          <w:szCs w:val="20"/>
          <w:color w:val="auto"/>
        </w:rPr>
      </w:pPr>
      <w:r>
        <w:rPr>
          <w:rFonts w:ascii="Arial" w:cs="Arial" w:eastAsia="Arial" w:hAnsi="Arial"/>
          <w:sz w:val="17"/>
          <w:szCs w:val="17"/>
          <w:color w:val="auto"/>
        </w:rPr>
        <w:t>The Compensation Committee holds regularly scheduled meetings, reports its activities to the board, and consults with the board before setting annual executive compensation. During 2012, the committee met seven times. Please see page 80 for a report of the committee.</w:t>
      </w:r>
    </w:p>
    <w:p>
      <w:pPr>
        <w:spacing w:after="0" w:line="2" w:lineRule="exact"/>
        <w:rPr>
          <w:sz w:val="20"/>
          <w:szCs w:val="20"/>
          <w:color w:val="auto"/>
        </w:rPr>
      </w:pPr>
    </w:p>
    <w:p>
      <w:pPr>
        <w:ind w:right="20" w:firstLine="233"/>
        <w:spacing w:after="0" w:line="237" w:lineRule="auto"/>
        <w:rPr>
          <w:sz w:val="20"/>
          <w:szCs w:val="20"/>
          <w:color w:val="auto"/>
        </w:rPr>
      </w:pPr>
      <w:r>
        <w:rPr>
          <w:rFonts w:ascii="Arial" w:cs="Arial" w:eastAsia="Arial" w:hAnsi="Arial"/>
          <w:sz w:val="17"/>
          <w:szCs w:val="17"/>
          <w:color w:val="auto"/>
        </w:rPr>
        <w:t>In performing its functions, the committee is supported by the company’s Human Resources organization. The committee has the authority to retain any advisors it deems appropriate to carry out its responsibilities. The committee retained Pearl Meyer &amp; Partners as its compensation consultant for the 2012 compensation cycle. The committee instructed the consultant to advise it directly on executive compensation philosophy, strategies, pay levels, decision-making processes and other matters within the scope of the committee’s charter. Additionally, the committee instructed the consultant to assist the company’s Human Resources organization in its support of the committee in these matters with such items as peer-group assessment, analysis of the executive compensation market, and compensation recommendations.</w:t>
      </w:r>
    </w:p>
    <w:p>
      <w:pPr>
        <w:spacing w:after="0" w:line="5" w:lineRule="exact"/>
        <w:rPr>
          <w:sz w:val="20"/>
          <w:szCs w:val="20"/>
          <w:color w:val="auto"/>
        </w:rPr>
      </w:pPr>
    </w:p>
    <w:p>
      <w:pPr>
        <w:ind w:right="260" w:firstLine="233"/>
        <w:spacing w:after="0" w:line="237" w:lineRule="auto"/>
        <w:rPr>
          <w:sz w:val="20"/>
          <w:szCs w:val="20"/>
          <w:color w:val="auto"/>
        </w:rPr>
      </w:pPr>
      <w:r>
        <w:rPr>
          <w:rFonts w:ascii="Arial" w:cs="Arial" w:eastAsia="Arial" w:hAnsi="Arial"/>
          <w:sz w:val="17"/>
          <w:szCs w:val="17"/>
          <w:color w:val="auto"/>
        </w:rPr>
        <w:t>The Compensation Committee considers it important that its compensation consultant’s objectivity not be compromised by other business engagements with the company or its management. In support of this belief, the committee has a policy on compensation consultants, a copy of which may be found on www.ti.com/corporategovernance. During 2012, neither the consultant nor any of its affiliates performed services for TI other than pursuant to the engagement by the committee. Further, the committee determined that the consultant had no conflict of interest.</w:t>
      </w:r>
    </w:p>
    <w:p>
      <w:pPr>
        <w:spacing w:after="0" w:line="3" w:lineRule="exact"/>
        <w:rPr>
          <w:sz w:val="20"/>
          <w:szCs w:val="20"/>
          <w:color w:val="auto"/>
        </w:rPr>
      </w:pPr>
    </w:p>
    <w:p>
      <w:pPr>
        <w:jc w:val="both"/>
        <w:ind w:right="160" w:firstLine="233"/>
        <w:spacing w:after="0"/>
        <w:rPr>
          <w:sz w:val="20"/>
          <w:szCs w:val="20"/>
          <w:color w:val="auto"/>
        </w:rPr>
      </w:pPr>
      <w:r>
        <w:rPr>
          <w:rFonts w:ascii="Arial" w:cs="Arial" w:eastAsia="Arial" w:hAnsi="Arial"/>
          <w:sz w:val="17"/>
          <w:szCs w:val="17"/>
          <w:color w:val="auto"/>
        </w:rPr>
        <w:t>The Compensation Committee considers executive compensation in a multistep process that involves the review of market information, performance data and possible compensation levels over several meetings leading to the annual determinations in January. Before setting executive compensation, the committee reviews the total compensation and benefits of the executive officers and considers the impact that their retirement, or termination under various other scenarios, would have on their compensation and benefits.</w:t>
      </w:r>
    </w:p>
    <w:p>
      <w:pPr>
        <w:spacing w:after="0" w:line="219" w:lineRule="exact"/>
        <w:rPr>
          <w:sz w:val="20"/>
          <w:szCs w:val="20"/>
          <w:color w:val="auto"/>
        </w:rPr>
      </w:pPr>
    </w:p>
    <w:p>
      <w:pPr>
        <w:spacing w:after="0"/>
        <w:tabs>
          <w:tab w:leader="none" w:pos="10000" w:val="left"/>
        </w:tabs>
        <w:rPr>
          <w:sz w:val="20"/>
          <w:szCs w:val="20"/>
          <w:color w:val="auto"/>
        </w:rPr>
      </w:pPr>
      <w:r>
        <w:rPr>
          <w:rFonts w:ascii="Arial" w:cs="Arial" w:eastAsia="Arial" w:hAnsi="Arial"/>
          <w:sz w:val="13"/>
          <w:szCs w:val="13"/>
          <w:b w:val="1"/>
          <w:bCs w:val="1"/>
          <w:color w:val="808285"/>
        </w:rPr>
        <w:t>62 •  2013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9" w:name="page10"/>
    <w:bookmarkEnd w:id="9"/>
    <w:p>
      <w:pPr>
        <w:ind w:right="180" w:firstLine="233"/>
        <w:spacing w:after="0" w:line="237" w:lineRule="auto"/>
        <w:rPr>
          <w:sz w:val="20"/>
          <w:szCs w:val="20"/>
          <w:color w:val="auto"/>
        </w:rPr>
      </w:pPr>
      <w:r>
        <w:rPr>
          <w:rFonts w:ascii="Arial" w:cs="Arial" w:eastAsia="Arial" w:hAnsi="Arial"/>
          <w:sz w:val="17"/>
          <w:szCs w:val="17"/>
          <w:color w:val="auto"/>
        </w:rPr>
        <w:t>The CEO and the senior vice president responsible for Human Resources, who is an executive officer, are regularly invited to attend meetings of the committee. The CEO is excused from the meeting during any deliberations or vote on his compensation. No executive officer determines his or her own compensation or the compensation of any other executive officer. As members of the board, the members of the committee receive information concerning the performance of the company during the year and interact with our management. During the committee’s deliberations on executive compensation, the CEO gives the committee and the board an assessment of his own performance during the year just ended. He also reviews the performance of the other executive officers with the committee and makes recommendations regarding their compensation. The senior vice president responsible for Human Resources assists in the preparation of and reviews the compensation recommendations made to the committee other than for her compensation.</w:t>
      </w:r>
    </w:p>
    <w:p>
      <w:pPr>
        <w:spacing w:after="0" w:line="6" w:lineRule="exact"/>
        <w:rPr>
          <w:sz w:val="20"/>
          <w:szCs w:val="20"/>
          <w:color w:val="auto"/>
        </w:rPr>
      </w:pPr>
    </w:p>
    <w:p>
      <w:pPr>
        <w:ind w:right="20" w:firstLine="233"/>
        <w:spacing w:after="0" w:line="237" w:lineRule="auto"/>
        <w:rPr>
          <w:sz w:val="20"/>
          <w:szCs w:val="20"/>
          <w:color w:val="auto"/>
        </w:rPr>
      </w:pPr>
      <w:r>
        <w:rPr>
          <w:rFonts w:ascii="Arial" w:cs="Arial" w:eastAsia="Arial" w:hAnsi="Arial"/>
          <w:sz w:val="17"/>
          <w:szCs w:val="17"/>
          <w:color w:val="auto"/>
        </w:rPr>
        <w:t>The Compensation Committee’s charter provides that it may delegate its power, authority and rights with respect to TI’s long-term incentive plans, employee stock purchase plan and employee benefit plans to (i) one or more committees of the board established or delegated authority for that purpose; or (ii) employees or committees of employees except that no such delegation may be made with respect to compensation of the company’s executive officers.</w:t>
      </w:r>
    </w:p>
    <w:p>
      <w:pPr>
        <w:spacing w:after="0" w:line="3" w:lineRule="exact"/>
        <w:rPr>
          <w:sz w:val="20"/>
          <w:szCs w:val="20"/>
          <w:color w:val="auto"/>
        </w:rPr>
      </w:pPr>
    </w:p>
    <w:p>
      <w:pPr>
        <w:ind w:right="40" w:firstLine="233"/>
        <w:spacing w:after="0"/>
        <w:rPr>
          <w:sz w:val="20"/>
          <w:szCs w:val="20"/>
          <w:color w:val="auto"/>
        </w:rPr>
      </w:pPr>
      <w:r>
        <w:rPr>
          <w:rFonts w:ascii="Arial" w:cs="Arial" w:eastAsia="Arial" w:hAnsi="Arial"/>
          <w:sz w:val="17"/>
          <w:szCs w:val="17"/>
          <w:color w:val="auto"/>
        </w:rPr>
        <w:t>Pursuant to that authority, the Compensation Committee has delegated to a special committee established by the board the authority to grant a limited number of stock options and restricted stock units under the company’s long-term incentive plans. The sole member of the special committee is Mr. Templeton. The special committee has no authority to grant, amend or terminate any form of compensation to TI’s executive officers. The Compensation Committee reviews the grant activity of the special committee.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Governance and Stockholder Relations Committee</w:t>
      </w:r>
    </w:p>
    <w:p>
      <w:pPr>
        <w:ind w:right="200"/>
        <w:spacing w:after="0" w:line="237" w:lineRule="auto"/>
        <w:rPr>
          <w:sz w:val="20"/>
          <w:szCs w:val="20"/>
          <w:color w:val="auto"/>
        </w:rPr>
      </w:pPr>
      <w:r>
        <w:rPr>
          <w:rFonts w:ascii="Arial" w:cs="Arial" w:eastAsia="Arial" w:hAnsi="Arial"/>
          <w:sz w:val="17"/>
          <w:szCs w:val="17"/>
          <w:color w:val="auto"/>
        </w:rPr>
        <w:t>All members of the G&amp;SR Committee are independent. From January 1 to April 20, 2012, the committee members were Ms. Whitman (Chair), Mr. Carp and Mr. Sanders. Since April 2012, the committee members have been Ms. Whitman (Chair) and Mr. Carp. The G&amp;SR Committee is generally responsible for:</w:t>
      </w:r>
    </w:p>
    <w:p>
      <w:pPr>
        <w:spacing w:after="0" w:line="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Making recommendations to the board regarding: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7"/>
          <w:szCs w:val="17"/>
          <w:color w:val="auto"/>
        </w:rPr>
        <w:t>The development and revision of our corporate governance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-88900</wp:posOffset>
            </wp:positionV>
            <wp:extent cx="58420" cy="584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7"/>
          <w:szCs w:val="17"/>
          <w:color w:val="auto"/>
        </w:rPr>
        <w:t>The size, composition and functioning of the board and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-88900</wp:posOffset>
            </wp:positionV>
            <wp:extent cx="58420" cy="584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7"/>
          <w:szCs w:val="17"/>
          <w:color w:val="auto"/>
        </w:rPr>
        <w:t>Candidates to fill board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-88900</wp:posOffset>
            </wp:positionV>
            <wp:extent cx="58420" cy="584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7"/>
          <w:szCs w:val="17"/>
          <w:color w:val="auto"/>
        </w:rPr>
        <w:t>Nominees to be designated for election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-88900</wp:posOffset>
            </wp:positionV>
            <wp:extent cx="58420" cy="584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7"/>
          <w:szCs w:val="17"/>
          <w:color w:val="auto"/>
        </w:rPr>
        <w:t>Compensation of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-88900</wp:posOffset>
            </wp:positionV>
            <wp:extent cx="58420" cy="584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7"/>
          <w:szCs w:val="17"/>
          <w:color w:val="auto"/>
        </w:rPr>
        <w:t>Organization and responsibilities of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-88900</wp:posOffset>
            </wp:positionV>
            <wp:extent cx="58420" cy="584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7"/>
          <w:szCs w:val="17"/>
          <w:color w:val="auto"/>
        </w:rPr>
        <w:t>Succession planning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-88900</wp:posOffset>
            </wp:positionV>
            <wp:extent cx="58420" cy="584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7"/>
          <w:szCs w:val="17"/>
          <w:color w:val="auto"/>
        </w:rPr>
        <w:t>Issues of potential conflicts of interest involving a board member raised under TI’s conflict of interest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-88900</wp:posOffset>
            </wp:positionV>
            <wp:extent cx="58420" cy="584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7"/>
          <w:szCs w:val="17"/>
          <w:color w:val="auto"/>
        </w:rPr>
        <w:t>Election of executive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-88900</wp:posOffset>
            </wp:positionV>
            <wp:extent cx="58420" cy="584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7"/>
          <w:szCs w:val="17"/>
          <w:color w:val="auto"/>
        </w:rPr>
        <w:t>Topics affecting the relationship between the company and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-88900</wp:posOffset>
            </wp:positionV>
            <wp:extent cx="58420" cy="584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7"/>
          <w:szCs w:val="17"/>
          <w:color w:val="auto"/>
        </w:rPr>
        <w:t>Public issues likely to affect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-88900</wp:posOffset>
            </wp:positionV>
            <wp:extent cx="58420" cy="584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7"/>
          <w:szCs w:val="17"/>
          <w:color w:val="auto"/>
        </w:rPr>
        <w:t>Responses to proposals submitted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-88900</wp:posOffset>
            </wp:positionV>
            <wp:extent cx="58420" cy="584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Reviewing: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7"/>
          <w:szCs w:val="17"/>
          <w:color w:val="auto"/>
        </w:rPr>
        <w:t>Contribution policies of the company and of the TI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-88900</wp:posOffset>
            </wp:positionV>
            <wp:extent cx="58420" cy="584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7"/>
          <w:szCs w:val="17"/>
          <w:color w:val="auto"/>
        </w:rPr>
        <w:t>Revisions to TI’s 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-88900</wp:posOffset>
            </wp:positionV>
            <wp:extent cx="58420" cy="584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Electing officers of the company other than the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Overseeing an annual evaluation of the board and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right="100" w:firstLine="233"/>
        <w:spacing w:after="0" w:line="245" w:lineRule="auto"/>
        <w:rPr>
          <w:sz w:val="20"/>
          <w:szCs w:val="20"/>
          <w:color w:val="auto"/>
        </w:rPr>
      </w:pPr>
      <w:r>
        <w:rPr>
          <w:rFonts w:ascii="Arial" w:cs="Arial" w:eastAsia="Arial" w:hAnsi="Arial"/>
          <w:sz w:val="17"/>
          <w:szCs w:val="17"/>
          <w:color w:val="auto"/>
        </w:rPr>
        <w:t>The G&amp;SR Committee met six times in 2012. The G&amp;SR Committee holds regularly scheduled meetings and reports its activities to the board. Please see page 58 for a discussion of stockholder nominations and page 60 for a discussion of communications with the board.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 structure</w:t>
      </w:r>
    </w:p>
    <w:p>
      <w:pPr>
        <w:spacing w:after="0" w:line="225" w:lineRule="exact"/>
        <w:rPr>
          <w:sz w:val="20"/>
          <w:szCs w:val="20"/>
          <w:color w:val="auto"/>
        </w:rPr>
      </w:pPr>
    </w:p>
    <w:p>
      <w:pPr>
        <w:ind w:right="200"/>
        <w:spacing w:after="0" w:line="237" w:lineRule="auto"/>
        <w:rPr>
          <w:sz w:val="20"/>
          <w:szCs w:val="20"/>
          <w:color w:val="auto"/>
        </w:rPr>
      </w:pPr>
      <w:r>
        <w:rPr>
          <w:rFonts w:ascii="Arial" w:cs="Arial" w:eastAsia="Arial" w:hAnsi="Arial"/>
          <w:sz w:val="17"/>
          <w:szCs w:val="17"/>
          <w:color w:val="auto"/>
        </w:rPr>
        <w:t>The board’s current leadership structure combines the positions of chairman and CEO, and includes a lead director who presides at executive sessions and performs the duties listed below. The board believes that this structure, combined with its other practices (such as (a) including on each board agenda an opportunity for the independent directors to comment on and influence the proposed strategic agenda for future meetings and (b) holding an executive session at each board meeting), allows it to maintain the active engagement of independent directors and appropriate oversight of management.</w:t>
      </w:r>
    </w:p>
    <w:p>
      <w:pPr>
        <w:spacing w:after="0" w:line="4" w:lineRule="exact"/>
        <w:rPr>
          <w:sz w:val="20"/>
          <w:szCs w:val="20"/>
          <w:color w:val="auto"/>
        </w:rPr>
      </w:pPr>
    </w:p>
    <w:p>
      <w:pPr>
        <w:ind w:right="300" w:firstLine="233"/>
        <w:spacing w:after="0" w:line="237" w:lineRule="auto"/>
        <w:rPr>
          <w:sz w:val="20"/>
          <w:szCs w:val="20"/>
          <w:color w:val="auto"/>
        </w:rPr>
      </w:pPr>
      <w:r>
        <w:rPr>
          <w:rFonts w:ascii="Arial" w:cs="Arial" w:eastAsia="Arial" w:hAnsi="Arial"/>
          <w:sz w:val="17"/>
          <w:szCs w:val="17"/>
          <w:color w:val="auto"/>
        </w:rPr>
        <w:t>The independent directors have elected Ms. Patsley to serve as lead director through April 2013. Thereafter, the lead director will be elected by the independent directors annually. The duties of the lead director are to:</w:t>
      </w:r>
    </w:p>
    <w:p>
      <w:pPr>
        <w:spacing w:after="0" w:line="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Preside at all meetings of the board at which the chairman is not present, including executive sessions of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Serve as liaison between the chairman and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Approve information sent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Approve meeting agendas for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Approve meeting schedules to assure that there is sufficient time for discussion of all agenda items;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If requested by major shareholders, ensure that he or she is available for consultation and direct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78" w:lineRule="exact"/>
        <w:rPr>
          <w:sz w:val="20"/>
          <w:szCs w:val="20"/>
          <w:color w:val="auto"/>
        </w:rPr>
      </w:pPr>
    </w:p>
    <w:p>
      <w:pPr>
        <w:spacing w:after="0"/>
        <w:tabs>
          <w:tab w:leader="none" w:pos="95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2"/>
          <w:szCs w:val="12"/>
          <w:b w:val="1"/>
          <w:bCs w:val="1"/>
          <w:color w:val="808285"/>
        </w:rPr>
        <w:t>2013 PROXY STATEMENT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In addition, the lead director has authority to call meetings of the independent directors.</w:t>
      </w:r>
    </w:p>
    <w:p>
      <w:pPr>
        <w:ind w:right="200" w:firstLine="233"/>
        <w:spacing w:after="0" w:line="237" w:lineRule="auto"/>
        <w:rPr>
          <w:sz w:val="20"/>
          <w:szCs w:val="20"/>
          <w:color w:val="auto"/>
        </w:rPr>
      </w:pPr>
      <w:r>
        <w:rPr>
          <w:rFonts w:ascii="Arial" w:cs="Arial" w:eastAsia="Arial" w:hAnsi="Arial"/>
          <w:sz w:val="17"/>
          <w:szCs w:val="17"/>
          <w:color w:val="auto"/>
        </w:rPr>
        <w:t>The board, led by its G&amp;SR Committee, regularly reviews the board’s leadership structure. The board’s consideration is guided by two questions: would stockholders be better served and would the board be more effective with a different structure. The board’s views are informed by a review of the practices of other companies and insight into the preferences of top stockholders, as gathered from face-to-face dialogue and review of published guidelines. The board also considers how board roles and interactions would change if its leadership structure changed. The board’s goal is for each director to have an equal stake in the board’s actions and equal accountability to the corporation and its stockholders.</w:t>
      </w:r>
    </w:p>
    <w:p>
      <w:pPr>
        <w:spacing w:after="0" w:line="4" w:lineRule="exact"/>
        <w:rPr>
          <w:sz w:val="20"/>
          <w:szCs w:val="20"/>
          <w:color w:val="auto"/>
        </w:rPr>
      </w:pPr>
    </w:p>
    <w:p>
      <w:pPr>
        <w:ind w:right="580" w:firstLine="233"/>
        <w:spacing w:after="0" w:line="241" w:lineRule="auto"/>
        <w:rPr>
          <w:sz w:val="20"/>
          <w:szCs w:val="20"/>
          <w:color w:val="auto"/>
        </w:rPr>
      </w:pPr>
      <w:r>
        <w:rPr>
          <w:rFonts w:ascii="Arial" w:cs="Arial" w:eastAsia="Arial" w:hAnsi="Arial"/>
          <w:sz w:val="17"/>
          <w:szCs w:val="17"/>
          <w:color w:val="auto"/>
        </w:rPr>
        <w:t>The board continues to believe that there is no uniform solution for a board leadership structure. Indeed, the company has had varying board leadership models over its history, at times separating the positions of chairman and CEO and at times combining the two, and now utilizing a lead director.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oversight by the board</w:t>
      </w:r>
    </w:p>
    <w:p>
      <w:pPr>
        <w:spacing w:after="0" w:line="225" w:lineRule="exact"/>
        <w:rPr>
          <w:sz w:val="20"/>
          <w:szCs w:val="20"/>
          <w:color w:val="auto"/>
        </w:rPr>
      </w:pPr>
    </w:p>
    <w:p>
      <w:pPr>
        <w:jc w:val="both"/>
        <w:ind w:right="100"/>
        <w:spacing w:after="0" w:line="237" w:lineRule="auto"/>
        <w:rPr>
          <w:sz w:val="20"/>
          <w:szCs w:val="20"/>
          <w:color w:val="auto"/>
        </w:rPr>
      </w:pPr>
      <w:r>
        <w:rPr>
          <w:rFonts w:ascii="Arial" w:cs="Arial" w:eastAsia="Arial" w:hAnsi="Arial"/>
          <w:sz w:val="17"/>
          <w:szCs w:val="17"/>
          <w:color w:val="auto"/>
        </w:rPr>
        <w:t>It is management’s responsibility to assess and manage the various risks TI faces. It is the board’s responsibility to oversee management in this effort. In exercising its oversight, the board has allocated some areas of focus to its committees and has retained areas of focus for itself, as more fully described below.</w:t>
      </w:r>
    </w:p>
    <w:p>
      <w:pPr>
        <w:spacing w:after="0" w:line="2" w:lineRule="exact"/>
        <w:rPr>
          <w:sz w:val="20"/>
          <w:szCs w:val="20"/>
          <w:color w:val="auto"/>
        </w:rPr>
      </w:pPr>
    </w:p>
    <w:p>
      <w:pPr>
        <w:ind w:right="60" w:firstLine="233"/>
        <w:spacing w:after="0" w:line="237" w:lineRule="auto"/>
        <w:rPr>
          <w:sz w:val="20"/>
          <w:szCs w:val="20"/>
          <w:color w:val="auto"/>
        </w:rPr>
      </w:pPr>
      <w:r>
        <w:rPr>
          <w:rFonts w:ascii="Arial" w:cs="Arial" w:eastAsia="Arial" w:hAnsi="Arial"/>
          <w:sz w:val="17"/>
          <w:szCs w:val="17"/>
          <w:color w:val="auto"/>
        </w:rPr>
        <w:t>Management generally views the risks TI faces as falling into the following categories: strategic, operational, financial and compliance. The board as a whole has oversight responsibility for the company’s strategic and operational risks (e.g., major initiatives, competitive markets and products, sales and marketing, and research and development). Throughout the year the CEO discusses these risks with the board during strategy reviews that focus on a particular business or function. In addition, at the end of the year, the CEO provides a formal report on the top strategic and operational risks.</w:t>
      </w:r>
    </w:p>
    <w:p>
      <w:pPr>
        <w:spacing w:after="0" w:line="3" w:lineRule="exact"/>
        <w:rPr>
          <w:sz w:val="20"/>
          <w:szCs w:val="20"/>
          <w:color w:val="auto"/>
        </w:rPr>
      </w:pPr>
    </w:p>
    <w:p>
      <w:pPr>
        <w:ind w:right="40" w:firstLine="233"/>
        <w:spacing w:after="0" w:line="237" w:lineRule="auto"/>
        <w:rPr>
          <w:sz w:val="20"/>
          <w:szCs w:val="20"/>
          <w:color w:val="auto"/>
        </w:rPr>
      </w:pPr>
      <w:r>
        <w:rPr>
          <w:rFonts w:ascii="Arial" w:cs="Arial" w:eastAsia="Arial" w:hAnsi="Arial"/>
          <w:sz w:val="17"/>
          <w:szCs w:val="17"/>
          <w:color w:val="auto"/>
        </w:rPr>
        <w:t>TI’s Audit Committee has oversight responsibility for financial risk (such as accounting, finance, internal controls and tax strategy). Oversight responsibility for compliance risk is shared by the board committees. For example, the Audit Committee oversees compliance with the company’s code of conduct and finance- and accounting-related laws and policies, as well as the company’s compliance program itself; the Compensation Committee oversees compliance with the company’s executive compensation plans and related laws and policies; and the G&amp;SR Committee oversees compliance with governance-related laws and policies, including the company’s corporate governance guidelines.</w:t>
      </w:r>
    </w:p>
    <w:p>
      <w:pPr>
        <w:spacing w:after="0" w:line="4" w:lineRule="exact"/>
        <w:rPr>
          <w:sz w:val="20"/>
          <w:szCs w:val="20"/>
          <w:color w:val="auto"/>
        </w:rPr>
      </w:pPr>
    </w:p>
    <w:p>
      <w:pPr>
        <w:ind w:right="140" w:firstLine="233"/>
        <w:spacing w:after="0" w:line="237" w:lineRule="auto"/>
        <w:rPr>
          <w:sz w:val="20"/>
          <w:szCs w:val="20"/>
          <w:color w:val="auto"/>
        </w:rPr>
      </w:pPr>
      <w:r>
        <w:rPr>
          <w:rFonts w:ascii="Arial" w:cs="Arial" w:eastAsia="Arial" w:hAnsi="Arial"/>
          <w:sz w:val="17"/>
          <w:szCs w:val="17"/>
          <w:color w:val="auto"/>
        </w:rPr>
        <w:t>The Audit Committee oversees the company’s approach to risk management as a whole. It reviews the company’s risk management process at least annually by means of a presentation by the CFO.</w:t>
      </w:r>
    </w:p>
    <w:p>
      <w:pPr>
        <w:spacing w:after="0" w:line="2" w:lineRule="exact"/>
        <w:rPr>
          <w:sz w:val="20"/>
          <w:szCs w:val="20"/>
          <w:color w:val="auto"/>
        </w:rPr>
      </w:pPr>
    </w:p>
    <w:p>
      <w:pPr>
        <w:ind w:right="40" w:firstLine="233"/>
        <w:spacing w:after="0" w:line="239" w:lineRule="auto"/>
        <w:rPr>
          <w:sz w:val="20"/>
          <w:szCs w:val="20"/>
          <w:color w:val="auto"/>
        </w:rPr>
      </w:pPr>
      <w:r>
        <w:rPr>
          <w:rFonts w:ascii="Arial" w:cs="Arial" w:eastAsia="Arial" w:hAnsi="Arial"/>
          <w:sz w:val="17"/>
          <w:szCs w:val="17"/>
          <w:color w:val="auto"/>
        </w:rPr>
        <w:t>The board’s leadership structure is consistent with the board and committees’ roles in risk oversight. As discussed above, the board has found that its current structure and practices are effective in fully engaging the independent directors. Allocating various aspects of risk oversight among the committees provides for similar engagement. Having the chairman and CEO review strategic and operational risks with the board ensures that the director most knowledgeable about the company, the industry in which it operates and the competition and other challenges it faces shares those insights with the board, providing for a thorough and efficient process.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225"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The G&amp;SR Committee has responsibility for reviewing and making recommendations to the board on compensation for non-employee directors, with the board making the final determination. The committee has no authority to delegate its responsibility regarding director compensation. In carrying out this responsibility, it is supported by TI’s Human Resources organization. The CEO, the senior vice president responsible for Human Resources and the Secretary review the recommendations made to the committee. The CEO also votes, as a member of the board, on the compensation of non-employee directors.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compensation arrangements in 2012 for the non-employee directors were:</w:t>
      </w:r>
    </w:p>
    <w:p>
      <w:pPr>
        <w:ind w:left="520"/>
        <w:spacing w:after="0"/>
        <w:rPr>
          <w:sz w:val="20"/>
          <w:szCs w:val="20"/>
          <w:color w:val="auto"/>
        </w:rPr>
      </w:pPr>
      <w:r>
        <w:rPr>
          <w:rFonts w:ascii="Arial" w:cs="Arial" w:eastAsia="Arial" w:hAnsi="Arial"/>
          <w:sz w:val="17"/>
          <w:szCs w:val="17"/>
          <w:color w:val="auto"/>
        </w:rPr>
        <w:t>Annual retainer of $80,000 for board and committee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Additional annual retainer of $30,000 for service as chair of the Audit Committee; $20,000 for service as chair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and $15,000 for service as chair of the G&amp;SR Committee.</w:t>
      </w:r>
    </w:p>
    <w:p>
      <w:pPr>
        <w:spacing w:after="0" w:line="1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Additional annual retainer of $25,000 for service as the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160"/>
        <w:spacing w:after="0" w:line="273" w:lineRule="auto"/>
        <w:rPr>
          <w:sz w:val="20"/>
          <w:szCs w:val="20"/>
          <w:color w:val="auto"/>
        </w:rPr>
      </w:pPr>
      <w:r>
        <w:rPr>
          <w:rFonts w:ascii="Arial" w:cs="Arial" w:eastAsia="Arial" w:hAnsi="Arial"/>
          <w:sz w:val="16"/>
          <w:szCs w:val="16"/>
          <w:color w:val="auto"/>
        </w:rPr>
        <w:t>Annual grant of a 10-year option to purchase TI common stock pursuant to the terms of the Texas Instruments 2009 Director Compensation Plan (Director Plan), which was approved by stockholders in April 2009. The grant date value is $100,000, determined using a Black-Scholes option-pricing model (subject to the board’s ability to adjust the grant downward). These non-qualified (NQ) options become exercisable in four equal annual installments beginning on the first anniversary of the grant and also will become fully exercisable in the event of termination of service following a change in control (as defined in the Director Plan) of TI. If a director’s service terminates due to death, disability or ineligibility to stand for re-election under the company’s by-laws, or after the director has completed eight years of service, then all outstanding options held by the director shall continue to full term. If a director’s service terminates for any other reason, all outstanding options held by the director shall be exercisable for 30 days after the date of termination, but only to the extent such options were exercisable on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-1028065</wp:posOffset>
            </wp:positionV>
            <wp:extent cx="58420" cy="584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7" w:lineRule="exact"/>
        <w:rPr>
          <w:sz w:val="20"/>
          <w:szCs w:val="20"/>
          <w:color w:val="auto"/>
        </w:rPr>
      </w:pPr>
    </w:p>
    <w:p>
      <w:pPr>
        <w:spacing w:after="0"/>
        <w:tabs>
          <w:tab w:leader="none" w:pos="10000" w:val="left"/>
        </w:tabs>
        <w:rPr>
          <w:sz w:val="20"/>
          <w:szCs w:val="20"/>
          <w:color w:val="auto"/>
        </w:rPr>
      </w:pPr>
      <w:r>
        <w:rPr>
          <w:rFonts w:ascii="Arial" w:cs="Arial" w:eastAsia="Arial" w:hAnsi="Arial"/>
          <w:sz w:val="13"/>
          <w:szCs w:val="13"/>
          <w:b w:val="1"/>
          <w:bCs w:val="1"/>
          <w:color w:val="808285"/>
        </w:rPr>
        <w:t>64 •  2013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ind w:left="520" w:right="40"/>
        <w:spacing w:after="0" w:line="253" w:lineRule="auto"/>
        <w:rPr>
          <w:sz w:val="20"/>
          <w:szCs w:val="20"/>
          <w:color w:val="auto"/>
        </w:rPr>
      </w:pPr>
      <w:r>
        <w:rPr>
          <w:rFonts w:ascii="Arial" w:cs="Arial" w:eastAsia="Arial" w:hAnsi="Arial"/>
          <w:sz w:val="17"/>
          <w:szCs w:val="17"/>
          <w:color w:val="auto"/>
        </w:rPr>
        <w:t>Annual grant of restricted stock units pursuant to the Director Plan with a grant date value of $100,000 (subject to the board’s ability to adjust the grant downward). The restricted stock units vest on the fourth anniversary of their date of grant and upon a change in control as defined in the Director Plan. If a director is not a member of the board on the fourth anniversary of the grant, restricted stock units will nonetheless settle (i.e., the shares will issue) on such anniversary date if the director has completed eight years of service prior to termination or the director’s termination was due to death, disability or ineligibility to stand for re-election under the company’s by-laws. The director may defer settlement of the restricted stock units at his or her election. Upon settlement, the director will receive one share of TI common stock for each restricted stock unit. Dividend equivalents are paid on the restricted stock units at the same rate as dividends on TI common stock. The director may defer receipt of dividend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-1011555</wp:posOffset>
            </wp:positionV>
            <wp:extent cx="58420" cy="584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$1,000 per day compensation for other activities designated by the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The board has determined that grants of equity compensation to non-employee directors will be timed to occur when grants are made to our U.S.</w:t>
      </w:r>
    </w:p>
    <w:p>
      <w:pPr>
        <w:spacing w:after="0" w:line="237" w:lineRule="auto"/>
        <w:rPr>
          <w:sz w:val="20"/>
          <w:szCs w:val="20"/>
          <w:color w:val="auto"/>
        </w:rPr>
      </w:pPr>
      <w:r>
        <w:rPr>
          <w:rFonts w:ascii="Arial" w:cs="Arial" w:eastAsia="Arial" w:hAnsi="Arial"/>
          <w:sz w:val="17"/>
          <w:szCs w:val="17"/>
          <w:color w:val="auto"/>
        </w:rPr>
        <w:t>employees in connection with the annual compensation review process. Accordingly, equity grants to non-employee directors are made in January.</w:t>
      </w:r>
    </w:p>
    <w:p>
      <w:pPr>
        <w:spacing w:after="0"/>
        <w:rPr>
          <w:sz w:val="20"/>
          <w:szCs w:val="20"/>
          <w:color w:val="auto"/>
        </w:rPr>
      </w:pPr>
      <w:r>
        <w:rPr>
          <w:rFonts w:ascii="Arial" w:cs="Arial" w:eastAsia="Arial" w:hAnsi="Arial"/>
          <w:sz w:val="17"/>
          <w:szCs w:val="17"/>
          <w:color w:val="auto"/>
        </w:rPr>
        <w:t>Please see the discussion regarding the timing of equity compensation grants on page 77.</w:t>
      </w:r>
    </w:p>
    <w:p>
      <w:pPr>
        <w:ind w:firstLine="233"/>
        <w:spacing w:after="0" w:line="237" w:lineRule="auto"/>
        <w:rPr>
          <w:sz w:val="20"/>
          <w:szCs w:val="20"/>
          <w:color w:val="auto"/>
        </w:rPr>
      </w:pPr>
      <w:r>
        <w:rPr>
          <w:rFonts w:ascii="Arial" w:cs="Arial" w:eastAsia="Arial" w:hAnsi="Arial"/>
          <w:sz w:val="17"/>
          <w:szCs w:val="17"/>
          <w:color w:val="auto"/>
        </w:rPr>
        <w:t>Directors are not paid a fee for meeting attendance, but we reimburse non-employee directors for their travel, lodging and related expenses incurred in connection with attending board, committee and stockholders meetings and other designated TI events. In addition, non-employee directors may travel on company aircraft to and from these meetings and other designated events. On occasion, directors’ spouses are invited to attend board events; the spouses’ expenses incurred in connection with attendance at those events are also reimbursed.</w:t>
      </w:r>
    </w:p>
    <w:p>
      <w:pPr>
        <w:spacing w:after="0" w:line="3" w:lineRule="exact"/>
        <w:rPr>
          <w:sz w:val="20"/>
          <w:szCs w:val="20"/>
          <w:color w:val="auto"/>
        </w:rPr>
      </w:pPr>
    </w:p>
    <w:p>
      <w:pPr>
        <w:ind w:right="260" w:firstLine="233"/>
        <w:spacing w:after="0" w:line="237" w:lineRule="auto"/>
        <w:rPr>
          <w:sz w:val="20"/>
          <w:szCs w:val="20"/>
          <w:color w:val="auto"/>
        </w:rPr>
      </w:pPr>
      <w:r>
        <w:rPr>
          <w:rFonts w:ascii="Arial" w:cs="Arial" w:eastAsia="Arial" w:hAnsi="Arial"/>
          <w:sz w:val="17"/>
          <w:szCs w:val="17"/>
          <w:color w:val="auto"/>
        </w:rPr>
        <w:t>Under the Director Plan, some directors have chosen to defer all or part of their cash compensation until they leave the board (or certain other specified times). These deferred amounts were credited to either a cash account or stock unit account. Cash accounts earn interest from TI at a rate currently based on Moody’s Seasoned Aaa Corporate Bonds. For 2012, that rate was 3.96 percent. Stock unit accounts fluctuate in value with the underlying shares of TI common stock, which will be issued after the deferral period. Dividend equivalents are paid on these stock units. Directors may also defer settlement of the restricted stock units they receive.</w:t>
      </w:r>
    </w:p>
    <w:p>
      <w:pPr>
        <w:spacing w:after="0" w:line="4" w:lineRule="exact"/>
        <w:rPr>
          <w:sz w:val="20"/>
          <w:szCs w:val="20"/>
          <w:color w:val="auto"/>
        </w:rPr>
      </w:pPr>
    </w:p>
    <w:p>
      <w:pPr>
        <w:jc w:val="both"/>
        <w:ind w:right="300" w:firstLine="233"/>
        <w:spacing w:after="0" w:line="237" w:lineRule="auto"/>
        <w:rPr>
          <w:sz w:val="20"/>
          <w:szCs w:val="20"/>
          <w:color w:val="auto"/>
        </w:rPr>
      </w:pPr>
      <w:r>
        <w:rPr>
          <w:rFonts w:ascii="Arial" w:cs="Arial" w:eastAsia="Arial" w:hAnsi="Arial"/>
          <w:sz w:val="17"/>
          <w:szCs w:val="17"/>
          <w:color w:val="auto"/>
        </w:rPr>
        <w:t>We have arrangements with certain customers whereby our employees may purchase consumer products containing TI components at discounted pricing. In addition, the TI Foundation has an educational and cultural matching gift program. In both cases, directors are entitled to participate on the same terms and conditions available to employees.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Non-employee directors are not eligible to participate in any TI-sponsored pension plan.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2012 director compensation</w:t>
      </w:r>
    </w:p>
    <w:p>
      <w:pPr>
        <w:spacing w:after="0" w:line="225"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The following table shows the compensation of all persons who were non-employee members of the board during 2012 for services in all capacities to TI in 2012.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8"/>
              </w:rPr>
              <w:t>Change in</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33"/>
        </w:trPr>
        <w:tc>
          <w:tcPr>
            <w:tcW w:w="25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8"/>
              </w:rPr>
              <w:t>Pension</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33"/>
        </w:trPr>
        <w:tc>
          <w:tcPr>
            <w:tcW w:w="25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Value and</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33"/>
        </w:trPr>
        <w:tc>
          <w:tcPr>
            <w:tcW w:w="25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Non-Equity</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8"/>
              </w:rPr>
              <w:t>Non-qualified</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33"/>
        </w:trPr>
        <w:tc>
          <w:tcPr>
            <w:tcW w:w="2560" w:type="dxa"/>
            <w:vAlign w:val="bottom"/>
          </w:tcPr>
          <w:p>
            <w:pPr>
              <w:spacing w:after="0"/>
              <w:rPr>
                <w:sz w:val="20"/>
                <w:szCs w:val="20"/>
                <w:color w:val="auto"/>
              </w:rPr>
            </w:pPr>
          </w:p>
        </w:tc>
        <w:tc>
          <w:tcPr>
            <w:tcW w:w="2520" w:type="dxa"/>
            <w:vAlign w:val="bottom"/>
            <w:gridSpan w:val="2"/>
          </w:tcPr>
          <w:p>
            <w:pPr>
              <w:jc w:val="right"/>
              <w:ind w:right="98"/>
              <w:spacing w:after="0"/>
              <w:rPr>
                <w:sz w:val="20"/>
                <w:szCs w:val="20"/>
                <w:color w:val="auto"/>
              </w:rPr>
            </w:pPr>
            <w:r>
              <w:rPr>
                <w:rFonts w:ascii="Arial" w:cs="Arial" w:eastAsia="Arial" w:hAnsi="Arial"/>
                <w:sz w:val="13"/>
                <w:szCs w:val="13"/>
                <w:b w:val="1"/>
                <w:bCs w:val="1"/>
                <w:color w:val="auto"/>
              </w:rPr>
              <w:t>Fees Earned or</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Stock</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8"/>
              </w:rPr>
              <w:t>Incentive Plan</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Deferred</w:t>
            </w:r>
          </w:p>
        </w:tc>
        <w:tc>
          <w:tcPr>
            <w:tcW w:w="1240" w:type="dxa"/>
            <w:vAlign w:val="bottom"/>
            <w:gridSpan w:val="2"/>
          </w:tcPr>
          <w:p>
            <w:pPr>
              <w:jc w:val="center"/>
              <w:spacing w:after="0"/>
              <w:rPr>
                <w:sz w:val="20"/>
                <w:szCs w:val="20"/>
                <w:color w:val="auto"/>
              </w:rPr>
            </w:pPr>
            <w:r>
              <w:rPr>
                <w:rFonts w:ascii="Arial" w:cs="Arial" w:eastAsia="Arial" w:hAnsi="Arial"/>
                <w:sz w:val="13"/>
                <w:szCs w:val="13"/>
                <w:b w:val="1"/>
                <w:bCs w:val="1"/>
                <w:color w:val="auto"/>
              </w:rPr>
              <w:t>All Other</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33"/>
        </w:trPr>
        <w:tc>
          <w:tcPr>
            <w:tcW w:w="25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80" w:type="dxa"/>
            <w:vAlign w:val="bottom"/>
          </w:tcPr>
          <w:p>
            <w:pPr>
              <w:jc w:val="right"/>
              <w:ind w:right="358"/>
              <w:spacing w:after="0"/>
              <w:rPr>
                <w:sz w:val="20"/>
                <w:szCs w:val="20"/>
                <w:color w:val="auto"/>
              </w:rPr>
            </w:pPr>
            <w:r>
              <w:rPr>
                <w:rFonts w:ascii="Arial" w:cs="Arial" w:eastAsia="Arial" w:hAnsi="Arial"/>
                <w:sz w:val="13"/>
                <w:szCs w:val="13"/>
                <w:b w:val="1"/>
                <w:bCs w:val="1"/>
                <w:color w:val="auto"/>
                <w:w w:val="98"/>
              </w:rPr>
              <w:t>Paid in</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9"/>
              </w:rPr>
              <w:t>Compensation</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9"/>
              </w:rPr>
              <w:t>Compensation</w:t>
            </w:r>
          </w:p>
        </w:tc>
        <w:tc>
          <w:tcPr>
            <w:tcW w:w="12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Compensation</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33"/>
        </w:trPr>
        <w:tc>
          <w:tcPr>
            <w:tcW w:w="2560" w:type="dxa"/>
            <w:vAlign w:val="bottom"/>
          </w:tcPr>
          <w:p>
            <w:pPr>
              <w:spacing w:after="0"/>
              <w:rPr>
                <w:sz w:val="20"/>
                <w:szCs w:val="20"/>
                <w:color w:val="auto"/>
              </w:rPr>
            </w:pPr>
            <w:r>
              <w:rPr>
                <w:rFonts w:ascii="Arial" w:cs="Arial" w:eastAsia="Arial" w:hAnsi="Arial"/>
                <w:sz w:val="13"/>
                <w:szCs w:val="13"/>
                <w:b w:val="1"/>
                <w:bCs w:val="1"/>
                <w:color w:val="auto"/>
              </w:rPr>
              <w:t>Name (1)</w:t>
            </w:r>
          </w:p>
        </w:tc>
        <w:tc>
          <w:tcPr>
            <w:tcW w:w="2520" w:type="dxa"/>
            <w:vAlign w:val="bottom"/>
            <w:gridSpan w:val="2"/>
          </w:tcPr>
          <w:p>
            <w:pPr>
              <w:ind w:left="1540"/>
              <w:spacing w:after="0"/>
              <w:rPr>
                <w:sz w:val="20"/>
                <w:szCs w:val="20"/>
                <w:color w:val="auto"/>
              </w:rPr>
            </w:pPr>
            <w:r>
              <w:rPr>
                <w:rFonts w:ascii="Arial" w:cs="Arial" w:eastAsia="Arial" w:hAnsi="Arial"/>
                <w:sz w:val="13"/>
                <w:szCs w:val="13"/>
                <w:b w:val="1"/>
                <w:bCs w:val="1"/>
                <w:color w:val="auto"/>
              </w:rPr>
              <w:t>Cash ($)(2)</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($)(3)</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($)(4)</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6"/>
              </w:rPr>
              <w:t>Earnings</w:t>
            </w:r>
          </w:p>
        </w:tc>
        <w:tc>
          <w:tcPr>
            <w:tcW w:w="400" w:type="dxa"/>
            <w:vAlign w:val="bottom"/>
          </w:tcPr>
          <w:p>
            <w:pPr>
              <w:spacing w:after="0"/>
              <w:rPr>
                <w:sz w:val="20"/>
                <w:szCs w:val="20"/>
                <w:color w:val="auto"/>
              </w:rPr>
            </w:pPr>
          </w:p>
        </w:tc>
        <w:tc>
          <w:tcPr>
            <w:tcW w:w="840" w:type="dxa"/>
            <w:vAlign w:val="bottom"/>
          </w:tcPr>
          <w:p>
            <w:pPr>
              <w:jc w:val="center"/>
              <w:ind w:right="318"/>
              <w:spacing w:after="0"/>
              <w:rPr>
                <w:sz w:val="20"/>
                <w:szCs w:val="20"/>
                <w:color w:val="auto"/>
              </w:rPr>
            </w:pPr>
            <w:r>
              <w:rPr>
                <w:rFonts w:ascii="Arial" w:cs="Arial" w:eastAsia="Arial" w:hAnsi="Arial"/>
                <w:sz w:val="13"/>
                <w:szCs w:val="13"/>
                <w:b w:val="1"/>
                <w:bCs w:val="1"/>
                <w:color w:val="auto"/>
              </w:rPr>
              <w:t>($)(5)</w:t>
            </w:r>
          </w:p>
        </w:tc>
        <w:tc>
          <w:tcPr>
            <w:tcW w:w="260" w:type="dxa"/>
            <w:vAlign w:val="bottom"/>
          </w:tcPr>
          <w:p>
            <w:pPr>
              <w:spacing w:after="0"/>
              <w:rPr>
                <w:sz w:val="20"/>
                <w:szCs w:val="20"/>
                <w:color w:val="auto"/>
              </w:rPr>
            </w:pPr>
          </w:p>
        </w:tc>
        <w:tc>
          <w:tcPr>
            <w:tcW w:w="600" w:type="dxa"/>
            <w:vAlign w:val="bottom"/>
          </w:tcPr>
          <w:p>
            <w:pPr>
              <w:jc w:val="right"/>
              <w:ind w:right="18"/>
              <w:spacing w:after="0"/>
              <w:rPr>
                <w:sz w:val="20"/>
                <w:szCs w:val="20"/>
                <w:color w:val="auto"/>
              </w:rPr>
            </w:pPr>
            <w:r>
              <w:rPr>
                <w:rFonts w:ascii="Arial" w:cs="Arial" w:eastAsia="Arial" w:hAnsi="Arial"/>
                <w:sz w:val="13"/>
                <w:szCs w:val="13"/>
                <w:b w:val="1"/>
                <w:bCs w:val="1"/>
                <w:color w:val="auto"/>
                <w:w w:val="94"/>
              </w:rPr>
              <w:t>Total ($)</w:t>
            </w:r>
          </w:p>
        </w:tc>
      </w:tr>
      <w:tr>
        <w:trPr>
          <w:trHeight w:val="45"/>
        </w:trPr>
        <w:tc>
          <w:tcPr>
            <w:tcW w:w="2560" w:type="dxa"/>
            <w:vAlign w:val="bottom"/>
            <w:tcBorders>
              <w:bottom w:val="single" w:sz="8" w:color="808285"/>
            </w:tcBorders>
          </w:tcPr>
          <w:p>
            <w:pPr>
              <w:spacing w:after="0"/>
              <w:rPr>
                <w:sz w:val="3"/>
                <w:szCs w:val="3"/>
                <w:color w:val="auto"/>
              </w:rPr>
            </w:pPr>
          </w:p>
        </w:tc>
        <w:tc>
          <w:tcPr>
            <w:tcW w:w="1640" w:type="dxa"/>
            <w:vAlign w:val="bottom"/>
            <w:tcBorders>
              <w:bottom w:val="single" w:sz="8" w:color="808285"/>
            </w:tcBorders>
          </w:tcPr>
          <w:p>
            <w:pPr>
              <w:spacing w:after="0"/>
              <w:rPr>
                <w:sz w:val="3"/>
                <w:szCs w:val="3"/>
                <w:color w:val="auto"/>
              </w:rPr>
            </w:pPr>
          </w:p>
        </w:tc>
        <w:tc>
          <w:tcPr>
            <w:tcW w:w="880" w:type="dxa"/>
            <w:vAlign w:val="bottom"/>
            <w:tcBorders>
              <w:bottom w:val="single" w:sz="8" w:color="808285"/>
            </w:tcBorders>
          </w:tcPr>
          <w:p>
            <w:pPr>
              <w:spacing w:after="0"/>
              <w:rPr>
                <w:sz w:val="3"/>
                <w:szCs w:val="3"/>
                <w:color w:val="auto"/>
              </w:rPr>
            </w:pPr>
          </w:p>
        </w:tc>
        <w:tc>
          <w:tcPr>
            <w:tcW w:w="920" w:type="dxa"/>
            <w:vAlign w:val="bottom"/>
            <w:tcBorders>
              <w:bottom w:val="single" w:sz="8" w:color="808285"/>
            </w:tcBorders>
          </w:tcPr>
          <w:p>
            <w:pPr>
              <w:spacing w:after="0"/>
              <w:rPr>
                <w:sz w:val="3"/>
                <w:szCs w:val="3"/>
                <w:color w:val="auto"/>
              </w:rPr>
            </w:pPr>
          </w:p>
        </w:tc>
        <w:tc>
          <w:tcPr>
            <w:tcW w:w="960" w:type="dxa"/>
            <w:vAlign w:val="bottom"/>
            <w:tcBorders>
              <w:bottom w:val="single" w:sz="8" w:color="808285"/>
            </w:tcBorders>
          </w:tcPr>
          <w:p>
            <w:pPr>
              <w:spacing w:after="0"/>
              <w:rPr>
                <w:sz w:val="3"/>
                <w:szCs w:val="3"/>
                <w:color w:val="auto"/>
              </w:rPr>
            </w:pPr>
          </w:p>
        </w:tc>
        <w:tc>
          <w:tcPr>
            <w:tcW w:w="1180" w:type="dxa"/>
            <w:vAlign w:val="bottom"/>
            <w:tcBorders>
              <w:bottom w:val="single" w:sz="8" w:color="808285"/>
            </w:tcBorders>
          </w:tcPr>
          <w:p>
            <w:pPr>
              <w:spacing w:after="0"/>
              <w:rPr>
                <w:sz w:val="3"/>
                <w:szCs w:val="3"/>
                <w:color w:val="auto"/>
              </w:rPr>
            </w:pPr>
          </w:p>
        </w:tc>
        <w:tc>
          <w:tcPr>
            <w:tcW w:w="1180" w:type="dxa"/>
            <w:vAlign w:val="bottom"/>
            <w:tcBorders>
              <w:bottom w:val="single" w:sz="8" w:color="808285"/>
            </w:tcBorders>
          </w:tcPr>
          <w:p>
            <w:pPr>
              <w:spacing w:after="0"/>
              <w:rPr>
                <w:sz w:val="3"/>
                <w:szCs w:val="3"/>
                <w:color w:val="auto"/>
              </w:rPr>
            </w:pPr>
          </w:p>
        </w:tc>
        <w:tc>
          <w:tcPr>
            <w:tcW w:w="400" w:type="dxa"/>
            <w:vAlign w:val="bottom"/>
            <w:tcBorders>
              <w:bottom w:val="single" w:sz="8" w:color="808285"/>
            </w:tcBorders>
          </w:tcPr>
          <w:p>
            <w:pPr>
              <w:spacing w:after="0"/>
              <w:rPr>
                <w:sz w:val="3"/>
                <w:szCs w:val="3"/>
                <w:color w:val="auto"/>
              </w:rPr>
            </w:pPr>
          </w:p>
        </w:tc>
        <w:tc>
          <w:tcPr>
            <w:tcW w:w="840" w:type="dxa"/>
            <w:vAlign w:val="bottom"/>
            <w:tcBorders>
              <w:bottom w:val="single" w:sz="8" w:color="808285"/>
            </w:tcBorders>
          </w:tcPr>
          <w:p>
            <w:pPr>
              <w:spacing w:after="0"/>
              <w:rPr>
                <w:sz w:val="3"/>
                <w:szCs w:val="3"/>
                <w:color w:val="auto"/>
              </w:rPr>
            </w:pPr>
          </w:p>
        </w:tc>
        <w:tc>
          <w:tcPr>
            <w:tcW w:w="260" w:type="dxa"/>
            <w:vAlign w:val="bottom"/>
            <w:tcBorders>
              <w:bottom w:val="single" w:sz="8" w:color="808285"/>
            </w:tcBorders>
          </w:tcPr>
          <w:p>
            <w:pPr>
              <w:spacing w:after="0"/>
              <w:rPr>
                <w:sz w:val="3"/>
                <w:szCs w:val="3"/>
                <w:color w:val="auto"/>
              </w:rPr>
            </w:pPr>
          </w:p>
        </w:tc>
        <w:tc>
          <w:tcPr>
            <w:tcW w:w="600" w:type="dxa"/>
            <w:vAlign w:val="bottom"/>
            <w:tcBorders>
              <w:bottom w:val="single" w:sz="8" w:color="808285"/>
            </w:tcBorders>
          </w:tcPr>
          <w:p>
            <w:pPr>
              <w:spacing w:after="0"/>
              <w:rPr>
                <w:sz w:val="3"/>
                <w:szCs w:val="3"/>
                <w:color w:val="auto"/>
              </w:rPr>
            </w:pPr>
          </w:p>
        </w:tc>
      </w:tr>
      <w:tr>
        <w:trPr>
          <w:trHeight w:val="233"/>
        </w:trPr>
        <w:tc>
          <w:tcPr>
            <w:tcW w:w="2560" w:type="dxa"/>
            <w:vAlign w:val="bottom"/>
            <w:shd w:val="clear" w:color="auto" w:fill="E9E9E9"/>
          </w:tcPr>
          <w:p>
            <w:pPr>
              <w:spacing w:after="0"/>
              <w:rPr>
                <w:sz w:val="20"/>
                <w:szCs w:val="20"/>
                <w:color w:val="auto"/>
              </w:rPr>
            </w:pPr>
            <w:r>
              <w:rPr>
                <w:rFonts w:ascii="Arial" w:cs="Arial" w:eastAsia="Arial" w:hAnsi="Arial"/>
                <w:sz w:val="17"/>
                <w:szCs w:val="17"/>
                <w:color w:val="auto"/>
              </w:rPr>
              <w:t>R. W. Babb, Jr.</w:t>
            </w:r>
          </w:p>
        </w:tc>
        <w:tc>
          <w:tcPr>
            <w:tcW w:w="1640" w:type="dxa"/>
            <w:vAlign w:val="bottom"/>
            <w:shd w:val="clear" w:color="auto" w:fill="E9E9E9"/>
          </w:tcPr>
          <w:p>
            <w:pPr>
              <w:ind w:left="1520"/>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ind w:right="218"/>
              <w:spacing w:after="0"/>
              <w:rPr>
                <w:sz w:val="20"/>
                <w:szCs w:val="20"/>
                <w:color w:val="auto"/>
              </w:rPr>
            </w:pPr>
            <w:r>
              <w:rPr>
                <w:rFonts w:ascii="Arial" w:cs="Arial" w:eastAsia="Arial" w:hAnsi="Arial"/>
                <w:sz w:val="17"/>
                <w:szCs w:val="17"/>
                <w:color w:val="auto"/>
              </w:rPr>
              <w:t>80,000</w:t>
            </w:r>
          </w:p>
        </w:tc>
        <w:tc>
          <w:tcPr>
            <w:tcW w:w="920" w:type="dxa"/>
            <w:vAlign w:val="bottom"/>
            <w:shd w:val="clear" w:color="auto" w:fill="E9E9E9"/>
          </w:tcPr>
          <w:p>
            <w:pPr>
              <w:jc w:val="right"/>
              <w:ind w:right="61"/>
              <w:spacing w:after="0"/>
              <w:rPr>
                <w:sz w:val="20"/>
                <w:szCs w:val="20"/>
                <w:color w:val="auto"/>
              </w:rPr>
            </w:pPr>
            <w:r>
              <w:rPr>
                <w:rFonts w:ascii="Arial" w:cs="Arial" w:eastAsia="Arial" w:hAnsi="Arial"/>
                <w:sz w:val="17"/>
                <w:szCs w:val="17"/>
                <w:color w:val="auto"/>
              </w:rPr>
              <w:t>$99,992</w:t>
            </w:r>
          </w:p>
        </w:tc>
        <w:tc>
          <w:tcPr>
            <w:tcW w:w="960" w:type="dxa"/>
            <w:vAlign w:val="bottom"/>
            <w:shd w:val="clear" w:color="auto" w:fill="E9E9E9"/>
          </w:tcPr>
          <w:p>
            <w:pPr>
              <w:jc w:val="right"/>
              <w:ind w:right="41"/>
              <w:spacing w:after="0"/>
              <w:rPr>
                <w:sz w:val="20"/>
                <w:szCs w:val="20"/>
                <w:color w:val="auto"/>
              </w:rPr>
            </w:pPr>
            <w:r>
              <w:rPr>
                <w:rFonts w:ascii="Arial" w:cs="Arial" w:eastAsia="Arial" w:hAnsi="Arial"/>
                <w:sz w:val="17"/>
                <w:szCs w:val="17"/>
                <w:color w:val="auto"/>
              </w:rPr>
              <w:t>$101,096</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238"/>
              <w:spacing w:after="0"/>
              <w:rPr>
                <w:sz w:val="20"/>
                <w:szCs w:val="20"/>
                <w:color w:val="auto"/>
              </w:rPr>
            </w:pPr>
            <w:r>
              <w:rPr>
                <w:rFonts w:ascii="Arial" w:cs="Arial" w:eastAsia="Arial" w:hAnsi="Arial"/>
                <w:sz w:val="17"/>
                <w:szCs w:val="17"/>
                <w:color w:val="auto"/>
              </w:rPr>
              <w:t>20</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4"/>
              </w:rPr>
              <w:t>281,108</w:t>
            </w:r>
          </w:p>
        </w:tc>
      </w:tr>
      <w:tr>
        <w:trPr>
          <w:trHeight w:val="225"/>
        </w:trPr>
        <w:tc>
          <w:tcPr>
            <w:tcW w:w="2560" w:type="dxa"/>
            <w:vAlign w:val="bottom"/>
          </w:tcPr>
          <w:p>
            <w:pPr>
              <w:spacing w:after="0"/>
              <w:rPr>
                <w:sz w:val="20"/>
                <w:szCs w:val="20"/>
                <w:color w:val="auto"/>
              </w:rPr>
            </w:pPr>
            <w:r>
              <w:rPr>
                <w:rFonts w:ascii="Arial" w:cs="Arial" w:eastAsia="Arial" w:hAnsi="Arial"/>
                <w:sz w:val="17"/>
                <w:szCs w:val="17"/>
                <w:color w:val="auto"/>
              </w:rPr>
              <w:t>D. A. Carp</w:t>
            </w:r>
          </w:p>
        </w:tc>
        <w:tc>
          <w:tcPr>
            <w:tcW w:w="1640" w:type="dxa"/>
            <w:vAlign w:val="bottom"/>
          </w:tcPr>
          <w:p>
            <w:pPr>
              <w:ind w:left="152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218"/>
              <w:spacing w:after="0"/>
              <w:rPr>
                <w:sz w:val="20"/>
                <w:szCs w:val="20"/>
                <w:color w:val="auto"/>
              </w:rPr>
            </w:pPr>
            <w:r>
              <w:rPr>
                <w:rFonts w:ascii="Arial" w:cs="Arial" w:eastAsia="Arial" w:hAnsi="Arial"/>
                <w:sz w:val="17"/>
                <w:szCs w:val="17"/>
                <w:color w:val="auto"/>
              </w:rPr>
              <w:t>80,000</w:t>
            </w:r>
          </w:p>
        </w:tc>
        <w:tc>
          <w:tcPr>
            <w:tcW w:w="920" w:type="dxa"/>
            <w:vAlign w:val="bottom"/>
          </w:tcPr>
          <w:p>
            <w:pPr>
              <w:jc w:val="right"/>
              <w:ind w:right="61"/>
              <w:spacing w:after="0"/>
              <w:rPr>
                <w:sz w:val="20"/>
                <w:szCs w:val="20"/>
                <w:color w:val="auto"/>
              </w:rPr>
            </w:pPr>
            <w:r>
              <w:rPr>
                <w:rFonts w:ascii="Arial" w:cs="Arial" w:eastAsia="Arial" w:hAnsi="Arial"/>
                <w:sz w:val="17"/>
                <w:szCs w:val="17"/>
                <w:color w:val="auto"/>
              </w:rPr>
              <w:t>$99,992</w:t>
            </w:r>
          </w:p>
        </w:tc>
        <w:tc>
          <w:tcPr>
            <w:tcW w:w="960" w:type="dxa"/>
            <w:vAlign w:val="bottom"/>
          </w:tcPr>
          <w:p>
            <w:pPr>
              <w:jc w:val="right"/>
              <w:ind w:right="41"/>
              <w:spacing w:after="0"/>
              <w:rPr>
                <w:sz w:val="20"/>
                <w:szCs w:val="20"/>
                <w:color w:val="auto"/>
              </w:rPr>
            </w:pPr>
            <w:r>
              <w:rPr>
                <w:rFonts w:ascii="Arial" w:cs="Arial" w:eastAsia="Arial" w:hAnsi="Arial"/>
                <w:sz w:val="17"/>
                <w:szCs w:val="17"/>
                <w:color w:val="auto"/>
              </w:rPr>
              <w:t>$101,096</w:t>
            </w:r>
          </w:p>
        </w:tc>
        <w:tc>
          <w:tcPr>
            <w:tcW w:w="1180" w:type="dxa"/>
            <w:vAlign w:val="bottom"/>
          </w:tcPr>
          <w:p>
            <w:pPr>
              <w:jc w:val="center"/>
              <w:spacing w:after="0"/>
              <w:rPr>
                <w:sz w:val="20"/>
                <w:szCs w:val="20"/>
                <w:color w:val="auto"/>
              </w:rPr>
            </w:pPr>
            <w:r>
              <w:rPr>
                <w:rFonts w:ascii="Arial" w:cs="Arial" w:eastAsia="Arial" w:hAnsi="Arial"/>
                <w:sz w:val="17"/>
                <w:szCs w:val="17"/>
                <w:color w:val="auto"/>
              </w:rPr>
              <w:t>—</w:t>
            </w:r>
          </w:p>
        </w:tc>
        <w:tc>
          <w:tcPr>
            <w:tcW w:w="1180" w:type="dxa"/>
            <w:vAlign w:val="bottom"/>
          </w:tcPr>
          <w:p>
            <w:pPr>
              <w:jc w:val="center"/>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238"/>
              <w:spacing w:after="0"/>
              <w:rPr>
                <w:sz w:val="20"/>
                <w:szCs w:val="20"/>
                <w:color w:val="auto"/>
              </w:rPr>
            </w:pPr>
            <w:r>
              <w:rPr>
                <w:rFonts w:ascii="Arial" w:cs="Arial" w:eastAsia="Arial" w:hAnsi="Arial"/>
                <w:sz w:val="17"/>
                <w:szCs w:val="17"/>
                <w:color w:val="auto"/>
              </w:rPr>
              <w:t>655</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281,743</w:t>
            </w:r>
          </w:p>
        </w:tc>
      </w:tr>
      <w:tr>
        <w:trPr>
          <w:trHeight w:val="240"/>
        </w:trPr>
        <w:tc>
          <w:tcPr>
            <w:tcW w:w="2560" w:type="dxa"/>
            <w:vAlign w:val="bottom"/>
            <w:shd w:val="clear" w:color="auto" w:fill="E9E9E9"/>
          </w:tcPr>
          <w:p>
            <w:pPr>
              <w:spacing w:after="0"/>
              <w:rPr>
                <w:sz w:val="20"/>
                <w:szCs w:val="20"/>
                <w:color w:val="auto"/>
              </w:rPr>
            </w:pPr>
            <w:r>
              <w:rPr>
                <w:rFonts w:ascii="Arial" w:cs="Arial" w:eastAsia="Arial" w:hAnsi="Arial"/>
                <w:sz w:val="17"/>
                <w:szCs w:val="17"/>
                <w:color w:val="auto"/>
              </w:rPr>
              <w:t>C. S. Cox</w:t>
            </w:r>
          </w:p>
        </w:tc>
        <w:tc>
          <w:tcPr>
            <w:tcW w:w="2520" w:type="dxa"/>
            <w:vAlign w:val="bottom"/>
            <w:gridSpan w:val="2"/>
            <w:shd w:val="clear" w:color="auto" w:fill="E9E9E9"/>
          </w:tcPr>
          <w:p>
            <w:pPr>
              <w:jc w:val="right"/>
              <w:ind w:right="218"/>
              <w:spacing w:after="0"/>
              <w:rPr>
                <w:sz w:val="20"/>
                <w:szCs w:val="20"/>
                <w:color w:val="auto"/>
              </w:rPr>
            </w:pPr>
            <w:r>
              <w:rPr>
                <w:rFonts w:ascii="Arial" w:cs="Arial" w:eastAsia="Arial" w:hAnsi="Arial"/>
                <w:sz w:val="17"/>
                <w:szCs w:val="17"/>
                <w:color w:val="auto"/>
              </w:rPr>
              <w:t>$100,000</w:t>
            </w:r>
          </w:p>
        </w:tc>
        <w:tc>
          <w:tcPr>
            <w:tcW w:w="920" w:type="dxa"/>
            <w:vAlign w:val="bottom"/>
            <w:shd w:val="clear" w:color="auto" w:fill="E9E9E9"/>
          </w:tcPr>
          <w:p>
            <w:pPr>
              <w:jc w:val="right"/>
              <w:ind w:right="61"/>
              <w:spacing w:after="0"/>
              <w:rPr>
                <w:sz w:val="20"/>
                <w:szCs w:val="20"/>
                <w:color w:val="auto"/>
              </w:rPr>
            </w:pPr>
            <w:r>
              <w:rPr>
                <w:rFonts w:ascii="Arial" w:cs="Arial" w:eastAsia="Arial" w:hAnsi="Arial"/>
                <w:sz w:val="17"/>
                <w:szCs w:val="17"/>
                <w:color w:val="auto"/>
              </w:rPr>
              <w:t>$99,992</w:t>
            </w:r>
          </w:p>
        </w:tc>
        <w:tc>
          <w:tcPr>
            <w:tcW w:w="960" w:type="dxa"/>
            <w:vAlign w:val="bottom"/>
            <w:shd w:val="clear" w:color="auto" w:fill="E9E9E9"/>
          </w:tcPr>
          <w:p>
            <w:pPr>
              <w:jc w:val="right"/>
              <w:ind w:right="41"/>
              <w:spacing w:after="0"/>
              <w:rPr>
                <w:sz w:val="20"/>
                <w:szCs w:val="20"/>
                <w:color w:val="auto"/>
              </w:rPr>
            </w:pPr>
            <w:r>
              <w:rPr>
                <w:rFonts w:ascii="Arial" w:cs="Arial" w:eastAsia="Arial" w:hAnsi="Arial"/>
                <w:sz w:val="17"/>
                <w:szCs w:val="17"/>
                <w:color w:val="auto"/>
              </w:rPr>
              <w:t>$101,096</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238"/>
              <w:spacing w:after="0"/>
              <w:rPr>
                <w:sz w:val="20"/>
                <w:szCs w:val="20"/>
                <w:color w:val="auto"/>
              </w:rPr>
            </w:pPr>
            <w:r>
              <w:rPr>
                <w:rFonts w:ascii="Arial" w:cs="Arial" w:eastAsia="Arial" w:hAnsi="Arial"/>
                <w:sz w:val="17"/>
                <w:szCs w:val="17"/>
                <w:color w:val="auto"/>
              </w:rPr>
              <w:t>20</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4"/>
              </w:rPr>
              <w:t>301,108</w:t>
            </w:r>
          </w:p>
        </w:tc>
      </w:tr>
      <w:tr>
        <w:trPr>
          <w:trHeight w:val="225"/>
        </w:trPr>
        <w:tc>
          <w:tcPr>
            <w:tcW w:w="2560" w:type="dxa"/>
            <w:vAlign w:val="bottom"/>
          </w:tcPr>
          <w:p>
            <w:pPr>
              <w:spacing w:after="0"/>
              <w:rPr>
                <w:sz w:val="20"/>
                <w:szCs w:val="20"/>
                <w:color w:val="auto"/>
              </w:rPr>
            </w:pPr>
            <w:r>
              <w:rPr>
                <w:rFonts w:ascii="Arial" w:cs="Arial" w:eastAsia="Arial" w:hAnsi="Arial"/>
                <w:sz w:val="17"/>
                <w:szCs w:val="17"/>
                <w:color w:val="auto"/>
              </w:rPr>
              <w:t>S. P. MacMillan</w:t>
            </w:r>
          </w:p>
        </w:tc>
        <w:tc>
          <w:tcPr>
            <w:tcW w:w="1640" w:type="dxa"/>
            <w:vAlign w:val="bottom"/>
          </w:tcPr>
          <w:p>
            <w:pPr>
              <w:ind w:left="152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218"/>
              <w:spacing w:after="0"/>
              <w:rPr>
                <w:sz w:val="20"/>
                <w:szCs w:val="20"/>
                <w:color w:val="auto"/>
              </w:rPr>
            </w:pPr>
            <w:r>
              <w:rPr>
                <w:rFonts w:ascii="Arial" w:cs="Arial" w:eastAsia="Arial" w:hAnsi="Arial"/>
                <w:sz w:val="17"/>
                <w:szCs w:val="17"/>
                <w:color w:val="auto"/>
              </w:rPr>
              <w:t>6,667</w:t>
            </w:r>
          </w:p>
        </w:tc>
        <w:tc>
          <w:tcPr>
            <w:tcW w:w="920" w:type="dxa"/>
            <w:vAlign w:val="bottom"/>
          </w:tcPr>
          <w:p>
            <w:pPr>
              <w:jc w:val="right"/>
              <w:ind w:right="61"/>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41"/>
              <w:spacing w:after="0"/>
              <w:rPr>
                <w:sz w:val="20"/>
                <w:szCs w:val="20"/>
                <w:color w:val="auto"/>
              </w:rPr>
            </w:pPr>
            <w:r>
              <w:rPr>
                <w:rFonts w:ascii="Arial" w:cs="Arial" w:eastAsia="Arial" w:hAnsi="Arial"/>
                <w:sz w:val="17"/>
                <w:szCs w:val="17"/>
                <w:color w:val="auto"/>
              </w:rPr>
              <w:t>—</w:t>
            </w:r>
          </w:p>
        </w:tc>
        <w:tc>
          <w:tcPr>
            <w:tcW w:w="1180" w:type="dxa"/>
            <w:vAlign w:val="bottom"/>
          </w:tcPr>
          <w:p>
            <w:pPr>
              <w:jc w:val="center"/>
              <w:spacing w:after="0"/>
              <w:rPr>
                <w:sz w:val="20"/>
                <w:szCs w:val="20"/>
                <w:color w:val="auto"/>
              </w:rPr>
            </w:pPr>
            <w:r>
              <w:rPr>
                <w:rFonts w:ascii="Arial" w:cs="Arial" w:eastAsia="Arial" w:hAnsi="Arial"/>
                <w:sz w:val="17"/>
                <w:szCs w:val="17"/>
                <w:color w:val="auto"/>
              </w:rPr>
              <w:t>—</w:t>
            </w:r>
          </w:p>
        </w:tc>
        <w:tc>
          <w:tcPr>
            <w:tcW w:w="1180" w:type="dxa"/>
            <w:vAlign w:val="bottom"/>
          </w:tcPr>
          <w:p>
            <w:pPr>
              <w:jc w:val="center"/>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238"/>
              <w:spacing w:after="0"/>
              <w:rPr>
                <w:sz w:val="20"/>
                <w:szCs w:val="20"/>
                <w:color w:val="auto"/>
              </w:rPr>
            </w:pPr>
            <w:r>
              <w:rPr>
                <w:rFonts w:ascii="Arial" w:cs="Arial" w:eastAsia="Arial" w:hAnsi="Arial"/>
                <w:sz w:val="17"/>
                <w:szCs w:val="17"/>
                <w:color w:val="auto"/>
              </w:rPr>
              <w:t>20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6,687</w:t>
            </w:r>
          </w:p>
        </w:tc>
      </w:tr>
      <w:tr>
        <w:trPr>
          <w:trHeight w:val="240"/>
        </w:trPr>
        <w:tc>
          <w:tcPr>
            <w:tcW w:w="2560" w:type="dxa"/>
            <w:vAlign w:val="bottom"/>
            <w:shd w:val="clear" w:color="auto" w:fill="E9E9E9"/>
          </w:tcPr>
          <w:p>
            <w:pPr>
              <w:spacing w:after="0"/>
              <w:rPr>
                <w:sz w:val="20"/>
                <w:szCs w:val="20"/>
                <w:color w:val="auto"/>
              </w:rPr>
            </w:pPr>
            <w:r>
              <w:rPr>
                <w:rFonts w:ascii="Arial" w:cs="Arial" w:eastAsia="Arial" w:hAnsi="Arial"/>
                <w:sz w:val="17"/>
                <w:szCs w:val="17"/>
                <w:color w:val="auto"/>
              </w:rPr>
              <w:t>P. H. Patsley</w:t>
            </w:r>
          </w:p>
        </w:tc>
        <w:tc>
          <w:tcPr>
            <w:tcW w:w="2520" w:type="dxa"/>
            <w:vAlign w:val="bottom"/>
            <w:gridSpan w:val="2"/>
            <w:shd w:val="clear" w:color="auto" w:fill="E9E9E9"/>
          </w:tcPr>
          <w:p>
            <w:pPr>
              <w:jc w:val="right"/>
              <w:ind w:right="218"/>
              <w:spacing w:after="0"/>
              <w:rPr>
                <w:sz w:val="20"/>
                <w:szCs w:val="20"/>
                <w:color w:val="auto"/>
              </w:rPr>
            </w:pPr>
            <w:r>
              <w:rPr>
                <w:rFonts w:ascii="Arial" w:cs="Arial" w:eastAsia="Arial" w:hAnsi="Arial"/>
                <w:sz w:val="17"/>
                <w:szCs w:val="17"/>
                <w:color w:val="auto"/>
              </w:rPr>
              <w:t>$135,000</w:t>
            </w:r>
          </w:p>
        </w:tc>
        <w:tc>
          <w:tcPr>
            <w:tcW w:w="920" w:type="dxa"/>
            <w:vAlign w:val="bottom"/>
            <w:shd w:val="clear" w:color="auto" w:fill="E9E9E9"/>
          </w:tcPr>
          <w:p>
            <w:pPr>
              <w:jc w:val="right"/>
              <w:ind w:right="61"/>
              <w:spacing w:after="0"/>
              <w:rPr>
                <w:sz w:val="20"/>
                <w:szCs w:val="20"/>
                <w:color w:val="auto"/>
              </w:rPr>
            </w:pPr>
            <w:r>
              <w:rPr>
                <w:rFonts w:ascii="Arial" w:cs="Arial" w:eastAsia="Arial" w:hAnsi="Arial"/>
                <w:sz w:val="17"/>
                <w:szCs w:val="17"/>
                <w:color w:val="auto"/>
              </w:rPr>
              <w:t>$99,992</w:t>
            </w:r>
          </w:p>
        </w:tc>
        <w:tc>
          <w:tcPr>
            <w:tcW w:w="960" w:type="dxa"/>
            <w:vAlign w:val="bottom"/>
            <w:shd w:val="clear" w:color="auto" w:fill="E9E9E9"/>
          </w:tcPr>
          <w:p>
            <w:pPr>
              <w:jc w:val="right"/>
              <w:ind w:right="41"/>
              <w:spacing w:after="0"/>
              <w:rPr>
                <w:sz w:val="20"/>
                <w:szCs w:val="20"/>
                <w:color w:val="auto"/>
              </w:rPr>
            </w:pPr>
            <w:r>
              <w:rPr>
                <w:rFonts w:ascii="Arial" w:cs="Arial" w:eastAsia="Arial" w:hAnsi="Arial"/>
                <w:sz w:val="17"/>
                <w:szCs w:val="17"/>
                <w:color w:val="auto"/>
              </w:rPr>
              <w:t>$101,096</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238"/>
              <w:spacing w:after="0"/>
              <w:rPr>
                <w:sz w:val="20"/>
                <w:szCs w:val="20"/>
                <w:color w:val="auto"/>
              </w:rPr>
            </w:pPr>
            <w:r>
              <w:rPr>
                <w:rFonts w:ascii="Arial" w:cs="Arial" w:eastAsia="Arial" w:hAnsi="Arial"/>
                <w:sz w:val="17"/>
                <w:szCs w:val="17"/>
                <w:color w:val="auto"/>
              </w:rPr>
              <w:t>20</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4"/>
              </w:rPr>
              <w:t>336,108</w:t>
            </w:r>
          </w:p>
        </w:tc>
      </w:tr>
      <w:tr>
        <w:trPr>
          <w:trHeight w:val="225"/>
        </w:trPr>
        <w:tc>
          <w:tcPr>
            <w:tcW w:w="2560" w:type="dxa"/>
            <w:vAlign w:val="bottom"/>
          </w:tcPr>
          <w:p>
            <w:pPr>
              <w:spacing w:after="0"/>
              <w:rPr>
                <w:sz w:val="20"/>
                <w:szCs w:val="20"/>
                <w:color w:val="auto"/>
              </w:rPr>
            </w:pPr>
            <w:r>
              <w:rPr>
                <w:rFonts w:ascii="Arial" w:cs="Arial" w:eastAsia="Arial" w:hAnsi="Arial"/>
                <w:sz w:val="17"/>
                <w:szCs w:val="17"/>
                <w:color w:val="auto"/>
              </w:rPr>
              <w:t>R. E. Sanchez</w:t>
            </w:r>
          </w:p>
        </w:tc>
        <w:tc>
          <w:tcPr>
            <w:tcW w:w="1640" w:type="dxa"/>
            <w:vAlign w:val="bottom"/>
          </w:tcPr>
          <w:p>
            <w:pPr>
              <w:ind w:left="152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218"/>
              <w:spacing w:after="0"/>
              <w:rPr>
                <w:sz w:val="20"/>
                <w:szCs w:val="20"/>
                <w:color w:val="auto"/>
              </w:rPr>
            </w:pPr>
            <w:r>
              <w:rPr>
                <w:rFonts w:ascii="Arial" w:cs="Arial" w:eastAsia="Arial" w:hAnsi="Arial"/>
                <w:sz w:val="17"/>
                <w:szCs w:val="17"/>
                <w:color w:val="auto"/>
              </w:rPr>
              <w:t>80,000</w:t>
            </w:r>
          </w:p>
        </w:tc>
        <w:tc>
          <w:tcPr>
            <w:tcW w:w="920" w:type="dxa"/>
            <w:vAlign w:val="bottom"/>
          </w:tcPr>
          <w:p>
            <w:pPr>
              <w:jc w:val="right"/>
              <w:ind w:right="61"/>
              <w:spacing w:after="0"/>
              <w:rPr>
                <w:sz w:val="20"/>
                <w:szCs w:val="20"/>
                <w:color w:val="auto"/>
              </w:rPr>
            </w:pPr>
            <w:r>
              <w:rPr>
                <w:rFonts w:ascii="Arial" w:cs="Arial" w:eastAsia="Arial" w:hAnsi="Arial"/>
                <w:sz w:val="17"/>
                <w:szCs w:val="17"/>
                <w:color w:val="auto"/>
              </w:rPr>
              <w:t>$99,992</w:t>
            </w:r>
          </w:p>
        </w:tc>
        <w:tc>
          <w:tcPr>
            <w:tcW w:w="960" w:type="dxa"/>
            <w:vAlign w:val="bottom"/>
          </w:tcPr>
          <w:p>
            <w:pPr>
              <w:jc w:val="right"/>
              <w:ind w:right="41"/>
              <w:spacing w:after="0"/>
              <w:rPr>
                <w:sz w:val="20"/>
                <w:szCs w:val="20"/>
                <w:color w:val="auto"/>
              </w:rPr>
            </w:pPr>
            <w:r>
              <w:rPr>
                <w:rFonts w:ascii="Arial" w:cs="Arial" w:eastAsia="Arial" w:hAnsi="Arial"/>
                <w:sz w:val="17"/>
                <w:szCs w:val="17"/>
                <w:color w:val="auto"/>
              </w:rPr>
              <w:t>$101,096</w:t>
            </w:r>
          </w:p>
        </w:tc>
        <w:tc>
          <w:tcPr>
            <w:tcW w:w="1180" w:type="dxa"/>
            <w:vAlign w:val="bottom"/>
          </w:tcPr>
          <w:p>
            <w:pPr>
              <w:jc w:val="center"/>
              <w:spacing w:after="0"/>
              <w:rPr>
                <w:sz w:val="20"/>
                <w:szCs w:val="20"/>
                <w:color w:val="auto"/>
              </w:rPr>
            </w:pPr>
            <w:r>
              <w:rPr>
                <w:rFonts w:ascii="Arial" w:cs="Arial" w:eastAsia="Arial" w:hAnsi="Arial"/>
                <w:sz w:val="17"/>
                <w:szCs w:val="17"/>
                <w:color w:val="auto"/>
              </w:rPr>
              <w:t>—</w:t>
            </w:r>
          </w:p>
        </w:tc>
        <w:tc>
          <w:tcPr>
            <w:tcW w:w="1180" w:type="dxa"/>
            <w:vAlign w:val="bottom"/>
          </w:tcPr>
          <w:p>
            <w:pPr>
              <w:jc w:val="center"/>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238"/>
              <w:spacing w:after="0"/>
              <w:rPr>
                <w:sz w:val="20"/>
                <w:szCs w:val="20"/>
                <w:color w:val="auto"/>
              </w:rPr>
            </w:pPr>
            <w:r>
              <w:rPr>
                <w:rFonts w:ascii="Arial" w:cs="Arial" w:eastAsia="Arial" w:hAnsi="Arial"/>
                <w:sz w:val="17"/>
                <w:szCs w:val="17"/>
                <w:color w:val="auto"/>
                <w:w w:val="96"/>
              </w:rPr>
              <w:t>10,020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291,108</w:t>
            </w:r>
          </w:p>
        </w:tc>
      </w:tr>
      <w:tr>
        <w:trPr>
          <w:trHeight w:val="240"/>
        </w:trPr>
        <w:tc>
          <w:tcPr>
            <w:tcW w:w="2560" w:type="dxa"/>
            <w:vAlign w:val="bottom"/>
            <w:shd w:val="clear" w:color="auto" w:fill="E9E9E9"/>
          </w:tcPr>
          <w:p>
            <w:pPr>
              <w:spacing w:after="0"/>
              <w:rPr>
                <w:sz w:val="20"/>
                <w:szCs w:val="20"/>
                <w:color w:val="auto"/>
              </w:rPr>
            </w:pPr>
            <w:r>
              <w:rPr>
                <w:rFonts w:ascii="Arial" w:cs="Arial" w:eastAsia="Arial" w:hAnsi="Arial"/>
                <w:sz w:val="17"/>
                <w:szCs w:val="17"/>
                <w:color w:val="auto"/>
              </w:rPr>
              <w:t>W. R. Sanders</w:t>
            </w:r>
          </w:p>
        </w:tc>
        <w:tc>
          <w:tcPr>
            <w:tcW w:w="1640" w:type="dxa"/>
            <w:vAlign w:val="bottom"/>
            <w:shd w:val="clear" w:color="auto" w:fill="E9E9E9"/>
          </w:tcPr>
          <w:p>
            <w:pPr>
              <w:ind w:left="1520"/>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ind w:right="218"/>
              <w:spacing w:after="0"/>
              <w:rPr>
                <w:sz w:val="20"/>
                <w:szCs w:val="20"/>
                <w:color w:val="auto"/>
              </w:rPr>
            </w:pPr>
            <w:r>
              <w:rPr>
                <w:rFonts w:ascii="Arial" w:cs="Arial" w:eastAsia="Arial" w:hAnsi="Arial"/>
                <w:sz w:val="17"/>
                <w:szCs w:val="17"/>
                <w:color w:val="auto"/>
              </w:rPr>
              <w:t>80,000</w:t>
            </w:r>
          </w:p>
        </w:tc>
        <w:tc>
          <w:tcPr>
            <w:tcW w:w="920" w:type="dxa"/>
            <w:vAlign w:val="bottom"/>
            <w:shd w:val="clear" w:color="auto" w:fill="E9E9E9"/>
          </w:tcPr>
          <w:p>
            <w:pPr>
              <w:jc w:val="right"/>
              <w:ind w:right="61"/>
              <w:spacing w:after="0"/>
              <w:rPr>
                <w:sz w:val="20"/>
                <w:szCs w:val="20"/>
                <w:color w:val="auto"/>
              </w:rPr>
            </w:pPr>
            <w:r>
              <w:rPr>
                <w:rFonts w:ascii="Arial" w:cs="Arial" w:eastAsia="Arial" w:hAnsi="Arial"/>
                <w:sz w:val="17"/>
                <w:szCs w:val="17"/>
                <w:color w:val="auto"/>
              </w:rPr>
              <w:t>$99,992</w:t>
            </w:r>
          </w:p>
        </w:tc>
        <w:tc>
          <w:tcPr>
            <w:tcW w:w="960" w:type="dxa"/>
            <w:vAlign w:val="bottom"/>
            <w:shd w:val="clear" w:color="auto" w:fill="E9E9E9"/>
          </w:tcPr>
          <w:p>
            <w:pPr>
              <w:jc w:val="right"/>
              <w:ind w:right="41"/>
              <w:spacing w:after="0"/>
              <w:rPr>
                <w:sz w:val="20"/>
                <w:szCs w:val="20"/>
                <w:color w:val="auto"/>
              </w:rPr>
            </w:pPr>
            <w:r>
              <w:rPr>
                <w:rFonts w:ascii="Arial" w:cs="Arial" w:eastAsia="Arial" w:hAnsi="Arial"/>
                <w:sz w:val="17"/>
                <w:szCs w:val="17"/>
                <w:color w:val="auto"/>
              </w:rPr>
              <w:t>$101,096</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238"/>
              <w:spacing w:after="0"/>
              <w:rPr>
                <w:sz w:val="20"/>
                <w:szCs w:val="20"/>
                <w:color w:val="auto"/>
              </w:rPr>
            </w:pPr>
            <w:r>
              <w:rPr>
                <w:rFonts w:ascii="Arial" w:cs="Arial" w:eastAsia="Arial" w:hAnsi="Arial"/>
                <w:sz w:val="17"/>
                <w:szCs w:val="17"/>
                <w:color w:val="auto"/>
              </w:rPr>
              <w:t>655</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4"/>
              </w:rPr>
              <w:t>281,743</w:t>
            </w:r>
          </w:p>
        </w:tc>
      </w:tr>
      <w:tr>
        <w:trPr>
          <w:trHeight w:val="225"/>
        </w:trPr>
        <w:tc>
          <w:tcPr>
            <w:tcW w:w="2560" w:type="dxa"/>
            <w:vAlign w:val="bottom"/>
          </w:tcPr>
          <w:p>
            <w:pPr>
              <w:spacing w:after="0"/>
              <w:rPr>
                <w:sz w:val="20"/>
                <w:szCs w:val="20"/>
                <w:color w:val="auto"/>
              </w:rPr>
            </w:pPr>
            <w:r>
              <w:rPr>
                <w:rFonts w:ascii="Arial" w:cs="Arial" w:eastAsia="Arial" w:hAnsi="Arial"/>
                <w:sz w:val="17"/>
                <w:szCs w:val="17"/>
                <w:color w:val="auto"/>
              </w:rPr>
              <w:t>R. J. Simmons</w:t>
            </w:r>
          </w:p>
        </w:tc>
        <w:tc>
          <w:tcPr>
            <w:tcW w:w="1640" w:type="dxa"/>
            <w:vAlign w:val="bottom"/>
          </w:tcPr>
          <w:p>
            <w:pPr>
              <w:ind w:left="152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218"/>
              <w:spacing w:after="0"/>
              <w:rPr>
                <w:sz w:val="20"/>
                <w:szCs w:val="20"/>
                <w:color w:val="auto"/>
              </w:rPr>
            </w:pPr>
            <w:r>
              <w:rPr>
                <w:rFonts w:ascii="Arial" w:cs="Arial" w:eastAsia="Arial" w:hAnsi="Arial"/>
                <w:sz w:val="17"/>
                <w:szCs w:val="17"/>
                <w:color w:val="auto"/>
              </w:rPr>
              <w:t>80,000</w:t>
            </w:r>
          </w:p>
        </w:tc>
        <w:tc>
          <w:tcPr>
            <w:tcW w:w="920" w:type="dxa"/>
            <w:vAlign w:val="bottom"/>
          </w:tcPr>
          <w:p>
            <w:pPr>
              <w:jc w:val="right"/>
              <w:ind w:right="61"/>
              <w:spacing w:after="0"/>
              <w:rPr>
                <w:sz w:val="20"/>
                <w:szCs w:val="20"/>
                <w:color w:val="auto"/>
              </w:rPr>
            </w:pPr>
            <w:r>
              <w:rPr>
                <w:rFonts w:ascii="Arial" w:cs="Arial" w:eastAsia="Arial" w:hAnsi="Arial"/>
                <w:sz w:val="17"/>
                <w:szCs w:val="17"/>
                <w:color w:val="auto"/>
              </w:rPr>
              <w:t>$99,992</w:t>
            </w:r>
          </w:p>
        </w:tc>
        <w:tc>
          <w:tcPr>
            <w:tcW w:w="960" w:type="dxa"/>
            <w:vAlign w:val="bottom"/>
          </w:tcPr>
          <w:p>
            <w:pPr>
              <w:jc w:val="right"/>
              <w:ind w:right="41"/>
              <w:spacing w:after="0"/>
              <w:rPr>
                <w:sz w:val="20"/>
                <w:szCs w:val="20"/>
                <w:color w:val="auto"/>
              </w:rPr>
            </w:pPr>
            <w:r>
              <w:rPr>
                <w:rFonts w:ascii="Arial" w:cs="Arial" w:eastAsia="Arial" w:hAnsi="Arial"/>
                <w:sz w:val="17"/>
                <w:szCs w:val="17"/>
                <w:color w:val="auto"/>
              </w:rPr>
              <w:t>$101,096</w:t>
            </w:r>
          </w:p>
        </w:tc>
        <w:tc>
          <w:tcPr>
            <w:tcW w:w="1180" w:type="dxa"/>
            <w:vAlign w:val="bottom"/>
          </w:tcPr>
          <w:p>
            <w:pPr>
              <w:jc w:val="center"/>
              <w:spacing w:after="0"/>
              <w:rPr>
                <w:sz w:val="20"/>
                <w:szCs w:val="20"/>
                <w:color w:val="auto"/>
              </w:rPr>
            </w:pPr>
            <w:r>
              <w:rPr>
                <w:rFonts w:ascii="Arial" w:cs="Arial" w:eastAsia="Arial" w:hAnsi="Arial"/>
                <w:sz w:val="17"/>
                <w:szCs w:val="17"/>
                <w:color w:val="auto"/>
              </w:rPr>
              <w:t>—</w:t>
            </w:r>
          </w:p>
        </w:tc>
        <w:tc>
          <w:tcPr>
            <w:tcW w:w="1180" w:type="dxa"/>
            <w:vAlign w:val="bottom"/>
          </w:tcPr>
          <w:p>
            <w:pPr>
              <w:jc w:val="center"/>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238"/>
              <w:spacing w:after="0"/>
              <w:rPr>
                <w:sz w:val="20"/>
                <w:szCs w:val="20"/>
                <w:color w:val="auto"/>
              </w:rPr>
            </w:pPr>
            <w:r>
              <w:rPr>
                <w:rFonts w:ascii="Arial" w:cs="Arial" w:eastAsia="Arial" w:hAnsi="Arial"/>
                <w:sz w:val="17"/>
                <w:szCs w:val="17"/>
                <w:color w:val="auto"/>
              </w:rPr>
              <w:t>20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281,108</w:t>
            </w:r>
          </w:p>
        </w:tc>
      </w:tr>
      <w:tr>
        <w:trPr>
          <w:trHeight w:val="240"/>
        </w:trPr>
        <w:tc>
          <w:tcPr>
            <w:tcW w:w="2560" w:type="dxa"/>
            <w:vAlign w:val="bottom"/>
            <w:shd w:val="clear" w:color="auto" w:fill="E9E9E9"/>
          </w:tcPr>
          <w:p>
            <w:pPr>
              <w:spacing w:after="0"/>
              <w:rPr>
                <w:sz w:val="20"/>
                <w:szCs w:val="20"/>
                <w:color w:val="auto"/>
              </w:rPr>
            </w:pPr>
            <w:r>
              <w:rPr>
                <w:rFonts w:ascii="Arial" w:cs="Arial" w:eastAsia="Arial" w:hAnsi="Arial"/>
                <w:sz w:val="17"/>
                <w:szCs w:val="17"/>
                <w:color w:val="auto"/>
              </w:rPr>
              <w:t>C. T. Whitman</w:t>
            </w:r>
          </w:p>
        </w:tc>
        <w:tc>
          <w:tcPr>
            <w:tcW w:w="1640" w:type="dxa"/>
            <w:vAlign w:val="bottom"/>
            <w:shd w:val="clear" w:color="auto" w:fill="E9E9E9"/>
          </w:tcPr>
          <w:p>
            <w:pPr>
              <w:ind w:left="1520"/>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ind w:right="218"/>
              <w:spacing w:after="0"/>
              <w:rPr>
                <w:sz w:val="20"/>
                <w:szCs w:val="20"/>
                <w:color w:val="auto"/>
              </w:rPr>
            </w:pPr>
            <w:r>
              <w:rPr>
                <w:rFonts w:ascii="Arial" w:cs="Arial" w:eastAsia="Arial" w:hAnsi="Arial"/>
                <w:sz w:val="17"/>
                <w:szCs w:val="17"/>
                <w:color w:val="auto"/>
              </w:rPr>
              <w:t>95,000</w:t>
            </w:r>
          </w:p>
        </w:tc>
        <w:tc>
          <w:tcPr>
            <w:tcW w:w="920" w:type="dxa"/>
            <w:vAlign w:val="bottom"/>
            <w:shd w:val="clear" w:color="auto" w:fill="E9E9E9"/>
          </w:tcPr>
          <w:p>
            <w:pPr>
              <w:jc w:val="right"/>
              <w:ind w:right="61"/>
              <w:spacing w:after="0"/>
              <w:rPr>
                <w:sz w:val="20"/>
                <w:szCs w:val="20"/>
                <w:color w:val="auto"/>
              </w:rPr>
            </w:pPr>
            <w:r>
              <w:rPr>
                <w:rFonts w:ascii="Arial" w:cs="Arial" w:eastAsia="Arial" w:hAnsi="Arial"/>
                <w:sz w:val="17"/>
                <w:szCs w:val="17"/>
                <w:color w:val="auto"/>
              </w:rPr>
              <w:t>$99,992</w:t>
            </w:r>
          </w:p>
        </w:tc>
        <w:tc>
          <w:tcPr>
            <w:tcW w:w="960" w:type="dxa"/>
            <w:vAlign w:val="bottom"/>
            <w:shd w:val="clear" w:color="auto" w:fill="E9E9E9"/>
          </w:tcPr>
          <w:p>
            <w:pPr>
              <w:jc w:val="right"/>
              <w:ind w:right="41"/>
              <w:spacing w:after="0"/>
              <w:rPr>
                <w:sz w:val="20"/>
                <w:szCs w:val="20"/>
                <w:color w:val="auto"/>
              </w:rPr>
            </w:pPr>
            <w:r>
              <w:rPr>
                <w:rFonts w:ascii="Arial" w:cs="Arial" w:eastAsia="Arial" w:hAnsi="Arial"/>
                <w:sz w:val="17"/>
                <w:szCs w:val="17"/>
                <w:color w:val="auto"/>
              </w:rPr>
              <w:t>$101,096</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238"/>
              <w:spacing w:after="0"/>
              <w:rPr>
                <w:sz w:val="20"/>
                <w:szCs w:val="20"/>
                <w:color w:val="auto"/>
              </w:rPr>
            </w:pPr>
            <w:r>
              <w:rPr>
                <w:rFonts w:ascii="Arial" w:cs="Arial" w:eastAsia="Arial" w:hAnsi="Arial"/>
                <w:sz w:val="17"/>
                <w:szCs w:val="17"/>
                <w:color w:val="auto"/>
                <w:w w:val="96"/>
              </w:rPr>
              <w:t>26,880</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4"/>
              </w:rPr>
              <w:t>322,968</w:t>
            </w:r>
          </w:p>
        </w:tc>
      </w:tr>
    </w:tbl>
    <w:p>
      <w:pPr>
        <w:spacing w:after="0" w:line="236" w:lineRule="exact"/>
        <w:rPr>
          <w:sz w:val="20"/>
          <w:szCs w:val="20"/>
          <w:color w:val="auto"/>
        </w:rPr>
      </w:pPr>
    </w:p>
    <w:p>
      <w:pPr>
        <w:ind w:left="460" w:right="100" w:hanging="457"/>
        <w:spacing w:after="0" w:line="245"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Mr. MacMillan resigned effective February 17, 2012. Mr. Blinn was elected effective February 21, 2013, and accordingly received no compensation for services as a TI director in 2012.</w:t>
      </w:r>
    </w:p>
    <w:p>
      <w:pPr>
        <w:spacing w:after="0" w:line="221" w:lineRule="exact"/>
        <w:rPr>
          <w:rFonts w:ascii="Arial" w:cs="Arial" w:eastAsia="Arial" w:hAnsi="Arial"/>
          <w:sz w:val="17"/>
          <w:szCs w:val="17"/>
          <w:color w:val="auto"/>
        </w:rPr>
      </w:pPr>
    </w:p>
    <w:p>
      <w:pPr>
        <w:ind w:left="460" w:hanging="457"/>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amounts deferred at the director’s election.</w:t>
      </w:r>
    </w:p>
    <w:p>
      <w:pPr>
        <w:spacing w:after="0" w:line="230" w:lineRule="exact"/>
        <w:rPr>
          <w:rFonts w:ascii="Arial" w:cs="Arial" w:eastAsia="Arial" w:hAnsi="Arial"/>
          <w:sz w:val="17"/>
          <w:szCs w:val="17"/>
          <w:color w:val="auto"/>
        </w:rPr>
      </w:pPr>
    </w:p>
    <w:p>
      <w:pPr>
        <w:ind w:left="460" w:right="260" w:hanging="457"/>
        <w:spacing w:after="0" w:line="220"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Shown is the aggregate grant date fair value of awards granted in 2012 calculated in accordance with Financial Accounting Standards Board </w:t>
      </w:r>
      <w:r>
        <w:rPr>
          <w:rFonts w:ascii="Arial" w:cs="Arial" w:eastAsia="Arial" w:hAnsi="Arial"/>
          <w:sz w:val="17"/>
          <w:szCs w:val="17"/>
          <w:i w:val="1"/>
          <w:iCs w:val="1"/>
          <w:color w:val="auto"/>
        </w:rPr>
        <w:t>Accounting Standards Codification</w:t>
      </w:r>
      <w:r>
        <w:rPr>
          <w:rFonts w:ascii="Arial" w:cs="Arial" w:eastAsia="Arial" w:hAnsi="Arial"/>
          <w:sz w:val="27"/>
          <w:szCs w:val="27"/>
          <w:i w:val="1"/>
          <w:iCs w:val="1"/>
          <w:color w:val="auto"/>
          <w:vertAlign w:val="superscript"/>
        </w:rPr>
        <w:t>TM</w:t>
      </w:r>
      <w:r>
        <w:rPr>
          <w:rFonts w:ascii="Arial" w:cs="Arial" w:eastAsia="Arial" w:hAnsi="Arial"/>
          <w:sz w:val="17"/>
          <w:szCs w:val="17"/>
          <w:i w:val="1"/>
          <w:iCs w:val="1"/>
          <w:color w:val="auto"/>
        </w:rPr>
        <w:t xml:space="preserve"> Topic 718, Compensation-Stock Compensation </w:t>
      </w:r>
      <w:r>
        <w:rPr>
          <w:rFonts w:ascii="Arial" w:cs="Arial" w:eastAsia="Arial" w:hAnsi="Arial"/>
          <w:sz w:val="17"/>
          <w:szCs w:val="17"/>
          <w:color w:val="auto"/>
        </w:rPr>
        <w:t>(ASC 718). The discussion of the assumptions used for</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of calculating the grant date fair value appears in note 5 of Exhibit 13 to TI’s annual report on Form 10-K for the year ended December 31, 2012.</w:t>
      </w:r>
    </w:p>
    <w:p>
      <w:pPr>
        <w:spacing w:after="0" w:line="243" w:lineRule="exact"/>
        <w:rPr>
          <w:sz w:val="20"/>
          <w:szCs w:val="20"/>
          <w:color w:val="auto"/>
        </w:rPr>
      </w:pPr>
    </w:p>
    <w:p>
      <w:pPr>
        <w:spacing w:after="0"/>
        <w:tabs>
          <w:tab w:leader="none" w:pos="95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2"/>
          <w:szCs w:val="12"/>
          <w:b w:val="1"/>
          <w:bCs w:val="1"/>
          <w:color w:val="808285"/>
        </w:rPr>
        <w:t>2013 PROXY STATEMENT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3" w:right="239" w:bottom="1440" w:gutter="0" w:footer="0" w:header="0"/>
        </w:sectPr>
      </w:pPr>
    </w:p>
    <w:bookmarkStart w:id="12" w:name="page13"/>
    <w:bookmarkEnd w:id="12"/>
    <w:p>
      <w:pPr>
        <w:ind w:left="460"/>
        <w:spacing w:after="0" w:line="245" w:lineRule="auto"/>
        <w:rPr>
          <w:sz w:val="20"/>
          <w:szCs w:val="20"/>
          <w:color w:val="auto"/>
        </w:rPr>
      </w:pPr>
      <w:r>
        <w:rPr>
          <w:rFonts w:ascii="Arial" w:cs="Arial" w:eastAsia="Arial" w:hAnsi="Arial"/>
          <w:sz w:val="17"/>
          <w:szCs w:val="17"/>
          <w:color w:val="auto"/>
        </w:rPr>
        <w:t>The table below shows the aggregate number of shares underlying outstanding restricted stock units held by the named individuals as of December 31, 2012.</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360" w:type="dxa"/>
            <w:vAlign w:val="bottom"/>
          </w:tcPr>
          <w:p>
            <w:pPr>
              <w:jc w:val="center"/>
              <w:ind w:left="3501"/>
              <w:spacing w:after="0"/>
              <w:rPr>
                <w:sz w:val="20"/>
                <w:szCs w:val="20"/>
                <w:color w:val="auto"/>
              </w:rPr>
            </w:pPr>
            <w:r>
              <w:rPr>
                <w:rFonts w:ascii="Arial" w:cs="Arial" w:eastAsia="Arial" w:hAnsi="Arial"/>
                <w:sz w:val="13"/>
                <w:szCs w:val="13"/>
                <w:b w:val="1"/>
                <w:bCs w:val="1"/>
                <w:color w:val="auto"/>
                <w:w w:val="97"/>
              </w:rPr>
              <w:t>Restricted</w:t>
            </w:r>
          </w:p>
        </w:tc>
      </w:tr>
      <w:tr>
        <w:trPr>
          <w:trHeight w:val="233"/>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4360" w:type="dxa"/>
            <w:vAlign w:val="bottom"/>
          </w:tcPr>
          <w:p>
            <w:pPr>
              <w:jc w:val="center"/>
              <w:ind w:left="3501"/>
              <w:spacing w:after="0"/>
              <w:rPr>
                <w:sz w:val="20"/>
                <w:szCs w:val="20"/>
                <w:color w:val="auto"/>
              </w:rPr>
            </w:pPr>
            <w:r>
              <w:rPr>
                <w:rFonts w:ascii="Arial" w:cs="Arial" w:eastAsia="Arial" w:hAnsi="Arial"/>
                <w:sz w:val="13"/>
                <w:szCs w:val="13"/>
                <w:b w:val="1"/>
                <w:bCs w:val="1"/>
                <w:color w:val="auto"/>
                <w:w w:val="97"/>
              </w:rPr>
              <w:t>Stock Units</w:t>
            </w:r>
          </w:p>
        </w:tc>
      </w:tr>
      <w:tr>
        <w:trPr>
          <w:trHeight w:val="233"/>
        </w:trPr>
        <w:tc>
          <w:tcPr>
            <w:tcW w:w="478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4360" w:type="dxa"/>
            <w:vAlign w:val="bottom"/>
          </w:tcPr>
          <w:p>
            <w:pPr>
              <w:jc w:val="center"/>
              <w:ind w:left="3501"/>
              <w:spacing w:after="0"/>
              <w:rPr>
                <w:sz w:val="20"/>
                <w:szCs w:val="20"/>
                <w:color w:val="auto"/>
              </w:rPr>
            </w:pPr>
            <w:r>
              <w:rPr>
                <w:rFonts w:ascii="Arial" w:cs="Arial" w:eastAsia="Arial" w:hAnsi="Arial"/>
                <w:sz w:val="13"/>
                <w:szCs w:val="13"/>
                <w:b w:val="1"/>
                <w:bCs w:val="1"/>
                <w:color w:val="auto"/>
                <w:w w:val="98"/>
              </w:rPr>
              <w:t>(in Shares)</w:t>
            </w:r>
          </w:p>
        </w:tc>
      </w:tr>
      <w:tr>
        <w:trPr>
          <w:trHeight w:val="45"/>
        </w:trPr>
        <w:tc>
          <w:tcPr>
            <w:tcW w:w="4780" w:type="dxa"/>
            <w:vAlign w:val="bottom"/>
            <w:gridSpan w:val="2"/>
          </w:tcPr>
          <w:p>
            <w:pPr>
              <w:spacing w:after="0"/>
              <w:rPr>
                <w:sz w:val="3"/>
                <w:szCs w:val="3"/>
                <w:color w:val="auto"/>
              </w:rPr>
            </w:pPr>
          </w:p>
        </w:tc>
        <w:tc>
          <w:tcPr>
            <w:tcW w:w="436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4760" w:type="dxa"/>
            <w:vAlign w:val="bottom"/>
            <w:tcBorders>
              <w:top w:val="single" w:sz="8" w:color="808285"/>
            </w:tcBorders>
            <w:shd w:val="clear" w:color="auto" w:fill="E9E9E9"/>
          </w:tcPr>
          <w:p>
            <w:pPr>
              <w:spacing w:after="0"/>
              <w:rPr>
                <w:sz w:val="20"/>
                <w:szCs w:val="20"/>
                <w:color w:val="auto"/>
              </w:rPr>
            </w:pPr>
            <w:r>
              <w:rPr>
                <w:rFonts w:ascii="Arial" w:cs="Arial" w:eastAsia="Arial" w:hAnsi="Arial"/>
                <w:sz w:val="17"/>
                <w:szCs w:val="17"/>
                <w:color w:val="auto"/>
              </w:rPr>
              <w:t>R. W. Babb, Jr.</w:t>
            </w:r>
          </w:p>
        </w:tc>
        <w:tc>
          <w:tcPr>
            <w:tcW w:w="4360" w:type="dxa"/>
            <w:vAlign w:val="bottom"/>
            <w:tcBorders>
              <w:top w:val="single" w:sz="8" w:color="808285"/>
            </w:tcBorders>
            <w:shd w:val="clear" w:color="auto" w:fill="E9E9E9"/>
          </w:tcPr>
          <w:p>
            <w:pPr>
              <w:jc w:val="right"/>
              <w:ind w:right="41"/>
              <w:spacing w:after="0"/>
              <w:rPr>
                <w:sz w:val="20"/>
                <w:szCs w:val="20"/>
                <w:color w:val="auto"/>
              </w:rPr>
            </w:pPr>
            <w:r>
              <w:rPr>
                <w:rFonts w:ascii="Arial" w:cs="Arial" w:eastAsia="Arial" w:hAnsi="Arial"/>
                <w:sz w:val="17"/>
                <w:szCs w:val="17"/>
                <w:color w:val="auto"/>
              </w:rPr>
              <w:t>7,977</w:t>
            </w:r>
          </w:p>
        </w:tc>
      </w:tr>
      <w:tr>
        <w:trPr>
          <w:trHeight w:val="225"/>
        </w:trPr>
        <w:tc>
          <w:tcPr>
            <w:tcW w:w="4780" w:type="dxa"/>
            <w:vAlign w:val="bottom"/>
            <w:gridSpan w:val="2"/>
          </w:tcPr>
          <w:p>
            <w:pPr>
              <w:spacing w:after="0"/>
              <w:rPr>
                <w:sz w:val="20"/>
                <w:szCs w:val="20"/>
                <w:color w:val="auto"/>
              </w:rPr>
            </w:pPr>
            <w:r>
              <w:rPr>
                <w:rFonts w:ascii="Arial" w:cs="Arial" w:eastAsia="Arial" w:hAnsi="Arial"/>
                <w:sz w:val="17"/>
                <w:szCs w:val="17"/>
                <w:color w:val="auto"/>
              </w:rPr>
              <w:t>D. A. Carp</w:t>
            </w:r>
          </w:p>
        </w:tc>
        <w:tc>
          <w:tcPr>
            <w:tcW w:w="4360" w:type="dxa"/>
            <w:vAlign w:val="bottom"/>
          </w:tcPr>
          <w:p>
            <w:pPr>
              <w:jc w:val="right"/>
              <w:ind w:right="41"/>
              <w:spacing w:after="0"/>
              <w:rPr>
                <w:sz w:val="20"/>
                <w:szCs w:val="20"/>
                <w:color w:val="auto"/>
              </w:rPr>
            </w:pPr>
            <w:r>
              <w:rPr>
                <w:rFonts w:ascii="Arial" w:cs="Arial" w:eastAsia="Arial" w:hAnsi="Arial"/>
                <w:sz w:val="17"/>
                <w:szCs w:val="17"/>
                <w:color w:val="auto"/>
              </w:rPr>
              <w:t>24,641</w:t>
            </w:r>
          </w:p>
        </w:tc>
      </w:tr>
      <w:tr>
        <w:trPr>
          <w:trHeight w:val="240"/>
        </w:trPr>
        <w:tc>
          <w:tcPr>
            <w:tcW w:w="20" w:type="dxa"/>
            <w:vAlign w:val="bottom"/>
          </w:tcPr>
          <w:p>
            <w:pPr>
              <w:spacing w:after="0"/>
              <w:rPr>
                <w:sz w:val="20"/>
                <w:szCs w:val="20"/>
                <w:color w:val="auto"/>
              </w:rPr>
            </w:pPr>
          </w:p>
        </w:tc>
        <w:tc>
          <w:tcPr>
            <w:tcW w:w="4760" w:type="dxa"/>
            <w:vAlign w:val="bottom"/>
            <w:shd w:val="clear" w:color="auto" w:fill="E9E9E9"/>
          </w:tcPr>
          <w:p>
            <w:pPr>
              <w:spacing w:after="0"/>
              <w:rPr>
                <w:sz w:val="20"/>
                <w:szCs w:val="20"/>
                <w:color w:val="auto"/>
              </w:rPr>
            </w:pPr>
            <w:r>
              <w:rPr>
                <w:rFonts w:ascii="Arial" w:cs="Arial" w:eastAsia="Arial" w:hAnsi="Arial"/>
                <w:sz w:val="17"/>
                <w:szCs w:val="17"/>
                <w:color w:val="auto"/>
              </w:rPr>
              <w:t>C. S. Cox</w:t>
            </w:r>
          </w:p>
        </w:tc>
        <w:tc>
          <w:tcPr>
            <w:tcW w:w="4360" w:type="dxa"/>
            <w:vAlign w:val="bottom"/>
            <w:shd w:val="clear" w:color="auto" w:fill="E9E9E9"/>
          </w:tcPr>
          <w:p>
            <w:pPr>
              <w:jc w:val="right"/>
              <w:ind w:right="41"/>
              <w:spacing w:after="0"/>
              <w:rPr>
                <w:sz w:val="20"/>
                <w:szCs w:val="20"/>
                <w:color w:val="auto"/>
              </w:rPr>
            </w:pPr>
            <w:r>
              <w:rPr>
                <w:rFonts w:ascii="Arial" w:cs="Arial" w:eastAsia="Arial" w:hAnsi="Arial"/>
                <w:sz w:val="17"/>
                <w:szCs w:val="17"/>
                <w:color w:val="auto"/>
              </w:rPr>
              <w:t>17,977</w:t>
            </w:r>
          </w:p>
        </w:tc>
      </w:tr>
      <w:tr>
        <w:trPr>
          <w:trHeight w:val="225"/>
        </w:trPr>
        <w:tc>
          <w:tcPr>
            <w:tcW w:w="4780" w:type="dxa"/>
            <w:vAlign w:val="bottom"/>
            <w:gridSpan w:val="2"/>
          </w:tcPr>
          <w:p>
            <w:pPr>
              <w:spacing w:after="0"/>
              <w:rPr>
                <w:sz w:val="20"/>
                <w:szCs w:val="20"/>
                <w:color w:val="auto"/>
              </w:rPr>
            </w:pPr>
            <w:r>
              <w:rPr>
                <w:rFonts w:ascii="Arial" w:cs="Arial" w:eastAsia="Arial" w:hAnsi="Arial"/>
                <w:sz w:val="17"/>
                <w:szCs w:val="17"/>
                <w:color w:val="auto"/>
              </w:rPr>
              <w:t>S. P. MacMillan</w:t>
            </w:r>
          </w:p>
        </w:tc>
        <w:tc>
          <w:tcPr>
            <w:tcW w:w="4360" w:type="dxa"/>
            <w:vAlign w:val="bottom"/>
          </w:tcPr>
          <w:p>
            <w:pPr>
              <w:jc w:val="right"/>
              <w:ind w:right="41"/>
              <w:spacing w:after="0"/>
              <w:rPr>
                <w:sz w:val="20"/>
                <w:szCs w:val="20"/>
                <w:color w:val="auto"/>
              </w:rPr>
            </w:pPr>
            <w:r>
              <w:rPr>
                <w:rFonts w:ascii="Arial" w:cs="Arial" w:eastAsia="Arial" w:hAnsi="Arial"/>
                <w:sz w:val="17"/>
                <w:szCs w:val="17"/>
                <w:color w:val="auto"/>
              </w:rPr>
              <w:t>—</w:t>
            </w:r>
          </w:p>
        </w:tc>
      </w:tr>
      <w:tr>
        <w:trPr>
          <w:trHeight w:val="240"/>
        </w:trPr>
        <w:tc>
          <w:tcPr>
            <w:tcW w:w="20" w:type="dxa"/>
            <w:vAlign w:val="bottom"/>
          </w:tcPr>
          <w:p>
            <w:pPr>
              <w:spacing w:after="0"/>
              <w:rPr>
                <w:sz w:val="20"/>
                <w:szCs w:val="20"/>
                <w:color w:val="auto"/>
              </w:rPr>
            </w:pPr>
          </w:p>
        </w:tc>
        <w:tc>
          <w:tcPr>
            <w:tcW w:w="4760" w:type="dxa"/>
            <w:vAlign w:val="bottom"/>
            <w:shd w:val="clear" w:color="auto" w:fill="E9E9E9"/>
          </w:tcPr>
          <w:p>
            <w:pPr>
              <w:spacing w:after="0"/>
              <w:rPr>
                <w:sz w:val="20"/>
                <w:szCs w:val="20"/>
                <w:color w:val="auto"/>
              </w:rPr>
            </w:pPr>
            <w:r>
              <w:rPr>
                <w:rFonts w:ascii="Arial" w:cs="Arial" w:eastAsia="Arial" w:hAnsi="Arial"/>
                <w:sz w:val="17"/>
                <w:szCs w:val="17"/>
                <w:color w:val="auto"/>
              </w:rPr>
              <w:t>P. H. Patsley</w:t>
            </w:r>
          </w:p>
        </w:tc>
        <w:tc>
          <w:tcPr>
            <w:tcW w:w="4360" w:type="dxa"/>
            <w:vAlign w:val="bottom"/>
            <w:shd w:val="clear" w:color="auto" w:fill="E9E9E9"/>
          </w:tcPr>
          <w:p>
            <w:pPr>
              <w:jc w:val="right"/>
              <w:ind w:right="41"/>
              <w:spacing w:after="0"/>
              <w:rPr>
                <w:sz w:val="20"/>
                <w:szCs w:val="20"/>
                <w:color w:val="auto"/>
              </w:rPr>
            </w:pPr>
            <w:r>
              <w:rPr>
                <w:rFonts w:ascii="Arial" w:cs="Arial" w:eastAsia="Arial" w:hAnsi="Arial"/>
                <w:sz w:val="17"/>
                <w:szCs w:val="17"/>
                <w:color w:val="auto"/>
              </w:rPr>
              <w:t>12,977</w:t>
            </w:r>
          </w:p>
        </w:tc>
      </w:tr>
      <w:tr>
        <w:trPr>
          <w:trHeight w:val="225"/>
        </w:trPr>
        <w:tc>
          <w:tcPr>
            <w:tcW w:w="4780" w:type="dxa"/>
            <w:vAlign w:val="bottom"/>
            <w:gridSpan w:val="2"/>
          </w:tcPr>
          <w:p>
            <w:pPr>
              <w:spacing w:after="0"/>
              <w:rPr>
                <w:sz w:val="20"/>
                <w:szCs w:val="20"/>
                <w:color w:val="auto"/>
              </w:rPr>
            </w:pPr>
            <w:r>
              <w:rPr>
                <w:rFonts w:ascii="Arial" w:cs="Arial" w:eastAsia="Arial" w:hAnsi="Arial"/>
                <w:sz w:val="17"/>
                <w:szCs w:val="17"/>
                <w:color w:val="auto"/>
              </w:rPr>
              <w:t>R. E. Sanchez</w:t>
            </w:r>
          </w:p>
        </w:tc>
        <w:tc>
          <w:tcPr>
            <w:tcW w:w="4360" w:type="dxa"/>
            <w:vAlign w:val="bottom"/>
          </w:tcPr>
          <w:p>
            <w:pPr>
              <w:jc w:val="right"/>
              <w:ind w:right="41"/>
              <w:spacing w:after="0"/>
              <w:rPr>
                <w:sz w:val="20"/>
                <w:szCs w:val="20"/>
                <w:color w:val="auto"/>
              </w:rPr>
            </w:pPr>
            <w:r>
              <w:rPr>
                <w:rFonts w:ascii="Arial" w:cs="Arial" w:eastAsia="Arial" w:hAnsi="Arial"/>
                <w:sz w:val="17"/>
                <w:szCs w:val="17"/>
                <w:color w:val="auto"/>
              </w:rPr>
              <w:t>5,090</w:t>
            </w:r>
          </w:p>
        </w:tc>
      </w:tr>
      <w:tr>
        <w:trPr>
          <w:trHeight w:val="240"/>
        </w:trPr>
        <w:tc>
          <w:tcPr>
            <w:tcW w:w="20" w:type="dxa"/>
            <w:vAlign w:val="bottom"/>
          </w:tcPr>
          <w:p>
            <w:pPr>
              <w:spacing w:after="0"/>
              <w:rPr>
                <w:sz w:val="20"/>
                <w:szCs w:val="20"/>
                <w:color w:val="auto"/>
              </w:rPr>
            </w:pPr>
          </w:p>
        </w:tc>
        <w:tc>
          <w:tcPr>
            <w:tcW w:w="4760" w:type="dxa"/>
            <w:vAlign w:val="bottom"/>
            <w:shd w:val="clear" w:color="auto" w:fill="E9E9E9"/>
          </w:tcPr>
          <w:p>
            <w:pPr>
              <w:spacing w:after="0"/>
              <w:rPr>
                <w:sz w:val="20"/>
                <w:szCs w:val="20"/>
                <w:color w:val="auto"/>
              </w:rPr>
            </w:pPr>
            <w:r>
              <w:rPr>
                <w:rFonts w:ascii="Arial" w:cs="Arial" w:eastAsia="Arial" w:hAnsi="Arial"/>
                <w:sz w:val="17"/>
                <w:szCs w:val="17"/>
                <w:color w:val="auto"/>
              </w:rPr>
              <w:t>W. R. Sanders</w:t>
            </w:r>
          </w:p>
        </w:tc>
        <w:tc>
          <w:tcPr>
            <w:tcW w:w="4360" w:type="dxa"/>
            <w:vAlign w:val="bottom"/>
            <w:shd w:val="clear" w:color="auto" w:fill="E9E9E9"/>
          </w:tcPr>
          <w:p>
            <w:pPr>
              <w:jc w:val="right"/>
              <w:ind w:right="41"/>
              <w:spacing w:after="0"/>
              <w:rPr>
                <w:sz w:val="20"/>
                <w:szCs w:val="20"/>
                <w:color w:val="auto"/>
              </w:rPr>
            </w:pPr>
            <w:r>
              <w:rPr>
                <w:rFonts w:ascii="Arial" w:cs="Arial" w:eastAsia="Arial" w:hAnsi="Arial"/>
                <w:sz w:val="17"/>
                <w:szCs w:val="17"/>
                <w:color w:val="auto"/>
              </w:rPr>
              <w:t>20,577</w:t>
            </w:r>
          </w:p>
        </w:tc>
      </w:tr>
      <w:tr>
        <w:trPr>
          <w:trHeight w:val="225"/>
        </w:trPr>
        <w:tc>
          <w:tcPr>
            <w:tcW w:w="4780" w:type="dxa"/>
            <w:vAlign w:val="bottom"/>
            <w:gridSpan w:val="2"/>
          </w:tcPr>
          <w:p>
            <w:pPr>
              <w:spacing w:after="0"/>
              <w:rPr>
                <w:sz w:val="20"/>
                <w:szCs w:val="20"/>
                <w:color w:val="auto"/>
              </w:rPr>
            </w:pPr>
            <w:r>
              <w:rPr>
                <w:rFonts w:ascii="Arial" w:cs="Arial" w:eastAsia="Arial" w:hAnsi="Arial"/>
                <w:sz w:val="17"/>
                <w:szCs w:val="17"/>
                <w:color w:val="auto"/>
              </w:rPr>
              <w:t>R. J. Simmons</w:t>
            </w:r>
          </w:p>
        </w:tc>
        <w:tc>
          <w:tcPr>
            <w:tcW w:w="4360" w:type="dxa"/>
            <w:vAlign w:val="bottom"/>
          </w:tcPr>
          <w:p>
            <w:pPr>
              <w:jc w:val="right"/>
              <w:ind w:right="41"/>
              <w:spacing w:after="0"/>
              <w:rPr>
                <w:sz w:val="20"/>
                <w:szCs w:val="20"/>
                <w:color w:val="auto"/>
              </w:rPr>
            </w:pPr>
            <w:r>
              <w:rPr>
                <w:rFonts w:ascii="Arial" w:cs="Arial" w:eastAsia="Arial" w:hAnsi="Arial"/>
                <w:sz w:val="17"/>
                <w:szCs w:val="17"/>
                <w:color w:val="auto"/>
              </w:rPr>
              <w:t>23,977</w:t>
            </w:r>
          </w:p>
        </w:tc>
      </w:tr>
      <w:tr>
        <w:trPr>
          <w:trHeight w:val="240"/>
        </w:trPr>
        <w:tc>
          <w:tcPr>
            <w:tcW w:w="20" w:type="dxa"/>
            <w:vAlign w:val="bottom"/>
          </w:tcPr>
          <w:p>
            <w:pPr>
              <w:spacing w:after="0"/>
              <w:rPr>
                <w:sz w:val="20"/>
                <w:szCs w:val="20"/>
                <w:color w:val="auto"/>
              </w:rPr>
            </w:pPr>
          </w:p>
        </w:tc>
        <w:tc>
          <w:tcPr>
            <w:tcW w:w="4760" w:type="dxa"/>
            <w:vAlign w:val="bottom"/>
            <w:shd w:val="clear" w:color="auto" w:fill="E9E9E9"/>
          </w:tcPr>
          <w:p>
            <w:pPr>
              <w:spacing w:after="0"/>
              <w:rPr>
                <w:sz w:val="20"/>
                <w:szCs w:val="20"/>
                <w:color w:val="auto"/>
              </w:rPr>
            </w:pPr>
            <w:r>
              <w:rPr>
                <w:rFonts w:ascii="Arial" w:cs="Arial" w:eastAsia="Arial" w:hAnsi="Arial"/>
                <w:sz w:val="17"/>
                <w:szCs w:val="17"/>
                <w:color w:val="auto"/>
              </w:rPr>
              <w:t>C. T. Whitman</w:t>
            </w:r>
          </w:p>
        </w:tc>
        <w:tc>
          <w:tcPr>
            <w:tcW w:w="4360" w:type="dxa"/>
            <w:vAlign w:val="bottom"/>
            <w:shd w:val="clear" w:color="auto" w:fill="E9E9E9"/>
          </w:tcPr>
          <w:p>
            <w:pPr>
              <w:jc w:val="right"/>
              <w:ind w:right="41"/>
              <w:spacing w:after="0"/>
              <w:rPr>
                <w:sz w:val="20"/>
                <w:szCs w:val="20"/>
                <w:color w:val="auto"/>
              </w:rPr>
            </w:pPr>
            <w:r>
              <w:rPr>
                <w:rFonts w:ascii="Arial" w:cs="Arial" w:eastAsia="Arial" w:hAnsi="Arial"/>
                <w:sz w:val="17"/>
                <w:szCs w:val="17"/>
                <w:color w:val="auto"/>
              </w:rPr>
              <w:t>17,977</w:t>
            </w:r>
          </w:p>
        </w:tc>
      </w:tr>
    </w:tbl>
    <w:p>
      <w:pPr>
        <w:spacing w:after="0" w:line="236" w:lineRule="exact"/>
        <w:rPr>
          <w:sz w:val="20"/>
          <w:szCs w:val="20"/>
          <w:color w:val="auto"/>
        </w:rPr>
      </w:pPr>
    </w:p>
    <w:p>
      <w:pPr>
        <w:ind w:left="460" w:right="80"/>
        <w:spacing w:after="0"/>
        <w:rPr>
          <w:sz w:val="20"/>
          <w:szCs w:val="20"/>
          <w:color w:val="auto"/>
        </w:rPr>
      </w:pPr>
      <w:r>
        <w:rPr>
          <w:rFonts w:ascii="Arial" w:cs="Arial" w:eastAsia="Arial" w:hAnsi="Arial"/>
          <w:sz w:val="17"/>
          <w:szCs w:val="17"/>
          <w:color w:val="auto"/>
        </w:rPr>
        <w:t>Each restricted stock unit represents the right to receive one share of TI common stock. For restricted stock units granted prior to 2007, shares are issued at the time of mandatory retirement from the board (age 70) or upon the earlier of termination of service from the board after completing eight years of service or death or disability. For information regarding share issuances under restricted stock units granted after 2006, please see the discussion on page 65.</w:t>
      </w:r>
    </w:p>
    <w:p>
      <w:pPr>
        <w:spacing w:after="0" w:line="226" w:lineRule="exact"/>
        <w:rPr>
          <w:sz w:val="20"/>
          <w:szCs w:val="20"/>
          <w:color w:val="auto"/>
        </w:rPr>
      </w:pPr>
    </w:p>
    <w:p>
      <w:pPr>
        <w:ind w:left="460" w:right="40" w:hanging="457"/>
        <w:spacing w:after="0" w:line="241"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Shown is the aggregate grant date fair value of awards granted in 2012 calculated in accordance with ASC 718. The discussion of the assumptions used for purposes of calculating the grant date fair value appears in note 5 of Exhibit 13 to TI’s annual report on Form 10-K for the year ended December 31, 2012.</w:t>
      </w:r>
    </w:p>
    <w:p>
      <w:pPr>
        <w:spacing w:after="0" w:line="225" w:lineRule="exact"/>
        <w:rPr>
          <w:rFonts w:ascii="Arial" w:cs="Arial" w:eastAsia="Arial" w:hAnsi="Arial"/>
          <w:sz w:val="17"/>
          <w:szCs w:val="17"/>
          <w:color w:val="auto"/>
        </w:rPr>
      </w:pPr>
    </w:p>
    <w:p>
      <w:pPr>
        <w:ind w:left="460" w:right="280"/>
        <w:spacing w:after="0" w:line="245" w:lineRule="auto"/>
        <w:rPr>
          <w:rFonts w:ascii="Arial" w:cs="Arial" w:eastAsia="Arial" w:hAnsi="Arial"/>
          <w:sz w:val="17"/>
          <w:szCs w:val="17"/>
          <w:color w:val="auto"/>
        </w:rPr>
      </w:pPr>
      <w:r>
        <w:rPr>
          <w:rFonts w:ascii="Arial" w:cs="Arial" w:eastAsia="Arial" w:hAnsi="Arial"/>
          <w:sz w:val="17"/>
          <w:szCs w:val="17"/>
          <w:color w:val="auto"/>
        </w:rPr>
        <w:t>The table below shows the aggregate number of shares underlying outstanding stock options held by the named individuals as of December 31, 2012.</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360" w:type="dxa"/>
            <w:vAlign w:val="bottom"/>
          </w:tcPr>
          <w:p>
            <w:pPr>
              <w:jc w:val="right"/>
              <w:ind w:right="60"/>
              <w:spacing w:after="0"/>
              <w:rPr>
                <w:sz w:val="20"/>
                <w:szCs w:val="20"/>
                <w:color w:val="auto"/>
              </w:rPr>
            </w:pPr>
            <w:r>
              <w:rPr>
                <w:rFonts w:ascii="Arial" w:cs="Arial" w:eastAsia="Arial" w:hAnsi="Arial"/>
                <w:sz w:val="13"/>
                <w:szCs w:val="13"/>
                <w:b w:val="1"/>
                <w:bCs w:val="1"/>
                <w:color w:val="auto"/>
              </w:rPr>
              <w:t>Options</w:t>
            </w:r>
          </w:p>
        </w:tc>
      </w:tr>
      <w:tr>
        <w:trPr>
          <w:trHeight w:val="233"/>
        </w:trPr>
        <w:tc>
          <w:tcPr>
            <w:tcW w:w="478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4360" w:type="dxa"/>
            <w:vAlign w:val="bottom"/>
          </w:tcPr>
          <w:p>
            <w:pPr>
              <w:jc w:val="right"/>
              <w:spacing w:after="0"/>
              <w:rPr>
                <w:sz w:val="20"/>
                <w:szCs w:val="20"/>
                <w:color w:val="auto"/>
              </w:rPr>
            </w:pPr>
            <w:r>
              <w:rPr>
                <w:rFonts w:ascii="Arial" w:cs="Arial" w:eastAsia="Arial" w:hAnsi="Arial"/>
                <w:sz w:val="13"/>
                <w:szCs w:val="13"/>
                <w:b w:val="1"/>
                <w:bCs w:val="1"/>
                <w:color w:val="auto"/>
              </w:rPr>
              <w:t>(in Shares)</w:t>
            </w:r>
          </w:p>
        </w:tc>
      </w:tr>
      <w:tr>
        <w:trPr>
          <w:trHeight w:val="45"/>
        </w:trPr>
        <w:tc>
          <w:tcPr>
            <w:tcW w:w="4780" w:type="dxa"/>
            <w:vAlign w:val="bottom"/>
            <w:gridSpan w:val="2"/>
          </w:tcPr>
          <w:p>
            <w:pPr>
              <w:spacing w:after="0"/>
              <w:rPr>
                <w:sz w:val="3"/>
                <w:szCs w:val="3"/>
                <w:color w:val="auto"/>
              </w:rPr>
            </w:pPr>
          </w:p>
        </w:tc>
        <w:tc>
          <w:tcPr>
            <w:tcW w:w="436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4760" w:type="dxa"/>
            <w:vAlign w:val="bottom"/>
            <w:tcBorders>
              <w:top w:val="single" w:sz="8" w:color="808285"/>
            </w:tcBorders>
            <w:shd w:val="clear" w:color="auto" w:fill="E9E9E9"/>
          </w:tcPr>
          <w:p>
            <w:pPr>
              <w:spacing w:after="0"/>
              <w:rPr>
                <w:sz w:val="20"/>
                <w:szCs w:val="20"/>
                <w:color w:val="auto"/>
              </w:rPr>
            </w:pPr>
            <w:r>
              <w:rPr>
                <w:rFonts w:ascii="Arial" w:cs="Arial" w:eastAsia="Arial" w:hAnsi="Arial"/>
                <w:sz w:val="17"/>
                <w:szCs w:val="17"/>
                <w:color w:val="auto"/>
              </w:rPr>
              <w:t>R. W. Babb, Jr.</w:t>
            </w:r>
          </w:p>
        </w:tc>
        <w:tc>
          <w:tcPr>
            <w:tcW w:w="4360" w:type="dxa"/>
            <w:vAlign w:val="bottom"/>
            <w:tcBorders>
              <w:top w:val="single" w:sz="8" w:color="808285"/>
            </w:tcBorders>
            <w:shd w:val="clear" w:color="auto" w:fill="E9E9E9"/>
          </w:tcPr>
          <w:p>
            <w:pPr>
              <w:jc w:val="right"/>
              <w:ind w:right="40"/>
              <w:spacing w:after="0"/>
              <w:rPr>
                <w:sz w:val="20"/>
                <w:szCs w:val="20"/>
                <w:color w:val="auto"/>
              </w:rPr>
            </w:pPr>
            <w:r>
              <w:rPr>
                <w:rFonts w:ascii="Arial" w:cs="Arial" w:eastAsia="Arial" w:hAnsi="Arial"/>
                <w:sz w:val="17"/>
                <w:szCs w:val="17"/>
                <w:color w:val="auto"/>
              </w:rPr>
              <w:t>22,158</w:t>
            </w:r>
          </w:p>
        </w:tc>
      </w:tr>
      <w:tr>
        <w:trPr>
          <w:trHeight w:val="225"/>
        </w:trPr>
        <w:tc>
          <w:tcPr>
            <w:tcW w:w="4780" w:type="dxa"/>
            <w:vAlign w:val="bottom"/>
            <w:gridSpan w:val="2"/>
          </w:tcPr>
          <w:p>
            <w:pPr>
              <w:spacing w:after="0"/>
              <w:rPr>
                <w:sz w:val="20"/>
                <w:szCs w:val="20"/>
                <w:color w:val="auto"/>
              </w:rPr>
            </w:pPr>
            <w:r>
              <w:rPr>
                <w:rFonts w:ascii="Arial" w:cs="Arial" w:eastAsia="Arial" w:hAnsi="Arial"/>
                <w:sz w:val="17"/>
                <w:szCs w:val="17"/>
                <w:color w:val="auto"/>
              </w:rPr>
              <w:t>D. A. Carp</w:t>
            </w:r>
          </w:p>
        </w:tc>
        <w:tc>
          <w:tcPr>
            <w:tcW w:w="4360" w:type="dxa"/>
            <w:vAlign w:val="bottom"/>
          </w:tcPr>
          <w:p>
            <w:pPr>
              <w:jc w:val="right"/>
              <w:ind w:right="40"/>
              <w:spacing w:after="0"/>
              <w:rPr>
                <w:sz w:val="20"/>
                <w:szCs w:val="20"/>
                <w:color w:val="auto"/>
              </w:rPr>
            </w:pPr>
            <w:r>
              <w:rPr>
                <w:rFonts w:ascii="Arial" w:cs="Arial" w:eastAsia="Arial" w:hAnsi="Arial"/>
                <w:sz w:val="17"/>
                <w:szCs w:val="17"/>
                <w:color w:val="auto"/>
              </w:rPr>
              <w:t>95,158</w:t>
            </w:r>
          </w:p>
        </w:tc>
      </w:tr>
      <w:tr>
        <w:trPr>
          <w:trHeight w:val="240"/>
        </w:trPr>
        <w:tc>
          <w:tcPr>
            <w:tcW w:w="20" w:type="dxa"/>
            <w:vAlign w:val="bottom"/>
          </w:tcPr>
          <w:p>
            <w:pPr>
              <w:spacing w:after="0"/>
              <w:rPr>
                <w:sz w:val="20"/>
                <w:szCs w:val="20"/>
                <w:color w:val="auto"/>
              </w:rPr>
            </w:pPr>
          </w:p>
        </w:tc>
        <w:tc>
          <w:tcPr>
            <w:tcW w:w="4760" w:type="dxa"/>
            <w:vAlign w:val="bottom"/>
            <w:shd w:val="clear" w:color="auto" w:fill="E9E9E9"/>
          </w:tcPr>
          <w:p>
            <w:pPr>
              <w:spacing w:after="0"/>
              <w:rPr>
                <w:sz w:val="20"/>
                <w:szCs w:val="20"/>
                <w:color w:val="auto"/>
              </w:rPr>
            </w:pPr>
            <w:r>
              <w:rPr>
                <w:rFonts w:ascii="Arial" w:cs="Arial" w:eastAsia="Arial" w:hAnsi="Arial"/>
                <w:sz w:val="17"/>
                <w:szCs w:val="17"/>
                <w:color w:val="auto"/>
              </w:rPr>
              <w:t>C. S. Cox</w:t>
            </w:r>
          </w:p>
        </w:tc>
        <w:tc>
          <w:tcPr>
            <w:tcW w:w="4360" w:type="dxa"/>
            <w:vAlign w:val="bottom"/>
            <w:shd w:val="clear" w:color="auto" w:fill="E9E9E9"/>
          </w:tcPr>
          <w:p>
            <w:pPr>
              <w:jc w:val="right"/>
              <w:ind w:right="40"/>
              <w:spacing w:after="0"/>
              <w:rPr>
                <w:sz w:val="20"/>
                <w:szCs w:val="20"/>
                <w:color w:val="auto"/>
              </w:rPr>
            </w:pPr>
            <w:r>
              <w:rPr>
                <w:rFonts w:ascii="Arial" w:cs="Arial" w:eastAsia="Arial" w:hAnsi="Arial"/>
                <w:sz w:val="17"/>
                <w:szCs w:val="17"/>
                <w:color w:val="auto"/>
              </w:rPr>
              <w:t>80,158</w:t>
            </w:r>
          </w:p>
        </w:tc>
      </w:tr>
      <w:tr>
        <w:trPr>
          <w:trHeight w:val="225"/>
        </w:trPr>
        <w:tc>
          <w:tcPr>
            <w:tcW w:w="4780" w:type="dxa"/>
            <w:vAlign w:val="bottom"/>
            <w:gridSpan w:val="2"/>
          </w:tcPr>
          <w:p>
            <w:pPr>
              <w:spacing w:after="0"/>
              <w:rPr>
                <w:sz w:val="20"/>
                <w:szCs w:val="20"/>
                <w:color w:val="auto"/>
              </w:rPr>
            </w:pPr>
            <w:r>
              <w:rPr>
                <w:rFonts w:ascii="Arial" w:cs="Arial" w:eastAsia="Arial" w:hAnsi="Arial"/>
                <w:sz w:val="17"/>
                <w:szCs w:val="17"/>
                <w:color w:val="auto"/>
              </w:rPr>
              <w:t>S. P. MacMillan</w:t>
            </w:r>
          </w:p>
        </w:tc>
        <w:tc>
          <w:tcPr>
            <w:tcW w:w="4360" w:type="dxa"/>
            <w:vAlign w:val="bottom"/>
          </w:tcPr>
          <w:p>
            <w:pPr>
              <w:jc w:val="right"/>
              <w:ind w:right="40"/>
              <w:spacing w:after="0"/>
              <w:rPr>
                <w:sz w:val="20"/>
                <w:szCs w:val="20"/>
                <w:color w:val="auto"/>
              </w:rPr>
            </w:pPr>
            <w:r>
              <w:rPr>
                <w:rFonts w:ascii="Arial" w:cs="Arial" w:eastAsia="Arial" w:hAnsi="Arial"/>
                <w:sz w:val="17"/>
                <w:szCs w:val="17"/>
                <w:color w:val="auto"/>
              </w:rPr>
              <w:t>—</w:t>
            </w:r>
          </w:p>
        </w:tc>
      </w:tr>
      <w:tr>
        <w:trPr>
          <w:trHeight w:val="240"/>
        </w:trPr>
        <w:tc>
          <w:tcPr>
            <w:tcW w:w="20" w:type="dxa"/>
            <w:vAlign w:val="bottom"/>
          </w:tcPr>
          <w:p>
            <w:pPr>
              <w:spacing w:after="0"/>
              <w:rPr>
                <w:sz w:val="20"/>
                <w:szCs w:val="20"/>
                <w:color w:val="auto"/>
              </w:rPr>
            </w:pPr>
          </w:p>
        </w:tc>
        <w:tc>
          <w:tcPr>
            <w:tcW w:w="4760" w:type="dxa"/>
            <w:vAlign w:val="bottom"/>
            <w:shd w:val="clear" w:color="auto" w:fill="E9E9E9"/>
          </w:tcPr>
          <w:p>
            <w:pPr>
              <w:spacing w:after="0"/>
              <w:rPr>
                <w:sz w:val="20"/>
                <w:szCs w:val="20"/>
                <w:color w:val="auto"/>
              </w:rPr>
            </w:pPr>
            <w:r>
              <w:rPr>
                <w:rFonts w:ascii="Arial" w:cs="Arial" w:eastAsia="Arial" w:hAnsi="Arial"/>
                <w:sz w:val="17"/>
                <w:szCs w:val="17"/>
                <w:color w:val="auto"/>
              </w:rPr>
              <w:t>P. H. Patsley</w:t>
            </w:r>
          </w:p>
        </w:tc>
        <w:tc>
          <w:tcPr>
            <w:tcW w:w="4360" w:type="dxa"/>
            <w:vAlign w:val="bottom"/>
            <w:shd w:val="clear" w:color="auto" w:fill="E9E9E9"/>
          </w:tcPr>
          <w:p>
            <w:pPr>
              <w:jc w:val="right"/>
              <w:ind w:right="40"/>
              <w:spacing w:after="0"/>
              <w:rPr>
                <w:sz w:val="20"/>
                <w:szCs w:val="20"/>
                <w:color w:val="auto"/>
              </w:rPr>
            </w:pPr>
            <w:r>
              <w:rPr>
                <w:rFonts w:ascii="Arial" w:cs="Arial" w:eastAsia="Arial" w:hAnsi="Arial"/>
                <w:sz w:val="17"/>
                <w:szCs w:val="17"/>
                <w:color w:val="auto"/>
              </w:rPr>
              <w:t>80,158</w:t>
            </w:r>
          </w:p>
        </w:tc>
      </w:tr>
      <w:tr>
        <w:trPr>
          <w:trHeight w:val="225"/>
        </w:trPr>
        <w:tc>
          <w:tcPr>
            <w:tcW w:w="4780" w:type="dxa"/>
            <w:vAlign w:val="bottom"/>
            <w:gridSpan w:val="2"/>
          </w:tcPr>
          <w:p>
            <w:pPr>
              <w:spacing w:after="0"/>
              <w:rPr>
                <w:sz w:val="20"/>
                <w:szCs w:val="20"/>
                <w:color w:val="auto"/>
              </w:rPr>
            </w:pPr>
            <w:r>
              <w:rPr>
                <w:rFonts w:ascii="Arial" w:cs="Arial" w:eastAsia="Arial" w:hAnsi="Arial"/>
                <w:sz w:val="17"/>
                <w:szCs w:val="17"/>
                <w:color w:val="auto"/>
              </w:rPr>
              <w:t>R. E. Sanchez</w:t>
            </w:r>
          </w:p>
        </w:tc>
        <w:tc>
          <w:tcPr>
            <w:tcW w:w="4360" w:type="dxa"/>
            <w:vAlign w:val="bottom"/>
          </w:tcPr>
          <w:p>
            <w:pPr>
              <w:jc w:val="right"/>
              <w:ind w:right="40"/>
              <w:spacing w:after="0"/>
              <w:rPr>
                <w:sz w:val="20"/>
                <w:szCs w:val="20"/>
                <w:color w:val="auto"/>
              </w:rPr>
            </w:pPr>
            <w:r>
              <w:rPr>
                <w:rFonts w:ascii="Arial" w:cs="Arial" w:eastAsia="Arial" w:hAnsi="Arial"/>
                <w:sz w:val="17"/>
                <w:szCs w:val="17"/>
                <w:color w:val="auto"/>
              </w:rPr>
              <w:t>12,156</w:t>
            </w:r>
          </w:p>
        </w:tc>
      </w:tr>
      <w:tr>
        <w:trPr>
          <w:trHeight w:val="240"/>
        </w:trPr>
        <w:tc>
          <w:tcPr>
            <w:tcW w:w="20" w:type="dxa"/>
            <w:vAlign w:val="bottom"/>
          </w:tcPr>
          <w:p>
            <w:pPr>
              <w:spacing w:after="0"/>
              <w:rPr>
                <w:sz w:val="20"/>
                <w:szCs w:val="20"/>
                <w:color w:val="auto"/>
              </w:rPr>
            </w:pPr>
          </w:p>
        </w:tc>
        <w:tc>
          <w:tcPr>
            <w:tcW w:w="4760" w:type="dxa"/>
            <w:vAlign w:val="bottom"/>
            <w:shd w:val="clear" w:color="auto" w:fill="E9E9E9"/>
          </w:tcPr>
          <w:p>
            <w:pPr>
              <w:spacing w:after="0"/>
              <w:rPr>
                <w:sz w:val="20"/>
                <w:szCs w:val="20"/>
                <w:color w:val="auto"/>
              </w:rPr>
            </w:pPr>
            <w:r>
              <w:rPr>
                <w:rFonts w:ascii="Arial" w:cs="Arial" w:eastAsia="Arial" w:hAnsi="Arial"/>
                <w:sz w:val="17"/>
                <w:szCs w:val="17"/>
                <w:color w:val="auto"/>
              </w:rPr>
              <w:t>W. R. Sanders</w:t>
            </w:r>
          </w:p>
        </w:tc>
        <w:tc>
          <w:tcPr>
            <w:tcW w:w="4360" w:type="dxa"/>
            <w:vAlign w:val="bottom"/>
            <w:shd w:val="clear" w:color="auto" w:fill="E9E9E9"/>
          </w:tcPr>
          <w:p>
            <w:pPr>
              <w:jc w:val="right"/>
              <w:ind w:right="40"/>
              <w:spacing w:after="0"/>
              <w:rPr>
                <w:sz w:val="20"/>
                <w:szCs w:val="20"/>
                <w:color w:val="auto"/>
              </w:rPr>
            </w:pPr>
            <w:r>
              <w:rPr>
                <w:rFonts w:ascii="Arial" w:cs="Arial" w:eastAsia="Arial" w:hAnsi="Arial"/>
                <w:sz w:val="17"/>
                <w:szCs w:val="17"/>
                <w:color w:val="auto"/>
              </w:rPr>
              <w:t>74,908</w:t>
            </w:r>
          </w:p>
        </w:tc>
      </w:tr>
      <w:tr>
        <w:trPr>
          <w:trHeight w:val="225"/>
        </w:trPr>
        <w:tc>
          <w:tcPr>
            <w:tcW w:w="4780" w:type="dxa"/>
            <w:vAlign w:val="bottom"/>
            <w:gridSpan w:val="2"/>
          </w:tcPr>
          <w:p>
            <w:pPr>
              <w:spacing w:after="0"/>
              <w:rPr>
                <w:sz w:val="20"/>
                <w:szCs w:val="20"/>
                <w:color w:val="auto"/>
              </w:rPr>
            </w:pPr>
            <w:r>
              <w:rPr>
                <w:rFonts w:ascii="Arial" w:cs="Arial" w:eastAsia="Arial" w:hAnsi="Arial"/>
                <w:sz w:val="17"/>
                <w:szCs w:val="17"/>
                <w:color w:val="auto"/>
              </w:rPr>
              <w:t>R. J. Simmons</w:t>
            </w:r>
          </w:p>
        </w:tc>
        <w:tc>
          <w:tcPr>
            <w:tcW w:w="4360" w:type="dxa"/>
            <w:vAlign w:val="bottom"/>
          </w:tcPr>
          <w:p>
            <w:pPr>
              <w:jc w:val="right"/>
              <w:ind w:right="40"/>
              <w:spacing w:after="0"/>
              <w:rPr>
                <w:sz w:val="20"/>
                <w:szCs w:val="20"/>
                <w:color w:val="auto"/>
              </w:rPr>
            </w:pPr>
            <w:r>
              <w:rPr>
                <w:rFonts w:ascii="Arial" w:cs="Arial" w:eastAsia="Arial" w:hAnsi="Arial"/>
                <w:sz w:val="17"/>
                <w:szCs w:val="17"/>
                <w:color w:val="auto"/>
              </w:rPr>
              <w:t>95,158</w:t>
            </w:r>
          </w:p>
        </w:tc>
      </w:tr>
      <w:tr>
        <w:trPr>
          <w:trHeight w:val="240"/>
        </w:trPr>
        <w:tc>
          <w:tcPr>
            <w:tcW w:w="20" w:type="dxa"/>
            <w:vAlign w:val="bottom"/>
          </w:tcPr>
          <w:p>
            <w:pPr>
              <w:spacing w:after="0"/>
              <w:rPr>
                <w:sz w:val="20"/>
                <w:szCs w:val="20"/>
                <w:color w:val="auto"/>
              </w:rPr>
            </w:pPr>
          </w:p>
        </w:tc>
        <w:tc>
          <w:tcPr>
            <w:tcW w:w="4760" w:type="dxa"/>
            <w:vAlign w:val="bottom"/>
            <w:shd w:val="clear" w:color="auto" w:fill="E9E9E9"/>
          </w:tcPr>
          <w:p>
            <w:pPr>
              <w:spacing w:after="0"/>
              <w:rPr>
                <w:sz w:val="20"/>
                <w:szCs w:val="20"/>
                <w:color w:val="auto"/>
              </w:rPr>
            </w:pPr>
            <w:r>
              <w:rPr>
                <w:rFonts w:ascii="Arial" w:cs="Arial" w:eastAsia="Arial" w:hAnsi="Arial"/>
                <w:sz w:val="17"/>
                <w:szCs w:val="17"/>
                <w:color w:val="auto"/>
              </w:rPr>
              <w:t>C. T. Whitman</w:t>
            </w:r>
          </w:p>
        </w:tc>
        <w:tc>
          <w:tcPr>
            <w:tcW w:w="4360" w:type="dxa"/>
            <w:vAlign w:val="bottom"/>
            <w:shd w:val="clear" w:color="auto" w:fill="E9E9E9"/>
          </w:tcPr>
          <w:p>
            <w:pPr>
              <w:jc w:val="right"/>
              <w:ind w:right="40"/>
              <w:spacing w:after="0"/>
              <w:rPr>
                <w:sz w:val="20"/>
                <w:szCs w:val="20"/>
                <w:color w:val="auto"/>
              </w:rPr>
            </w:pPr>
            <w:r>
              <w:rPr>
                <w:rFonts w:ascii="Arial" w:cs="Arial" w:eastAsia="Arial" w:hAnsi="Arial"/>
                <w:sz w:val="17"/>
                <w:szCs w:val="17"/>
                <w:color w:val="auto"/>
              </w:rPr>
              <w:t>95,158</w:t>
            </w:r>
          </w:p>
        </w:tc>
      </w:tr>
    </w:tbl>
    <w:p>
      <w:pPr>
        <w:spacing w:after="0" w:line="236" w:lineRule="exact"/>
        <w:rPr>
          <w:sz w:val="20"/>
          <w:szCs w:val="20"/>
          <w:color w:val="auto"/>
        </w:rPr>
      </w:pPr>
    </w:p>
    <w:p>
      <w:pPr>
        <w:ind w:left="460" w:right="140"/>
        <w:spacing w:after="0" w:line="241" w:lineRule="auto"/>
        <w:rPr>
          <w:sz w:val="20"/>
          <w:szCs w:val="20"/>
          <w:color w:val="auto"/>
        </w:rPr>
      </w:pPr>
      <w:r>
        <w:rPr>
          <w:rFonts w:ascii="Arial" w:cs="Arial" w:eastAsia="Arial" w:hAnsi="Arial"/>
          <w:sz w:val="17"/>
          <w:szCs w:val="17"/>
          <w:color w:val="auto"/>
        </w:rPr>
        <w:t>The terms of these options are as set forth on page 64 except that for options granted before November 2006, the exercise price is the average of the high and low price of TI common stock on the date of grant, and for options granted before 2010, the grant becomes fully exercisable upon a change in control of TI.</w:t>
      </w:r>
    </w:p>
    <w:p>
      <w:pPr>
        <w:spacing w:after="0" w:line="225" w:lineRule="exact"/>
        <w:rPr>
          <w:sz w:val="20"/>
          <w:szCs w:val="20"/>
          <w:color w:val="auto"/>
        </w:rPr>
      </w:pPr>
    </w:p>
    <w:p>
      <w:pPr>
        <w:ind w:left="460" w:right="100" w:hanging="457"/>
        <w:spacing w:after="0" w:line="25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Consists of (a) the annual cost ($20 per director) of premiums for travel and accident insurance policies, (b) contributions under the TI Foundation matching gift program of $10,000 for Mr. Sanchez and $5,000 for Ms. Whitman, (c) for Ms. Whitman, reimbursement of $21,860 for tax expenses resulting from an error (subsequently corrected) in the administration of a restricted stock unit award, and (d) for Messrs. Carp and Sanders, third-party administration fees for the Director Award Program. Each director whose service commenced prior to June 20, 2002, is eligible to participate in the Director Award Program, a charitable donation program under which we will contribute a total of $500,000 per eligible director to as many as three educational institutions recommended by the director and approved by us. The contributions are made following the director’s death.</w:t>
      </w:r>
    </w:p>
    <w:p>
      <w:pPr>
        <w:spacing w:after="0" w:line="3" w:lineRule="exact"/>
        <w:rPr>
          <w:rFonts w:ascii="Arial" w:cs="Arial" w:eastAsia="Arial" w:hAnsi="Arial"/>
          <w:sz w:val="16"/>
          <w:szCs w:val="16"/>
          <w:color w:val="auto"/>
        </w:rPr>
      </w:pPr>
    </w:p>
    <w:p>
      <w:pPr>
        <w:ind w:left="460" w:right="220"/>
        <w:spacing w:after="0" w:line="241" w:lineRule="auto"/>
        <w:rPr>
          <w:rFonts w:ascii="Arial" w:cs="Arial" w:eastAsia="Arial" w:hAnsi="Arial"/>
          <w:sz w:val="16"/>
          <w:szCs w:val="16"/>
          <w:color w:val="auto"/>
        </w:rPr>
      </w:pPr>
      <w:r>
        <w:rPr>
          <w:rFonts w:ascii="Arial" w:cs="Arial" w:eastAsia="Arial" w:hAnsi="Arial"/>
          <w:sz w:val="17"/>
          <w:szCs w:val="17"/>
          <w:color w:val="auto"/>
        </w:rPr>
        <w:t>Directors receive no financial benefit from the program, and all charitable deductions belong to the company. In accordance with SEC rules, we have included the company’s annual costs under the program in All Other Compensation of the directors who participate. The cost attributable to each of Messrs. Carp and Sanders for their participation in this program was $635.</w:t>
      </w:r>
    </w:p>
    <w:p>
      <w:pPr>
        <w:spacing w:after="0" w:line="244" w:lineRule="exact"/>
        <w:rPr>
          <w:sz w:val="20"/>
          <w:szCs w:val="20"/>
          <w:color w:val="auto"/>
        </w:rPr>
      </w:pPr>
    </w:p>
    <w:p>
      <w:pPr>
        <w:spacing w:after="0"/>
        <w:tabs>
          <w:tab w:leader="none" w:pos="10000" w:val="left"/>
        </w:tabs>
        <w:rPr>
          <w:sz w:val="20"/>
          <w:szCs w:val="20"/>
          <w:color w:val="auto"/>
        </w:rPr>
      </w:pPr>
      <w:r>
        <w:rPr>
          <w:rFonts w:ascii="Arial" w:cs="Arial" w:eastAsia="Arial" w:hAnsi="Arial"/>
          <w:sz w:val="13"/>
          <w:szCs w:val="13"/>
          <w:b w:val="1"/>
          <w:bCs w:val="1"/>
          <w:color w:val="808285"/>
        </w:rPr>
        <w:t>66 •  2013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Executive compensation</w:t>
      </w:r>
    </w:p>
    <w:p>
      <w:pPr>
        <w:spacing w:after="0" w:line="225" w:lineRule="exact"/>
        <w:rPr>
          <w:sz w:val="20"/>
          <w:szCs w:val="20"/>
          <w:color w:val="auto"/>
        </w:rPr>
      </w:pPr>
    </w:p>
    <w:p>
      <w:pPr>
        <w:ind w:left="260" w:right="460" w:hanging="257"/>
        <w:spacing w:after="0" w:line="278" w:lineRule="auto"/>
        <w:rPr>
          <w:sz w:val="20"/>
          <w:szCs w:val="20"/>
          <w:color w:val="auto"/>
        </w:rPr>
      </w:pPr>
      <w:r>
        <w:rPr>
          <w:rFonts w:ascii="Arial" w:cs="Arial" w:eastAsia="Arial" w:hAnsi="Arial"/>
          <w:sz w:val="16"/>
          <w:szCs w:val="16"/>
          <w:color w:val="auto"/>
        </w:rPr>
        <w:t>We are providing the following advisory vote on named executive officer compensation as required by Section 14A of the Securities Exchange Act. At TI’s 2011 annual meeting, a non-binding advisory vote was taken on the frequency of future advisory votes regarding named executive officer</w:t>
      </w:r>
    </w:p>
    <w:p>
      <w:pPr>
        <w:ind w:right="300"/>
        <w:spacing w:after="0" w:line="245" w:lineRule="auto"/>
        <w:rPr>
          <w:sz w:val="20"/>
          <w:szCs w:val="20"/>
          <w:color w:val="auto"/>
        </w:rPr>
      </w:pPr>
      <w:r>
        <w:rPr>
          <w:rFonts w:ascii="Arial" w:cs="Arial" w:eastAsia="Arial" w:hAnsi="Arial"/>
          <w:sz w:val="17"/>
          <w:szCs w:val="17"/>
          <w:color w:val="auto"/>
        </w:rPr>
        <w:t>compensation. A majority of the shares cast on the matter were in favor of holding such an advisory vote on an annual basis. As a result, TI’s board of directors decided to hold future advisory votes on named executive compensation on an annual basis.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 regarding advisory approval of the company’s executive compensation</w:t>
      </w:r>
    </w:p>
    <w:p>
      <w:pPr>
        <w:spacing w:after="0" w:line="225" w:lineRule="exact"/>
        <w:rPr>
          <w:sz w:val="20"/>
          <w:szCs w:val="20"/>
          <w:color w:val="auto"/>
        </w:rPr>
      </w:pPr>
    </w:p>
    <w:p>
      <w:pPr>
        <w:jc w:val="both"/>
        <w:ind w:right="160"/>
        <w:spacing w:after="0" w:line="241" w:lineRule="auto"/>
        <w:rPr>
          <w:sz w:val="20"/>
          <w:szCs w:val="20"/>
          <w:color w:val="auto"/>
        </w:rPr>
      </w:pPr>
      <w:r>
        <w:rPr>
          <w:rFonts w:ascii="Arial" w:cs="Arial" w:eastAsia="Arial" w:hAnsi="Arial"/>
          <w:sz w:val="17"/>
          <w:szCs w:val="17"/>
          <w:color w:val="auto"/>
        </w:rPr>
        <w:t>The board asks the shareholders to cast an advisory vote on the compensation of our named executive officers. The “named executive officers” are the five executive officers, consisting of the chief executive officer, chief financial officer and three other most highly compensated executive officers, named in the compensation tables on pages 80-92.</w:t>
      </w:r>
    </w:p>
    <w:p>
      <w:pPr>
        <w:spacing w:after="0" w:line="1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Specifically, we ask the shareholders to approve the following resolution:</w:t>
      </w:r>
    </w:p>
    <w:p>
      <w:pPr>
        <w:spacing w:after="0" w:line="11" w:lineRule="exact"/>
        <w:rPr>
          <w:sz w:val="20"/>
          <w:szCs w:val="20"/>
          <w:color w:val="auto"/>
        </w:rPr>
      </w:pPr>
    </w:p>
    <w:p>
      <w:pPr>
        <w:ind w:left="520" w:right="480"/>
        <w:spacing w:after="0" w:line="241" w:lineRule="auto"/>
        <w:rPr>
          <w:sz w:val="20"/>
          <w:szCs w:val="20"/>
          <w:color w:val="auto"/>
        </w:rPr>
      </w:pPr>
      <w:r>
        <w:rPr>
          <w:rFonts w:ascii="Arial" w:cs="Arial" w:eastAsia="Arial" w:hAnsi="Arial"/>
          <w:sz w:val="17"/>
          <w:szCs w:val="17"/>
          <w:color w:val="auto"/>
        </w:rPr>
        <w:t>RESOLVED, that the compensation paid to the company’s named executive officers, as disclosed in this proxy statement pursuant to the Securities and Exchange Commission’s compensation disclosure rules, including the Compensation Discussion and Analysis, compensation tables and narrative discussion on pages 68-92 of this proxy statement, is hereby approved.</w:t>
      </w:r>
    </w:p>
    <w:p>
      <w:pPr>
        <w:spacing w:after="0" w:line="18" w:lineRule="exact"/>
        <w:rPr>
          <w:sz w:val="20"/>
          <w:szCs w:val="20"/>
          <w:color w:val="auto"/>
        </w:rPr>
      </w:pPr>
    </w:p>
    <w:p>
      <w:pPr>
        <w:ind w:right="260" w:firstLine="258"/>
        <w:spacing w:after="0" w:line="245" w:lineRule="auto"/>
        <w:rPr>
          <w:sz w:val="20"/>
          <w:szCs w:val="20"/>
          <w:color w:val="auto"/>
        </w:rPr>
      </w:pPr>
      <w:r>
        <w:rPr>
          <w:rFonts w:ascii="Arial" w:cs="Arial" w:eastAsia="Arial" w:hAnsi="Arial"/>
          <w:sz w:val="17"/>
          <w:szCs w:val="17"/>
          <w:color w:val="auto"/>
        </w:rPr>
        <w:t>We encourage shareholders to review the Compensation Discussion and Analysis section of the proxy statement, which follows. It discusses our executive compensation policies and programs and explains the compensation decisions relating to the named executive officers for 2012. We believe that the policies and programs serve the interests of our shareholders and that the compensation received by the named executive officers is commensurate with the performance and strategic position of the company.</w:t>
      </w:r>
    </w:p>
    <w:p>
      <w:pPr>
        <w:spacing w:after="0" w:line="16" w:lineRule="exact"/>
        <w:rPr>
          <w:sz w:val="20"/>
          <w:szCs w:val="20"/>
          <w:color w:val="auto"/>
        </w:rPr>
      </w:pPr>
    </w:p>
    <w:p>
      <w:pPr>
        <w:ind w:right="100" w:firstLine="258"/>
        <w:spacing w:after="0" w:line="261" w:lineRule="auto"/>
        <w:rPr>
          <w:sz w:val="20"/>
          <w:szCs w:val="20"/>
          <w:color w:val="auto"/>
        </w:rPr>
      </w:pPr>
      <w:r>
        <w:rPr>
          <w:rFonts w:ascii="Arial" w:cs="Arial" w:eastAsia="Arial" w:hAnsi="Arial"/>
          <w:sz w:val="17"/>
          <w:szCs w:val="17"/>
          <w:color w:val="auto"/>
        </w:rPr>
        <w:t>Although the outcome of this vote is not binding on the company or the board, the Compensation Committee of the board will consider it when setting future compensation for the executive officers.</w:t>
      </w:r>
    </w:p>
    <w:p>
      <w:pPr>
        <w:spacing w:after="0" w:line="162" w:lineRule="exact"/>
        <w:rPr>
          <w:sz w:val="20"/>
          <w:szCs w:val="20"/>
          <w:color w:val="auto"/>
        </w:rPr>
      </w:pPr>
    </w:p>
    <w:p>
      <w:pPr>
        <w:ind w:right="120" w:firstLine="233"/>
        <w:spacing w:after="0" w:line="270" w:lineRule="auto"/>
        <w:rPr>
          <w:sz w:val="20"/>
          <w:szCs w:val="20"/>
          <w:color w:val="auto"/>
        </w:rPr>
      </w:pPr>
      <w:r>
        <w:rPr>
          <w:rFonts w:ascii="Arial" w:cs="Arial" w:eastAsia="Arial" w:hAnsi="Arial"/>
          <w:sz w:val="17"/>
          <w:szCs w:val="17"/>
          <w:b w:val="1"/>
          <w:bCs w:val="1"/>
          <w:color w:val="auto"/>
        </w:rPr>
        <w:t>The board of directors recommends a vote FOR the resolution approving the named executive officer compensation for 2012, as disclosed in this proxy statement.</w:t>
      </w:r>
    </w:p>
    <w:p>
      <w:pPr>
        <w:spacing w:after="0" w:line="194" w:lineRule="exact"/>
        <w:rPr>
          <w:sz w:val="20"/>
          <w:szCs w:val="20"/>
          <w:color w:val="auto"/>
        </w:rPr>
      </w:pPr>
    </w:p>
    <w:p>
      <w:pPr>
        <w:spacing w:after="0"/>
        <w:tabs>
          <w:tab w:leader="none" w:pos="95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2"/>
          <w:szCs w:val="12"/>
          <w:b w:val="1"/>
          <w:bCs w:val="1"/>
          <w:color w:val="808285"/>
        </w:rPr>
        <w:t>2013 PROXY STATEMENT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This section describes TI’s compensation program for executive officers. It will provide insight into the following:</w:t>
      </w:r>
    </w:p>
    <w:p>
      <w:pPr>
        <w:ind w:left="520" w:right="2460"/>
        <w:spacing w:after="0" w:line="253" w:lineRule="auto"/>
        <w:rPr>
          <w:sz w:val="20"/>
          <w:szCs w:val="20"/>
          <w:color w:val="auto"/>
        </w:rPr>
      </w:pPr>
      <w:r>
        <w:rPr>
          <w:rFonts w:ascii="Arial" w:cs="Arial" w:eastAsia="Arial" w:hAnsi="Arial"/>
          <w:sz w:val="17"/>
          <w:szCs w:val="17"/>
          <w:color w:val="auto"/>
        </w:rPr>
        <w:t>The elements of the 2012 compensation program, why we selected them and how they relate to one another; and How we determined the amount of compensation for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-226695</wp:posOffset>
            </wp:positionV>
            <wp:extent cx="58420" cy="584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194310</wp:posOffset>
            </wp:positionH>
            <wp:positionV relativeFrom="paragraph">
              <wp:posOffset>-95250</wp:posOffset>
            </wp:positionV>
            <wp:extent cx="58420" cy="584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right="60" w:firstLine="258"/>
        <w:spacing w:after="0" w:line="245" w:lineRule="auto"/>
        <w:rPr>
          <w:sz w:val="20"/>
          <w:szCs w:val="20"/>
          <w:color w:val="auto"/>
        </w:rPr>
      </w:pPr>
      <w:r>
        <w:rPr>
          <w:rFonts w:ascii="Arial" w:cs="Arial" w:eastAsia="Arial" w:hAnsi="Arial"/>
          <w:sz w:val="17"/>
          <w:szCs w:val="17"/>
          <w:color w:val="auto"/>
        </w:rPr>
        <w:t>Currently, TI has 15 executive officers. These executives have the broadest job responsibilities and policy-making authority in the company. We hold them accountable for the company’s performance and for maintaining a culture of strong ethics. Details of compensation for our CEO, CFO and the three other highest paid individuals who were executive officers in 2012 (collectively called the “named executive officers”) can be found in the tables beginning on page 80.</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summary</w:t>
      </w:r>
    </w:p>
    <w:p>
      <w:pPr>
        <w:spacing w:after="0" w:line="205" w:lineRule="exact"/>
        <w:rPr>
          <w:sz w:val="20"/>
          <w:szCs w:val="20"/>
          <w:color w:val="auto"/>
        </w:rPr>
      </w:pPr>
    </w:p>
    <w:p>
      <w:pPr>
        <w:ind w:left="520" w:right="100"/>
        <w:spacing w:after="0" w:line="257" w:lineRule="auto"/>
        <w:rPr>
          <w:sz w:val="20"/>
          <w:szCs w:val="20"/>
          <w:color w:val="auto"/>
        </w:rPr>
      </w:pPr>
      <w:r>
        <w:rPr>
          <w:rFonts w:ascii="Arial" w:cs="Arial" w:eastAsia="Arial" w:hAnsi="Arial"/>
          <w:sz w:val="17"/>
          <w:szCs w:val="17"/>
          <w:b w:val="1"/>
          <w:bCs w:val="1"/>
          <w:color w:val="auto"/>
        </w:rPr>
        <w:t>TI’s compensation program is structured to pay for performance and deliver rewards that encourage executives to think and act in both the short- and long-term interests of our shareholders. The majority of total compensation for our executives each year comes in the form of variable cash and equity compensation. Variable cash is tied to the short-term performance of the company, and the value of equity is tied to the long-term performance of the company. We believe our compensation program holds our executive officers accountable for the financial and competitive performance of 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-616585</wp:posOffset>
            </wp:positionV>
            <wp:extent cx="58420" cy="584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line="198" w:lineRule="auto"/>
        <w:rPr>
          <w:sz w:val="20"/>
          <w:szCs w:val="20"/>
          <w:color w:val="auto"/>
        </w:rPr>
      </w:pPr>
      <w:r>
        <w:rPr>
          <w:rFonts w:ascii="Arial" w:cs="Arial" w:eastAsia="Arial" w:hAnsi="Arial"/>
          <w:sz w:val="17"/>
          <w:szCs w:val="17"/>
          <w:b w:val="1"/>
          <w:bCs w:val="1"/>
          <w:color w:val="auto"/>
        </w:rPr>
        <w:t>2012 compensation decisions for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-62865</wp:posOffset>
            </wp:positionV>
            <wp:extent cx="58420" cy="584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220" w:right="240"/>
        <w:spacing w:after="0" w:line="253" w:lineRule="auto"/>
        <w:rPr>
          <w:sz w:val="20"/>
          <w:szCs w:val="20"/>
          <w:color w:val="auto"/>
        </w:rPr>
      </w:pPr>
      <w:r>
        <w:rPr>
          <w:rFonts w:ascii="Arial" w:cs="Arial" w:eastAsia="Arial" w:hAnsi="Arial"/>
          <w:sz w:val="17"/>
          <w:szCs w:val="17"/>
          <w:color w:val="auto"/>
        </w:rPr>
        <w:t>Base salary was increased by 5 percent over 2011 to maintain it at a level below the estimated median of the CEOs in our pay comparator group. In 2011, base salary was unchanged from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-226695</wp:posOffset>
            </wp:positionV>
            <wp:extent cx="58420" cy="584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220" w:right="100"/>
        <w:spacing w:after="0" w:line="253" w:lineRule="auto"/>
        <w:rPr>
          <w:sz w:val="20"/>
          <w:szCs w:val="20"/>
          <w:color w:val="auto"/>
        </w:rPr>
      </w:pPr>
      <w:r>
        <w:rPr>
          <w:rFonts w:ascii="Arial" w:cs="Arial" w:eastAsia="Arial" w:hAnsi="Arial"/>
          <w:sz w:val="17"/>
          <w:szCs w:val="17"/>
          <w:color w:val="auto"/>
        </w:rPr>
        <w:t>The grant date fair value of equity compensation awarded in 2012 was 8 percent lower than in 2011. The number of shares was 6 percent higher than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-226695</wp:posOffset>
            </wp:positionV>
            <wp:extent cx="58420" cy="584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The bonus decision was based primarily on the following performance results in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-88900</wp:posOffset>
            </wp:positionV>
            <wp:extent cx="58420" cy="584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460" w:type="dxa"/>
            <w:vAlign w:val="bottom"/>
            <w:tcBorders>
              <w:bottom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spacing w:after="0"/>
              <w:rPr>
                <w:sz w:val="20"/>
                <w:szCs w:val="20"/>
                <w:color w:val="auto"/>
              </w:rPr>
            </w:pPr>
          </w:p>
        </w:tc>
        <w:tc>
          <w:tcPr>
            <w:tcW w:w="2880" w:type="dxa"/>
            <w:vAlign w:val="bottom"/>
            <w:tcBorders>
              <w:top w:val="single" w:sz="8" w:color="auto"/>
              <w:left w:val="single" w:sz="8" w:color="E9E9E9"/>
              <w:bottom w:val="single" w:sz="8" w:color="auto"/>
              <w:right w:val="single" w:sz="8" w:color="auto"/>
            </w:tcBorders>
            <w:shd w:val="clear" w:color="auto" w:fill="E9E9E9"/>
          </w:tcPr>
          <w:p>
            <w:pPr>
              <w:jc w:val="right"/>
              <w:ind w:right="316"/>
              <w:spacing w:after="0"/>
              <w:rPr>
                <w:sz w:val="20"/>
                <w:szCs w:val="20"/>
                <w:color w:val="auto"/>
              </w:rPr>
            </w:pPr>
            <w:r>
              <w:rPr>
                <w:rFonts w:ascii="Arial" w:cs="Arial" w:eastAsia="Arial" w:hAnsi="Arial"/>
                <w:sz w:val="17"/>
                <w:szCs w:val="17"/>
                <w:color w:val="auto"/>
              </w:rPr>
              <w:t>2012 Absolute Performance</w:t>
            </w:r>
          </w:p>
        </w:tc>
        <w:tc>
          <w:tcPr>
            <w:tcW w:w="2900" w:type="dxa"/>
            <w:vAlign w:val="bottom"/>
            <w:tcBorders>
              <w:top w:val="single" w:sz="8" w:color="auto"/>
              <w:bottom w:val="single" w:sz="8" w:color="auto"/>
              <w:right w:val="single" w:sz="8" w:color="auto"/>
            </w:tcBorders>
            <w:gridSpan w:val="2"/>
            <w:shd w:val="clear" w:color="auto" w:fill="E9E9E9"/>
          </w:tcPr>
          <w:p>
            <w:pPr>
              <w:jc w:val="center"/>
              <w:ind w:right="40"/>
              <w:spacing w:after="0"/>
              <w:rPr>
                <w:sz w:val="20"/>
                <w:szCs w:val="20"/>
                <w:color w:val="auto"/>
              </w:rPr>
            </w:pPr>
            <w:r>
              <w:rPr>
                <w:rFonts w:ascii="Arial" w:cs="Arial" w:eastAsia="Arial" w:hAnsi="Arial"/>
                <w:sz w:val="17"/>
                <w:szCs w:val="17"/>
                <w:color w:val="auto"/>
                <w:w w:val="99"/>
              </w:rPr>
              <w:t>2012 Relative Performance**</w:t>
            </w:r>
          </w:p>
        </w:tc>
        <w:tc>
          <w:tcPr>
            <w:tcW w:w="0" w:type="dxa"/>
            <w:vAlign w:val="bottom"/>
          </w:tcPr>
          <w:p>
            <w:pPr>
              <w:spacing w:after="0"/>
              <w:rPr>
                <w:sz w:val="1"/>
                <w:szCs w:val="1"/>
                <w:color w:val="auto"/>
              </w:rPr>
            </w:pPr>
          </w:p>
        </w:tc>
      </w:tr>
      <w:tr>
        <w:trPr>
          <w:trHeight w:val="218"/>
        </w:trPr>
        <w:tc>
          <w:tcPr>
            <w:tcW w:w="5660" w:type="dxa"/>
            <w:vAlign w:val="bottom"/>
            <w:tcBorders>
              <w:left w:val="single" w:sz="8" w:color="auto"/>
              <w:right w:val="single" w:sz="8" w:color="auto"/>
            </w:tcBorders>
            <w:gridSpan w:val="2"/>
            <w:shd w:val="clear" w:color="auto" w:fill="E9E9E9"/>
          </w:tcPr>
          <w:p>
            <w:pPr>
              <w:ind w:left="240"/>
              <w:spacing w:after="0"/>
              <w:rPr>
                <w:sz w:val="20"/>
                <w:szCs w:val="20"/>
                <w:color w:val="auto"/>
              </w:rPr>
            </w:pPr>
            <w:r>
              <w:rPr>
                <w:rFonts w:ascii="Arial" w:cs="Arial" w:eastAsia="Arial" w:hAnsi="Arial"/>
                <w:sz w:val="17"/>
                <w:szCs w:val="17"/>
                <w:color w:val="auto"/>
              </w:rPr>
              <w:t>Revenue Growth: Total TI</w:t>
            </w:r>
          </w:p>
        </w:tc>
        <w:tc>
          <w:tcPr>
            <w:tcW w:w="2880" w:type="dxa"/>
            <w:vAlign w:val="bottom"/>
            <w:tcBorders>
              <w:right w:val="single" w:sz="8" w:color="auto"/>
            </w:tcBorders>
          </w:tcPr>
          <w:p>
            <w:pPr>
              <w:jc w:val="right"/>
              <w:ind w:right="1096"/>
              <w:spacing w:after="0"/>
              <w:rPr>
                <w:sz w:val="20"/>
                <w:szCs w:val="20"/>
                <w:color w:val="auto"/>
              </w:rPr>
            </w:pPr>
            <w:r>
              <w:rPr>
                <w:rFonts w:ascii="Arial" w:cs="Arial" w:eastAsia="Arial" w:hAnsi="Arial"/>
                <w:sz w:val="17"/>
                <w:szCs w:val="17"/>
                <w:color w:val="auto"/>
              </w:rPr>
              <w:t>-6.6%</w:t>
            </w:r>
          </w:p>
        </w:tc>
        <w:tc>
          <w:tcPr>
            <w:tcW w:w="290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7"/>
                <w:szCs w:val="17"/>
                <w:color w:val="auto"/>
                <w:w w:val="99"/>
              </w:rPr>
              <w:t>Below Median</w:t>
            </w:r>
          </w:p>
        </w:tc>
        <w:tc>
          <w:tcPr>
            <w:tcW w:w="0" w:type="dxa"/>
            <w:vAlign w:val="bottom"/>
          </w:tcPr>
          <w:p>
            <w:pPr>
              <w:spacing w:after="0"/>
              <w:rPr>
                <w:sz w:val="1"/>
                <w:szCs w:val="1"/>
                <w:color w:val="auto"/>
              </w:rPr>
            </w:pPr>
          </w:p>
        </w:tc>
      </w:tr>
      <w:tr>
        <w:trPr>
          <w:trHeight w:val="240"/>
        </w:trPr>
        <w:tc>
          <w:tcPr>
            <w:tcW w:w="5660" w:type="dxa"/>
            <w:vAlign w:val="bottom"/>
            <w:tcBorders>
              <w:left w:val="single" w:sz="8" w:color="auto"/>
              <w:bottom w:val="single" w:sz="8" w:color="auto"/>
              <w:right w:val="single" w:sz="8" w:color="auto"/>
            </w:tcBorders>
            <w:gridSpan w:val="2"/>
            <w:shd w:val="clear" w:color="auto" w:fill="E9E9E9"/>
          </w:tcPr>
          <w:p>
            <w:pPr>
              <w:ind w:left="240"/>
              <w:spacing w:after="0"/>
              <w:rPr>
                <w:sz w:val="20"/>
                <w:szCs w:val="20"/>
                <w:color w:val="auto"/>
              </w:rPr>
            </w:pPr>
            <w:r>
              <w:rPr>
                <w:rFonts w:ascii="Arial" w:cs="Arial" w:eastAsia="Arial" w:hAnsi="Arial"/>
                <w:sz w:val="17"/>
                <w:szCs w:val="17"/>
                <w:color w:val="auto"/>
              </w:rPr>
              <w:t>Revenue Growth without baseband*</w:t>
            </w:r>
          </w:p>
        </w:tc>
        <w:tc>
          <w:tcPr>
            <w:tcW w:w="2880" w:type="dxa"/>
            <w:vAlign w:val="bottom"/>
            <w:tcBorders>
              <w:bottom w:val="single" w:sz="8" w:color="auto"/>
              <w:right w:val="single" w:sz="8" w:color="auto"/>
            </w:tcBorders>
          </w:tcPr>
          <w:p>
            <w:pPr>
              <w:jc w:val="right"/>
              <w:ind w:right="1096"/>
              <w:spacing w:after="0"/>
              <w:rPr>
                <w:sz w:val="20"/>
                <w:szCs w:val="20"/>
                <w:color w:val="auto"/>
              </w:rPr>
            </w:pPr>
            <w:r>
              <w:rPr>
                <w:rFonts w:ascii="Arial" w:cs="Arial" w:eastAsia="Arial" w:hAnsi="Arial"/>
                <w:sz w:val="17"/>
                <w:szCs w:val="17"/>
                <w:color w:val="auto"/>
              </w:rPr>
              <w:t>-0.8%</w:t>
            </w:r>
          </w:p>
        </w:tc>
        <w:tc>
          <w:tcPr>
            <w:tcW w:w="290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7"/>
                <w:szCs w:val="17"/>
                <w:color w:val="auto"/>
                <w:w w:val="97"/>
              </w:rPr>
              <w:t>Above Median</w:t>
            </w:r>
          </w:p>
        </w:tc>
        <w:tc>
          <w:tcPr>
            <w:tcW w:w="0" w:type="dxa"/>
            <w:vAlign w:val="bottom"/>
          </w:tcPr>
          <w:p>
            <w:pPr>
              <w:spacing w:after="0"/>
              <w:rPr>
                <w:sz w:val="1"/>
                <w:szCs w:val="1"/>
                <w:color w:val="auto"/>
              </w:rPr>
            </w:pPr>
          </w:p>
        </w:tc>
      </w:tr>
      <w:tr>
        <w:trPr>
          <w:trHeight w:val="225"/>
        </w:trPr>
        <w:tc>
          <w:tcPr>
            <w:tcW w:w="5660" w:type="dxa"/>
            <w:vAlign w:val="bottom"/>
            <w:tcBorders>
              <w:left w:val="single" w:sz="8" w:color="auto"/>
              <w:bottom w:val="single" w:sz="8" w:color="auto"/>
              <w:right w:val="single" w:sz="8" w:color="auto"/>
            </w:tcBorders>
            <w:gridSpan w:val="2"/>
            <w:shd w:val="clear" w:color="auto" w:fill="E9E9E9"/>
          </w:tcPr>
          <w:p>
            <w:pPr>
              <w:ind w:left="240"/>
              <w:spacing w:after="0"/>
              <w:rPr>
                <w:sz w:val="20"/>
                <w:szCs w:val="20"/>
                <w:color w:val="auto"/>
              </w:rPr>
            </w:pPr>
            <w:r>
              <w:rPr>
                <w:rFonts w:ascii="Arial" w:cs="Arial" w:eastAsia="Arial" w:hAnsi="Arial"/>
                <w:sz w:val="17"/>
                <w:szCs w:val="17"/>
                <w:color w:val="auto"/>
              </w:rPr>
              <w:t>Profit from Operations as a % of Revenue (PFO%)</w:t>
            </w:r>
          </w:p>
        </w:tc>
        <w:tc>
          <w:tcPr>
            <w:tcW w:w="2880" w:type="dxa"/>
            <w:vAlign w:val="bottom"/>
            <w:tcBorders>
              <w:bottom w:val="single" w:sz="8" w:color="auto"/>
              <w:right w:val="single" w:sz="8" w:color="auto"/>
            </w:tcBorders>
          </w:tcPr>
          <w:p>
            <w:pPr>
              <w:jc w:val="right"/>
              <w:ind w:right="1096"/>
              <w:spacing w:after="0"/>
              <w:rPr>
                <w:sz w:val="20"/>
                <w:szCs w:val="20"/>
                <w:color w:val="auto"/>
              </w:rPr>
            </w:pPr>
            <w:r>
              <w:rPr>
                <w:rFonts w:ascii="Arial" w:cs="Arial" w:eastAsia="Arial" w:hAnsi="Arial"/>
                <w:sz w:val="17"/>
                <w:szCs w:val="17"/>
                <w:color w:val="auto"/>
              </w:rPr>
              <w:t>15.4%</w:t>
            </w:r>
          </w:p>
        </w:tc>
        <w:tc>
          <w:tcPr>
            <w:tcW w:w="290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7"/>
                <w:szCs w:val="17"/>
                <w:color w:val="auto"/>
                <w:w w:val="97"/>
              </w:rPr>
              <w:t>Above Median</w:t>
            </w:r>
          </w:p>
        </w:tc>
        <w:tc>
          <w:tcPr>
            <w:tcW w:w="0" w:type="dxa"/>
            <w:vAlign w:val="bottom"/>
          </w:tcPr>
          <w:p>
            <w:pPr>
              <w:spacing w:after="0"/>
              <w:rPr>
                <w:sz w:val="1"/>
                <w:szCs w:val="1"/>
                <w:color w:val="auto"/>
              </w:rPr>
            </w:pPr>
          </w:p>
        </w:tc>
      </w:tr>
      <w:tr>
        <w:trPr>
          <w:trHeight w:val="225"/>
        </w:trPr>
        <w:tc>
          <w:tcPr>
            <w:tcW w:w="5660" w:type="dxa"/>
            <w:vAlign w:val="bottom"/>
            <w:tcBorders>
              <w:left w:val="single" w:sz="8" w:color="auto"/>
              <w:bottom w:val="single" w:sz="8" w:color="auto"/>
              <w:right w:val="single" w:sz="8" w:color="auto"/>
            </w:tcBorders>
            <w:gridSpan w:val="2"/>
            <w:shd w:val="clear" w:color="auto" w:fill="E9E9E9"/>
          </w:tcPr>
          <w:p>
            <w:pPr>
              <w:ind w:left="240"/>
              <w:spacing w:after="0"/>
              <w:rPr>
                <w:sz w:val="20"/>
                <w:szCs w:val="20"/>
                <w:color w:val="auto"/>
              </w:rPr>
            </w:pPr>
            <w:r>
              <w:rPr>
                <w:rFonts w:ascii="Arial" w:cs="Arial" w:eastAsia="Arial" w:hAnsi="Arial"/>
                <w:sz w:val="17"/>
                <w:szCs w:val="17"/>
                <w:color w:val="auto"/>
              </w:rPr>
              <w:t>Total Shareholder Return (TSR)</w:t>
            </w:r>
          </w:p>
        </w:tc>
        <w:tc>
          <w:tcPr>
            <w:tcW w:w="2880" w:type="dxa"/>
            <w:vAlign w:val="bottom"/>
            <w:tcBorders>
              <w:bottom w:val="single" w:sz="8" w:color="auto"/>
              <w:right w:val="single" w:sz="8" w:color="auto"/>
            </w:tcBorders>
          </w:tcPr>
          <w:p>
            <w:pPr>
              <w:jc w:val="right"/>
              <w:ind w:right="1096"/>
              <w:spacing w:after="0"/>
              <w:rPr>
                <w:sz w:val="20"/>
                <w:szCs w:val="20"/>
                <w:color w:val="auto"/>
              </w:rPr>
            </w:pPr>
            <w:r>
              <w:rPr>
                <w:rFonts w:ascii="Arial" w:cs="Arial" w:eastAsia="Arial" w:hAnsi="Arial"/>
                <w:sz w:val="17"/>
                <w:szCs w:val="17"/>
                <w:color w:val="auto"/>
              </w:rPr>
              <w:t>8.7%</w:t>
            </w:r>
          </w:p>
        </w:tc>
        <w:tc>
          <w:tcPr>
            <w:tcW w:w="290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7"/>
                <w:szCs w:val="17"/>
                <w:color w:val="auto"/>
                <w:w w:val="97"/>
              </w:rPr>
              <w:t>Above Median</w:t>
            </w:r>
          </w:p>
        </w:tc>
        <w:tc>
          <w:tcPr>
            <w:tcW w:w="0" w:type="dxa"/>
            <w:vAlign w:val="bottom"/>
          </w:tcPr>
          <w:p>
            <w:pPr>
              <w:spacing w:after="0"/>
              <w:rPr>
                <w:sz w:val="1"/>
                <w:szCs w:val="1"/>
                <w:color w:val="auto"/>
              </w:rPr>
            </w:pPr>
          </w:p>
        </w:tc>
      </w:tr>
      <w:tr>
        <w:trPr>
          <w:trHeight w:val="233"/>
        </w:trPr>
        <w:tc>
          <w:tcPr>
            <w:tcW w:w="1460" w:type="dxa"/>
            <w:vAlign w:val="bottom"/>
          </w:tcPr>
          <w:p>
            <w:pPr>
              <w:spacing w:after="0"/>
              <w:rPr>
                <w:sz w:val="20"/>
                <w:szCs w:val="20"/>
                <w:color w:val="auto"/>
              </w:rPr>
            </w:pPr>
          </w:p>
        </w:tc>
        <w:tc>
          <w:tcPr>
            <w:tcW w:w="42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4"/>
        </w:trPr>
        <w:tc>
          <w:tcPr>
            <w:tcW w:w="1460" w:type="dxa"/>
            <w:vAlign w:val="bottom"/>
            <w:tcBorders>
              <w:right w:val="single" w:sz="8" w:color="auto"/>
            </w:tcBorders>
          </w:tcPr>
          <w:p>
            <w:pPr>
              <w:spacing w:after="0"/>
              <w:rPr>
                <w:sz w:val="24"/>
                <w:szCs w:val="24"/>
                <w:color w:val="auto"/>
              </w:rPr>
            </w:pPr>
          </w:p>
        </w:tc>
        <w:tc>
          <w:tcPr>
            <w:tcW w:w="4200" w:type="dxa"/>
            <w:vAlign w:val="bottom"/>
            <w:tcBorders>
              <w:right w:val="single" w:sz="8" w:color="E9E9E9"/>
            </w:tcBorders>
            <w:shd w:val="clear" w:color="auto" w:fill="E9E9E9"/>
          </w:tcPr>
          <w:p>
            <w:pPr>
              <w:ind w:left="720"/>
              <w:spacing w:after="0"/>
              <w:rPr>
                <w:sz w:val="20"/>
                <w:szCs w:val="20"/>
                <w:color w:val="auto"/>
              </w:rPr>
            </w:pPr>
            <w:r>
              <w:rPr>
                <w:rFonts w:ascii="Arial" w:cs="Arial" w:eastAsia="Arial" w:hAnsi="Arial"/>
                <w:sz w:val="17"/>
                <w:szCs w:val="17"/>
                <w:color w:val="auto"/>
              </w:rPr>
              <w:t>Year-on-Year Change in CEO Bonus</w:t>
            </w:r>
          </w:p>
        </w:tc>
        <w:tc>
          <w:tcPr>
            <w:tcW w:w="2880" w:type="dxa"/>
            <w:vAlign w:val="bottom"/>
            <w:tcBorders>
              <w:lef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60" w:type="dxa"/>
            <w:vAlign w:val="bottom"/>
            <w:tcBorders>
              <w:right w:val="single" w:sz="8" w:color="auto"/>
            </w:tcBorders>
          </w:tcPr>
          <w:p>
            <w:pPr>
              <w:spacing w:after="0"/>
              <w:rPr>
                <w:sz w:val="20"/>
                <w:szCs w:val="20"/>
                <w:color w:val="auto"/>
              </w:rPr>
            </w:pPr>
          </w:p>
        </w:tc>
        <w:tc>
          <w:tcPr>
            <w:tcW w:w="4200" w:type="dxa"/>
            <w:vAlign w:val="bottom"/>
            <w:tcBorders>
              <w:right w:val="single" w:sz="8" w:color="E9E9E9"/>
            </w:tcBorders>
            <w:shd w:val="clear" w:color="auto" w:fill="E9E9E9"/>
          </w:tcPr>
          <w:p>
            <w:pPr>
              <w:ind w:left="740"/>
              <w:spacing w:after="0"/>
              <w:rPr>
                <w:sz w:val="20"/>
                <w:szCs w:val="20"/>
                <w:color w:val="auto"/>
              </w:rPr>
            </w:pPr>
            <w:r>
              <w:rPr>
                <w:rFonts w:ascii="Arial" w:cs="Arial" w:eastAsia="Arial" w:hAnsi="Arial"/>
                <w:sz w:val="17"/>
                <w:szCs w:val="17"/>
                <w:color w:val="auto"/>
              </w:rPr>
              <w:t>(2012 bonus compared to 2011)</w:t>
            </w:r>
          </w:p>
        </w:tc>
        <w:tc>
          <w:tcPr>
            <w:tcW w:w="2880" w:type="dxa"/>
            <w:vAlign w:val="bottom"/>
            <w:tcBorders>
              <w:left w:val="single" w:sz="8" w:color="auto"/>
            </w:tcBorders>
            <w:vMerge w:val="restart"/>
          </w:tcPr>
          <w:p>
            <w:pPr>
              <w:jc w:val="right"/>
              <w:ind w:right="216"/>
              <w:spacing w:after="0"/>
              <w:rPr>
                <w:sz w:val="20"/>
                <w:szCs w:val="20"/>
                <w:color w:val="auto"/>
              </w:rPr>
            </w:pPr>
            <w:r>
              <w:rPr>
                <w:rFonts w:ascii="Arial" w:cs="Arial" w:eastAsia="Arial" w:hAnsi="Arial"/>
                <w:sz w:val="17"/>
                <w:szCs w:val="17"/>
                <w:color w:val="auto"/>
              </w:rPr>
              <w:t>0% change</w:t>
            </w:r>
          </w:p>
        </w:tc>
        <w:tc>
          <w:tcPr>
            <w:tcW w:w="1480" w:type="dxa"/>
            <w:vAlign w:val="bottom"/>
            <w:tcBorders>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1460" w:type="dxa"/>
            <w:vAlign w:val="bottom"/>
            <w:tcBorders>
              <w:right w:val="single" w:sz="8" w:color="auto"/>
            </w:tcBorders>
          </w:tcPr>
          <w:p>
            <w:pPr>
              <w:spacing w:after="0"/>
              <w:rPr>
                <w:sz w:val="9"/>
                <w:szCs w:val="9"/>
                <w:color w:val="auto"/>
              </w:rPr>
            </w:pPr>
          </w:p>
        </w:tc>
        <w:tc>
          <w:tcPr>
            <w:tcW w:w="4200" w:type="dxa"/>
            <w:vAlign w:val="bottom"/>
            <w:tcBorders>
              <w:bottom w:val="single" w:sz="8" w:color="auto"/>
              <w:right w:val="single" w:sz="8" w:color="E9E9E9"/>
            </w:tcBorders>
            <w:shd w:val="clear" w:color="auto" w:fill="E9E9E9"/>
          </w:tcPr>
          <w:p>
            <w:pPr>
              <w:spacing w:after="0"/>
              <w:rPr>
                <w:sz w:val="9"/>
                <w:szCs w:val="9"/>
                <w:color w:val="auto"/>
              </w:rPr>
            </w:pPr>
          </w:p>
        </w:tc>
        <w:tc>
          <w:tcPr>
            <w:tcW w:w="2880" w:type="dxa"/>
            <w:vAlign w:val="bottom"/>
            <w:tcBorders>
              <w:left w:val="single" w:sz="8" w:color="auto"/>
              <w:bottom w:val="single" w:sz="8" w:color="auto"/>
            </w:tcBorders>
            <w:vMerge w:val="continue"/>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right="820" w:firstLine="3"/>
        <w:spacing w:after="0" w:line="326" w:lineRule="auto"/>
        <w:tabs>
          <w:tab w:leader="none" w:pos="4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Revenue growth for total TI, excluding digital baseband, a product line for which TI has a publicly stated exit plan. See note 3 on page 74. ** Relative to semiconductor competitors as outlined on page 73. Includes estimates and projections of certain competitors’ financial results.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executive compensation program is designed to encourage executive officers to pursue strategies that serve the interests of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-81915</wp:posOffset>
            </wp:positionV>
            <wp:extent cx="58420" cy="584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line="218" w:lineRule="auto"/>
        <w:rPr>
          <w:sz w:val="20"/>
          <w:szCs w:val="20"/>
          <w:color w:val="auto"/>
        </w:rPr>
      </w:pPr>
      <w:r>
        <w:rPr>
          <w:rFonts w:ascii="Arial" w:cs="Arial" w:eastAsia="Arial" w:hAnsi="Arial"/>
          <w:sz w:val="17"/>
          <w:szCs w:val="17"/>
          <w:color w:val="auto"/>
        </w:rPr>
        <w:t>shareholders, and not to promote excessive risk-taking by our executives. It is built on a foundation of sound corporate governance and includes:</w:t>
      </w:r>
    </w:p>
    <w:p>
      <w:pPr>
        <w:ind w:left="220"/>
        <w:spacing w:after="0"/>
        <w:rPr>
          <w:sz w:val="20"/>
          <w:szCs w:val="20"/>
          <w:color w:val="auto"/>
        </w:rPr>
      </w:pPr>
      <w:r>
        <w:rPr>
          <w:rFonts w:ascii="Arial" w:cs="Arial" w:eastAsia="Arial" w:hAnsi="Arial"/>
          <w:sz w:val="17"/>
          <w:szCs w:val="17"/>
          <w:color w:val="auto"/>
        </w:rPr>
        <w:t>Executive officers do not have employment contracts and are not guaranteed salary increases or bonus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-88900</wp:posOffset>
            </wp:positionV>
            <wp:extent cx="58420" cy="584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220" w:right="380"/>
        <w:spacing w:after="0" w:line="253" w:lineRule="auto"/>
        <w:rPr>
          <w:sz w:val="20"/>
          <w:szCs w:val="20"/>
          <w:color w:val="auto"/>
        </w:rPr>
      </w:pPr>
      <w:r>
        <w:rPr>
          <w:rFonts w:ascii="Arial" w:cs="Arial" w:eastAsia="Arial" w:hAnsi="Arial"/>
          <w:sz w:val="17"/>
          <w:szCs w:val="17"/>
          <w:color w:val="auto"/>
        </w:rPr>
        <w:t>We have never repriced stock options. We do not grant reload options. We grant equity compensation with double-trigger change-in-control terms, which accelerate the vesting of grants only if the grantee has been terminated involuntarily within a limited time after a change in 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-357505</wp:posOffset>
            </wp:positionV>
            <wp:extent cx="58420" cy="584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Bonus and equity compensation awards are subject to clawback under the committee’s policy described on 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-88900</wp:posOffset>
            </wp:positionV>
            <wp:extent cx="58420" cy="584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We do not provide excessive perquisites. We provide no tax gross-ups for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-88900</wp:posOffset>
            </wp:positionV>
            <wp:extent cx="58420" cy="584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We do not guarantee a return or provide above-market returns on compensation that has been 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-88900</wp:posOffset>
            </wp:positionV>
            <wp:extent cx="58420" cy="584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220" w:right="380"/>
        <w:spacing w:after="0" w:line="261" w:lineRule="auto"/>
        <w:rPr>
          <w:sz w:val="20"/>
          <w:szCs w:val="20"/>
          <w:color w:val="auto"/>
        </w:rPr>
      </w:pPr>
      <w:r>
        <w:rPr>
          <w:rFonts w:ascii="Arial" w:cs="Arial" w:eastAsia="Arial" w:hAnsi="Arial"/>
          <w:sz w:val="17"/>
          <w:szCs w:val="17"/>
          <w:color w:val="auto"/>
        </w:rPr>
        <w:t>Pension benefits are calculated on salary and bonus only; the proceeds earned on equity or other performance awards are not part of the pension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58420" cy="584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55" w:lineRule="exact"/>
        <w:rPr>
          <w:sz w:val="20"/>
          <w:szCs w:val="20"/>
          <w:color w:val="auto"/>
        </w:rPr>
      </w:pPr>
    </w:p>
    <w:p>
      <w:pPr>
        <w:spacing w:after="0"/>
        <w:tabs>
          <w:tab w:leader="none" w:pos="10000" w:val="left"/>
        </w:tabs>
        <w:rPr>
          <w:sz w:val="20"/>
          <w:szCs w:val="20"/>
          <w:color w:val="auto"/>
        </w:rPr>
      </w:pPr>
      <w:r>
        <w:rPr>
          <w:rFonts w:ascii="Arial" w:cs="Arial" w:eastAsia="Arial" w:hAnsi="Arial"/>
          <w:sz w:val="13"/>
          <w:szCs w:val="13"/>
          <w:b w:val="1"/>
          <w:bCs w:val="1"/>
          <w:color w:val="808285"/>
        </w:rPr>
        <w:t>68 •  2013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5" w:name="page16"/>
    <w:bookmarkEnd w:id="15"/>
    <w:p>
      <w:pPr>
        <w:ind w:right="580"/>
        <w:spacing w:after="0" w:line="241" w:lineRule="auto"/>
        <w:rPr>
          <w:sz w:val="20"/>
          <w:szCs w:val="20"/>
          <w:color w:val="auto"/>
        </w:rPr>
      </w:pPr>
      <w:r>
        <w:rPr>
          <w:rFonts w:ascii="Arial" w:cs="Arial" w:eastAsia="Arial" w:hAnsi="Arial"/>
          <w:sz w:val="17"/>
          <w:szCs w:val="17"/>
          <w:color w:val="auto"/>
        </w:rPr>
        <w:t>The committee’s strategy for setting cash and non-cash compensation is described in the table that follows immediately below. Its compensation decisions for the named executive officers for 2012 are discussed on pages 70-77. Benefit programs in which the executive officers participate are discussed on pages 78-79. Perquisites are discussed on page 79.</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Detailed Discussion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Compensation philosophy and elements</w:t>
      </w:r>
    </w:p>
    <w:p>
      <w:pPr>
        <w:jc w:val="both"/>
        <w:ind w:right="240"/>
        <w:spacing w:after="0" w:line="241" w:lineRule="auto"/>
        <w:rPr>
          <w:sz w:val="20"/>
          <w:szCs w:val="20"/>
          <w:color w:val="auto"/>
        </w:rPr>
      </w:pPr>
      <w:r>
        <w:rPr>
          <w:rFonts w:ascii="Arial" w:cs="Arial" w:eastAsia="Arial" w:hAnsi="Arial"/>
          <w:sz w:val="17"/>
          <w:szCs w:val="17"/>
          <w:color w:val="auto"/>
        </w:rPr>
        <w:t>The Compensation Committee of TI’s board of directors is responsible for setting the compensation of all TI executive officers. The committee consults with the other independent directors and its compensation consultant, Pearl Meyer &amp; Partners, before setting annual compensation for the executives. The committee chair regularly reports on committee actions at board meetings.</w:t>
      </w:r>
    </w:p>
    <w:p>
      <w:pPr>
        <w:spacing w:after="0" w:line="1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primary elements of our executive compensation program are as follows: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Near-term compensation, paid in cash</w:t>
      </w:r>
    </w:p>
    <w:p>
      <w:pPr>
        <w:spacing w:after="0" w:line="244" w:lineRule="exact"/>
        <w:rPr>
          <w:sz w:val="20"/>
          <w:szCs w:val="20"/>
          <w:color w:val="auto"/>
        </w:rPr>
      </w:pPr>
    </w:p>
    <w:p>
      <w:pPr>
        <w:spacing w:after="0"/>
        <w:tabs>
          <w:tab w:leader="none" w:pos="2600" w:val="left"/>
          <w:tab w:leader="none" w:pos="6040" w:val="left"/>
          <w:tab w:leader="none" w:pos="9580" w:val="left"/>
        </w:tabs>
        <w:rPr>
          <w:sz w:val="20"/>
          <w:szCs w:val="20"/>
          <w:color w:val="auto"/>
        </w:rPr>
      </w:pPr>
      <w:r>
        <w:rPr>
          <w:rFonts w:ascii="Arial" w:cs="Arial" w:eastAsia="Arial" w:hAnsi="Arial"/>
          <w:sz w:val="13"/>
          <w:szCs w:val="13"/>
          <w:b w:val="1"/>
          <w:bCs w:val="1"/>
          <w:color w:val="auto"/>
        </w:rPr>
        <w:t>Element</w:t>
      </w:r>
      <w:r>
        <w:rPr>
          <w:sz w:val="20"/>
          <w:szCs w:val="20"/>
          <w:color w:val="auto"/>
        </w:rPr>
        <w:tab/>
      </w:r>
      <w:r>
        <w:rPr>
          <w:rFonts w:ascii="Arial" w:cs="Arial" w:eastAsia="Arial" w:hAnsi="Arial"/>
          <w:sz w:val="13"/>
          <w:szCs w:val="13"/>
          <w:b w:val="1"/>
          <w:bCs w:val="1"/>
          <w:color w:val="auto"/>
        </w:rPr>
        <w:t>Purpose</w:t>
      </w:r>
      <w:r>
        <w:rPr>
          <w:sz w:val="20"/>
          <w:szCs w:val="20"/>
          <w:color w:val="auto"/>
        </w:rPr>
        <w:tab/>
      </w:r>
      <w:r>
        <w:rPr>
          <w:rFonts w:ascii="Arial" w:cs="Arial" w:eastAsia="Arial" w:hAnsi="Arial"/>
          <w:sz w:val="13"/>
          <w:szCs w:val="13"/>
          <w:b w:val="1"/>
          <w:bCs w:val="1"/>
          <w:color w:val="auto"/>
        </w:rPr>
        <w:t>Strategy</w:t>
      </w:r>
      <w:r>
        <w:rPr>
          <w:sz w:val="20"/>
          <w:szCs w:val="20"/>
          <w:color w:val="auto"/>
        </w:rPr>
        <w:tab/>
      </w:r>
      <w:r>
        <w:rPr>
          <w:rFonts w:ascii="Arial" w:cs="Arial" w:eastAsia="Arial" w:hAnsi="Arial"/>
          <w:sz w:val="12"/>
          <w:szCs w:val="12"/>
          <w:b w:val="1"/>
          <w:bCs w:val="1"/>
          <w:color w:val="auto"/>
        </w:rPr>
        <w:t>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252335" cy="6070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2335" cy="60706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120" w:type="dxa"/>
            <w:vAlign w:val="bottom"/>
          </w:tcPr>
          <w:p>
            <w:pPr>
              <w:spacing w:after="0"/>
              <w:rPr>
                <w:sz w:val="20"/>
                <w:szCs w:val="20"/>
                <w:color w:val="auto"/>
              </w:rPr>
            </w:pPr>
            <w:r>
              <w:rPr>
                <w:rFonts w:ascii="Arial" w:cs="Arial" w:eastAsia="Arial" w:hAnsi="Arial"/>
                <w:sz w:val="17"/>
                <w:szCs w:val="17"/>
                <w:color w:val="auto"/>
              </w:rPr>
              <w:t>Base salary</w:t>
            </w:r>
          </w:p>
        </w:tc>
        <w:tc>
          <w:tcPr>
            <w:tcW w:w="3500" w:type="dxa"/>
            <w:vAlign w:val="bottom"/>
          </w:tcPr>
          <w:p>
            <w:pPr>
              <w:ind w:left="140"/>
              <w:spacing w:after="0"/>
              <w:rPr>
                <w:sz w:val="20"/>
                <w:szCs w:val="20"/>
                <w:color w:val="auto"/>
              </w:rPr>
            </w:pPr>
            <w:r>
              <w:rPr>
                <w:rFonts w:ascii="Arial" w:cs="Arial" w:eastAsia="Arial" w:hAnsi="Arial"/>
                <w:sz w:val="17"/>
                <w:szCs w:val="17"/>
                <w:color w:val="auto"/>
              </w:rPr>
              <w:t>Basic, least variable form of compensation</w:t>
            </w:r>
          </w:p>
        </w:tc>
        <w:tc>
          <w:tcPr>
            <w:tcW w:w="3240" w:type="dxa"/>
            <w:vAlign w:val="bottom"/>
          </w:tcPr>
          <w:p>
            <w:pPr>
              <w:ind w:left="120"/>
              <w:spacing w:after="0"/>
              <w:rPr>
                <w:sz w:val="20"/>
                <w:szCs w:val="20"/>
                <w:color w:val="auto"/>
              </w:rPr>
            </w:pPr>
            <w:r>
              <w:rPr>
                <w:rFonts w:ascii="Arial" w:cs="Arial" w:eastAsia="Arial" w:hAnsi="Arial"/>
                <w:sz w:val="17"/>
                <w:szCs w:val="17"/>
                <w:color w:val="auto"/>
              </w:rPr>
              <w:t>Pay below market median in order to</w:t>
            </w:r>
          </w:p>
        </w:tc>
      </w:tr>
      <w:tr>
        <w:trPr>
          <w:trHeight w:val="233"/>
        </w:trPr>
        <w:tc>
          <w:tcPr>
            <w:tcW w:w="1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240" w:type="dxa"/>
            <w:vAlign w:val="bottom"/>
          </w:tcPr>
          <w:p>
            <w:pPr>
              <w:ind w:left="120"/>
              <w:spacing w:after="0"/>
              <w:rPr>
                <w:sz w:val="20"/>
                <w:szCs w:val="20"/>
                <w:color w:val="auto"/>
              </w:rPr>
            </w:pPr>
            <w:r>
              <w:rPr>
                <w:rFonts w:ascii="Arial" w:cs="Arial" w:eastAsia="Arial" w:hAnsi="Arial"/>
                <w:sz w:val="17"/>
                <w:szCs w:val="17"/>
                <w:color w:val="auto"/>
              </w:rPr>
              <w:t>weight total compensation to the</w:t>
            </w:r>
          </w:p>
        </w:tc>
      </w:tr>
      <w:tr>
        <w:trPr>
          <w:trHeight w:val="233"/>
        </w:trPr>
        <w:tc>
          <w:tcPr>
            <w:tcW w:w="1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240" w:type="dxa"/>
            <w:vAlign w:val="bottom"/>
          </w:tcPr>
          <w:p>
            <w:pPr>
              <w:ind w:left="120"/>
              <w:spacing w:after="0"/>
              <w:rPr>
                <w:sz w:val="20"/>
                <w:szCs w:val="20"/>
                <w:color w:val="auto"/>
              </w:rPr>
            </w:pPr>
            <w:r>
              <w:rPr>
                <w:rFonts w:ascii="Arial" w:cs="Arial" w:eastAsia="Arial" w:hAnsi="Arial"/>
                <w:sz w:val="17"/>
                <w:szCs w:val="17"/>
                <w:color w:val="auto"/>
              </w:rPr>
              <w:t>performance-based elements described</w:t>
            </w:r>
          </w:p>
        </w:tc>
      </w:tr>
      <w:tr>
        <w:trPr>
          <w:trHeight w:val="233"/>
        </w:trPr>
        <w:tc>
          <w:tcPr>
            <w:tcW w:w="1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240" w:type="dxa"/>
            <w:vAlign w:val="bottom"/>
          </w:tcPr>
          <w:p>
            <w:pPr>
              <w:ind w:left="120"/>
              <w:spacing w:after="0"/>
              <w:rPr>
                <w:sz w:val="20"/>
                <w:szCs w:val="20"/>
                <w:color w:val="auto"/>
              </w:rPr>
            </w:pPr>
            <w:r>
              <w:rPr>
                <w:rFonts w:ascii="Arial" w:cs="Arial" w:eastAsia="Arial" w:hAnsi="Arial"/>
                <w:sz w:val="17"/>
                <w:szCs w:val="17"/>
                <w:color w:val="auto"/>
              </w:rPr>
              <w:t>below in this chart.</w:t>
            </w:r>
          </w:p>
        </w:tc>
      </w:tr>
      <w:tr>
        <w:trPr>
          <w:trHeight w:val="465"/>
        </w:trPr>
        <w:tc>
          <w:tcPr>
            <w:tcW w:w="1120" w:type="dxa"/>
            <w:vAlign w:val="bottom"/>
          </w:tcPr>
          <w:p>
            <w:pPr>
              <w:spacing w:after="0"/>
              <w:rPr>
                <w:sz w:val="20"/>
                <w:szCs w:val="20"/>
                <w:color w:val="auto"/>
              </w:rPr>
            </w:pPr>
            <w:r>
              <w:rPr>
                <w:rFonts w:ascii="Arial" w:cs="Arial" w:eastAsia="Arial" w:hAnsi="Arial"/>
                <w:sz w:val="17"/>
                <w:szCs w:val="17"/>
                <w:color w:val="auto"/>
              </w:rPr>
              <w:t>Profit sharing</w:t>
            </w:r>
          </w:p>
        </w:tc>
        <w:tc>
          <w:tcPr>
            <w:tcW w:w="3500" w:type="dxa"/>
            <w:vAlign w:val="bottom"/>
          </w:tcPr>
          <w:p>
            <w:pPr>
              <w:ind w:left="140"/>
              <w:spacing w:after="0"/>
              <w:rPr>
                <w:sz w:val="20"/>
                <w:szCs w:val="20"/>
                <w:color w:val="auto"/>
              </w:rPr>
            </w:pPr>
            <w:r>
              <w:rPr>
                <w:rFonts w:ascii="Arial" w:cs="Arial" w:eastAsia="Arial" w:hAnsi="Arial"/>
                <w:sz w:val="17"/>
                <w:szCs w:val="17"/>
                <w:color w:val="auto"/>
              </w:rPr>
              <w:t>Broad-based program designed to</w:t>
            </w:r>
          </w:p>
        </w:tc>
        <w:tc>
          <w:tcPr>
            <w:tcW w:w="3240" w:type="dxa"/>
            <w:vAlign w:val="bottom"/>
          </w:tcPr>
          <w:p>
            <w:pPr>
              <w:ind w:left="120"/>
              <w:spacing w:after="0"/>
              <w:rPr>
                <w:sz w:val="20"/>
                <w:szCs w:val="20"/>
                <w:color w:val="auto"/>
              </w:rPr>
            </w:pPr>
            <w:r>
              <w:rPr>
                <w:rFonts w:ascii="Arial" w:cs="Arial" w:eastAsia="Arial" w:hAnsi="Arial"/>
                <w:sz w:val="17"/>
                <w:szCs w:val="17"/>
                <w:color w:val="auto"/>
              </w:rPr>
              <w:t>Pay according to a formula that focuses</w:t>
            </w:r>
          </w:p>
        </w:tc>
      </w:tr>
      <w:tr>
        <w:trPr>
          <w:trHeight w:val="233"/>
        </w:trPr>
        <w:tc>
          <w:tcPr>
            <w:tcW w:w="1120" w:type="dxa"/>
            <w:vAlign w:val="bottom"/>
          </w:tcPr>
          <w:p>
            <w:pPr>
              <w:spacing w:after="0"/>
              <w:rPr>
                <w:sz w:val="20"/>
                <w:szCs w:val="20"/>
                <w:color w:val="auto"/>
              </w:rPr>
            </w:pPr>
          </w:p>
        </w:tc>
        <w:tc>
          <w:tcPr>
            <w:tcW w:w="3500" w:type="dxa"/>
            <w:vAlign w:val="bottom"/>
          </w:tcPr>
          <w:p>
            <w:pPr>
              <w:ind w:left="140"/>
              <w:spacing w:after="0"/>
              <w:rPr>
                <w:sz w:val="20"/>
                <w:szCs w:val="20"/>
                <w:color w:val="auto"/>
              </w:rPr>
            </w:pPr>
            <w:r>
              <w:rPr>
                <w:rFonts w:ascii="Arial" w:cs="Arial" w:eastAsia="Arial" w:hAnsi="Arial"/>
                <w:sz w:val="17"/>
                <w:szCs w:val="17"/>
                <w:color w:val="auto"/>
              </w:rPr>
              <w:t>emphasize that each employee contributes</w:t>
            </w:r>
          </w:p>
        </w:tc>
        <w:tc>
          <w:tcPr>
            <w:tcW w:w="3240" w:type="dxa"/>
            <w:vAlign w:val="bottom"/>
          </w:tcPr>
          <w:p>
            <w:pPr>
              <w:ind w:left="120"/>
              <w:spacing w:after="0"/>
              <w:rPr>
                <w:sz w:val="20"/>
                <w:szCs w:val="20"/>
                <w:color w:val="auto"/>
              </w:rPr>
            </w:pPr>
            <w:r>
              <w:rPr>
                <w:rFonts w:ascii="Arial" w:cs="Arial" w:eastAsia="Arial" w:hAnsi="Arial"/>
                <w:sz w:val="17"/>
                <w:szCs w:val="17"/>
                <w:color w:val="auto"/>
              </w:rPr>
              <w:t>employees on a company goal, and at a</w:t>
            </w:r>
          </w:p>
        </w:tc>
      </w:tr>
      <w:tr>
        <w:trPr>
          <w:trHeight w:val="233"/>
        </w:trPr>
        <w:tc>
          <w:tcPr>
            <w:tcW w:w="1120" w:type="dxa"/>
            <w:vAlign w:val="bottom"/>
          </w:tcPr>
          <w:p>
            <w:pPr>
              <w:spacing w:after="0"/>
              <w:rPr>
                <w:sz w:val="20"/>
                <w:szCs w:val="20"/>
                <w:color w:val="auto"/>
              </w:rPr>
            </w:pPr>
          </w:p>
        </w:tc>
        <w:tc>
          <w:tcPr>
            <w:tcW w:w="3500" w:type="dxa"/>
            <w:vAlign w:val="bottom"/>
          </w:tcPr>
          <w:p>
            <w:pPr>
              <w:ind w:left="140"/>
              <w:spacing w:after="0"/>
              <w:rPr>
                <w:sz w:val="20"/>
                <w:szCs w:val="20"/>
                <w:color w:val="auto"/>
              </w:rPr>
            </w:pPr>
            <w:r>
              <w:rPr>
                <w:rFonts w:ascii="Arial" w:cs="Arial" w:eastAsia="Arial" w:hAnsi="Arial"/>
                <w:sz w:val="17"/>
                <w:szCs w:val="17"/>
                <w:color w:val="auto"/>
              </w:rPr>
              <w:t>to the company’s profitability and can share</w:t>
            </w:r>
          </w:p>
        </w:tc>
        <w:tc>
          <w:tcPr>
            <w:tcW w:w="3240" w:type="dxa"/>
            <w:vAlign w:val="bottom"/>
          </w:tcPr>
          <w:p>
            <w:pPr>
              <w:ind w:left="120"/>
              <w:spacing w:after="0"/>
              <w:rPr>
                <w:sz w:val="20"/>
                <w:szCs w:val="20"/>
                <w:color w:val="auto"/>
              </w:rPr>
            </w:pPr>
            <w:r>
              <w:rPr>
                <w:rFonts w:ascii="Arial" w:cs="Arial" w:eastAsia="Arial" w:hAnsi="Arial"/>
                <w:sz w:val="17"/>
                <w:szCs w:val="17"/>
                <w:color w:val="auto"/>
              </w:rPr>
              <w:t>level that will affect behavior. Profit</w:t>
            </w:r>
          </w:p>
        </w:tc>
      </w:tr>
      <w:tr>
        <w:trPr>
          <w:trHeight w:val="233"/>
        </w:trPr>
        <w:tc>
          <w:tcPr>
            <w:tcW w:w="1120" w:type="dxa"/>
            <w:vAlign w:val="bottom"/>
          </w:tcPr>
          <w:p>
            <w:pPr>
              <w:spacing w:after="0"/>
              <w:rPr>
                <w:sz w:val="20"/>
                <w:szCs w:val="20"/>
                <w:color w:val="auto"/>
              </w:rPr>
            </w:pPr>
          </w:p>
        </w:tc>
        <w:tc>
          <w:tcPr>
            <w:tcW w:w="3500" w:type="dxa"/>
            <w:vAlign w:val="bottom"/>
          </w:tcPr>
          <w:p>
            <w:pPr>
              <w:ind w:left="140"/>
              <w:spacing w:after="0"/>
              <w:rPr>
                <w:sz w:val="20"/>
                <w:szCs w:val="20"/>
                <w:color w:val="auto"/>
              </w:rPr>
            </w:pPr>
            <w:r>
              <w:rPr>
                <w:rFonts w:ascii="Arial" w:cs="Arial" w:eastAsia="Arial" w:hAnsi="Arial"/>
                <w:sz w:val="17"/>
                <w:szCs w:val="17"/>
                <w:color w:val="auto"/>
              </w:rPr>
              <w:t>in it</w:t>
            </w:r>
          </w:p>
        </w:tc>
        <w:tc>
          <w:tcPr>
            <w:tcW w:w="3240" w:type="dxa"/>
            <w:vAlign w:val="bottom"/>
          </w:tcPr>
          <w:p>
            <w:pPr>
              <w:ind w:left="120"/>
              <w:spacing w:after="0"/>
              <w:rPr>
                <w:sz w:val="20"/>
                <w:szCs w:val="20"/>
                <w:color w:val="auto"/>
              </w:rPr>
            </w:pPr>
            <w:r>
              <w:rPr>
                <w:rFonts w:ascii="Arial" w:cs="Arial" w:eastAsia="Arial" w:hAnsi="Arial"/>
                <w:sz w:val="17"/>
                <w:szCs w:val="17"/>
                <w:color w:val="auto"/>
              </w:rPr>
              <w:t>sharing is paid in addition to any</w:t>
            </w:r>
          </w:p>
        </w:tc>
      </w:tr>
      <w:tr>
        <w:trPr>
          <w:trHeight w:val="233"/>
        </w:trPr>
        <w:tc>
          <w:tcPr>
            <w:tcW w:w="1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240" w:type="dxa"/>
            <w:vAlign w:val="bottom"/>
          </w:tcPr>
          <w:p>
            <w:pPr>
              <w:ind w:left="120"/>
              <w:spacing w:after="0"/>
              <w:rPr>
                <w:sz w:val="20"/>
                <w:szCs w:val="20"/>
                <w:color w:val="auto"/>
              </w:rPr>
            </w:pPr>
            <w:r>
              <w:rPr>
                <w:rFonts w:ascii="Arial" w:cs="Arial" w:eastAsia="Arial" w:hAnsi="Arial"/>
                <w:sz w:val="17"/>
                <w:szCs w:val="17"/>
                <w:color w:val="auto"/>
                <w:w w:val="99"/>
              </w:rPr>
              <w:t>performance bonus awarded for the year.</w:t>
            </w:r>
          </w:p>
        </w:tc>
      </w:tr>
      <w:tr>
        <w:trPr>
          <w:trHeight w:val="245"/>
        </w:trPr>
        <w:tc>
          <w:tcPr>
            <w:tcW w:w="112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240" w:type="dxa"/>
            <w:vAlign w:val="bottom"/>
          </w:tcPr>
          <w:p>
            <w:pPr>
              <w:ind w:left="380"/>
              <w:spacing w:after="0"/>
              <w:rPr>
                <w:sz w:val="20"/>
                <w:szCs w:val="20"/>
                <w:color w:val="auto"/>
              </w:rPr>
            </w:pPr>
            <w:r>
              <w:rPr>
                <w:rFonts w:ascii="Arial" w:cs="Arial" w:eastAsia="Arial" w:hAnsi="Arial"/>
                <w:sz w:val="17"/>
                <w:szCs w:val="17"/>
                <w:color w:val="auto"/>
              </w:rPr>
              <w:t>For the last eight years, the formula</w:t>
            </w:r>
          </w:p>
        </w:tc>
      </w:tr>
      <w:tr>
        <w:trPr>
          <w:trHeight w:val="233"/>
        </w:trPr>
        <w:tc>
          <w:tcPr>
            <w:tcW w:w="1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240" w:type="dxa"/>
            <w:vAlign w:val="bottom"/>
          </w:tcPr>
          <w:p>
            <w:pPr>
              <w:ind w:left="120"/>
              <w:spacing w:after="0"/>
              <w:rPr>
                <w:sz w:val="20"/>
                <w:szCs w:val="20"/>
                <w:color w:val="auto"/>
              </w:rPr>
            </w:pPr>
            <w:r>
              <w:rPr>
                <w:rFonts w:ascii="Arial" w:cs="Arial" w:eastAsia="Arial" w:hAnsi="Arial"/>
                <w:sz w:val="17"/>
                <w:szCs w:val="17"/>
                <w:color w:val="auto"/>
                <w:w w:val="98"/>
              </w:rPr>
              <w:t>has been based on company-level annual</w:t>
            </w:r>
          </w:p>
        </w:tc>
      </w:tr>
      <w:tr>
        <w:trPr>
          <w:trHeight w:val="233"/>
        </w:trPr>
        <w:tc>
          <w:tcPr>
            <w:tcW w:w="1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240" w:type="dxa"/>
            <w:vAlign w:val="bottom"/>
          </w:tcPr>
          <w:p>
            <w:pPr>
              <w:ind w:left="120"/>
              <w:spacing w:after="0"/>
              <w:rPr>
                <w:sz w:val="20"/>
                <w:szCs w:val="20"/>
                <w:color w:val="auto"/>
              </w:rPr>
            </w:pPr>
            <w:r>
              <w:rPr>
                <w:rFonts w:ascii="Arial" w:cs="Arial" w:eastAsia="Arial" w:hAnsi="Arial"/>
                <w:sz w:val="17"/>
                <w:szCs w:val="17"/>
                <w:color w:val="auto"/>
              </w:rPr>
              <w:t>operating profit margin. The formula was</w:t>
            </w:r>
          </w:p>
        </w:tc>
      </w:tr>
      <w:tr>
        <w:trPr>
          <w:trHeight w:val="233"/>
        </w:trPr>
        <w:tc>
          <w:tcPr>
            <w:tcW w:w="1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240" w:type="dxa"/>
            <w:vAlign w:val="bottom"/>
          </w:tcPr>
          <w:p>
            <w:pPr>
              <w:ind w:left="120"/>
              <w:spacing w:after="0"/>
              <w:rPr>
                <w:sz w:val="20"/>
                <w:szCs w:val="20"/>
                <w:color w:val="auto"/>
              </w:rPr>
            </w:pPr>
            <w:r>
              <w:rPr>
                <w:rFonts w:ascii="Arial" w:cs="Arial" w:eastAsia="Arial" w:hAnsi="Arial"/>
                <w:sz w:val="17"/>
                <w:szCs w:val="17"/>
                <w:color w:val="auto"/>
              </w:rPr>
              <w:t>set by the TI board. The committee’s</w:t>
            </w:r>
          </w:p>
        </w:tc>
      </w:tr>
      <w:tr>
        <w:trPr>
          <w:trHeight w:val="233"/>
        </w:trPr>
        <w:tc>
          <w:tcPr>
            <w:tcW w:w="1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240" w:type="dxa"/>
            <w:vAlign w:val="bottom"/>
          </w:tcPr>
          <w:p>
            <w:pPr>
              <w:ind w:left="120"/>
              <w:spacing w:after="0"/>
              <w:rPr>
                <w:sz w:val="20"/>
                <w:szCs w:val="20"/>
                <w:color w:val="auto"/>
              </w:rPr>
            </w:pPr>
            <w:r>
              <w:rPr>
                <w:rFonts w:ascii="Arial" w:cs="Arial" w:eastAsia="Arial" w:hAnsi="Arial"/>
                <w:sz w:val="17"/>
                <w:szCs w:val="17"/>
                <w:color w:val="auto"/>
              </w:rPr>
              <w:t>practice has been not to adjust amounts</w:t>
            </w:r>
          </w:p>
        </w:tc>
      </w:tr>
      <w:tr>
        <w:trPr>
          <w:trHeight w:val="233"/>
        </w:trPr>
        <w:tc>
          <w:tcPr>
            <w:tcW w:w="1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240" w:type="dxa"/>
            <w:vAlign w:val="bottom"/>
          </w:tcPr>
          <w:p>
            <w:pPr>
              <w:ind w:left="120"/>
              <w:spacing w:after="0"/>
              <w:rPr>
                <w:sz w:val="20"/>
                <w:szCs w:val="20"/>
                <w:color w:val="auto"/>
              </w:rPr>
            </w:pPr>
            <w:r>
              <w:rPr>
                <w:rFonts w:ascii="Arial" w:cs="Arial" w:eastAsia="Arial" w:hAnsi="Arial"/>
                <w:sz w:val="17"/>
                <w:szCs w:val="17"/>
                <w:color w:val="auto"/>
              </w:rPr>
              <w:t>earned under the formula.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-1622425</wp:posOffset>
            </wp:positionV>
            <wp:extent cx="7252335" cy="32245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2335" cy="32245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Paid twice monthly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40"/>
        <w:spacing w:after="0" w:line="303" w:lineRule="auto"/>
        <w:rPr>
          <w:sz w:val="20"/>
          <w:szCs w:val="20"/>
          <w:color w:val="auto"/>
        </w:rPr>
      </w:pPr>
      <w:r>
        <w:rPr>
          <w:rFonts w:ascii="Arial" w:cs="Arial" w:eastAsia="Arial" w:hAnsi="Arial"/>
          <w:sz w:val="16"/>
          <w:szCs w:val="16"/>
          <w:color w:val="auto"/>
        </w:rPr>
        <w:t>Payable in a single cash payment shortly after the end of the performance year</w:t>
      </w:r>
    </w:p>
    <w:p>
      <w:pPr>
        <w:spacing w:after="0" w:line="1" w:lineRule="exact"/>
        <w:rPr>
          <w:sz w:val="20"/>
          <w:szCs w:val="20"/>
          <w:color w:val="auto"/>
        </w:rPr>
      </w:pPr>
    </w:p>
    <w:p>
      <w:pPr>
        <w:ind w:right="120" w:firstLine="224"/>
        <w:spacing w:after="0" w:line="277" w:lineRule="auto"/>
        <w:rPr>
          <w:sz w:val="20"/>
          <w:szCs w:val="20"/>
          <w:color w:val="auto"/>
        </w:rPr>
      </w:pPr>
      <w:r>
        <w:rPr>
          <w:rFonts w:ascii="Arial" w:cs="Arial" w:eastAsia="Arial" w:hAnsi="Arial"/>
          <w:sz w:val="17"/>
          <w:szCs w:val="17"/>
          <w:color w:val="auto"/>
        </w:rPr>
        <w:t>As in recent years, the formula for 2012 was:</w:t>
      </w:r>
    </w:p>
    <w:p>
      <w:pPr>
        <w:spacing w:after="0" w:line="1" w:lineRule="exact"/>
        <w:rPr>
          <w:sz w:val="20"/>
          <w:szCs w:val="20"/>
          <w:color w:val="auto"/>
        </w:rPr>
      </w:pPr>
    </w:p>
    <w:p>
      <w:pPr>
        <w:ind w:left="720"/>
        <w:spacing w:after="0" w:line="285" w:lineRule="auto"/>
        <w:rPr>
          <w:sz w:val="20"/>
          <w:szCs w:val="20"/>
          <w:color w:val="auto"/>
        </w:rPr>
      </w:pPr>
      <w:r>
        <w:rPr>
          <w:rFonts w:ascii="Arial" w:cs="Arial" w:eastAsia="Arial" w:hAnsi="Arial"/>
          <w:sz w:val="17"/>
          <w:szCs w:val="17"/>
          <w:color w:val="auto"/>
        </w:rPr>
        <w:t>Below 10% company-level annual operating profit as a percentage of revenue (“Margin”): no profit sharing</w:t>
      </w:r>
    </w:p>
    <w:p>
      <w:pPr>
        <w:spacing w:after="0" w:line="2" w:lineRule="exact"/>
        <w:rPr>
          <w:sz w:val="20"/>
          <w:szCs w:val="20"/>
          <w:color w:val="auto"/>
        </w:rPr>
      </w:pPr>
    </w:p>
    <w:p>
      <w:pPr>
        <w:ind w:left="720" w:right="240"/>
        <w:spacing w:after="0" w:line="285" w:lineRule="auto"/>
        <w:rPr>
          <w:sz w:val="20"/>
          <w:szCs w:val="20"/>
          <w:color w:val="auto"/>
        </w:rPr>
      </w:pPr>
      <w:r>
        <w:rPr>
          <w:rFonts w:ascii="Arial" w:cs="Arial" w:eastAsia="Arial" w:hAnsi="Arial"/>
          <w:sz w:val="17"/>
          <w:szCs w:val="17"/>
          <w:color w:val="auto"/>
        </w:rPr>
        <w:t>At 10% Margin: profit sharing = 2% of base salary</w:t>
      </w:r>
    </w:p>
    <w:p>
      <w:pPr>
        <w:spacing w:after="0" w:line="1" w:lineRule="exact"/>
        <w:rPr>
          <w:sz w:val="20"/>
          <w:szCs w:val="20"/>
          <w:color w:val="auto"/>
        </w:rPr>
      </w:pPr>
    </w:p>
    <w:p>
      <w:pPr>
        <w:ind w:left="720" w:right="60"/>
        <w:spacing w:after="0" w:line="299" w:lineRule="auto"/>
        <w:rPr>
          <w:sz w:val="20"/>
          <w:szCs w:val="20"/>
          <w:color w:val="auto"/>
        </w:rPr>
      </w:pPr>
      <w:r>
        <w:rPr>
          <w:rFonts w:ascii="Arial" w:cs="Arial" w:eastAsia="Arial" w:hAnsi="Arial"/>
          <w:sz w:val="16"/>
          <w:szCs w:val="16"/>
          <w:color w:val="auto"/>
        </w:rPr>
        <w:t>At Margin above 10%: profit sharing increases by 0.5% of base salary for each percentage point of Margin between 10% and 24%, and 1% of base salary for each percentage point of Margin above 24%. The maximum profit sharing is 20% of base salary.</w:t>
      </w:r>
    </w:p>
    <w:p>
      <w:pPr>
        <w:spacing w:after="0" w:line="1"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color w:val="auto"/>
        </w:rPr>
        <w:t>In 2012, TI delivered Margin of 15.4%. As a result, all eligible employees, including executive officers, received profit sharing of 4.7% of base salary.</w:t>
      </w:r>
    </w:p>
    <w:p>
      <w:pPr>
        <w:spacing w:after="0" w:line="200" w:lineRule="exact"/>
        <w:rPr>
          <w:sz w:val="20"/>
          <w:szCs w:val="20"/>
          <w:color w:val="auto"/>
        </w:rPr>
      </w:pPr>
    </w:p>
    <w:p>
      <w:pPr>
        <w:sectPr>
          <w:pgSz w:w="11900" w:h="16838" w:orient="portrait"/>
          <w:cols w:equalWidth="0" w:num="2">
            <w:col w:w="7860" w:space="280"/>
            <w:col w:w="3280"/>
          </w:cols>
          <w:pgMar w:left="240" w:top="582" w:right="239" w:bottom="1440" w:gutter="0" w:footer="0" w:header="0"/>
          <w:type w:val="continuous"/>
        </w:sectPr>
      </w:pPr>
    </w:p>
    <w:p>
      <w:pPr>
        <w:spacing w:after="0" w:line="31" w:lineRule="exact"/>
        <w:rPr>
          <w:sz w:val="20"/>
          <w:szCs w:val="20"/>
          <w:color w:val="auto"/>
        </w:rPr>
      </w:pPr>
    </w:p>
    <w:p>
      <w:pPr>
        <w:spacing w:after="0"/>
        <w:tabs>
          <w:tab w:leader="none" w:pos="95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2"/>
          <w:szCs w:val="12"/>
          <w:b w:val="1"/>
          <w:bCs w:val="1"/>
          <w:color w:val="808285"/>
        </w:rPr>
        <w:t>2013 PROXY STATEMENT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type w:val="continuous"/>
        </w:sectPr>
      </w:pPr>
    </w:p>
    <w:bookmarkStart w:id="16" w:name="page17"/>
    <w:bookmarkEnd w:id="16"/>
    <w:p>
      <w:pPr>
        <w:spacing w:after="0"/>
        <w:tabs>
          <w:tab w:leader="none" w:pos="2640" w:val="left"/>
          <w:tab w:leader="none" w:pos="6100" w:val="left"/>
          <w:tab w:leader="none" w:pos="9620" w:val="left"/>
        </w:tabs>
        <w:rPr>
          <w:sz w:val="20"/>
          <w:szCs w:val="20"/>
          <w:color w:val="auto"/>
        </w:rPr>
      </w:pPr>
      <w:r>
        <w:rPr>
          <w:rFonts w:ascii="Arial" w:cs="Arial" w:eastAsia="Arial" w:hAnsi="Arial"/>
          <w:sz w:val="13"/>
          <w:szCs w:val="13"/>
          <w:b w:val="1"/>
          <w:bCs w:val="1"/>
          <w:color w:val="auto"/>
        </w:rPr>
        <w:t>Element</w:t>
      </w:r>
      <w:r>
        <w:rPr>
          <w:sz w:val="20"/>
          <w:szCs w:val="20"/>
          <w:color w:val="auto"/>
        </w:rPr>
        <w:tab/>
      </w:r>
      <w:r>
        <w:rPr>
          <w:rFonts w:ascii="Arial" w:cs="Arial" w:eastAsia="Arial" w:hAnsi="Arial"/>
          <w:sz w:val="13"/>
          <w:szCs w:val="13"/>
          <w:b w:val="1"/>
          <w:bCs w:val="1"/>
          <w:color w:val="auto"/>
        </w:rPr>
        <w:t>Purpose</w:t>
      </w:r>
      <w:r>
        <w:rPr>
          <w:sz w:val="20"/>
          <w:szCs w:val="20"/>
          <w:color w:val="auto"/>
        </w:rPr>
        <w:tab/>
      </w:r>
      <w:r>
        <w:rPr>
          <w:rFonts w:ascii="Arial" w:cs="Arial" w:eastAsia="Arial" w:hAnsi="Arial"/>
          <w:sz w:val="13"/>
          <w:szCs w:val="13"/>
          <w:b w:val="1"/>
          <w:bCs w:val="1"/>
          <w:color w:val="auto"/>
        </w:rPr>
        <w:t>Strategy</w:t>
      </w:r>
      <w:r>
        <w:rPr>
          <w:sz w:val="20"/>
          <w:szCs w:val="20"/>
          <w:color w:val="auto"/>
        </w:rPr>
        <w:tab/>
      </w:r>
      <w:r>
        <w:rPr>
          <w:rFonts w:ascii="Arial" w:cs="Arial" w:eastAsia="Arial" w:hAnsi="Arial"/>
          <w:sz w:val="12"/>
          <w:szCs w:val="12"/>
          <w:b w:val="1"/>
          <w:bCs w:val="1"/>
          <w:color w:val="auto"/>
        </w:rPr>
        <w:t>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252335" cy="36182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2335" cy="3618230"/>
                    </a:xfrm>
                    <a:prstGeom prst="rect">
                      <a:avLst/>
                    </a:prstGeom>
                    <a:noFill/>
                  </pic:spPr>
                </pic:pic>
              </a:graphicData>
            </a:graphic>
          </wp:anchor>
        </w:drawing>
      </w:r>
    </w:p>
    <w:p>
      <w:pPr>
        <w:sectPr>
          <w:pgSz w:w="11900" w:h="16838" w:orient="portrait"/>
          <w:cols w:equalWidth="0" w:num="1">
            <w:col w:w="11420"/>
          </w:cols>
          <w:pgMar w:left="240" w:top="394" w:right="239" w:bottom="1440" w:gutter="0" w:footer="0" w:header="0"/>
        </w:sectPr>
      </w:pPr>
    </w:p>
    <w:p>
      <w:pPr>
        <w:spacing w:after="0" w:line="103" w:lineRule="exact"/>
        <w:rPr>
          <w:sz w:val="20"/>
          <w:szCs w:val="20"/>
          <w:color w:val="auto"/>
        </w:rPr>
      </w:pPr>
    </w:p>
    <w:p>
      <w:pPr>
        <w:spacing w:after="0"/>
        <w:tabs>
          <w:tab w:leader="none" w:pos="1300" w:val="left"/>
        </w:tabs>
        <w:rPr>
          <w:sz w:val="20"/>
          <w:szCs w:val="20"/>
          <w:color w:val="auto"/>
        </w:rPr>
      </w:pPr>
      <w:r>
        <w:rPr>
          <w:rFonts w:ascii="Arial" w:cs="Arial" w:eastAsia="Arial" w:hAnsi="Arial"/>
          <w:sz w:val="17"/>
          <w:szCs w:val="17"/>
          <w:color w:val="auto"/>
        </w:rPr>
        <w:t>Performance</w:t>
      </w:r>
      <w:r>
        <w:rPr>
          <w:sz w:val="20"/>
          <w:szCs w:val="20"/>
          <w:color w:val="auto"/>
        </w:rPr>
        <w:tab/>
      </w:r>
      <w:r>
        <w:rPr>
          <w:rFonts w:ascii="Arial" w:cs="Arial" w:eastAsia="Arial" w:hAnsi="Arial"/>
          <w:sz w:val="17"/>
          <w:szCs w:val="17"/>
          <w:color w:val="auto"/>
        </w:rPr>
        <w:t>To motivate executives and reward them</w:t>
      </w:r>
    </w:p>
    <w:p>
      <w:pPr>
        <w:spacing w:after="0" w:line="37" w:lineRule="exact"/>
        <w:rPr>
          <w:sz w:val="20"/>
          <w:szCs w:val="20"/>
          <w:color w:val="auto"/>
        </w:rPr>
      </w:pPr>
    </w:p>
    <w:p>
      <w:pPr>
        <w:spacing w:after="0"/>
        <w:tabs>
          <w:tab w:leader="none" w:pos="1300" w:val="left"/>
        </w:tabs>
        <w:rPr>
          <w:sz w:val="20"/>
          <w:szCs w:val="20"/>
          <w:color w:val="auto"/>
        </w:rPr>
      </w:pPr>
      <w:r>
        <w:rPr>
          <w:rFonts w:ascii="Arial" w:cs="Arial" w:eastAsia="Arial" w:hAnsi="Arial"/>
          <w:sz w:val="17"/>
          <w:szCs w:val="17"/>
          <w:color w:val="auto"/>
        </w:rPr>
        <w:t>bonus</w:t>
      </w:r>
      <w:r>
        <w:rPr>
          <w:sz w:val="20"/>
          <w:szCs w:val="20"/>
          <w:color w:val="auto"/>
        </w:rPr>
        <w:tab/>
      </w:r>
      <w:r>
        <w:rPr>
          <w:rFonts w:ascii="Arial" w:cs="Arial" w:eastAsia="Arial" w:hAnsi="Arial"/>
          <w:sz w:val="17"/>
          <w:szCs w:val="17"/>
          <w:color w:val="auto"/>
        </w:rPr>
        <w:t>according to the company’s relative and</w:t>
      </w:r>
    </w:p>
    <w:p>
      <w:pPr>
        <w:spacing w:after="0" w:line="37" w:lineRule="exact"/>
        <w:rPr>
          <w:sz w:val="20"/>
          <w:szCs w:val="20"/>
          <w:color w:val="auto"/>
        </w:rPr>
      </w:pPr>
    </w:p>
    <w:p>
      <w:pPr>
        <w:ind w:left="1320"/>
        <w:spacing w:after="0" w:line="293" w:lineRule="auto"/>
        <w:rPr>
          <w:sz w:val="20"/>
          <w:szCs w:val="20"/>
          <w:color w:val="auto"/>
        </w:rPr>
      </w:pPr>
      <w:r>
        <w:rPr>
          <w:rFonts w:ascii="Arial" w:cs="Arial" w:eastAsia="Arial" w:hAnsi="Arial"/>
          <w:sz w:val="17"/>
          <w:szCs w:val="17"/>
          <w:color w:val="auto"/>
        </w:rPr>
        <w:t>absolute performance and the executive’s individual performance</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Determined primarily on the basis of one-year and three-year company performance on certain measures (revenue growth percent, operating margin and total</w:t>
      </w:r>
    </w:p>
    <w:p>
      <w:pPr>
        <w:spacing w:after="0" w:line="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shareholder return</w:t>
      </w:r>
      <w:r>
        <w:rPr>
          <w:rFonts w:ascii="Arial" w:cs="Arial" w:eastAsia="Arial" w:hAnsi="Arial"/>
          <w:sz w:val="27"/>
          <w:szCs w:val="27"/>
          <w:color w:val="auto"/>
          <w:vertAlign w:val="superscript"/>
        </w:rPr>
        <w:t>1</w:t>
      </w:r>
      <w:r>
        <w:rPr>
          <w:rFonts w:ascii="Arial" w:cs="Arial" w:eastAsia="Arial" w:hAnsi="Arial"/>
          <w:sz w:val="17"/>
          <w:szCs w:val="17"/>
          <w:color w:val="auto"/>
        </w:rPr>
        <w:t>) as compared to competitors and on our strategic progress in key markets and with customers. These factors have been chosen to reflect our near-term financial performance as well as our progress in building long-term shareholder value.</w:t>
      </w:r>
    </w:p>
    <w:p>
      <w:pPr>
        <w:spacing w:after="0" w:line="24" w:lineRule="exact"/>
        <w:rPr>
          <w:sz w:val="20"/>
          <w:szCs w:val="20"/>
          <w:color w:val="auto"/>
        </w:rPr>
      </w:pPr>
    </w:p>
    <w:p>
      <w:pPr>
        <w:ind w:right="100" w:firstLine="258"/>
        <w:spacing w:after="0" w:line="286" w:lineRule="auto"/>
        <w:rPr>
          <w:sz w:val="20"/>
          <w:szCs w:val="20"/>
          <w:color w:val="auto"/>
        </w:rPr>
      </w:pPr>
      <w:r>
        <w:rPr>
          <w:rFonts w:ascii="Arial" w:cs="Arial" w:eastAsia="Arial" w:hAnsi="Arial"/>
          <w:sz w:val="17"/>
          <w:szCs w:val="17"/>
          <w:color w:val="auto"/>
        </w:rPr>
        <w:t>The committee aims to pay total cash compensation (base salary, profit sharing and bonus) appropriately above median if company performance is above that of competitors, and pay total cash compensation appropriately below the median if company performance is below competitors.</w:t>
      </w:r>
    </w:p>
    <w:p>
      <w:pPr>
        <w:spacing w:after="0" w:line="10" w:lineRule="exact"/>
        <w:rPr>
          <w:sz w:val="20"/>
          <w:szCs w:val="20"/>
          <w:color w:val="auto"/>
        </w:rPr>
      </w:pPr>
    </w:p>
    <w:p>
      <w:pPr>
        <w:ind w:right="280" w:firstLine="258"/>
        <w:spacing w:after="0" w:line="287" w:lineRule="auto"/>
        <w:rPr>
          <w:sz w:val="20"/>
          <w:szCs w:val="20"/>
          <w:color w:val="auto"/>
        </w:rPr>
      </w:pPr>
      <w:r>
        <w:rPr>
          <w:rFonts w:ascii="Arial" w:cs="Arial" w:eastAsia="Arial" w:hAnsi="Arial"/>
          <w:sz w:val="17"/>
          <w:szCs w:val="17"/>
          <w:color w:val="auto"/>
        </w:rPr>
        <w:t>The committee does not rely on formulas or performance targets or thresholds. Instead it uses its judgment based on its assessment of the factors described above.</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Determined by the committee and paid in a single payment after the performance year</w:t>
      </w:r>
    </w:p>
    <w:p>
      <w:pPr>
        <w:spacing w:after="0" w:line="5171" w:lineRule="exact"/>
        <w:rPr>
          <w:sz w:val="20"/>
          <w:szCs w:val="20"/>
          <w:color w:val="auto"/>
        </w:rPr>
      </w:pPr>
    </w:p>
    <w:p>
      <w:pPr>
        <w:sectPr>
          <w:pgSz w:w="11900" w:h="16838" w:orient="portrait"/>
          <w:cols w:equalWidth="0" w:num="3">
            <w:col w:w="4420" w:space="360"/>
            <w:col w:w="3180" w:space="280"/>
            <w:col w:w="3180"/>
          </w:cols>
          <w:pgMar w:left="240" w:top="394"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Long-term compensation, awarded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7252335" cy="147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2335" cy="147955"/>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80" w:type="dxa"/>
            <w:vAlign w:val="bottom"/>
            <w:shd w:val="clear" w:color="auto" w:fill="E9E9E9"/>
          </w:tcPr>
          <w:p>
            <w:pPr>
              <w:spacing w:after="0"/>
              <w:rPr>
                <w:sz w:val="20"/>
                <w:szCs w:val="20"/>
                <w:color w:val="auto"/>
              </w:rPr>
            </w:pPr>
            <w:r>
              <w:rPr>
                <w:rFonts w:ascii="Arial" w:cs="Arial" w:eastAsia="Arial" w:hAnsi="Arial"/>
                <w:sz w:val="17"/>
                <w:szCs w:val="17"/>
                <w:color w:val="auto"/>
              </w:rPr>
              <w:t>Stock options</w:t>
            </w:r>
          </w:p>
        </w:tc>
        <w:tc>
          <w:tcPr>
            <w:tcW w:w="3460" w:type="dxa"/>
            <w:vAlign w:val="bottom"/>
            <w:shd w:val="clear" w:color="auto" w:fill="E9E9E9"/>
          </w:tcPr>
          <w:p>
            <w:pPr>
              <w:ind w:left="140"/>
              <w:spacing w:after="0"/>
              <w:rPr>
                <w:sz w:val="20"/>
                <w:szCs w:val="20"/>
                <w:color w:val="auto"/>
              </w:rPr>
            </w:pPr>
            <w:r>
              <w:rPr>
                <w:rFonts w:ascii="Arial" w:cs="Arial" w:eastAsia="Arial" w:hAnsi="Arial"/>
                <w:sz w:val="17"/>
                <w:szCs w:val="17"/>
                <w:color w:val="auto"/>
              </w:rPr>
              <w:t>Alignment with shareholders; long-term</w:t>
            </w:r>
          </w:p>
        </w:tc>
        <w:tc>
          <w:tcPr>
            <w:tcW w:w="3360" w:type="dxa"/>
            <w:vAlign w:val="bottom"/>
            <w:shd w:val="clear" w:color="auto" w:fill="E9E9E9"/>
          </w:tcPr>
          <w:p>
            <w:pPr>
              <w:ind w:left="140"/>
              <w:spacing w:after="0"/>
              <w:rPr>
                <w:sz w:val="20"/>
                <w:szCs w:val="20"/>
                <w:color w:val="auto"/>
              </w:rPr>
            </w:pPr>
            <w:r>
              <w:rPr>
                <w:rFonts w:ascii="Arial" w:cs="Arial" w:eastAsia="Arial" w:hAnsi="Arial"/>
                <w:sz w:val="17"/>
                <w:szCs w:val="17"/>
                <w:color w:val="auto"/>
              </w:rPr>
              <w:t>We grant a combination of nonqualified</w:t>
            </w:r>
          </w:p>
        </w:tc>
        <w:tc>
          <w:tcPr>
            <w:tcW w:w="3420" w:type="dxa"/>
            <w:vAlign w:val="bottom"/>
            <w:shd w:val="clear" w:color="auto" w:fill="E9E9E9"/>
          </w:tcPr>
          <w:p>
            <w:pPr>
              <w:ind w:left="240"/>
              <w:spacing w:after="0"/>
              <w:rPr>
                <w:sz w:val="20"/>
                <w:szCs w:val="20"/>
                <w:color w:val="auto"/>
              </w:rPr>
            </w:pPr>
            <w:r>
              <w:rPr>
                <w:rFonts w:ascii="Arial" w:cs="Arial" w:eastAsia="Arial" w:hAnsi="Arial"/>
                <w:sz w:val="17"/>
                <w:szCs w:val="17"/>
                <w:color w:val="auto"/>
              </w:rPr>
              <w:t>The terms and conditions of stock options</w:t>
            </w:r>
          </w:p>
        </w:tc>
      </w:tr>
      <w:tr>
        <w:trPr>
          <w:trHeight w:val="229"/>
        </w:trPr>
        <w:tc>
          <w:tcPr>
            <w:tcW w:w="1180" w:type="dxa"/>
            <w:vAlign w:val="bottom"/>
            <w:shd w:val="clear" w:color="auto" w:fill="E9E9E9"/>
          </w:tcPr>
          <w:p>
            <w:pPr>
              <w:spacing w:after="0"/>
              <w:rPr>
                <w:sz w:val="20"/>
                <w:szCs w:val="20"/>
                <w:color w:val="auto"/>
              </w:rPr>
            </w:pPr>
            <w:r>
              <w:rPr>
                <w:rFonts w:ascii="Arial" w:cs="Arial" w:eastAsia="Arial" w:hAnsi="Arial"/>
                <w:sz w:val="17"/>
                <w:szCs w:val="17"/>
                <w:color w:val="auto"/>
              </w:rPr>
              <w:t>and restricted</w:t>
            </w:r>
          </w:p>
        </w:tc>
        <w:tc>
          <w:tcPr>
            <w:tcW w:w="3460" w:type="dxa"/>
            <w:vAlign w:val="bottom"/>
            <w:shd w:val="clear" w:color="auto" w:fill="E9E9E9"/>
          </w:tcPr>
          <w:p>
            <w:pPr>
              <w:ind w:left="140"/>
              <w:spacing w:after="0"/>
              <w:rPr>
                <w:sz w:val="20"/>
                <w:szCs w:val="20"/>
                <w:color w:val="auto"/>
              </w:rPr>
            </w:pPr>
            <w:r>
              <w:rPr>
                <w:rFonts w:ascii="Arial" w:cs="Arial" w:eastAsia="Arial" w:hAnsi="Arial"/>
                <w:sz w:val="17"/>
                <w:szCs w:val="17"/>
                <w:color w:val="auto"/>
              </w:rPr>
              <w:t>focus; retention, particularly with respect to</w:t>
            </w:r>
          </w:p>
        </w:tc>
        <w:tc>
          <w:tcPr>
            <w:tcW w:w="3360" w:type="dxa"/>
            <w:vAlign w:val="bottom"/>
            <w:shd w:val="clear" w:color="auto" w:fill="E9E9E9"/>
          </w:tcPr>
          <w:p>
            <w:pPr>
              <w:ind w:left="140"/>
              <w:spacing w:after="0"/>
              <w:rPr>
                <w:sz w:val="20"/>
                <w:szCs w:val="20"/>
                <w:color w:val="auto"/>
              </w:rPr>
            </w:pPr>
            <w:r>
              <w:rPr>
                <w:rFonts w:ascii="Arial" w:cs="Arial" w:eastAsia="Arial" w:hAnsi="Arial"/>
                <w:sz w:val="17"/>
                <w:szCs w:val="17"/>
                <w:color w:val="auto"/>
              </w:rPr>
              <w:t>(NQ) stock options and restricted stock</w:t>
            </w:r>
          </w:p>
        </w:tc>
        <w:tc>
          <w:tcPr>
            <w:tcW w:w="3420" w:type="dxa"/>
            <w:vAlign w:val="bottom"/>
            <w:shd w:val="clear" w:color="auto" w:fill="E9E9E9"/>
          </w:tcPr>
          <w:p>
            <w:pPr>
              <w:ind w:left="240"/>
              <w:spacing w:after="0"/>
              <w:rPr>
                <w:sz w:val="20"/>
                <w:szCs w:val="20"/>
                <w:color w:val="auto"/>
              </w:rPr>
            </w:pPr>
            <w:r>
              <w:rPr>
                <w:rFonts w:ascii="Arial" w:cs="Arial" w:eastAsia="Arial" w:hAnsi="Arial"/>
                <w:sz w:val="17"/>
                <w:szCs w:val="17"/>
                <w:color w:val="auto"/>
              </w:rPr>
              <w:t>and restricted stock units are summarized</w:t>
            </w:r>
          </w:p>
        </w:tc>
      </w:tr>
      <w:tr>
        <w:trPr>
          <w:trHeight w:val="233"/>
        </w:trPr>
        <w:tc>
          <w:tcPr>
            <w:tcW w:w="1180" w:type="dxa"/>
            <w:vAlign w:val="bottom"/>
            <w:shd w:val="clear" w:color="auto" w:fill="E9E9E9"/>
          </w:tcPr>
          <w:p>
            <w:pPr>
              <w:spacing w:after="0"/>
              <w:rPr>
                <w:sz w:val="20"/>
                <w:szCs w:val="20"/>
                <w:color w:val="auto"/>
              </w:rPr>
            </w:pPr>
            <w:r>
              <w:rPr>
                <w:rFonts w:ascii="Arial" w:cs="Arial" w:eastAsia="Arial" w:hAnsi="Arial"/>
                <w:sz w:val="17"/>
                <w:szCs w:val="17"/>
                <w:color w:val="auto"/>
              </w:rPr>
              <w:t>stock units</w:t>
            </w:r>
          </w:p>
        </w:tc>
        <w:tc>
          <w:tcPr>
            <w:tcW w:w="3460" w:type="dxa"/>
            <w:vAlign w:val="bottom"/>
            <w:shd w:val="clear" w:color="auto" w:fill="E9E9E9"/>
          </w:tcPr>
          <w:p>
            <w:pPr>
              <w:ind w:left="140"/>
              <w:spacing w:after="0"/>
              <w:rPr>
                <w:sz w:val="20"/>
                <w:szCs w:val="20"/>
                <w:color w:val="auto"/>
              </w:rPr>
            </w:pPr>
            <w:r>
              <w:rPr>
                <w:rFonts w:ascii="Arial" w:cs="Arial" w:eastAsia="Arial" w:hAnsi="Arial"/>
                <w:sz w:val="17"/>
                <w:szCs w:val="17"/>
                <w:color w:val="auto"/>
              </w:rPr>
              <w:t>restricted stock units</w:t>
            </w:r>
          </w:p>
        </w:tc>
        <w:tc>
          <w:tcPr>
            <w:tcW w:w="3360" w:type="dxa"/>
            <w:vAlign w:val="bottom"/>
            <w:shd w:val="clear" w:color="auto" w:fill="E9E9E9"/>
          </w:tcPr>
          <w:p>
            <w:pPr>
              <w:ind w:left="140"/>
              <w:spacing w:after="0"/>
              <w:rPr>
                <w:sz w:val="20"/>
                <w:szCs w:val="20"/>
                <w:color w:val="auto"/>
              </w:rPr>
            </w:pPr>
            <w:r>
              <w:rPr>
                <w:rFonts w:ascii="Arial" w:cs="Arial" w:eastAsia="Arial" w:hAnsi="Arial"/>
                <w:sz w:val="17"/>
                <w:szCs w:val="17"/>
                <w:color w:val="auto"/>
              </w:rPr>
              <w:t>units, generally targeted at the median</w:t>
            </w:r>
          </w:p>
        </w:tc>
        <w:tc>
          <w:tcPr>
            <w:tcW w:w="3420" w:type="dxa"/>
            <w:vAlign w:val="bottom"/>
            <w:shd w:val="clear" w:color="auto" w:fill="E9E9E9"/>
          </w:tcPr>
          <w:p>
            <w:pPr>
              <w:ind w:left="240"/>
              <w:spacing w:after="0"/>
              <w:rPr>
                <w:sz w:val="20"/>
                <w:szCs w:val="20"/>
                <w:color w:val="auto"/>
              </w:rPr>
            </w:pPr>
            <w:r>
              <w:rPr>
                <w:rFonts w:ascii="Arial" w:cs="Arial" w:eastAsia="Arial" w:hAnsi="Arial"/>
                <w:sz w:val="17"/>
                <w:szCs w:val="17"/>
                <w:color w:val="auto"/>
              </w:rPr>
              <w:t>on page 85. The committee’s grant</w:t>
            </w:r>
          </w:p>
        </w:tc>
      </w:tr>
      <w:tr>
        <w:trPr>
          <w:trHeight w:val="233"/>
        </w:trPr>
        <w:tc>
          <w:tcPr>
            <w:tcW w:w="1180" w:type="dxa"/>
            <w:vAlign w:val="bottom"/>
            <w:shd w:val="clear" w:color="auto" w:fill="E9E9E9"/>
          </w:tcPr>
          <w:p>
            <w:pPr>
              <w:spacing w:after="0"/>
              <w:rPr>
                <w:sz w:val="20"/>
                <w:szCs w:val="20"/>
                <w:color w:val="auto"/>
              </w:rPr>
            </w:pPr>
          </w:p>
        </w:tc>
        <w:tc>
          <w:tcPr>
            <w:tcW w:w="3460" w:type="dxa"/>
            <w:vAlign w:val="bottom"/>
            <w:shd w:val="clear" w:color="auto" w:fill="E9E9E9"/>
          </w:tcPr>
          <w:p>
            <w:pPr>
              <w:spacing w:after="0"/>
              <w:rPr>
                <w:sz w:val="20"/>
                <w:szCs w:val="20"/>
                <w:color w:val="auto"/>
              </w:rPr>
            </w:pPr>
          </w:p>
        </w:tc>
        <w:tc>
          <w:tcPr>
            <w:tcW w:w="3360" w:type="dxa"/>
            <w:vAlign w:val="bottom"/>
            <w:shd w:val="clear" w:color="auto" w:fill="E9E9E9"/>
          </w:tcPr>
          <w:p>
            <w:pPr>
              <w:ind w:left="140"/>
              <w:spacing w:after="0"/>
              <w:rPr>
                <w:sz w:val="20"/>
                <w:szCs w:val="20"/>
                <w:color w:val="auto"/>
              </w:rPr>
            </w:pPr>
            <w:r>
              <w:rPr>
                <w:rFonts w:ascii="Arial" w:cs="Arial" w:eastAsia="Arial" w:hAnsi="Arial"/>
                <w:sz w:val="17"/>
                <w:szCs w:val="17"/>
                <w:color w:val="auto"/>
              </w:rPr>
              <w:t>level of equity compensation awarded to</w:t>
            </w:r>
          </w:p>
        </w:tc>
        <w:tc>
          <w:tcPr>
            <w:tcW w:w="3420" w:type="dxa"/>
            <w:vAlign w:val="bottom"/>
            <w:shd w:val="clear" w:color="auto" w:fill="E9E9E9"/>
          </w:tcPr>
          <w:p>
            <w:pPr>
              <w:ind w:left="240"/>
              <w:spacing w:after="0"/>
              <w:rPr>
                <w:sz w:val="20"/>
                <w:szCs w:val="20"/>
                <w:color w:val="auto"/>
              </w:rPr>
            </w:pPr>
            <w:r>
              <w:rPr>
                <w:rFonts w:ascii="Arial" w:cs="Arial" w:eastAsia="Arial" w:hAnsi="Arial"/>
                <w:sz w:val="17"/>
                <w:szCs w:val="17"/>
                <w:color w:val="auto"/>
              </w:rPr>
              <w:t>procedures are described on page 77.</w:t>
            </w:r>
          </w:p>
        </w:tc>
      </w:tr>
      <w:tr>
        <w:trPr>
          <w:trHeight w:val="233"/>
        </w:trPr>
        <w:tc>
          <w:tcPr>
            <w:tcW w:w="1180" w:type="dxa"/>
            <w:vAlign w:val="bottom"/>
            <w:shd w:val="clear" w:color="auto" w:fill="E9E9E9"/>
          </w:tcPr>
          <w:p>
            <w:pPr>
              <w:spacing w:after="0"/>
              <w:rPr>
                <w:sz w:val="20"/>
                <w:szCs w:val="20"/>
                <w:color w:val="auto"/>
              </w:rPr>
            </w:pPr>
          </w:p>
        </w:tc>
        <w:tc>
          <w:tcPr>
            <w:tcW w:w="3460" w:type="dxa"/>
            <w:vAlign w:val="bottom"/>
            <w:shd w:val="clear" w:color="auto" w:fill="E9E9E9"/>
          </w:tcPr>
          <w:p>
            <w:pPr>
              <w:spacing w:after="0"/>
              <w:rPr>
                <w:sz w:val="20"/>
                <w:szCs w:val="20"/>
                <w:color w:val="auto"/>
              </w:rPr>
            </w:pPr>
          </w:p>
        </w:tc>
        <w:tc>
          <w:tcPr>
            <w:tcW w:w="3360" w:type="dxa"/>
            <w:vAlign w:val="bottom"/>
            <w:shd w:val="clear" w:color="auto" w:fill="E9E9E9"/>
          </w:tcPr>
          <w:p>
            <w:pPr>
              <w:ind w:left="140"/>
              <w:spacing w:after="0"/>
              <w:rPr>
                <w:sz w:val="20"/>
                <w:szCs w:val="20"/>
                <w:color w:val="auto"/>
              </w:rPr>
            </w:pPr>
            <w:r>
              <w:rPr>
                <w:rFonts w:ascii="Arial" w:cs="Arial" w:eastAsia="Arial" w:hAnsi="Arial"/>
                <w:sz w:val="17"/>
                <w:szCs w:val="17"/>
                <w:color w:val="auto"/>
              </w:rPr>
              <w:t>executives in similar positions at the</w:t>
            </w:r>
          </w:p>
        </w:tc>
        <w:tc>
          <w:tcPr>
            <w:tcW w:w="3420" w:type="dxa"/>
            <w:vAlign w:val="bottom"/>
            <w:shd w:val="clear" w:color="auto" w:fill="E9E9E9"/>
          </w:tcPr>
          <w:p>
            <w:pPr>
              <w:spacing w:after="0"/>
              <w:rPr>
                <w:sz w:val="20"/>
                <w:szCs w:val="20"/>
                <w:color w:val="auto"/>
              </w:rPr>
            </w:pPr>
          </w:p>
        </w:tc>
      </w:tr>
      <w:tr>
        <w:trPr>
          <w:trHeight w:val="247"/>
        </w:trPr>
        <w:tc>
          <w:tcPr>
            <w:tcW w:w="1180" w:type="dxa"/>
            <w:vAlign w:val="bottom"/>
            <w:shd w:val="clear" w:color="auto" w:fill="E9E9E9"/>
          </w:tcPr>
          <w:p>
            <w:pPr>
              <w:spacing w:after="0"/>
              <w:rPr>
                <w:sz w:val="21"/>
                <w:szCs w:val="21"/>
                <w:color w:val="auto"/>
              </w:rPr>
            </w:pPr>
          </w:p>
        </w:tc>
        <w:tc>
          <w:tcPr>
            <w:tcW w:w="3460" w:type="dxa"/>
            <w:vAlign w:val="bottom"/>
            <w:shd w:val="clear" w:color="auto" w:fill="E9E9E9"/>
          </w:tcPr>
          <w:p>
            <w:pPr>
              <w:spacing w:after="0"/>
              <w:rPr>
                <w:sz w:val="21"/>
                <w:szCs w:val="21"/>
                <w:color w:val="auto"/>
              </w:rPr>
            </w:pPr>
          </w:p>
        </w:tc>
        <w:tc>
          <w:tcPr>
            <w:tcW w:w="3360" w:type="dxa"/>
            <w:vAlign w:val="bottom"/>
            <w:shd w:val="clear" w:color="auto" w:fill="E9E9E9"/>
          </w:tcPr>
          <w:p>
            <w:pPr>
              <w:ind w:left="140"/>
              <w:spacing w:after="0"/>
              <w:rPr>
                <w:sz w:val="20"/>
                <w:szCs w:val="20"/>
                <w:color w:val="auto"/>
              </w:rPr>
            </w:pPr>
            <w:r>
              <w:rPr>
                <w:rFonts w:ascii="Arial" w:cs="Arial" w:eastAsia="Arial" w:hAnsi="Arial"/>
                <w:sz w:val="17"/>
                <w:szCs w:val="17"/>
                <w:color w:val="auto"/>
              </w:rPr>
              <w:t>Comparator Group.</w:t>
            </w:r>
          </w:p>
        </w:tc>
        <w:tc>
          <w:tcPr>
            <w:tcW w:w="3420" w:type="dxa"/>
            <w:vAlign w:val="bottom"/>
            <w:shd w:val="clear" w:color="auto" w:fill="E9E9E9"/>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Comparator group</w:t>
      </w:r>
    </w:p>
    <w:p>
      <w:pPr>
        <w:ind w:right="240"/>
        <w:spacing w:after="0"/>
        <w:rPr>
          <w:sz w:val="20"/>
          <w:szCs w:val="20"/>
          <w:color w:val="auto"/>
        </w:rPr>
      </w:pPr>
      <w:r>
        <w:rPr>
          <w:rFonts w:ascii="Arial" w:cs="Arial" w:eastAsia="Arial" w:hAnsi="Arial"/>
          <w:sz w:val="17"/>
          <w:szCs w:val="17"/>
          <w:color w:val="auto"/>
        </w:rPr>
        <w:t>The Compensation Committee considers the market level of compensation when setting the salary, bonuses and equity compensation of the executive officers. The committee targets salary below market median in order to weight total compensation to performance-based elements. To estimate the market level of pay, the committee uses information provided by its compensation consultant and TI’s Compensation and Benefits organization about compensation paid to executives in similar positions at a peer group of companies (the “Comparator Group”).</w:t>
      </w:r>
    </w:p>
    <w:p>
      <w:pPr>
        <w:spacing w:after="0" w:line="19" w:lineRule="exact"/>
        <w:rPr>
          <w:sz w:val="20"/>
          <w:szCs w:val="20"/>
          <w:color w:val="auto"/>
        </w:rPr>
      </w:pPr>
    </w:p>
    <w:p>
      <w:pPr>
        <w:ind w:right="140" w:firstLine="258"/>
        <w:spacing w:after="0" w:line="249" w:lineRule="auto"/>
        <w:rPr>
          <w:sz w:val="20"/>
          <w:szCs w:val="20"/>
          <w:color w:val="auto"/>
        </w:rPr>
      </w:pPr>
      <w:r>
        <w:rPr>
          <w:rFonts w:ascii="Arial" w:cs="Arial" w:eastAsia="Arial" w:hAnsi="Arial"/>
          <w:sz w:val="17"/>
          <w:szCs w:val="17"/>
          <w:color w:val="auto"/>
        </w:rPr>
        <w:t>The committee sets the Comparator Group. In general, the Comparator Group companies (1) are U.S.-based, (2) engage in the semiconductor business or other electronics or information technology activities, (3) have executive positions comparable in complexity to those of TI and (4) use forms of executive compensation comparable to TI’s.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230" w:lineRule="exact"/>
        <w:rPr>
          <w:sz w:val="20"/>
          <w:szCs w:val="20"/>
          <w:color w:val="auto"/>
        </w:rPr>
      </w:pPr>
    </w:p>
    <w:p>
      <w:pPr>
        <w:ind w:left="360" w:right="240" w:hanging="357"/>
        <w:spacing w:after="0" w:line="245" w:lineRule="auto"/>
        <w:tabs>
          <w:tab w:leader="none" w:pos="3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Total shareholder return refers to the percentage change in the value of a stockholder’s investment in a company over the relevant time period, as determined by dividends paid and the change in the company’s share price during the period. See page 74.</w:t>
      </w:r>
    </w:p>
    <w:p>
      <w:pPr>
        <w:spacing w:after="0" w:line="240" w:lineRule="exact"/>
        <w:rPr>
          <w:sz w:val="20"/>
          <w:szCs w:val="20"/>
          <w:color w:val="auto"/>
        </w:rPr>
      </w:pPr>
    </w:p>
    <w:p>
      <w:pPr>
        <w:spacing w:after="0"/>
        <w:tabs>
          <w:tab w:leader="none" w:pos="10000" w:val="left"/>
        </w:tabs>
        <w:rPr>
          <w:sz w:val="20"/>
          <w:szCs w:val="20"/>
          <w:color w:val="auto"/>
        </w:rPr>
      </w:pPr>
      <w:r>
        <w:rPr>
          <w:rFonts w:ascii="Arial" w:cs="Arial" w:eastAsia="Arial" w:hAnsi="Arial"/>
          <w:sz w:val="13"/>
          <w:szCs w:val="13"/>
          <w:b w:val="1"/>
          <w:bCs w:val="1"/>
          <w:color w:val="808285"/>
        </w:rPr>
        <w:t>70 •  2013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94" w:right="239" w:bottom="1440" w:gutter="0" w:footer="0" w:header="0"/>
          <w:type w:val="continuous"/>
        </w:sectPr>
      </w:pPr>
    </w:p>
    <w:bookmarkStart w:id="17" w:name="page18"/>
    <w:bookmarkEnd w:id="17"/>
    <w:p>
      <w:pPr>
        <w:ind w:left="240"/>
        <w:spacing w:after="0"/>
        <w:rPr>
          <w:sz w:val="20"/>
          <w:szCs w:val="20"/>
          <w:color w:val="auto"/>
        </w:rPr>
      </w:pPr>
      <w:r>
        <w:rPr>
          <w:rFonts w:ascii="Arial" w:cs="Arial" w:eastAsia="Arial" w:hAnsi="Arial"/>
          <w:sz w:val="16"/>
          <w:szCs w:val="16"/>
          <w:color w:val="auto"/>
        </w:rPr>
        <w:t>Shown in the table below is the Comparator Group used for the compensation decisions for 2012.</w:t>
      </w:r>
    </w:p>
    <w:p>
      <w:pPr>
        <w:sectPr>
          <w:pgSz w:w="11900" w:h="16838" w:orient="portrait"/>
          <w:cols w:equalWidth="0" w:num="1">
            <w:col w:w="11420"/>
          </w:cols>
          <w:pgMar w:left="240" w:top="582" w:right="239" w:bottom="1440" w:gutter="0" w:footer="0" w:header="0"/>
        </w:sectPr>
      </w:pPr>
    </w:p>
    <w:p>
      <w:pPr>
        <w:spacing w:after="0" w:line="229"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Analog Devices, Inc.</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Intel Corporation</w:t>
      </w:r>
    </w:p>
    <w:p>
      <w:pPr>
        <w:spacing w:after="0" w:line="37" w:lineRule="exact"/>
        <w:rPr>
          <w:sz w:val="20"/>
          <w:szCs w:val="20"/>
          <w:color w:val="auto"/>
        </w:rPr>
      </w:pPr>
    </w:p>
    <w:p>
      <w:pPr>
        <w:sectPr>
          <w:pgSz w:w="11900" w:h="16838" w:orient="portrait"/>
          <w:cols w:equalWidth="0" w:num="2">
            <w:col w:w="4520" w:space="720"/>
            <w:col w:w="6180"/>
          </w:cols>
          <w:pgMar w:left="240" w:top="582" w:right="239" w:bottom="1440" w:gutter="0" w:footer="0" w:header="0"/>
          <w:type w:val="continuous"/>
        </w:sectPr>
      </w:pPr>
    </w:p>
    <w:p>
      <w:pPr>
        <w:jc w:val="center"/>
        <w:ind w:left="580"/>
        <w:spacing w:after="0"/>
        <w:rPr>
          <w:sz w:val="20"/>
          <w:szCs w:val="20"/>
          <w:color w:val="auto"/>
        </w:rPr>
      </w:pPr>
      <w:r>
        <w:rPr>
          <w:rFonts w:ascii="Arial" w:cs="Arial" w:eastAsia="Arial" w:hAnsi="Arial"/>
          <w:sz w:val="16"/>
          <w:szCs w:val="16"/>
          <w:color w:val="auto"/>
        </w:rPr>
        <w:t>Applied Materials,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Motorola Solutions, Inc.</w:t>
      </w:r>
    </w:p>
    <w:p>
      <w:pPr>
        <w:spacing w:after="0" w:line="49" w:lineRule="exact"/>
        <w:rPr>
          <w:sz w:val="20"/>
          <w:szCs w:val="20"/>
          <w:color w:val="auto"/>
        </w:rPr>
      </w:pPr>
    </w:p>
    <w:p>
      <w:pPr>
        <w:sectPr>
          <w:pgSz w:w="11900" w:h="16838" w:orient="portrait"/>
          <w:cols w:equalWidth="0" w:num="2">
            <w:col w:w="4520" w:space="720"/>
            <w:col w:w="6180"/>
          </w:cols>
          <w:pgMar w:left="240" w:top="582" w:right="239" w:bottom="1440" w:gutter="0" w:footer="0" w:header="0"/>
          <w:type w:val="continuous"/>
        </w:sectPr>
      </w:pPr>
    </w:p>
    <w:p>
      <w:pPr>
        <w:jc w:val="center"/>
        <w:ind w:left="620"/>
        <w:spacing w:after="0"/>
        <w:rPr>
          <w:sz w:val="20"/>
          <w:szCs w:val="20"/>
          <w:color w:val="auto"/>
        </w:rPr>
      </w:pPr>
      <w:r>
        <w:rPr>
          <w:rFonts w:ascii="Arial" w:cs="Arial" w:eastAsia="Arial" w:hAnsi="Arial"/>
          <w:sz w:val="16"/>
          <w:szCs w:val="16"/>
          <w:color w:val="auto"/>
        </w:rPr>
        <w:t>Broadcom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Oracle Corporation</w:t>
      </w:r>
    </w:p>
    <w:p>
      <w:pPr>
        <w:spacing w:after="0" w:line="49" w:lineRule="exact"/>
        <w:rPr>
          <w:sz w:val="20"/>
          <w:szCs w:val="20"/>
          <w:color w:val="auto"/>
        </w:rPr>
      </w:pPr>
    </w:p>
    <w:p>
      <w:pPr>
        <w:sectPr>
          <w:pgSz w:w="11900" w:h="16838" w:orient="portrait"/>
          <w:cols w:equalWidth="0" w:num="2">
            <w:col w:w="4520" w:space="720"/>
            <w:col w:w="6180"/>
          </w:cols>
          <w:pgMar w:left="240" w:top="582"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Cisco Systems,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QUALCOMM Incorporated</w:t>
      </w:r>
    </w:p>
    <w:p>
      <w:pPr>
        <w:spacing w:after="0" w:line="49" w:lineRule="exact"/>
        <w:rPr>
          <w:sz w:val="20"/>
          <w:szCs w:val="20"/>
          <w:color w:val="auto"/>
        </w:rPr>
      </w:pPr>
    </w:p>
    <w:p>
      <w:pPr>
        <w:sectPr>
          <w:pgSz w:w="11900" w:h="16838" w:orient="portrait"/>
          <w:cols w:equalWidth="0" w:num="2">
            <w:col w:w="4520" w:space="720"/>
            <w:col w:w="6180"/>
          </w:cols>
          <w:pgMar w:left="240" w:top="582"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Computer Sciences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Seagate Technology</w:t>
      </w:r>
    </w:p>
    <w:p>
      <w:pPr>
        <w:spacing w:after="0" w:line="49" w:lineRule="exact"/>
        <w:rPr>
          <w:sz w:val="20"/>
          <w:szCs w:val="20"/>
          <w:color w:val="auto"/>
        </w:rPr>
      </w:pPr>
    </w:p>
    <w:p>
      <w:pPr>
        <w:sectPr>
          <w:pgSz w:w="11900" w:h="16838" w:orient="portrait"/>
          <w:cols w:equalWidth="0" w:num="2">
            <w:col w:w="4520" w:space="720"/>
            <w:col w:w="6180"/>
          </w:cols>
          <w:pgMar w:left="240" w:top="582"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eBay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 Connectivity Ltd.</w:t>
      </w:r>
    </w:p>
    <w:p>
      <w:pPr>
        <w:spacing w:after="0" w:line="49" w:lineRule="exact"/>
        <w:rPr>
          <w:sz w:val="20"/>
          <w:szCs w:val="20"/>
          <w:color w:val="auto"/>
        </w:rPr>
      </w:pPr>
    </w:p>
    <w:p>
      <w:pPr>
        <w:sectPr>
          <w:pgSz w:w="11900" w:h="16838" w:orient="portrait"/>
          <w:cols w:equalWidth="0" w:num="2">
            <w:col w:w="4520" w:space="720"/>
            <w:col w:w="6180"/>
          </w:cols>
          <w:pgMar w:left="240" w:top="582"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EMC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Western Digital Corporation</w:t>
      </w:r>
    </w:p>
    <w:p>
      <w:pPr>
        <w:spacing w:after="0" w:line="49" w:lineRule="exact"/>
        <w:rPr>
          <w:sz w:val="20"/>
          <w:szCs w:val="20"/>
          <w:color w:val="auto"/>
        </w:rPr>
      </w:pPr>
    </w:p>
    <w:p>
      <w:pPr>
        <w:sectPr>
          <w:pgSz w:w="11900" w:h="16838" w:orient="portrait"/>
          <w:cols w:equalWidth="0" w:num="2">
            <w:col w:w="4520" w:space="720"/>
            <w:col w:w="6180"/>
          </w:cols>
          <w:pgMar w:left="240" w:top="582"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Emerson Electric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Xerox Corporation</w:t>
      </w:r>
    </w:p>
    <w:p>
      <w:pPr>
        <w:spacing w:after="0" w:line="37" w:lineRule="exact"/>
        <w:rPr>
          <w:sz w:val="20"/>
          <w:szCs w:val="20"/>
          <w:color w:val="auto"/>
        </w:rPr>
      </w:pPr>
    </w:p>
    <w:p>
      <w:pPr>
        <w:sectPr>
          <w:pgSz w:w="11900" w:h="16838" w:orient="portrait"/>
          <w:cols w:equalWidth="0" w:num="2">
            <w:col w:w="4520" w:space="720"/>
            <w:col w:w="6180"/>
          </w:cols>
          <w:pgMar w:left="240" w:top="582"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Google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Yahoo! Inc.*</w:t>
      </w:r>
    </w:p>
    <w:p>
      <w:pPr>
        <w:spacing w:after="0" w:line="200" w:lineRule="exact"/>
        <w:rPr>
          <w:sz w:val="20"/>
          <w:szCs w:val="20"/>
          <w:color w:val="auto"/>
        </w:rPr>
      </w:pPr>
    </w:p>
    <w:p>
      <w:pPr>
        <w:sectPr>
          <w:pgSz w:w="11900" w:h="16838" w:orient="portrait"/>
          <w:cols w:equalWidth="0" w:num="2">
            <w:col w:w="4520" w:space="720"/>
            <w:col w:w="6180"/>
          </w:cols>
          <w:pgMar w:left="240" w:top="582" w:right="239" w:bottom="1440" w:gutter="0" w:footer="0" w:header="0"/>
          <w:type w:val="continuous"/>
        </w:sectPr>
      </w:pPr>
    </w:p>
    <w:p>
      <w:pPr>
        <w:spacing w:after="0" w:line="68"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Removed in July 2012.</w:t>
      </w:r>
    </w:p>
    <w:p>
      <w:pPr>
        <w:spacing w:after="0" w:line="200" w:lineRule="exact"/>
        <w:rPr>
          <w:sz w:val="20"/>
          <w:szCs w:val="20"/>
          <w:color w:val="auto"/>
        </w:rPr>
      </w:pPr>
    </w:p>
    <w:p>
      <w:pPr>
        <w:sectPr>
          <w:pgSz w:w="11900" w:h="16838" w:orient="portrait"/>
          <w:cols w:equalWidth="0" w:num="2">
            <w:col w:w="1780" w:space="280"/>
            <w:col w:w="9360"/>
          </w:cols>
          <w:pgMar w:left="240" w:top="582" w:right="239" w:bottom="1440" w:gutter="0" w:footer="0" w:header="0"/>
          <w:type w:val="continuous"/>
        </w:sectPr>
      </w:pPr>
    </w:p>
    <w:p>
      <w:pPr>
        <w:spacing w:after="0" w:line="55"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The committee set the Comparator Group in July 2011 for the base salary and equity compensation decisions it made in January 2012. It also used this Comparator Group when it adjusted the base salary and awarded equity compensation for two officers (as discussed on pages 72-73) after they assumed new responsibilities in June 2012. For a discussion of the factors considered by the committee in setting the Comparator Group, please see page 71 of the company’s 2012 proxy statement.</w:t>
      </w:r>
    </w:p>
    <w:p>
      <w:pPr>
        <w:spacing w:after="0" w:line="19" w:lineRule="exact"/>
        <w:rPr>
          <w:sz w:val="20"/>
          <w:szCs w:val="20"/>
          <w:color w:val="auto"/>
        </w:rPr>
      </w:pPr>
    </w:p>
    <w:p>
      <w:pPr>
        <w:ind w:right="160" w:firstLine="258"/>
        <w:spacing w:after="0" w:line="243" w:lineRule="auto"/>
        <w:rPr>
          <w:sz w:val="20"/>
          <w:szCs w:val="20"/>
          <w:color w:val="auto"/>
        </w:rPr>
      </w:pPr>
      <w:r>
        <w:rPr>
          <w:rFonts w:ascii="Arial" w:cs="Arial" w:eastAsia="Arial" w:hAnsi="Arial"/>
          <w:sz w:val="17"/>
          <w:szCs w:val="17"/>
          <w:color w:val="auto"/>
        </w:rPr>
        <w:t>In July 2012, the committee conducted its regular review of the Comparator Group in terms of industry, revenue and market capitalization. With the advice of its compensation consultant, the committee removed three companies – Cisco and Google (both at the upper end of the revenue range) and Yahoo (at the lower end of that range) – from the Comparator Group to increase its overall comparability to TI. The committee used that Comparator Group for the bonus decisions in January 2013 relating to 2012 performance. The table below compares the group to TI in terms of revenue and market capitalization.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4440" w:type="dxa"/>
            <w:vAlign w:val="bottom"/>
          </w:tcPr>
          <w:p>
            <w:pPr>
              <w:jc w:val="right"/>
              <w:ind w:right="118"/>
              <w:spacing w:after="0"/>
              <w:rPr>
                <w:sz w:val="20"/>
                <w:szCs w:val="20"/>
                <w:color w:val="auto"/>
              </w:rPr>
            </w:pPr>
            <w:r>
              <w:rPr>
                <w:rFonts w:ascii="Arial" w:cs="Arial" w:eastAsia="Arial" w:hAnsi="Arial"/>
                <w:sz w:val="13"/>
                <w:szCs w:val="13"/>
                <w:b w:val="1"/>
                <w:bCs w:val="1"/>
                <w:color w:val="auto"/>
              </w:rPr>
              <w:t>Revenue</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Market Cap</w:t>
            </w:r>
          </w:p>
        </w:tc>
      </w:tr>
      <w:tr>
        <w:trPr>
          <w:trHeight w:val="233"/>
        </w:trPr>
        <w:tc>
          <w:tcPr>
            <w:tcW w:w="6040" w:type="dxa"/>
            <w:vAlign w:val="bottom"/>
          </w:tcPr>
          <w:p>
            <w:pPr>
              <w:spacing w:after="0"/>
              <w:rPr>
                <w:sz w:val="20"/>
                <w:szCs w:val="20"/>
                <w:color w:val="auto"/>
              </w:rPr>
            </w:pPr>
            <w:r>
              <w:rPr>
                <w:rFonts w:ascii="Arial" w:cs="Arial" w:eastAsia="Arial" w:hAnsi="Arial"/>
                <w:sz w:val="13"/>
                <w:szCs w:val="13"/>
                <w:b w:val="1"/>
                <w:bCs w:val="1"/>
                <w:color w:val="auto"/>
              </w:rPr>
              <w:t>Company</w:t>
            </w:r>
          </w:p>
        </w:tc>
        <w:tc>
          <w:tcPr>
            <w:tcW w:w="4440" w:type="dxa"/>
            <w:vAlign w:val="bottom"/>
          </w:tcPr>
          <w:p>
            <w:pPr>
              <w:jc w:val="right"/>
              <w:ind w:right="78"/>
              <w:spacing w:after="0"/>
              <w:rPr>
                <w:sz w:val="20"/>
                <w:szCs w:val="20"/>
                <w:color w:val="auto"/>
              </w:rPr>
            </w:pPr>
            <w:r>
              <w:rPr>
                <w:rFonts w:ascii="Arial" w:cs="Arial" w:eastAsia="Arial" w:hAnsi="Arial"/>
                <w:sz w:val="13"/>
                <w:szCs w:val="13"/>
                <w:b w:val="1"/>
                <w:bCs w:val="1"/>
                <w:color w:val="auto"/>
              </w:rPr>
              <w:t>($ billion)*</w:t>
            </w:r>
          </w:p>
        </w:tc>
        <w:tc>
          <w:tcPr>
            <w:tcW w:w="940" w:type="dxa"/>
            <w:vAlign w:val="bottom"/>
          </w:tcPr>
          <w:p>
            <w:pPr>
              <w:jc w:val="right"/>
              <w:ind w:right="18"/>
              <w:spacing w:after="0"/>
              <w:rPr>
                <w:sz w:val="20"/>
                <w:szCs w:val="20"/>
                <w:color w:val="auto"/>
              </w:rPr>
            </w:pPr>
            <w:r>
              <w:rPr>
                <w:rFonts w:ascii="Arial" w:cs="Arial" w:eastAsia="Arial" w:hAnsi="Arial"/>
                <w:sz w:val="13"/>
                <w:szCs w:val="13"/>
                <w:b w:val="1"/>
                <w:bCs w:val="1"/>
                <w:color w:val="auto"/>
              </w:rPr>
              <w:t>($ billion)*</w:t>
            </w:r>
          </w:p>
        </w:tc>
      </w:tr>
      <w:tr>
        <w:trPr>
          <w:trHeight w:val="45"/>
        </w:trPr>
        <w:tc>
          <w:tcPr>
            <w:tcW w:w="6040" w:type="dxa"/>
            <w:vAlign w:val="bottom"/>
            <w:tcBorders>
              <w:bottom w:val="single" w:sz="8" w:color="808285"/>
            </w:tcBorders>
          </w:tcPr>
          <w:p>
            <w:pPr>
              <w:spacing w:after="0"/>
              <w:rPr>
                <w:sz w:val="3"/>
                <w:szCs w:val="3"/>
                <w:color w:val="auto"/>
              </w:rPr>
            </w:pPr>
          </w:p>
        </w:tc>
        <w:tc>
          <w:tcPr>
            <w:tcW w:w="4440" w:type="dxa"/>
            <w:vAlign w:val="bottom"/>
            <w:tcBorders>
              <w:bottom w:val="single" w:sz="8" w:color="808285"/>
            </w:tcBorders>
          </w:tcPr>
          <w:p>
            <w:pPr>
              <w:spacing w:after="0"/>
              <w:rPr>
                <w:sz w:val="3"/>
                <w:szCs w:val="3"/>
                <w:color w:val="auto"/>
              </w:rPr>
            </w:pPr>
          </w:p>
        </w:tc>
        <w:tc>
          <w:tcPr>
            <w:tcW w:w="940" w:type="dxa"/>
            <w:vAlign w:val="bottom"/>
            <w:tcBorders>
              <w:bottom w:val="single" w:sz="8" w:color="808285"/>
            </w:tcBorders>
          </w:tcPr>
          <w:p>
            <w:pPr>
              <w:spacing w:after="0"/>
              <w:rPr>
                <w:sz w:val="3"/>
                <w:szCs w:val="3"/>
                <w:color w:val="auto"/>
              </w:rPr>
            </w:pPr>
          </w:p>
        </w:tc>
      </w:tr>
      <w:tr>
        <w:trPr>
          <w:trHeight w:val="233"/>
        </w:trPr>
        <w:tc>
          <w:tcPr>
            <w:tcW w:w="6040" w:type="dxa"/>
            <w:vAlign w:val="bottom"/>
            <w:shd w:val="clear" w:color="auto" w:fill="E9E9E9"/>
          </w:tcPr>
          <w:p>
            <w:pPr>
              <w:spacing w:after="0"/>
              <w:rPr>
                <w:sz w:val="20"/>
                <w:szCs w:val="20"/>
                <w:color w:val="auto"/>
              </w:rPr>
            </w:pPr>
            <w:r>
              <w:rPr>
                <w:rFonts w:ascii="Arial" w:cs="Arial" w:eastAsia="Arial" w:hAnsi="Arial"/>
                <w:sz w:val="17"/>
                <w:szCs w:val="17"/>
                <w:color w:val="auto"/>
              </w:rPr>
              <w:t>Intel Corporation</w:t>
            </w:r>
          </w:p>
        </w:tc>
        <w:tc>
          <w:tcPr>
            <w:tcW w:w="4440" w:type="dxa"/>
            <w:vAlign w:val="bottom"/>
            <w:shd w:val="clear" w:color="auto" w:fill="E9E9E9"/>
          </w:tcPr>
          <w:p>
            <w:pPr>
              <w:jc w:val="right"/>
              <w:ind w:right="218"/>
              <w:spacing w:after="0"/>
              <w:rPr>
                <w:sz w:val="20"/>
                <w:szCs w:val="20"/>
                <w:color w:val="auto"/>
              </w:rPr>
            </w:pPr>
            <w:r>
              <w:rPr>
                <w:rFonts w:ascii="Arial" w:cs="Arial" w:eastAsia="Arial" w:hAnsi="Arial"/>
                <w:sz w:val="17"/>
                <w:szCs w:val="17"/>
                <w:color w:val="auto"/>
              </w:rPr>
              <w:t>53.3</w:t>
            </w:r>
          </w:p>
        </w:tc>
        <w:tc>
          <w:tcPr>
            <w:tcW w:w="940" w:type="dxa"/>
            <w:vAlign w:val="bottom"/>
            <w:shd w:val="clear" w:color="auto" w:fill="E9E9E9"/>
          </w:tcPr>
          <w:p>
            <w:pPr>
              <w:jc w:val="right"/>
              <w:ind w:right="118"/>
              <w:spacing w:after="0"/>
              <w:rPr>
                <w:sz w:val="20"/>
                <w:szCs w:val="20"/>
                <w:color w:val="auto"/>
              </w:rPr>
            </w:pPr>
            <w:r>
              <w:rPr>
                <w:rFonts w:ascii="Arial" w:cs="Arial" w:eastAsia="Arial" w:hAnsi="Arial"/>
                <w:sz w:val="17"/>
                <w:szCs w:val="17"/>
                <w:color w:val="auto"/>
              </w:rPr>
              <w:t>102.6</w:t>
            </w:r>
          </w:p>
        </w:tc>
      </w:tr>
      <w:tr>
        <w:trPr>
          <w:trHeight w:val="225"/>
        </w:trPr>
        <w:tc>
          <w:tcPr>
            <w:tcW w:w="6040" w:type="dxa"/>
            <w:vAlign w:val="bottom"/>
          </w:tcPr>
          <w:p>
            <w:pPr>
              <w:spacing w:after="0"/>
              <w:rPr>
                <w:sz w:val="20"/>
                <w:szCs w:val="20"/>
                <w:color w:val="auto"/>
              </w:rPr>
            </w:pPr>
            <w:r>
              <w:rPr>
                <w:rFonts w:ascii="Arial" w:cs="Arial" w:eastAsia="Arial" w:hAnsi="Arial"/>
                <w:sz w:val="17"/>
                <w:szCs w:val="17"/>
                <w:color w:val="auto"/>
              </w:rPr>
              <w:t>Oracle Corporation</w:t>
            </w:r>
          </w:p>
        </w:tc>
        <w:tc>
          <w:tcPr>
            <w:tcW w:w="4440" w:type="dxa"/>
            <w:vAlign w:val="bottom"/>
          </w:tcPr>
          <w:p>
            <w:pPr>
              <w:jc w:val="right"/>
              <w:ind w:right="218"/>
              <w:spacing w:after="0"/>
              <w:rPr>
                <w:sz w:val="20"/>
                <w:szCs w:val="20"/>
                <w:color w:val="auto"/>
              </w:rPr>
            </w:pPr>
            <w:r>
              <w:rPr>
                <w:rFonts w:ascii="Arial" w:cs="Arial" w:eastAsia="Arial" w:hAnsi="Arial"/>
                <w:sz w:val="17"/>
                <w:szCs w:val="17"/>
                <w:color w:val="auto"/>
              </w:rPr>
              <w:t>37.2</w:t>
            </w:r>
          </w:p>
        </w:tc>
        <w:tc>
          <w:tcPr>
            <w:tcW w:w="940" w:type="dxa"/>
            <w:vAlign w:val="bottom"/>
          </w:tcPr>
          <w:p>
            <w:pPr>
              <w:jc w:val="right"/>
              <w:ind w:right="118"/>
              <w:spacing w:after="0"/>
              <w:rPr>
                <w:sz w:val="20"/>
                <w:szCs w:val="20"/>
                <w:color w:val="auto"/>
              </w:rPr>
            </w:pPr>
            <w:r>
              <w:rPr>
                <w:rFonts w:ascii="Arial" w:cs="Arial" w:eastAsia="Arial" w:hAnsi="Arial"/>
                <w:sz w:val="17"/>
                <w:szCs w:val="17"/>
                <w:color w:val="auto"/>
              </w:rPr>
              <w:t>157.7</w:t>
            </w:r>
          </w:p>
        </w:tc>
      </w:tr>
      <w:tr>
        <w:trPr>
          <w:trHeight w:val="240"/>
        </w:trPr>
        <w:tc>
          <w:tcPr>
            <w:tcW w:w="6040" w:type="dxa"/>
            <w:vAlign w:val="bottom"/>
            <w:shd w:val="clear" w:color="auto" w:fill="E9E9E9"/>
          </w:tcPr>
          <w:p>
            <w:pPr>
              <w:spacing w:after="0"/>
              <w:rPr>
                <w:sz w:val="20"/>
                <w:szCs w:val="20"/>
                <w:color w:val="auto"/>
              </w:rPr>
            </w:pPr>
            <w:r>
              <w:rPr>
                <w:rFonts w:ascii="Arial" w:cs="Arial" w:eastAsia="Arial" w:hAnsi="Arial"/>
                <w:sz w:val="17"/>
                <w:szCs w:val="17"/>
                <w:color w:val="auto"/>
              </w:rPr>
              <w:t>Emerson Electric Co.</w:t>
            </w:r>
          </w:p>
        </w:tc>
        <w:tc>
          <w:tcPr>
            <w:tcW w:w="4440" w:type="dxa"/>
            <w:vAlign w:val="bottom"/>
            <w:shd w:val="clear" w:color="auto" w:fill="E9E9E9"/>
          </w:tcPr>
          <w:p>
            <w:pPr>
              <w:jc w:val="right"/>
              <w:ind w:right="218"/>
              <w:spacing w:after="0"/>
              <w:rPr>
                <w:sz w:val="20"/>
                <w:szCs w:val="20"/>
                <w:color w:val="auto"/>
              </w:rPr>
            </w:pPr>
            <w:r>
              <w:rPr>
                <w:rFonts w:ascii="Arial" w:cs="Arial" w:eastAsia="Arial" w:hAnsi="Arial"/>
                <w:sz w:val="17"/>
                <w:szCs w:val="17"/>
                <w:color w:val="auto"/>
              </w:rPr>
              <w:t>24.4</w:t>
            </w:r>
          </w:p>
        </w:tc>
        <w:tc>
          <w:tcPr>
            <w:tcW w:w="940" w:type="dxa"/>
            <w:vAlign w:val="bottom"/>
            <w:shd w:val="clear" w:color="auto" w:fill="E9E9E9"/>
          </w:tcPr>
          <w:p>
            <w:pPr>
              <w:jc w:val="right"/>
              <w:ind w:right="118"/>
              <w:spacing w:after="0"/>
              <w:rPr>
                <w:sz w:val="20"/>
                <w:szCs w:val="20"/>
                <w:color w:val="auto"/>
              </w:rPr>
            </w:pPr>
            <w:r>
              <w:rPr>
                <w:rFonts w:ascii="Arial" w:cs="Arial" w:eastAsia="Arial" w:hAnsi="Arial"/>
                <w:sz w:val="17"/>
                <w:szCs w:val="17"/>
                <w:color w:val="auto"/>
              </w:rPr>
              <w:t>38.4</w:t>
            </w:r>
          </w:p>
        </w:tc>
      </w:tr>
      <w:tr>
        <w:trPr>
          <w:trHeight w:val="225"/>
        </w:trPr>
        <w:tc>
          <w:tcPr>
            <w:tcW w:w="6040" w:type="dxa"/>
            <w:vAlign w:val="bottom"/>
          </w:tcPr>
          <w:p>
            <w:pPr>
              <w:spacing w:after="0"/>
              <w:rPr>
                <w:sz w:val="20"/>
                <w:szCs w:val="20"/>
                <w:color w:val="auto"/>
              </w:rPr>
            </w:pPr>
            <w:r>
              <w:rPr>
                <w:rFonts w:ascii="Arial" w:cs="Arial" w:eastAsia="Arial" w:hAnsi="Arial"/>
                <w:sz w:val="17"/>
                <w:szCs w:val="17"/>
                <w:color w:val="auto"/>
              </w:rPr>
              <w:t>Xerox Corporation</w:t>
            </w:r>
          </w:p>
        </w:tc>
        <w:tc>
          <w:tcPr>
            <w:tcW w:w="4440" w:type="dxa"/>
            <w:vAlign w:val="bottom"/>
          </w:tcPr>
          <w:p>
            <w:pPr>
              <w:jc w:val="right"/>
              <w:ind w:right="218"/>
              <w:spacing w:after="0"/>
              <w:rPr>
                <w:sz w:val="20"/>
                <w:szCs w:val="20"/>
                <w:color w:val="auto"/>
              </w:rPr>
            </w:pPr>
            <w:r>
              <w:rPr>
                <w:rFonts w:ascii="Arial" w:cs="Arial" w:eastAsia="Arial" w:hAnsi="Arial"/>
                <w:sz w:val="17"/>
                <w:szCs w:val="17"/>
                <w:color w:val="auto"/>
              </w:rPr>
              <w:t>22.4</w:t>
            </w:r>
          </w:p>
        </w:tc>
        <w:tc>
          <w:tcPr>
            <w:tcW w:w="940" w:type="dxa"/>
            <w:vAlign w:val="bottom"/>
          </w:tcPr>
          <w:p>
            <w:pPr>
              <w:jc w:val="right"/>
              <w:ind w:right="118"/>
              <w:spacing w:after="0"/>
              <w:rPr>
                <w:sz w:val="20"/>
                <w:szCs w:val="20"/>
                <w:color w:val="auto"/>
              </w:rPr>
            </w:pPr>
            <w:r>
              <w:rPr>
                <w:rFonts w:ascii="Arial" w:cs="Arial" w:eastAsia="Arial" w:hAnsi="Arial"/>
                <w:sz w:val="17"/>
                <w:szCs w:val="17"/>
                <w:color w:val="auto"/>
              </w:rPr>
              <w:t>8.7</w:t>
            </w:r>
          </w:p>
        </w:tc>
      </w:tr>
      <w:tr>
        <w:trPr>
          <w:trHeight w:val="240"/>
        </w:trPr>
        <w:tc>
          <w:tcPr>
            <w:tcW w:w="6040" w:type="dxa"/>
            <w:vAlign w:val="bottom"/>
            <w:shd w:val="clear" w:color="auto" w:fill="E9E9E9"/>
          </w:tcPr>
          <w:p>
            <w:pPr>
              <w:spacing w:after="0"/>
              <w:rPr>
                <w:sz w:val="20"/>
                <w:szCs w:val="20"/>
                <w:color w:val="auto"/>
              </w:rPr>
            </w:pPr>
            <w:r>
              <w:rPr>
                <w:rFonts w:ascii="Arial" w:cs="Arial" w:eastAsia="Arial" w:hAnsi="Arial"/>
                <w:sz w:val="17"/>
                <w:szCs w:val="17"/>
                <w:color w:val="auto"/>
              </w:rPr>
              <w:t>EMC Corporation</w:t>
            </w:r>
          </w:p>
        </w:tc>
        <w:tc>
          <w:tcPr>
            <w:tcW w:w="4440" w:type="dxa"/>
            <w:vAlign w:val="bottom"/>
            <w:shd w:val="clear" w:color="auto" w:fill="E9E9E9"/>
          </w:tcPr>
          <w:p>
            <w:pPr>
              <w:jc w:val="right"/>
              <w:ind w:right="218"/>
              <w:spacing w:after="0"/>
              <w:rPr>
                <w:sz w:val="20"/>
                <w:szCs w:val="20"/>
                <w:color w:val="auto"/>
              </w:rPr>
            </w:pPr>
            <w:r>
              <w:rPr>
                <w:rFonts w:ascii="Arial" w:cs="Arial" w:eastAsia="Arial" w:hAnsi="Arial"/>
                <w:sz w:val="17"/>
                <w:szCs w:val="17"/>
                <w:color w:val="auto"/>
              </w:rPr>
              <w:t>21.3</w:t>
            </w:r>
          </w:p>
        </w:tc>
        <w:tc>
          <w:tcPr>
            <w:tcW w:w="940" w:type="dxa"/>
            <w:vAlign w:val="bottom"/>
            <w:shd w:val="clear" w:color="auto" w:fill="E9E9E9"/>
          </w:tcPr>
          <w:p>
            <w:pPr>
              <w:jc w:val="right"/>
              <w:ind w:right="118"/>
              <w:spacing w:after="0"/>
              <w:rPr>
                <w:sz w:val="20"/>
                <w:szCs w:val="20"/>
                <w:color w:val="auto"/>
              </w:rPr>
            </w:pPr>
            <w:r>
              <w:rPr>
                <w:rFonts w:ascii="Arial" w:cs="Arial" w:eastAsia="Arial" w:hAnsi="Arial"/>
                <w:sz w:val="17"/>
                <w:szCs w:val="17"/>
                <w:color w:val="auto"/>
              </w:rPr>
              <w:t>53.3</w:t>
            </w:r>
          </w:p>
        </w:tc>
      </w:tr>
      <w:tr>
        <w:trPr>
          <w:trHeight w:val="225"/>
        </w:trPr>
        <w:tc>
          <w:tcPr>
            <w:tcW w:w="6040" w:type="dxa"/>
            <w:vAlign w:val="bottom"/>
          </w:tcPr>
          <w:p>
            <w:pPr>
              <w:spacing w:after="0"/>
              <w:rPr>
                <w:sz w:val="20"/>
                <w:szCs w:val="20"/>
                <w:color w:val="auto"/>
              </w:rPr>
            </w:pPr>
            <w:r>
              <w:rPr>
                <w:rFonts w:ascii="Arial" w:cs="Arial" w:eastAsia="Arial" w:hAnsi="Arial"/>
                <w:sz w:val="17"/>
                <w:szCs w:val="17"/>
                <w:color w:val="auto"/>
              </w:rPr>
              <w:t>QUALCOMM Corporation</w:t>
            </w:r>
          </w:p>
        </w:tc>
        <w:tc>
          <w:tcPr>
            <w:tcW w:w="4440" w:type="dxa"/>
            <w:vAlign w:val="bottom"/>
          </w:tcPr>
          <w:p>
            <w:pPr>
              <w:jc w:val="right"/>
              <w:ind w:right="218"/>
              <w:spacing w:after="0"/>
              <w:rPr>
                <w:sz w:val="20"/>
                <w:szCs w:val="20"/>
                <w:color w:val="auto"/>
              </w:rPr>
            </w:pPr>
            <w:r>
              <w:rPr>
                <w:rFonts w:ascii="Arial" w:cs="Arial" w:eastAsia="Arial" w:hAnsi="Arial"/>
                <w:sz w:val="17"/>
                <w:szCs w:val="17"/>
                <w:color w:val="auto"/>
              </w:rPr>
              <w:t>19.1</w:t>
            </w:r>
          </w:p>
        </w:tc>
        <w:tc>
          <w:tcPr>
            <w:tcW w:w="940" w:type="dxa"/>
            <w:vAlign w:val="bottom"/>
          </w:tcPr>
          <w:p>
            <w:pPr>
              <w:jc w:val="right"/>
              <w:ind w:right="118"/>
              <w:spacing w:after="0"/>
              <w:rPr>
                <w:sz w:val="20"/>
                <w:szCs w:val="20"/>
                <w:color w:val="auto"/>
              </w:rPr>
            </w:pPr>
            <w:r>
              <w:rPr>
                <w:rFonts w:ascii="Arial" w:cs="Arial" w:eastAsia="Arial" w:hAnsi="Arial"/>
                <w:sz w:val="17"/>
                <w:szCs w:val="17"/>
                <w:color w:val="auto"/>
              </w:rPr>
              <w:t>105.4</w:t>
            </w:r>
          </w:p>
        </w:tc>
      </w:tr>
      <w:tr>
        <w:trPr>
          <w:trHeight w:val="240"/>
        </w:trPr>
        <w:tc>
          <w:tcPr>
            <w:tcW w:w="6040" w:type="dxa"/>
            <w:vAlign w:val="bottom"/>
            <w:shd w:val="clear" w:color="auto" w:fill="E9E9E9"/>
          </w:tcPr>
          <w:p>
            <w:pPr>
              <w:spacing w:after="0"/>
              <w:rPr>
                <w:sz w:val="20"/>
                <w:szCs w:val="20"/>
                <w:color w:val="auto"/>
              </w:rPr>
            </w:pPr>
            <w:r>
              <w:rPr>
                <w:rFonts w:ascii="Arial" w:cs="Arial" w:eastAsia="Arial" w:hAnsi="Arial"/>
                <w:sz w:val="17"/>
                <w:szCs w:val="17"/>
                <w:color w:val="auto"/>
              </w:rPr>
              <w:t>Seagate Technology</w:t>
            </w:r>
          </w:p>
        </w:tc>
        <w:tc>
          <w:tcPr>
            <w:tcW w:w="4440" w:type="dxa"/>
            <w:vAlign w:val="bottom"/>
            <w:shd w:val="clear" w:color="auto" w:fill="E9E9E9"/>
          </w:tcPr>
          <w:p>
            <w:pPr>
              <w:jc w:val="right"/>
              <w:ind w:right="218"/>
              <w:spacing w:after="0"/>
              <w:rPr>
                <w:sz w:val="20"/>
                <w:szCs w:val="20"/>
                <w:color w:val="auto"/>
              </w:rPr>
            </w:pPr>
            <w:r>
              <w:rPr>
                <w:rFonts w:ascii="Arial" w:cs="Arial" w:eastAsia="Arial" w:hAnsi="Arial"/>
                <w:sz w:val="17"/>
                <w:szCs w:val="17"/>
                <w:color w:val="auto"/>
              </w:rPr>
              <w:t>16.3</w:t>
            </w:r>
          </w:p>
        </w:tc>
        <w:tc>
          <w:tcPr>
            <w:tcW w:w="940" w:type="dxa"/>
            <w:vAlign w:val="bottom"/>
            <w:shd w:val="clear" w:color="auto" w:fill="E9E9E9"/>
          </w:tcPr>
          <w:p>
            <w:pPr>
              <w:jc w:val="right"/>
              <w:ind w:right="118"/>
              <w:spacing w:after="0"/>
              <w:rPr>
                <w:sz w:val="20"/>
                <w:szCs w:val="20"/>
                <w:color w:val="auto"/>
              </w:rPr>
            </w:pPr>
            <w:r>
              <w:rPr>
                <w:rFonts w:ascii="Arial" w:cs="Arial" w:eastAsia="Arial" w:hAnsi="Arial"/>
                <w:sz w:val="17"/>
                <w:szCs w:val="17"/>
                <w:color w:val="auto"/>
              </w:rPr>
              <w:t>11.5</w:t>
            </w:r>
          </w:p>
        </w:tc>
      </w:tr>
      <w:tr>
        <w:trPr>
          <w:trHeight w:val="225"/>
        </w:trPr>
        <w:tc>
          <w:tcPr>
            <w:tcW w:w="6040" w:type="dxa"/>
            <w:vAlign w:val="bottom"/>
          </w:tcPr>
          <w:p>
            <w:pPr>
              <w:spacing w:after="0"/>
              <w:rPr>
                <w:sz w:val="20"/>
                <w:szCs w:val="20"/>
                <w:color w:val="auto"/>
              </w:rPr>
            </w:pPr>
            <w:r>
              <w:rPr>
                <w:rFonts w:ascii="Arial" w:cs="Arial" w:eastAsia="Arial" w:hAnsi="Arial"/>
                <w:sz w:val="17"/>
                <w:szCs w:val="17"/>
                <w:color w:val="auto"/>
              </w:rPr>
              <w:t>Computer Sciences Corporation</w:t>
            </w:r>
          </w:p>
        </w:tc>
        <w:tc>
          <w:tcPr>
            <w:tcW w:w="4440" w:type="dxa"/>
            <w:vAlign w:val="bottom"/>
          </w:tcPr>
          <w:p>
            <w:pPr>
              <w:jc w:val="right"/>
              <w:ind w:right="218"/>
              <w:spacing w:after="0"/>
              <w:rPr>
                <w:sz w:val="20"/>
                <w:szCs w:val="20"/>
                <w:color w:val="auto"/>
              </w:rPr>
            </w:pPr>
            <w:r>
              <w:rPr>
                <w:rFonts w:ascii="Arial" w:cs="Arial" w:eastAsia="Arial" w:hAnsi="Arial"/>
                <w:sz w:val="17"/>
                <w:szCs w:val="17"/>
                <w:color w:val="auto"/>
              </w:rPr>
              <w:t>15.9</w:t>
            </w:r>
          </w:p>
        </w:tc>
        <w:tc>
          <w:tcPr>
            <w:tcW w:w="940" w:type="dxa"/>
            <w:vAlign w:val="bottom"/>
          </w:tcPr>
          <w:p>
            <w:pPr>
              <w:jc w:val="right"/>
              <w:ind w:right="118"/>
              <w:spacing w:after="0"/>
              <w:rPr>
                <w:sz w:val="20"/>
                <w:szCs w:val="20"/>
                <w:color w:val="auto"/>
              </w:rPr>
            </w:pPr>
            <w:r>
              <w:rPr>
                <w:rFonts w:ascii="Arial" w:cs="Arial" w:eastAsia="Arial" w:hAnsi="Arial"/>
                <w:sz w:val="17"/>
                <w:szCs w:val="17"/>
                <w:color w:val="auto"/>
              </w:rPr>
              <w:t>6.2</w:t>
            </w:r>
          </w:p>
        </w:tc>
      </w:tr>
      <w:tr>
        <w:trPr>
          <w:trHeight w:val="240"/>
        </w:trPr>
        <w:tc>
          <w:tcPr>
            <w:tcW w:w="6040" w:type="dxa"/>
            <w:vAlign w:val="bottom"/>
            <w:shd w:val="clear" w:color="auto" w:fill="E9E9E9"/>
          </w:tcPr>
          <w:p>
            <w:pPr>
              <w:spacing w:after="0"/>
              <w:rPr>
                <w:sz w:val="20"/>
                <w:szCs w:val="20"/>
                <w:color w:val="auto"/>
              </w:rPr>
            </w:pPr>
            <w:r>
              <w:rPr>
                <w:rFonts w:ascii="Arial" w:cs="Arial" w:eastAsia="Arial" w:hAnsi="Arial"/>
                <w:sz w:val="17"/>
                <w:szCs w:val="17"/>
                <w:color w:val="auto"/>
              </w:rPr>
              <w:t>Western Digital Corporation</w:t>
            </w:r>
          </w:p>
        </w:tc>
        <w:tc>
          <w:tcPr>
            <w:tcW w:w="4440" w:type="dxa"/>
            <w:vAlign w:val="bottom"/>
            <w:shd w:val="clear" w:color="auto" w:fill="E9E9E9"/>
          </w:tcPr>
          <w:p>
            <w:pPr>
              <w:jc w:val="right"/>
              <w:ind w:right="218"/>
              <w:spacing w:after="0"/>
              <w:rPr>
                <w:sz w:val="20"/>
                <w:szCs w:val="20"/>
                <w:color w:val="auto"/>
              </w:rPr>
            </w:pPr>
            <w:r>
              <w:rPr>
                <w:rFonts w:ascii="Arial" w:cs="Arial" w:eastAsia="Arial" w:hAnsi="Arial"/>
                <w:sz w:val="17"/>
                <w:szCs w:val="17"/>
                <w:color w:val="auto"/>
              </w:rPr>
              <w:t>15.6</w:t>
            </w:r>
          </w:p>
        </w:tc>
        <w:tc>
          <w:tcPr>
            <w:tcW w:w="940" w:type="dxa"/>
            <w:vAlign w:val="bottom"/>
            <w:shd w:val="clear" w:color="auto" w:fill="E9E9E9"/>
          </w:tcPr>
          <w:p>
            <w:pPr>
              <w:jc w:val="right"/>
              <w:ind w:right="118"/>
              <w:spacing w:after="0"/>
              <w:rPr>
                <w:sz w:val="20"/>
                <w:szCs w:val="20"/>
                <w:color w:val="auto"/>
              </w:rPr>
            </w:pPr>
            <w:r>
              <w:rPr>
                <w:rFonts w:ascii="Arial" w:cs="Arial" w:eastAsia="Arial" w:hAnsi="Arial"/>
                <w:sz w:val="17"/>
                <w:szCs w:val="17"/>
                <w:color w:val="auto"/>
              </w:rPr>
              <w:t>10.4</w:t>
            </w:r>
          </w:p>
        </w:tc>
      </w:tr>
      <w:tr>
        <w:trPr>
          <w:trHeight w:val="225"/>
        </w:trPr>
        <w:tc>
          <w:tcPr>
            <w:tcW w:w="6040" w:type="dxa"/>
            <w:vAlign w:val="bottom"/>
          </w:tcPr>
          <w:p>
            <w:pPr>
              <w:spacing w:after="0"/>
              <w:rPr>
                <w:sz w:val="20"/>
                <w:szCs w:val="20"/>
                <w:color w:val="auto"/>
              </w:rPr>
            </w:pPr>
            <w:r>
              <w:rPr>
                <w:rFonts w:ascii="Arial" w:cs="Arial" w:eastAsia="Arial" w:hAnsi="Arial"/>
                <w:sz w:val="17"/>
                <w:szCs w:val="17"/>
                <w:color w:val="auto"/>
              </w:rPr>
              <w:t>eBay Inc.</w:t>
            </w:r>
          </w:p>
        </w:tc>
        <w:tc>
          <w:tcPr>
            <w:tcW w:w="4440" w:type="dxa"/>
            <w:vAlign w:val="bottom"/>
          </w:tcPr>
          <w:p>
            <w:pPr>
              <w:jc w:val="right"/>
              <w:ind w:right="218"/>
              <w:spacing w:after="0"/>
              <w:rPr>
                <w:sz w:val="20"/>
                <w:szCs w:val="20"/>
                <w:color w:val="auto"/>
              </w:rPr>
            </w:pPr>
            <w:r>
              <w:rPr>
                <w:rFonts w:ascii="Arial" w:cs="Arial" w:eastAsia="Arial" w:hAnsi="Arial"/>
                <w:sz w:val="17"/>
                <w:szCs w:val="17"/>
                <w:color w:val="auto"/>
              </w:rPr>
              <w:t>14.1</w:t>
            </w:r>
          </w:p>
        </w:tc>
        <w:tc>
          <w:tcPr>
            <w:tcW w:w="940" w:type="dxa"/>
            <w:vAlign w:val="bottom"/>
          </w:tcPr>
          <w:p>
            <w:pPr>
              <w:jc w:val="right"/>
              <w:ind w:right="118"/>
              <w:spacing w:after="0"/>
              <w:rPr>
                <w:sz w:val="20"/>
                <w:szCs w:val="20"/>
                <w:color w:val="auto"/>
              </w:rPr>
            </w:pPr>
            <w:r>
              <w:rPr>
                <w:rFonts w:ascii="Arial" w:cs="Arial" w:eastAsia="Arial" w:hAnsi="Arial"/>
                <w:sz w:val="17"/>
                <w:szCs w:val="17"/>
                <w:color w:val="auto"/>
              </w:rPr>
              <w:t>66.0</w:t>
            </w:r>
          </w:p>
        </w:tc>
      </w:tr>
      <w:tr>
        <w:trPr>
          <w:trHeight w:val="240"/>
        </w:trPr>
        <w:tc>
          <w:tcPr>
            <w:tcW w:w="6040" w:type="dxa"/>
            <w:vAlign w:val="bottom"/>
            <w:shd w:val="clear" w:color="auto" w:fill="E9E9E9"/>
          </w:tcPr>
          <w:p>
            <w:pPr>
              <w:spacing w:after="0"/>
              <w:rPr>
                <w:sz w:val="20"/>
                <w:szCs w:val="20"/>
                <w:color w:val="auto"/>
              </w:rPr>
            </w:pPr>
            <w:r>
              <w:rPr>
                <w:rFonts w:ascii="Arial" w:cs="Arial" w:eastAsia="Arial" w:hAnsi="Arial"/>
                <w:sz w:val="17"/>
                <w:szCs w:val="17"/>
                <w:color w:val="auto"/>
              </w:rPr>
              <w:t>TE Connectivity Ltd.</w:t>
            </w:r>
          </w:p>
        </w:tc>
        <w:tc>
          <w:tcPr>
            <w:tcW w:w="4440" w:type="dxa"/>
            <w:vAlign w:val="bottom"/>
            <w:shd w:val="clear" w:color="auto" w:fill="E9E9E9"/>
          </w:tcPr>
          <w:p>
            <w:pPr>
              <w:jc w:val="right"/>
              <w:ind w:right="218"/>
              <w:spacing w:after="0"/>
              <w:rPr>
                <w:sz w:val="20"/>
                <w:szCs w:val="20"/>
                <w:color w:val="auto"/>
              </w:rPr>
            </w:pPr>
            <w:r>
              <w:rPr>
                <w:rFonts w:ascii="Arial" w:cs="Arial" w:eastAsia="Arial" w:hAnsi="Arial"/>
                <w:sz w:val="17"/>
                <w:szCs w:val="17"/>
                <w:color w:val="auto"/>
              </w:rPr>
              <w:t>13.2</w:t>
            </w:r>
          </w:p>
        </w:tc>
        <w:tc>
          <w:tcPr>
            <w:tcW w:w="940" w:type="dxa"/>
            <w:vAlign w:val="bottom"/>
            <w:shd w:val="clear" w:color="auto" w:fill="E9E9E9"/>
          </w:tcPr>
          <w:p>
            <w:pPr>
              <w:jc w:val="right"/>
              <w:ind w:right="118"/>
              <w:spacing w:after="0"/>
              <w:rPr>
                <w:sz w:val="20"/>
                <w:szCs w:val="20"/>
                <w:color w:val="auto"/>
              </w:rPr>
            </w:pPr>
            <w:r>
              <w:rPr>
                <w:rFonts w:ascii="Arial" w:cs="Arial" w:eastAsia="Arial" w:hAnsi="Arial"/>
                <w:sz w:val="17"/>
                <w:szCs w:val="17"/>
                <w:color w:val="auto"/>
              </w:rPr>
              <w:t>15.7</w:t>
            </w:r>
          </w:p>
        </w:tc>
      </w:tr>
      <w:tr>
        <w:trPr>
          <w:trHeight w:val="225"/>
        </w:trPr>
        <w:tc>
          <w:tcPr>
            <w:tcW w:w="6040" w:type="dxa"/>
            <w:vAlign w:val="bottom"/>
          </w:tcPr>
          <w:p>
            <w:pPr>
              <w:spacing w:after="0"/>
              <w:rPr>
                <w:sz w:val="20"/>
                <w:szCs w:val="20"/>
                <w:color w:val="auto"/>
              </w:rPr>
            </w:pPr>
            <w:r>
              <w:rPr>
                <w:rFonts w:ascii="Arial" w:cs="Arial" w:eastAsia="Arial" w:hAnsi="Arial"/>
                <w:sz w:val="17"/>
                <w:szCs w:val="17"/>
                <w:color w:val="auto"/>
              </w:rPr>
              <w:t>Applied Materials, Inc.</w:t>
            </w:r>
          </w:p>
        </w:tc>
        <w:tc>
          <w:tcPr>
            <w:tcW w:w="4440" w:type="dxa"/>
            <w:vAlign w:val="bottom"/>
          </w:tcPr>
          <w:p>
            <w:pPr>
              <w:jc w:val="right"/>
              <w:ind w:right="218"/>
              <w:spacing w:after="0"/>
              <w:rPr>
                <w:sz w:val="20"/>
                <w:szCs w:val="20"/>
                <w:color w:val="auto"/>
              </w:rPr>
            </w:pPr>
            <w:r>
              <w:rPr>
                <w:rFonts w:ascii="Arial" w:cs="Arial" w:eastAsia="Arial" w:hAnsi="Arial"/>
                <w:sz w:val="17"/>
                <w:szCs w:val="17"/>
                <w:color w:val="auto"/>
              </w:rPr>
              <w:t>8.7</w:t>
            </w:r>
          </w:p>
        </w:tc>
        <w:tc>
          <w:tcPr>
            <w:tcW w:w="940" w:type="dxa"/>
            <w:vAlign w:val="bottom"/>
          </w:tcPr>
          <w:p>
            <w:pPr>
              <w:jc w:val="right"/>
              <w:ind w:right="118"/>
              <w:spacing w:after="0"/>
              <w:rPr>
                <w:sz w:val="20"/>
                <w:szCs w:val="20"/>
                <w:color w:val="auto"/>
              </w:rPr>
            </w:pPr>
            <w:r>
              <w:rPr>
                <w:rFonts w:ascii="Arial" w:cs="Arial" w:eastAsia="Arial" w:hAnsi="Arial"/>
                <w:sz w:val="17"/>
                <w:szCs w:val="17"/>
                <w:color w:val="auto"/>
              </w:rPr>
              <w:t>13.7</w:t>
            </w:r>
          </w:p>
        </w:tc>
      </w:tr>
      <w:tr>
        <w:trPr>
          <w:trHeight w:val="240"/>
        </w:trPr>
        <w:tc>
          <w:tcPr>
            <w:tcW w:w="6040" w:type="dxa"/>
            <w:vAlign w:val="bottom"/>
            <w:shd w:val="clear" w:color="auto" w:fill="E9E9E9"/>
          </w:tcPr>
          <w:p>
            <w:pPr>
              <w:spacing w:after="0"/>
              <w:rPr>
                <w:sz w:val="20"/>
                <w:szCs w:val="20"/>
                <w:color w:val="auto"/>
              </w:rPr>
            </w:pPr>
            <w:r>
              <w:rPr>
                <w:rFonts w:ascii="Arial" w:cs="Arial" w:eastAsia="Arial" w:hAnsi="Arial"/>
                <w:sz w:val="17"/>
                <w:szCs w:val="17"/>
                <w:color w:val="auto"/>
              </w:rPr>
              <w:t>Motorola Solutions, Inc.</w:t>
            </w:r>
          </w:p>
        </w:tc>
        <w:tc>
          <w:tcPr>
            <w:tcW w:w="4440" w:type="dxa"/>
            <w:vAlign w:val="bottom"/>
            <w:shd w:val="clear" w:color="auto" w:fill="E9E9E9"/>
          </w:tcPr>
          <w:p>
            <w:pPr>
              <w:jc w:val="right"/>
              <w:ind w:right="218"/>
              <w:spacing w:after="0"/>
              <w:rPr>
                <w:sz w:val="20"/>
                <w:szCs w:val="20"/>
                <w:color w:val="auto"/>
              </w:rPr>
            </w:pPr>
            <w:r>
              <w:rPr>
                <w:rFonts w:ascii="Arial" w:cs="Arial" w:eastAsia="Arial" w:hAnsi="Arial"/>
                <w:sz w:val="17"/>
                <w:szCs w:val="17"/>
                <w:color w:val="auto"/>
              </w:rPr>
              <w:t>8.6</w:t>
            </w:r>
          </w:p>
        </w:tc>
        <w:tc>
          <w:tcPr>
            <w:tcW w:w="940" w:type="dxa"/>
            <w:vAlign w:val="bottom"/>
            <w:shd w:val="clear" w:color="auto" w:fill="E9E9E9"/>
          </w:tcPr>
          <w:p>
            <w:pPr>
              <w:jc w:val="right"/>
              <w:ind w:right="118"/>
              <w:spacing w:after="0"/>
              <w:rPr>
                <w:sz w:val="20"/>
                <w:szCs w:val="20"/>
                <w:color w:val="auto"/>
              </w:rPr>
            </w:pPr>
            <w:r>
              <w:rPr>
                <w:rFonts w:ascii="Arial" w:cs="Arial" w:eastAsia="Arial" w:hAnsi="Arial"/>
                <w:sz w:val="17"/>
                <w:szCs w:val="17"/>
                <w:color w:val="auto"/>
              </w:rPr>
              <w:t>15.6</w:t>
            </w:r>
          </w:p>
        </w:tc>
      </w:tr>
      <w:tr>
        <w:trPr>
          <w:trHeight w:val="225"/>
        </w:trPr>
        <w:tc>
          <w:tcPr>
            <w:tcW w:w="6040" w:type="dxa"/>
            <w:vAlign w:val="bottom"/>
          </w:tcPr>
          <w:p>
            <w:pPr>
              <w:spacing w:after="0"/>
              <w:rPr>
                <w:sz w:val="20"/>
                <w:szCs w:val="20"/>
                <w:color w:val="auto"/>
              </w:rPr>
            </w:pPr>
            <w:r>
              <w:rPr>
                <w:rFonts w:ascii="Arial" w:cs="Arial" w:eastAsia="Arial" w:hAnsi="Arial"/>
                <w:sz w:val="17"/>
                <w:szCs w:val="17"/>
                <w:color w:val="auto"/>
              </w:rPr>
              <w:t>Broadcom Corporation</w:t>
            </w:r>
          </w:p>
        </w:tc>
        <w:tc>
          <w:tcPr>
            <w:tcW w:w="4440" w:type="dxa"/>
            <w:vAlign w:val="bottom"/>
          </w:tcPr>
          <w:p>
            <w:pPr>
              <w:jc w:val="right"/>
              <w:ind w:right="218"/>
              <w:spacing w:after="0"/>
              <w:rPr>
                <w:sz w:val="20"/>
                <w:szCs w:val="20"/>
                <w:color w:val="auto"/>
              </w:rPr>
            </w:pPr>
            <w:r>
              <w:rPr>
                <w:rFonts w:ascii="Arial" w:cs="Arial" w:eastAsia="Arial" w:hAnsi="Arial"/>
                <w:sz w:val="17"/>
                <w:szCs w:val="17"/>
                <w:color w:val="auto"/>
              </w:rPr>
              <w:t>8.0</w:t>
            </w:r>
          </w:p>
        </w:tc>
        <w:tc>
          <w:tcPr>
            <w:tcW w:w="940" w:type="dxa"/>
            <w:vAlign w:val="bottom"/>
          </w:tcPr>
          <w:p>
            <w:pPr>
              <w:jc w:val="right"/>
              <w:ind w:right="118"/>
              <w:spacing w:after="0"/>
              <w:rPr>
                <w:sz w:val="20"/>
                <w:szCs w:val="20"/>
                <w:color w:val="auto"/>
              </w:rPr>
            </w:pPr>
            <w:r>
              <w:rPr>
                <w:rFonts w:ascii="Arial" w:cs="Arial" w:eastAsia="Arial" w:hAnsi="Arial"/>
                <w:sz w:val="17"/>
                <w:szCs w:val="17"/>
                <w:color w:val="auto"/>
              </w:rPr>
              <w:t>17.0</w:t>
            </w:r>
          </w:p>
        </w:tc>
      </w:tr>
      <w:tr>
        <w:trPr>
          <w:trHeight w:val="233"/>
        </w:trPr>
        <w:tc>
          <w:tcPr>
            <w:tcW w:w="6040" w:type="dxa"/>
            <w:vAlign w:val="bottom"/>
            <w:tcBorders>
              <w:bottom w:val="single" w:sz="8" w:color="auto"/>
            </w:tcBorders>
            <w:shd w:val="clear" w:color="auto" w:fill="E9E9E9"/>
          </w:tcPr>
          <w:p>
            <w:pPr>
              <w:spacing w:after="0"/>
              <w:rPr>
                <w:sz w:val="20"/>
                <w:szCs w:val="20"/>
                <w:color w:val="auto"/>
              </w:rPr>
            </w:pPr>
            <w:r>
              <w:rPr>
                <w:rFonts w:ascii="Arial" w:cs="Arial" w:eastAsia="Arial" w:hAnsi="Arial"/>
                <w:sz w:val="17"/>
                <w:szCs w:val="17"/>
                <w:color w:val="auto"/>
              </w:rPr>
              <w:t>Analog Devices, Inc.</w:t>
            </w:r>
          </w:p>
        </w:tc>
        <w:tc>
          <w:tcPr>
            <w:tcW w:w="4440" w:type="dxa"/>
            <w:vAlign w:val="bottom"/>
            <w:tcBorders>
              <w:bottom w:val="single" w:sz="8" w:color="auto"/>
            </w:tcBorders>
            <w:shd w:val="clear" w:color="auto" w:fill="E9E9E9"/>
          </w:tcPr>
          <w:p>
            <w:pPr>
              <w:jc w:val="right"/>
              <w:ind w:right="218"/>
              <w:spacing w:after="0"/>
              <w:rPr>
                <w:sz w:val="20"/>
                <w:szCs w:val="20"/>
                <w:color w:val="auto"/>
              </w:rPr>
            </w:pPr>
            <w:r>
              <w:rPr>
                <w:rFonts w:ascii="Arial" w:cs="Arial" w:eastAsia="Arial" w:hAnsi="Arial"/>
                <w:sz w:val="17"/>
                <w:szCs w:val="17"/>
                <w:color w:val="auto"/>
              </w:rPr>
              <w:t>2.7</w:t>
            </w:r>
          </w:p>
        </w:tc>
        <w:tc>
          <w:tcPr>
            <w:tcW w:w="940" w:type="dxa"/>
            <w:vAlign w:val="bottom"/>
            <w:tcBorders>
              <w:bottom w:val="single" w:sz="8" w:color="auto"/>
            </w:tcBorders>
            <w:shd w:val="clear" w:color="auto" w:fill="E9E9E9"/>
          </w:tcPr>
          <w:p>
            <w:pPr>
              <w:jc w:val="right"/>
              <w:ind w:right="118"/>
              <w:spacing w:after="0"/>
              <w:rPr>
                <w:sz w:val="20"/>
                <w:szCs w:val="20"/>
                <w:color w:val="auto"/>
              </w:rPr>
            </w:pPr>
            <w:r>
              <w:rPr>
                <w:rFonts w:ascii="Arial" w:cs="Arial" w:eastAsia="Arial" w:hAnsi="Arial"/>
                <w:sz w:val="17"/>
                <w:szCs w:val="17"/>
                <w:color w:val="auto"/>
              </w:rPr>
              <w:t>12.7</w:t>
            </w:r>
          </w:p>
        </w:tc>
      </w:tr>
      <w:tr>
        <w:trPr>
          <w:trHeight w:val="233"/>
        </w:trPr>
        <w:tc>
          <w:tcPr>
            <w:tcW w:w="60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3"/>
        </w:trPr>
        <w:tc>
          <w:tcPr>
            <w:tcW w:w="6040" w:type="dxa"/>
            <w:vAlign w:val="bottom"/>
            <w:shd w:val="clear" w:color="auto" w:fill="E9E9E9"/>
          </w:tcPr>
          <w:p>
            <w:pPr>
              <w:spacing w:after="0"/>
              <w:rPr>
                <w:sz w:val="20"/>
                <w:szCs w:val="20"/>
                <w:color w:val="auto"/>
              </w:rPr>
            </w:pPr>
            <w:r>
              <w:rPr>
                <w:rFonts w:ascii="Arial" w:cs="Arial" w:eastAsia="Arial" w:hAnsi="Arial"/>
                <w:sz w:val="17"/>
                <w:szCs w:val="17"/>
                <w:color w:val="auto"/>
              </w:rPr>
              <w:t>Median</w:t>
            </w:r>
          </w:p>
        </w:tc>
        <w:tc>
          <w:tcPr>
            <w:tcW w:w="4440" w:type="dxa"/>
            <w:vAlign w:val="bottom"/>
            <w:shd w:val="clear" w:color="auto" w:fill="E9E9E9"/>
          </w:tcPr>
          <w:p>
            <w:pPr>
              <w:jc w:val="right"/>
              <w:ind w:right="218"/>
              <w:spacing w:after="0"/>
              <w:rPr>
                <w:sz w:val="20"/>
                <w:szCs w:val="20"/>
                <w:color w:val="auto"/>
              </w:rPr>
            </w:pPr>
            <w:r>
              <w:rPr>
                <w:rFonts w:ascii="Arial" w:cs="Arial" w:eastAsia="Arial" w:hAnsi="Arial"/>
                <w:sz w:val="17"/>
                <w:szCs w:val="17"/>
                <w:color w:val="auto"/>
              </w:rPr>
              <w:t>15.9</w:t>
            </w:r>
          </w:p>
        </w:tc>
        <w:tc>
          <w:tcPr>
            <w:tcW w:w="940" w:type="dxa"/>
            <w:vAlign w:val="bottom"/>
            <w:shd w:val="clear" w:color="auto" w:fill="E9E9E9"/>
          </w:tcPr>
          <w:p>
            <w:pPr>
              <w:jc w:val="right"/>
              <w:ind w:right="118"/>
              <w:spacing w:after="0"/>
              <w:rPr>
                <w:sz w:val="20"/>
                <w:szCs w:val="20"/>
                <w:color w:val="auto"/>
              </w:rPr>
            </w:pPr>
            <w:r>
              <w:rPr>
                <w:rFonts w:ascii="Arial" w:cs="Arial" w:eastAsia="Arial" w:hAnsi="Arial"/>
                <w:sz w:val="17"/>
                <w:szCs w:val="17"/>
                <w:color w:val="auto"/>
              </w:rPr>
              <w:t>15.7</w:t>
            </w:r>
          </w:p>
        </w:tc>
      </w:tr>
      <w:tr>
        <w:trPr>
          <w:trHeight w:val="218"/>
        </w:trPr>
        <w:tc>
          <w:tcPr>
            <w:tcW w:w="6040" w:type="dxa"/>
            <w:vAlign w:val="bottom"/>
          </w:tcPr>
          <w:p>
            <w:pPr>
              <w:spacing w:after="0"/>
              <w:rPr>
                <w:sz w:val="20"/>
                <w:szCs w:val="20"/>
                <w:color w:val="auto"/>
              </w:rPr>
            </w:pPr>
            <w:r>
              <w:rPr>
                <w:rFonts w:ascii="Arial" w:cs="Arial" w:eastAsia="Arial" w:hAnsi="Arial"/>
                <w:sz w:val="17"/>
                <w:szCs w:val="17"/>
                <w:color w:val="auto"/>
              </w:rPr>
              <w:t>Texas Instruments Incorporated</w:t>
            </w:r>
          </w:p>
        </w:tc>
        <w:tc>
          <w:tcPr>
            <w:tcW w:w="4440" w:type="dxa"/>
            <w:vAlign w:val="bottom"/>
          </w:tcPr>
          <w:p>
            <w:pPr>
              <w:jc w:val="right"/>
              <w:ind w:right="218"/>
              <w:spacing w:after="0"/>
              <w:rPr>
                <w:sz w:val="20"/>
                <w:szCs w:val="20"/>
                <w:color w:val="auto"/>
              </w:rPr>
            </w:pPr>
            <w:r>
              <w:rPr>
                <w:rFonts w:ascii="Arial" w:cs="Arial" w:eastAsia="Arial" w:hAnsi="Arial"/>
                <w:sz w:val="17"/>
                <w:szCs w:val="17"/>
                <w:color w:val="auto"/>
              </w:rPr>
              <w:t>12.8</w:t>
            </w:r>
          </w:p>
        </w:tc>
        <w:tc>
          <w:tcPr>
            <w:tcW w:w="940" w:type="dxa"/>
            <w:vAlign w:val="bottom"/>
          </w:tcPr>
          <w:p>
            <w:pPr>
              <w:jc w:val="right"/>
              <w:ind w:right="118"/>
              <w:spacing w:after="0"/>
              <w:rPr>
                <w:sz w:val="20"/>
                <w:szCs w:val="20"/>
                <w:color w:val="auto"/>
              </w:rPr>
            </w:pPr>
            <w:r>
              <w:rPr>
                <w:rFonts w:ascii="Arial" w:cs="Arial" w:eastAsia="Arial" w:hAnsi="Arial"/>
                <w:sz w:val="17"/>
                <w:szCs w:val="17"/>
                <w:color w:val="auto"/>
              </w:rPr>
              <w:t>34.6</w:t>
            </w:r>
          </w:p>
        </w:tc>
      </w:tr>
    </w:tbl>
    <w:p>
      <w:pPr>
        <w:spacing w:after="0" w:line="250" w:lineRule="exact"/>
        <w:rPr>
          <w:sz w:val="20"/>
          <w:szCs w:val="20"/>
          <w:color w:val="auto"/>
        </w:rPr>
      </w:pPr>
    </w:p>
    <w:p>
      <w:pPr>
        <w:ind w:left="340" w:hanging="337"/>
        <w:spacing w:after="0"/>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Trailing four-quarter revenue as reported by Thomson Reuters on January 31, 2013. Market capitalization as of December 31, 2012.</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Analysis of compensation determinations for 2012</w:t>
      </w:r>
    </w:p>
    <w:p>
      <w:pPr>
        <w:ind w:right="60"/>
        <w:spacing w:after="0" w:line="256" w:lineRule="auto"/>
        <w:rPr>
          <w:sz w:val="20"/>
          <w:szCs w:val="20"/>
          <w:color w:val="auto"/>
        </w:rPr>
      </w:pPr>
      <w:r>
        <w:rPr>
          <w:rFonts w:ascii="Arial" w:cs="Arial" w:eastAsia="Arial" w:hAnsi="Arial"/>
          <w:sz w:val="16"/>
          <w:szCs w:val="16"/>
          <w:i w:val="1"/>
          <w:iCs w:val="1"/>
          <w:color w:val="auto"/>
        </w:rPr>
        <w:t xml:space="preserve">Total compensation </w:t>
      </w:r>
      <w:r>
        <w:rPr>
          <w:rFonts w:ascii="Arial" w:cs="Arial" w:eastAsia="Arial" w:hAnsi="Arial"/>
          <w:sz w:val="16"/>
          <w:szCs w:val="16"/>
          <w:color w:val="auto"/>
        </w:rPr>
        <w:t>– Before finalizing the compensation of the executive officers, the committee reviewed all elements of compensation. The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total cash compensation (salary, profit sharing and projected bonus), the grant date fair value of equity compensation, the impact that proposed compensation would have on other compensation elements such as pension, and a summary of benefits that the executives would receive under various termination scenarios. The review enabled the committee to see how various compensation elements relate to one another and what impact its decisions would have on the total earnings opportunity of the executives. In assessing the information, the committee did not target a specific level of total compensation or use a formula to allocate compensation among the various elements. Instead, it used its judgment in assessing whether the total was consistent with the objectives of the program. Based on this review, the committee determined that the level of compensation was appropriate.</w:t>
      </w:r>
    </w:p>
    <w:p>
      <w:pPr>
        <w:spacing w:after="0" w:line="209" w:lineRule="exact"/>
        <w:rPr>
          <w:sz w:val="20"/>
          <w:szCs w:val="20"/>
          <w:color w:val="auto"/>
        </w:rPr>
      </w:pPr>
    </w:p>
    <w:p>
      <w:pPr>
        <w:spacing w:after="0"/>
        <w:tabs>
          <w:tab w:leader="none" w:pos="95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2"/>
          <w:szCs w:val="12"/>
          <w:b w:val="1"/>
          <w:bCs w:val="1"/>
          <w:color w:val="808285"/>
        </w:rPr>
        <w:t>2013 PROXY STATEMENT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 The committee set the 2012 rate of base salary for the named executive officers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20"/>
                <w:szCs w:val="20"/>
                <w:color w:val="auto"/>
              </w:rPr>
            </w:pPr>
            <w:r>
              <w:rPr>
                <w:rFonts w:ascii="Arial" w:cs="Arial" w:eastAsia="Arial" w:hAnsi="Arial"/>
                <w:sz w:val="13"/>
                <w:szCs w:val="13"/>
                <w:b w:val="1"/>
                <w:bCs w:val="1"/>
                <w:color w:val="auto"/>
              </w:rPr>
              <w:t>Officer</w:t>
            </w:r>
          </w:p>
        </w:tc>
        <w:tc>
          <w:tcPr>
            <w:tcW w:w="470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rPr>
              <w:t>2012 Annual Rate</w:t>
            </w:r>
          </w:p>
        </w:tc>
        <w:tc>
          <w:tcPr>
            <w:tcW w:w="2060" w:type="dxa"/>
            <w:vAlign w:val="bottom"/>
            <w:gridSpan w:val="2"/>
          </w:tcPr>
          <w:p>
            <w:pPr>
              <w:ind w:left="140"/>
              <w:spacing w:after="0"/>
              <w:rPr>
                <w:sz w:val="20"/>
                <w:szCs w:val="20"/>
                <w:color w:val="auto"/>
              </w:rPr>
            </w:pPr>
            <w:r>
              <w:rPr>
                <w:rFonts w:ascii="Arial" w:cs="Arial" w:eastAsia="Arial" w:hAnsi="Arial"/>
                <w:sz w:val="13"/>
                <w:szCs w:val="13"/>
                <w:b w:val="1"/>
                <w:bCs w:val="1"/>
                <w:color w:val="auto"/>
                <w:w w:val="98"/>
              </w:rPr>
              <w:t>Change from 2011 Annual Rate</w:t>
            </w:r>
          </w:p>
        </w:tc>
      </w:tr>
      <w:tr>
        <w:trPr>
          <w:trHeight w:val="45"/>
        </w:trPr>
        <w:tc>
          <w:tcPr>
            <w:tcW w:w="4680" w:type="dxa"/>
            <w:vAlign w:val="bottom"/>
            <w:tcBorders>
              <w:bottom w:val="single" w:sz="8" w:color="808285"/>
            </w:tcBorders>
          </w:tcPr>
          <w:p>
            <w:pPr>
              <w:spacing w:after="0"/>
              <w:rPr>
                <w:sz w:val="3"/>
                <w:szCs w:val="3"/>
                <w:color w:val="auto"/>
              </w:rPr>
            </w:pPr>
          </w:p>
        </w:tc>
        <w:tc>
          <w:tcPr>
            <w:tcW w:w="3640" w:type="dxa"/>
            <w:vAlign w:val="bottom"/>
            <w:tcBorders>
              <w:bottom w:val="single" w:sz="8" w:color="808285"/>
            </w:tcBorders>
          </w:tcPr>
          <w:p>
            <w:pPr>
              <w:spacing w:after="0"/>
              <w:rPr>
                <w:sz w:val="3"/>
                <w:szCs w:val="3"/>
                <w:color w:val="auto"/>
              </w:rPr>
            </w:pPr>
          </w:p>
        </w:tc>
        <w:tc>
          <w:tcPr>
            <w:tcW w:w="1060" w:type="dxa"/>
            <w:vAlign w:val="bottom"/>
            <w:tcBorders>
              <w:bottom w:val="single" w:sz="8" w:color="808285"/>
            </w:tcBorders>
          </w:tcPr>
          <w:p>
            <w:pPr>
              <w:spacing w:after="0"/>
              <w:rPr>
                <w:sz w:val="3"/>
                <w:szCs w:val="3"/>
                <w:color w:val="auto"/>
              </w:rPr>
            </w:pPr>
          </w:p>
        </w:tc>
        <w:tc>
          <w:tcPr>
            <w:tcW w:w="2040" w:type="dxa"/>
            <w:vAlign w:val="bottom"/>
            <w:tcBorders>
              <w:bottom w:val="single" w:sz="8" w:color="808285"/>
            </w:tcBorders>
          </w:tcPr>
          <w:p>
            <w:pPr>
              <w:spacing w:after="0"/>
              <w:rPr>
                <w:sz w:val="3"/>
                <w:szCs w:val="3"/>
                <w:color w:val="auto"/>
              </w:rPr>
            </w:pPr>
          </w:p>
        </w:tc>
        <w:tc>
          <w:tcPr>
            <w:tcW w:w="20" w:type="dxa"/>
            <w:vAlign w:val="bottom"/>
          </w:tcPr>
          <w:p>
            <w:pPr>
              <w:spacing w:after="0"/>
              <w:rPr>
                <w:sz w:val="3"/>
                <w:szCs w:val="3"/>
                <w:color w:val="auto"/>
              </w:rPr>
            </w:pPr>
          </w:p>
        </w:tc>
      </w:tr>
      <w:tr>
        <w:trPr>
          <w:trHeight w:val="233"/>
        </w:trPr>
        <w:tc>
          <w:tcPr>
            <w:tcW w:w="4680" w:type="dxa"/>
            <w:vAlign w:val="bottom"/>
            <w:shd w:val="clear" w:color="auto" w:fill="E9E9E9"/>
          </w:tcPr>
          <w:p>
            <w:pPr>
              <w:spacing w:after="0"/>
              <w:rPr>
                <w:sz w:val="20"/>
                <w:szCs w:val="20"/>
                <w:color w:val="auto"/>
              </w:rPr>
            </w:pPr>
            <w:r>
              <w:rPr>
                <w:rFonts w:ascii="Arial" w:cs="Arial" w:eastAsia="Arial" w:hAnsi="Arial"/>
                <w:sz w:val="17"/>
                <w:szCs w:val="17"/>
                <w:color w:val="auto"/>
              </w:rPr>
              <w:t>R. K. Templeton</w:t>
            </w:r>
          </w:p>
        </w:tc>
        <w:tc>
          <w:tcPr>
            <w:tcW w:w="36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E9E9E9"/>
          </w:tcPr>
          <w:p>
            <w:pPr>
              <w:jc w:val="right"/>
              <w:ind w:right="236"/>
              <w:spacing w:after="0"/>
              <w:rPr>
                <w:sz w:val="20"/>
                <w:szCs w:val="20"/>
                <w:color w:val="auto"/>
              </w:rPr>
            </w:pPr>
            <w:r>
              <w:rPr>
                <w:rFonts w:ascii="Arial" w:cs="Arial" w:eastAsia="Arial" w:hAnsi="Arial"/>
                <w:sz w:val="17"/>
                <w:szCs w:val="17"/>
                <w:color w:val="auto"/>
                <w:w w:val="95"/>
              </w:rPr>
              <w:t>1,040,000</w:t>
            </w:r>
          </w:p>
        </w:tc>
        <w:tc>
          <w:tcPr>
            <w:tcW w:w="2040" w:type="dxa"/>
            <w:vAlign w:val="bottom"/>
            <w:shd w:val="clear" w:color="auto" w:fill="E9E9E9"/>
          </w:tcPr>
          <w:p>
            <w:pPr>
              <w:jc w:val="right"/>
              <w:ind w:right="599"/>
              <w:spacing w:after="0"/>
              <w:rPr>
                <w:sz w:val="20"/>
                <w:szCs w:val="20"/>
                <w:color w:val="auto"/>
              </w:rPr>
            </w:pPr>
            <w:r>
              <w:rPr>
                <w:rFonts w:ascii="Arial" w:cs="Arial" w:eastAsia="Arial" w:hAnsi="Arial"/>
                <w:sz w:val="17"/>
                <w:szCs w:val="17"/>
                <w:color w:val="auto"/>
              </w:rPr>
              <w:t>5.0%</w:t>
            </w:r>
          </w:p>
        </w:tc>
        <w:tc>
          <w:tcPr>
            <w:tcW w:w="20" w:type="dxa"/>
            <w:vAlign w:val="bottom"/>
          </w:tcPr>
          <w:p>
            <w:pPr>
              <w:spacing w:after="0"/>
              <w:rPr>
                <w:sz w:val="20"/>
                <w:szCs w:val="20"/>
                <w:color w:val="auto"/>
              </w:rPr>
            </w:pPr>
          </w:p>
        </w:tc>
      </w:tr>
      <w:tr>
        <w:trPr>
          <w:trHeight w:val="225"/>
        </w:trPr>
        <w:tc>
          <w:tcPr>
            <w:tcW w:w="4680" w:type="dxa"/>
            <w:vAlign w:val="bottom"/>
          </w:tcPr>
          <w:p>
            <w:pPr>
              <w:spacing w:after="0"/>
              <w:rPr>
                <w:sz w:val="20"/>
                <w:szCs w:val="20"/>
                <w:color w:val="auto"/>
              </w:rPr>
            </w:pPr>
            <w:r>
              <w:rPr>
                <w:rFonts w:ascii="Arial" w:cs="Arial" w:eastAsia="Arial" w:hAnsi="Arial"/>
                <w:sz w:val="17"/>
                <w:szCs w:val="17"/>
                <w:color w:val="auto"/>
              </w:rPr>
              <w:t>K. P. March</w:t>
            </w:r>
          </w:p>
        </w:tc>
        <w:tc>
          <w:tcPr>
            <w:tcW w:w="364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236"/>
              <w:spacing w:after="0"/>
              <w:rPr>
                <w:sz w:val="20"/>
                <w:szCs w:val="20"/>
                <w:color w:val="auto"/>
              </w:rPr>
            </w:pPr>
            <w:r>
              <w:rPr>
                <w:rFonts w:ascii="Arial" w:cs="Arial" w:eastAsia="Arial" w:hAnsi="Arial"/>
                <w:sz w:val="17"/>
                <w:szCs w:val="17"/>
                <w:color w:val="auto"/>
              </w:rPr>
              <w:t>590,000</w:t>
            </w:r>
          </w:p>
        </w:tc>
        <w:tc>
          <w:tcPr>
            <w:tcW w:w="2040" w:type="dxa"/>
            <w:vAlign w:val="bottom"/>
          </w:tcPr>
          <w:p>
            <w:pPr>
              <w:jc w:val="right"/>
              <w:ind w:right="599"/>
              <w:spacing w:after="0"/>
              <w:rPr>
                <w:sz w:val="20"/>
                <w:szCs w:val="20"/>
                <w:color w:val="auto"/>
              </w:rPr>
            </w:pPr>
            <w:r>
              <w:rPr>
                <w:rFonts w:ascii="Arial" w:cs="Arial" w:eastAsia="Arial" w:hAnsi="Arial"/>
                <w:sz w:val="17"/>
                <w:szCs w:val="17"/>
                <w:color w:val="auto"/>
              </w:rPr>
              <w:t>4.4%</w:t>
            </w:r>
          </w:p>
        </w:tc>
        <w:tc>
          <w:tcPr>
            <w:tcW w:w="20" w:type="dxa"/>
            <w:vAlign w:val="bottom"/>
          </w:tcPr>
          <w:p>
            <w:pPr>
              <w:spacing w:after="0"/>
              <w:rPr>
                <w:sz w:val="19"/>
                <w:szCs w:val="19"/>
                <w:color w:val="auto"/>
              </w:rPr>
            </w:pPr>
          </w:p>
        </w:tc>
      </w:tr>
      <w:tr>
        <w:trPr>
          <w:trHeight w:val="240"/>
        </w:trPr>
        <w:tc>
          <w:tcPr>
            <w:tcW w:w="4680" w:type="dxa"/>
            <w:vAlign w:val="bottom"/>
            <w:shd w:val="clear" w:color="auto" w:fill="E9E9E9"/>
          </w:tcPr>
          <w:p>
            <w:pPr>
              <w:spacing w:after="0"/>
              <w:rPr>
                <w:sz w:val="20"/>
                <w:szCs w:val="20"/>
                <w:color w:val="auto"/>
              </w:rPr>
            </w:pPr>
            <w:r>
              <w:rPr>
                <w:rFonts w:ascii="Arial" w:cs="Arial" w:eastAsia="Arial" w:hAnsi="Arial"/>
                <w:sz w:val="17"/>
                <w:szCs w:val="17"/>
                <w:color w:val="auto"/>
              </w:rPr>
              <w:t>B. T. Crutcher</w:t>
            </w:r>
          </w:p>
        </w:tc>
        <w:tc>
          <w:tcPr>
            <w:tcW w:w="36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E9E9E9"/>
          </w:tcPr>
          <w:p>
            <w:pPr>
              <w:jc w:val="right"/>
              <w:ind w:right="176"/>
              <w:spacing w:after="0"/>
              <w:rPr>
                <w:sz w:val="20"/>
                <w:szCs w:val="20"/>
                <w:color w:val="auto"/>
              </w:rPr>
            </w:pPr>
            <w:r>
              <w:rPr>
                <w:rFonts w:ascii="Arial" w:cs="Arial" w:eastAsia="Arial" w:hAnsi="Arial"/>
                <w:sz w:val="17"/>
                <w:szCs w:val="17"/>
                <w:color w:val="auto"/>
              </w:rPr>
              <w:t>630,000*</w:t>
            </w:r>
          </w:p>
        </w:tc>
        <w:tc>
          <w:tcPr>
            <w:tcW w:w="2040" w:type="dxa"/>
            <w:vAlign w:val="bottom"/>
            <w:shd w:val="clear" w:color="auto" w:fill="E9E9E9"/>
          </w:tcPr>
          <w:p>
            <w:pPr>
              <w:jc w:val="right"/>
              <w:ind w:right="539"/>
              <w:spacing w:after="0"/>
              <w:rPr>
                <w:sz w:val="20"/>
                <w:szCs w:val="20"/>
                <w:color w:val="auto"/>
              </w:rPr>
            </w:pPr>
            <w:r>
              <w:rPr>
                <w:rFonts w:ascii="Arial" w:cs="Arial" w:eastAsia="Arial" w:hAnsi="Arial"/>
                <w:sz w:val="17"/>
                <w:szCs w:val="17"/>
                <w:color w:val="auto"/>
              </w:rPr>
              <w:t>29.9%*</w:t>
            </w:r>
          </w:p>
        </w:tc>
        <w:tc>
          <w:tcPr>
            <w:tcW w:w="20" w:type="dxa"/>
            <w:vAlign w:val="bottom"/>
          </w:tcPr>
          <w:p>
            <w:pPr>
              <w:spacing w:after="0"/>
              <w:rPr>
                <w:sz w:val="20"/>
                <w:szCs w:val="20"/>
                <w:color w:val="auto"/>
              </w:rPr>
            </w:pPr>
          </w:p>
        </w:tc>
      </w:tr>
      <w:tr>
        <w:trPr>
          <w:trHeight w:val="225"/>
        </w:trPr>
        <w:tc>
          <w:tcPr>
            <w:tcW w:w="4680" w:type="dxa"/>
            <w:vAlign w:val="bottom"/>
          </w:tcPr>
          <w:p>
            <w:pPr>
              <w:spacing w:after="0"/>
              <w:rPr>
                <w:sz w:val="20"/>
                <w:szCs w:val="20"/>
                <w:color w:val="auto"/>
              </w:rPr>
            </w:pPr>
            <w:r>
              <w:rPr>
                <w:rFonts w:ascii="Arial" w:cs="Arial" w:eastAsia="Arial" w:hAnsi="Arial"/>
                <w:sz w:val="17"/>
                <w:szCs w:val="17"/>
                <w:color w:val="auto"/>
              </w:rPr>
              <w:t>R. G. Delagi</w:t>
            </w:r>
          </w:p>
        </w:tc>
        <w:tc>
          <w:tcPr>
            <w:tcW w:w="364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76"/>
              <w:spacing w:after="0"/>
              <w:rPr>
                <w:sz w:val="20"/>
                <w:szCs w:val="20"/>
                <w:color w:val="auto"/>
              </w:rPr>
            </w:pPr>
            <w:r>
              <w:rPr>
                <w:rFonts w:ascii="Arial" w:cs="Arial" w:eastAsia="Arial" w:hAnsi="Arial"/>
                <w:sz w:val="17"/>
                <w:szCs w:val="17"/>
                <w:color w:val="auto"/>
              </w:rPr>
              <w:t>600,000*</w:t>
            </w:r>
          </w:p>
        </w:tc>
        <w:tc>
          <w:tcPr>
            <w:tcW w:w="2040" w:type="dxa"/>
            <w:vAlign w:val="bottom"/>
          </w:tcPr>
          <w:p>
            <w:pPr>
              <w:jc w:val="right"/>
              <w:ind w:right="539"/>
              <w:spacing w:after="0"/>
              <w:rPr>
                <w:sz w:val="20"/>
                <w:szCs w:val="20"/>
                <w:color w:val="auto"/>
              </w:rPr>
            </w:pPr>
            <w:r>
              <w:rPr>
                <w:rFonts w:ascii="Arial" w:cs="Arial" w:eastAsia="Arial" w:hAnsi="Arial"/>
                <w:sz w:val="17"/>
                <w:szCs w:val="17"/>
                <w:color w:val="auto"/>
              </w:rPr>
              <w:t>17.6%*</w:t>
            </w:r>
          </w:p>
        </w:tc>
        <w:tc>
          <w:tcPr>
            <w:tcW w:w="20" w:type="dxa"/>
            <w:vAlign w:val="bottom"/>
          </w:tcPr>
          <w:p>
            <w:pPr>
              <w:spacing w:after="0"/>
              <w:rPr>
                <w:sz w:val="19"/>
                <w:szCs w:val="19"/>
                <w:color w:val="auto"/>
              </w:rPr>
            </w:pPr>
          </w:p>
        </w:tc>
      </w:tr>
      <w:tr>
        <w:trPr>
          <w:trHeight w:val="240"/>
        </w:trPr>
        <w:tc>
          <w:tcPr>
            <w:tcW w:w="4680" w:type="dxa"/>
            <w:vAlign w:val="bottom"/>
            <w:shd w:val="clear" w:color="auto" w:fill="E9E9E9"/>
          </w:tcPr>
          <w:p>
            <w:pPr>
              <w:spacing w:after="0"/>
              <w:rPr>
                <w:sz w:val="20"/>
                <w:szCs w:val="20"/>
                <w:color w:val="auto"/>
              </w:rPr>
            </w:pPr>
            <w:r>
              <w:rPr>
                <w:rFonts w:ascii="Arial" w:cs="Arial" w:eastAsia="Arial" w:hAnsi="Arial"/>
                <w:sz w:val="17"/>
                <w:szCs w:val="17"/>
                <w:color w:val="auto"/>
              </w:rPr>
              <w:t>K. J. Ritchie</w:t>
            </w:r>
          </w:p>
        </w:tc>
        <w:tc>
          <w:tcPr>
            <w:tcW w:w="36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E9E9E9"/>
          </w:tcPr>
          <w:p>
            <w:pPr>
              <w:jc w:val="right"/>
              <w:ind w:right="236"/>
              <w:spacing w:after="0"/>
              <w:rPr>
                <w:sz w:val="20"/>
                <w:szCs w:val="20"/>
                <w:color w:val="auto"/>
              </w:rPr>
            </w:pPr>
            <w:r>
              <w:rPr>
                <w:rFonts w:ascii="Arial" w:cs="Arial" w:eastAsia="Arial" w:hAnsi="Arial"/>
                <w:sz w:val="17"/>
                <w:szCs w:val="17"/>
                <w:color w:val="auto"/>
              </w:rPr>
              <w:t>600,000</w:t>
            </w:r>
          </w:p>
        </w:tc>
        <w:tc>
          <w:tcPr>
            <w:tcW w:w="2040" w:type="dxa"/>
            <w:vAlign w:val="bottom"/>
            <w:shd w:val="clear" w:color="auto" w:fill="E9E9E9"/>
          </w:tcPr>
          <w:p>
            <w:pPr>
              <w:jc w:val="right"/>
              <w:ind w:right="599"/>
              <w:spacing w:after="0"/>
              <w:rPr>
                <w:sz w:val="20"/>
                <w:szCs w:val="20"/>
                <w:color w:val="auto"/>
              </w:rPr>
            </w:pPr>
            <w:r>
              <w:rPr>
                <w:rFonts w:ascii="Arial" w:cs="Arial" w:eastAsia="Arial" w:hAnsi="Arial"/>
                <w:sz w:val="17"/>
                <w:szCs w:val="17"/>
                <w:color w:val="auto"/>
              </w:rPr>
              <w:t>9.1%</w:t>
            </w:r>
          </w:p>
        </w:tc>
        <w:tc>
          <w:tcPr>
            <w:tcW w:w="20" w:type="dxa"/>
            <w:vAlign w:val="bottom"/>
          </w:tcPr>
          <w:p>
            <w:pPr>
              <w:spacing w:after="0"/>
              <w:rPr>
                <w:sz w:val="20"/>
                <w:szCs w:val="20"/>
                <w:color w:val="auto"/>
              </w:rPr>
            </w:pPr>
          </w:p>
        </w:tc>
      </w:tr>
    </w:tbl>
    <w:p>
      <w:pPr>
        <w:spacing w:after="0" w:line="236" w:lineRule="exact"/>
        <w:rPr>
          <w:sz w:val="20"/>
          <w:szCs w:val="20"/>
          <w:color w:val="auto"/>
        </w:rPr>
      </w:pPr>
    </w:p>
    <w:p>
      <w:pPr>
        <w:ind w:left="340" w:right="640" w:hanging="337"/>
        <w:spacing w:after="0" w:line="245"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salary increase in June 2012. The January 2012 increase for Mr. Crutcher and Mr. Delagi was 13.4 and 4.9 percent, respectively, as compared to their 2011 annual rate.</w:t>
      </w:r>
    </w:p>
    <w:p>
      <w:pPr>
        <w:spacing w:after="0" w:line="195" w:lineRule="exact"/>
        <w:rPr>
          <w:sz w:val="20"/>
          <w:szCs w:val="20"/>
          <w:color w:val="auto"/>
        </w:rPr>
      </w:pPr>
    </w:p>
    <w:p>
      <w:pPr>
        <w:jc w:val="both"/>
        <w:ind w:right="80"/>
        <w:spacing w:after="0" w:line="241" w:lineRule="auto"/>
        <w:rPr>
          <w:sz w:val="20"/>
          <w:szCs w:val="20"/>
          <w:color w:val="auto"/>
        </w:rPr>
      </w:pPr>
      <w:r>
        <w:rPr>
          <w:rFonts w:ascii="Arial" w:cs="Arial" w:eastAsia="Arial" w:hAnsi="Arial"/>
          <w:sz w:val="17"/>
          <w:szCs w:val="17"/>
          <w:color w:val="auto"/>
        </w:rPr>
        <w:t>The committee set the 2012 base-salary rate for each of the named executive officers in January 2012. In keeping with its strategy, the committee set the annual base-salary rates to be below the estimated median level of salaries expected to be paid to similarly situated executives of the Comparator Group in 2012.</w:t>
      </w:r>
    </w:p>
    <w:p>
      <w:pPr>
        <w:spacing w:after="0" w:line="18" w:lineRule="exact"/>
        <w:rPr>
          <w:sz w:val="20"/>
          <w:szCs w:val="20"/>
          <w:color w:val="auto"/>
        </w:rPr>
      </w:pPr>
    </w:p>
    <w:p>
      <w:pPr>
        <w:ind w:right="180" w:firstLine="258"/>
        <w:spacing w:after="0" w:line="261" w:lineRule="auto"/>
        <w:rPr>
          <w:sz w:val="20"/>
          <w:szCs w:val="20"/>
          <w:color w:val="auto"/>
        </w:rPr>
      </w:pPr>
      <w:r>
        <w:rPr>
          <w:rFonts w:ascii="Arial" w:cs="Arial" w:eastAsia="Arial" w:hAnsi="Arial"/>
          <w:sz w:val="17"/>
          <w:szCs w:val="17"/>
          <w:color w:val="auto"/>
        </w:rPr>
        <w:t>In June 2012, the committee increased the salary rate for Mr. Crutcher and Mr. Delagi as they assumed new leadership roles. The salary adjustment was consistent with the policy described in the preceding paragraph.</w:t>
      </w:r>
    </w:p>
    <w:p>
      <w:pPr>
        <w:spacing w:after="0" w:line="1" w:lineRule="exact"/>
        <w:rPr>
          <w:sz w:val="20"/>
          <w:szCs w:val="20"/>
          <w:color w:val="auto"/>
        </w:rPr>
      </w:pPr>
    </w:p>
    <w:p>
      <w:pPr>
        <w:ind w:right="40" w:firstLine="258"/>
        <w:spacing w:after="0" w:line="261" w:lineRule="auto"/>
        <w:rPr>
          <w:sz w:val="20"/>
          <w:szCs w:val="20"/>
          <w:color w:val="auto"/>
        </w:rPr>
      </w:pPr>
      <w:r>
        <w:rPr>
          <w:rFonts w:ascii="Arial" w:cs="Arial" w:eastAsia="Arial" w:hAnsi="Arial"/>
          <w:sz w:val="17"/>
          <w:szCs w:val="17"/>
          <w:color w:val="auto"/>
        </w:rPr>
        <w:t>The salary differences between the named executive officers were driven primarily by the market rate of pay for each officer, and not the application of a formula designed to maintain a differential between the officers.</w:t>
      </w:r>
    </w:p>
    <w:p>
      <w:pPr>
        <w:spacing w:after="0" w:line="164"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i w:val="1"/>
          <w:iCs w:val="1"/>
          <w:color w:val="auto"/>
        </w:rPr>
        <w:t xml:space="preserve">Equity compensation </w:t>
      </w:r>
      <w:r>
        <w:rPr>
          <w:rFonts w:ascii="Arial" w:cs="Arial" w:eastAsia="Arial" w:hAnsi="Arial"/>
          <w:sz w:val="17"/>
          <w:szCs w:val="17"/>
          <w:color w:val="auto"/>
        </w:rPr>
        <w:t>– In 2012, the committee awarded equity compensation to each of the named executive officers. The grants are shown in the grants</w:t>
      </w:r>
      <w:r>
        <w:rPr>
          <w:rFonts w:ascii="Arial" w:cs="Arial" w:eastAsia="Arial" w:hAnsi="Arial"/>
          <w:sz w:val="17"/>
          <w:szCs w:val="17"/>
          <w:i w:val="1"/>
          <w:iCs w:val="1"/>
          <w:color w:val="auto"/>
        </w:rPr>
        <w:t xml:space="preserve"> </w:t>
      </w:r>
      <w:r>
        <w:rPr>
          <w:rFonts w:ascii="Arial" w:cs="Arial" w:eastAsia="Arial" w:hAnsi="Arial"/>
          <w:sz w:val="17"/>
          <w:szCs w:val="17"/>
          <w:color w:val="auto"/>
        </w:rPr>
        <w:t>of plan-based awards in 2012 table on page 82. The grant date fair value of the awards is reflected in that table and in the “Stock Awards” and “Option Awards” columns of the summary compensation table on page 80. The table below is provided to assist the reader in comparing the number of shares, grant date fair values and “NQ Equivalent” levels for each of the years shown in the summary compensation table. NQ Equivalents are calculated by treating each restricted stock unit as 3 NQ Equivalents and each option share as 1 NQ Equivalent. This 3:1 ratio generally approximates the relative accounting expense of granting one restricted stock unit as compared with an option for one share.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rPr>
              <w:t>Restricted</w:t>
            </w: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3"/>
        </w:trPr>
        <w:tc>
          <w:tcPr>
            <w:tcW w:w="5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20" w:type="dxa"/>
            <w:vAlign w:val="bottom"/>
          </w:tcPr>
          <w:p>
            <w:pPr>
              <w:jc w:val="right"/>
              <w:ind w:right="78"/>
              <w:spacing w:after="0"/>
              <w:rPr>
                <w:sz w:val="20"/>
                <w:szCs w:val="20"/>
                <w:color w:val="auto"/>
              </w:rPr>
            </w:pPr>
            <w:r>
              <w:rPr>
                <w:rFonts w:ascii="Arial" w:cs="Arial" w:eastAsia="Arial" w:hAnsi="Arial"/>
                <w:sz w:val="13"/>
                <w:szCs w:val="13"/>
                <w:b w:val="1"/>
                <w:bCs w:val="1"/>
                <w:color w:val="auto"/>
              </w:rPr>
              <w:t>Stock Options</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7"/>
              </w:rPr>
              <w:t>Stock Units</w:t>
            </w:r>
          </w:p>
        </w:tc>
        <w:tc>
          <w:tcPr>
            <w:tcW w:w="1220" w:type="dxa"/>
            <w:vAlign w:val="bottom"/>
          </w:tcPr>
          <w:p>
            <w:pPr>
              <w:spacing w:after="0"/>
              <w:rPr>
                <w:sz w:val="20"/>
                <w:szCs w:val="20"/>
                <w:color w:val="auto"/>
              </w:rPr>
            </w:pPr>
          </w:p>
        </w:tc>
        <w:tc>
          <w:tcPr>
            <w:tcW w:w="1180" w:type="dxa"/>
            <w:vAlign w:val="bottom"/>
          </w:tcPr>
          <w:p>
            <w:pPr>
              <w:ind w:left="320"/>
              <w:spacing w:after="0"/>
              <w:rPr>
                <w:sz w:val="20"/>
                <w:szCs w:val="20"/>
                <w:color w:val="auto"/>
              </w:rPr>
            </w:pPr>
            <w:r>
              <w:rPr>
                <w:rFonts w:ascii="Arial" w:cs="Arial" w:eastAsia="Arial" w:hAnsi="Arial"/>
                <w:sz w:val="13"/>
                <w:szCs w:val="13"/>
                <w:b w:val="1"/>
                <w:bCs w:val="1"/>
                <w:color w:val="auto"/>
              </w:rPr>
              <w:t>Grant Date</w:t>
            </w:r>
          </w:p>
        </w:tc>
      </w:tr>
      <w:tr>
        <w:trPr>
          <w:trHeight w:val="233"/>
        </w:trPr>
        <w:tc>
          <w:tcPr>
            <w:tcW w:w="5980" w:type="dxa"/>
            <w:vAlign w:val="bottom"/>
          </w:tcPr>
          <w:p>
            <w:pPr>
              <w:spacing w:after="0"/>
              <w:rPr>
                <w:sz w:val="20"/>
                <w:szCs w:val="20"/>
                <w:color w:val="auto"/>
              </w:rPr>
            </w:pPr>
            <w:r>
              <w:rPr>
                <w:rFonts w:ascii="Arial" w:cs="Arial" w:eastAsia="Arial" w:hAnsi="Arial"/>
                <w:sz w:val="13"/>
                <w:szCs w:val="13"/>
                <w:b w:val="1"/>
                <w:bCs w:val="1"/>
                <w:color w:val="auto"/>
              </w:rPr>
              <w:t>Officer</w:t>
            </w:r>
          </w:p>
        </w:tc>
        <w:tc>
          <w:tcPr>
            <w:tcW w:w="640" w:type="dxa"/>
            <w:vAlign w:val="bottom"/>
          </w:tcPr>
          <w:p>
            <w:pPr>
              <w:jc w:val="center"/>
              <w:ind w:left="177"/>
              <w:spacing w:after="0"/>
              <w:rPr>
                <w:sz w:val="20"/>
                <w:szCs w:val="20"/>
                <w:color w:val="auto"/>
              </w:rPr>
            </w:pPr>
            <w:r>
              <w:rPr>
                <w:rFonts w:ascii="Arial" w:cs="Arial" w:eastAsia="Arial" w:hAnsi="Arial"/>
                <w:sz w:val="13"/>
                <w:szCs w:val="13"/>
                <w:b w:val="1"/>
                <w:bCs w:val="1"/>
                <w:color w:val="auto"/>
                <w:w w:val="92"/>
              </w:rPr>
              <w:t>Year</w:t>
            </w:r>
          </w:p>
        </w:tc>
        <w:tc>
          <w:tcPr>
            <w:tcW w:w="1320" w:type="dxa"/>
            <w:vAlign w:val="bottom"/>
          </w:tcPr>
          <w:p>
            <w:pPr>
              <w:jc w:val="right"/>
              <w:ind w:right="178"/>
              <w:spacing w:after="0"/>
              <w:rPr>
                <w:sz w:val="20"/>
                <w:szCs w:val="20"/>
                <w:color w:val="auto"/>
              </w:rPr>
            </w:pPr>
            <w:r>
              <w:rPr>
                <w:rFonts w:ascii="Arial" w:cs="Arial" w:eastAsia="Arial" w:hAnsi="Arial"/>
                <w:sz w:val="13"/>
                <w:szCs w:val="13"/>
                <w:b w:val="1"/>
                <w:bCs w:val="1"/>
                <w:color w:val="auto"/>
              </w:rPr>
              <w:t>(In Shares)</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8"/>
              </w:rPr>
              <w:t>(In Shares)</w:t>
            </w:r>
          </w:p>
        </w:tc>
        <w:tc>
          <w:tcPr>
            <w:tcW w:w="1220" w:type="dxa"/>
            <w:vAlign w:val="bottom"/>
          </w:tcPr>
          <w:p>
            <w:pPr>
              <w:jc w:val="right"/>
              <w:ind w:right="57"/>
              <w:spacing w:after="0"/>
              <w:rPr>
                <w:sz w:val="20"/>
                <w:szCs w:val="20"/>
                <w:color w:val="auto"/>
              </w:rPr>
            </w:pPr>
            <w:r>
              <w:rPr>
                <w:rFonts w:ascii="Arial" w:cs="Arial" w:eastAsia="Arial" w:hAnsi="Arial"/>
                <w:sz w:val="13"/>
                <w:szCs w:val="13"/>
                <w:b w:val="1"/>
                <w:bCs w:val="1"/>
                <w:color w:val="auto"/>
              </w:rPr>
              <w:t>NQ Equivalents</w:t>
            </w:r>
          </w:p>
        </w:tc>
        <w:tc>
          <w:tcPr>
            <w:tcW w:w="1180" w:type="dxa"/>
            <w:vAlign w:val="bottom"/>
          </w:tcPr>
          <w:p>
            <w:pPr>
              <w:ind w:left="320"/>
              <w:spacing w:after="0"/>
              <w:rPr>
                <w:sz w:val="20"/>
                <w:szCs w:val="20"/>
                <w:color w:val="auto"/>
              </w:rPr>
            </w:pPr>
            <w:r>
              <w:rPr>
                <w:rFonts w:ascii="Arial" w:cs="Arial" w:eastAsia="Arial" w:hAnsi="Arial"/>
                <w:sz w:val="13"/>
                <w:szCs w:val="13"/>
                <w:b w:val="1"/>
                <w:bCs w:val="1"/>
                <w:color w:val="auto"/>
              </w:rPr>
              <w:t>Fair Value*</w:t>
            </w:r>
          </w:p>
        </w:tc>
      </w:tr>
      <w:tr>
        <w:trPr>
          <w:trHeight w:val="45"/>
        </w:trPr>
        <w:tc>
          <w:tcPr>
            <w:tcW w:w="5980" w:type="dxa"/>
            <w:vAlign w:val="bottom"/>
            <w:tcBorders>
              <w:bottom w:val="single" w:sz="8" w:color="808285"/>
            </w:tcBorders>
          </w:tcPr>
          <w:p>
            <w:pPr>
              <w:spacing w:after="0"/>
              <w:rPr>
                <w:sz w:val="3"/>
                <w:szCs w:val="3"/>
                <w:color w:val="auto"/>
              </w:rPr>
            </w:pPr>
          </w:p>
        </w:tc>
        <w:tc>
          <w:tcPr>
            <w:tcW w:w="640" w:type="dxa"/>
            <w:vAlign w:val="bottom"/>
            <w:tcBorders>
              <w:bottom w:val="single" w:sz="8" w:color="808285"/>
            </w:tcBorders>
          </w:tcPr>
          <w:p>
            <w:pPr>
              <w:spacing w:after="0"/>
              <w:rPr>
                <w:sz w:val="3"/>
                <w:szCs w:val="3"/>
                <w:color w:val="auto"/>
              </w:rPr>
            </w:pPr>
          </w:p>
        </w:tc>
        <w:tc>
          <w:tcPr>
            <w:tcW w:w="1320" w:type="dxa"/>
            <w:vAlign w:val="bottom"/>
            <w:tcBorders>
              <w:bottom w:val="single" w:sz="8" w:color="808285"/>
            </w:tcBorders>
          </w:tcPr>
          <w:p>
            <w:pPr>
              <w:spacing w:after="0"/>
              <w:rPr>
                <w:sz w:val="3"/>
                <w:szCs w:val="3"/>
                <w:color w:val="auto"/>
              </w:rPr>
            </w:pPr>
          </w:p>
        </w:tc>
        <w:tc>
          <w:tcPr>
            <w:tcW w:w="1080" w:type="dxa"/>
            <w:vAlign w:val="bottom"/>
            <w:tcBorders>
              <w:bottom w:val="single" w:sz="8" w:color="808285"/>
            </w:tcBorders>
          </w:tcPr>
          <w:p>
            <w:pPr>
              <w:spacing w:after="0"/>
              <w:rPr>
                <w:sz w:val="3"/>
                <w:szCs w:val="3"/>
                <w:color w:val="auto"/>
              </w:rPr>
            </w:pPr>
          </w:p>
        </w:tc>
        <w:tc>
          <w:tcPr>
            <w:tcW w:w="1220" w:type="dxa"/>
            <w:vAlign w:val="bottom"/>
            <w:tcBorders>
              <w:bottom w:val="single" w:sz="8" w:color="808285"/>
            </w:tcBorders>
          </w:tcPr>
          <w:p>
            <w:pPr>
              <w:spacing w:after="0"/>
              <w:rPr>
                <w:sz w:val="3"/>
                <w:szCs w:val="3"/>
                <w:color w:val="auto"/>
              </w:rPr>
            </w:pPr>
          </w:p>
        </w:tc>
        <w:tc>
          <w:tcPr>
            <w:tcW w:w="1180" w:type="dxa"/>
            <w:vAlign w:val="bottom"/>
            <w:tcBorders>
              <w:bottom w:val="single" w:sz="8" w:color="808285"/>
            </w:tcBorders>
          </w:tcPr>
          <w:p>
            <w:pPr>
              <w:spacing w:after="0"/>
              <w:rPr>
                <w:sz w:val="3"/>
                <w:szCs w:val="3"/>
                <w:color w:val="auto"/>
              </w:rPr>
            </w:pPr>
          </w:p>
        </w:tc>
      </w:tr>
      <w:tr>
        <w:trPr>
          <w:trHeight w:val="218"/>
        </w:trPr>
        <w:tc>
          <w:tcPr>
            <w:tcW w:w="5980" w:type="dxa"/>
            <w:vAlign w:val="bottom"/>
            <w:shd w:val="clear" w:color="auto" w:fill="E9E9E9"/>
          </w:tcPr>
          <w:p>
            <w:pPr>
              <w:spacing w:after="0"/>
              <w:rPr>
                <w:sz w:val="20"/>
                <w:szCs w:val="20"/>
                <w:color w:val="auto"/>
              </w:rPr>
            </w:pPr>
            <w:r>
              <w:rPr>
                <w:rFonts w:ascii="Arial" w:cs="Arial" w:eastAsia="Arial" w:hAnsi="Arial"/>
                <w:sz w:val="17"/>
                <w:szCs w:val="17"/>
                <w:color w:val="auto"/>
              </w:rPr>
              <w:t>R. K. Templeton</w:t>
            </w:r>
          </w:p>
        </w:tc>
        <w:tc>
          <w:tcPr>
            <w:tcW w:w="640" w:type="dxa"/>
            <w:vAlign w:val="bottom"/>
            <w:shd w:val="clear" w:color="auto" w:fill="E9E9E9"/>
          </w:tcPr>
          <w:p>
            <w:pPr>
              <w:jc w:val="center"/>
              <w:ind w:left="177"/>
              <w:spacing w:after="0"/>
              <w:rPr>
                <w:sz w:val="20"/>
                <w:szCs w:val="20"/>
                <w:color w:val="auto"/>
              </w:rPr>
            </w:pPr>
            <w:r>
              <w:rPr>
                <w:rFonts w:ascii="Arial" w:cs="Arial" w:eastAsia="Arial" w:hAnsi="Arial"/>
                <w:sz w:val="17"/>
                <w:szCs w:val="17"/>
                <w:color w:val="auto"/>
              </w:rPr>
              <w:t>2012</w:t>
            </w:r>
          </w:p>
        </w:tc>
        <w:tc>
          <w:tcPr>
            <w:tcW w:w="1320" w:type="dxa"/>
            <w:vAlign w:val="bottom"/>
            <w:shd w:val="clear" w:color="auto" w:fill="E9E9E9"/>
          </w:tcPr>
          <w:p>
            <w:pPr>
              <w:jc w:val="right"/>
              <w:ind w:right="198"/>
              <w:spacing w:after="0"/>
              <w:rPr>
                <w:sz w:val="20"/>
                <w:szCs w:val="20"/>
                <w:color w:val="auto"/>
              </w:rPr>
            </w:pPr>
            <w:r>
              <w:rPr>
                <w:rFonts w:ascii="Arial" w:cs="Arial" w:eastAsia="Arial" w:hAnsi="Arial"/>
                <w:sz w:val="17"/>
                <w:szCs w:val="17"/>
                <w:color w:val="auto"/>
              </w:rPr>
              <w:t>475,000</w:t>
            </w:r>
          </w:p>
        </w:tc>
        <w:tc>
          <w:tcPr>
            <w:tcW w:w="1080" w:type="dxa"/>
            <w:vAlign w:val="bottom"/>
            <w:shd w:val="clear" w:color="auto" w:fill="E9E9E9"/>
          </w:tcPr>
          <w:p>
            <w:pPr>
              <w:jc w:val="right"/>
              <w:ind w:right="259"/>
              <w:spacing w:after="0"/>
              <w:rPr>
                <w:sz w:val="20"/>
                <w:szCs w:val="20"/>
                <w:color w:val="auto"/>
              </w:rPr>
            </w:pPr>
            <w:r>
              <w:rPr>
                <w:rFonts w:ascii="Arial" w:cs="Arial" w:eastAsia="Arial" w:hAnsi="Arial"/>
                <w:sz w:val="17"/>
                <w:szCs w:val="17"/>
                <w:color w:val="auto"/>
              </w:rPr>
              <w:t>158,334</w:t>
            </w:r>
          </w:p>
        </w:tc>
        <w:tc>
          <w:tcPr>
            <w:tcW w:w="1220" w:type="dxa"/>
            <w:vAlign w:val="bottom"/>
            <w:shd w:val="clear" w:color="auto" w:fill="E9E9E9"/>
          </w:tcPr>
          <w:p>
            <w:pPr>
              <w:jc w:val="right"/>
              <w:ind w:right="257"/>
              <w:spacing w:after="0"/>
              <w:rPr>
                <w:sz w:val="20"/>
                <w:szCs w:val="20"/>
                <w:color w:val="auto"/>
              </w:rPr>
            </w:pPr>
            <w:r>
              <w:rPr>
                <w:rFonts w:ascii="Arial" w:cs="Arial" w:eastAsia="Arial" w:hAnsi="Arial"/>
                <w:sz w:val="17"/>
                <w:szCs w:val="17"/>
                <w:color w:val="auto"/>
              </w:rPr>
              <w:t>950,002</w:t>
            </w:r>
          </w:p>
        </w:tc>
        <w:tc>
          <w:tcPr>
            <w:tcW w:w="1180" w:type="dxa"/>
            <w:vAlign w:val="bottom"/>
            <w:shd w:val="clear" w:color="auto" w:fill="E9E9E9"/>
          </w:tcPr>
          <w:p>
            <w:pPr>
              <w:ind w:left="140"/>
              <w:spacing w:after="0"/>
              <w:rPr>
                <w:sz w:val="20"/>
                <w:szCs w:val="20"/>
                <w:color w:val="auto"/>
              </w:rPr>
            </w:pPr>
            <w:r>
              <w:rPr>
                <w:rFonts w:ascii="Arial" w:cs="Arial" w:eastAsia="Arial" w:hAnsi="Arial"/>
                <w:sz w:val="17"/>
                <w:szCs w:val="17"/>
                <w:color w:val="auto"/>
              </w:rPr>
              <w:t>$9,074,035</w:t>
            </w:r>
          </w:p>
        </w:tc>
      </w:tr>
      <w:tr>
        <w:trPr>
          <w:trHeight w:val="233"/>
        </w:trPr>
        <w:tc>
          <w:tcPr>
            <w:tcW w:w="5980" w:type="dxa"/>
            <w:vAlign w:val="bottom"/>
            <w:shd w:val="clear" w:color="auto" w:fill="E9E9E9"/>
          </w:tcPr>
          <w:p>
            <w:pPr>
              <w:spacing w:after="0"/>
              <w:rPr>
                <w:sz w:val="20"/>
                <w:szCs w:val="20"/>
                <w:color w:val="auto"/>
              </w:rPr>
            </w:pPr>
          </w:p>
        </w:tc>
        <w:tc>
          <w:tcPr>
            <w:tcW w:w="640" w:type="dxa"/>
            <w:vAlign w:val="bottom"/>
            <w:shd w:val="clear" w:color="auto" w:fill="E9E9E9"/>
          </w:tcPr>
          <w:p>
            <w:pPr>
              <w:jc w:val="center"/>
              <w:ind w:left="177"/>
              <w:spacing w:after="0"/>
              <w:rPr>
                <w:sz w:val="20"/>
                <w:szCs w:val="20"/>
                <w:color w:val="auto"/>
              </w:rPr>
            </w:pPr>
            <w:r>
              <w:rPr>
                <w:rFonts w:ascii="Arial" w:cs="Arial" w:eastAsia="Arial" w:hAnsi="Arial"/>
                <w:sz w:val="17"/>
                <w:szCs w:val="17"/>
                <w:color w:val="auto"/>
              </w:rPr>
              <w:t>2011</w:t>
            </w:r>
          </w:p>
        </w:tc>
        <w:tc>
          <w:tcPr>
            <w:tcW w:w="1320" w:type="dxa"/>
            <w:vAlign w:val="bottom"/>
            <w:shd w:val="clear" w:color="auto" w:fill="E9E9E9"/>
          </w:tcPr>
          <w:p>
            <w:pPr>
              <w:jc w:val="right"/>
              <w:ind w:right="198"/>
              <w:spacing w:after="0"/>
              <w:rPr>
                <w:sz w:val="20"/>
                <w:szCs w:val="20"/>
                <w:color w:val="auto"/>
              </w:rPr>
            </w:pPr>
            <w:r>
              <w:rPr>
                <w:rFonts w:ascii="Arial" w:cs="Arial" w:eastAsia="Arial" w:hAnsi="Arial"/>
                <w:sz w:val="17"/>
                <w:szCs w:val="17"/>
                <w:color w:val="auto"/>
              </w:rPr>
              <w:t>450,000</w:t>
            </w:r>
          </w:p>
        </w:tc>
        <w:tc>
          <w:tcPr>
            <w:tcW w:w="1080" w:type="dxa"/>
            <w:vAlign w:val="bottom"/>
            <w:shd w:val="clear" w:color="auto" w:fill="E9E9E9"/>
          </w:tcPr>
          <w:p>
            <w:pPr>
              <w:jc w:val="right"/>
              <w:ind w:right="259"/>
              <w:spacing w:after="0"/>
              <w:rPr>
                <w:sz w:val="20"/>
                <w:szCs w:val="20"/>
                <w:color w:val="auto"/>
              </w:rPr>
            </w:pPr>
            <w:r>
              <w:rPr>
                <w:rFonts w:ascii="Arial" w:cs="Arial" w:eastAsia="Arial" w:hAnsi="Arial"/>
                <w:sz w:val="17"/>
                <w:szCs w:val="17"/>
                <w:color w:val="auto"/>
              </w:rPr>
              <w:t>150,000</w:t>
            </w:r>
          </w:p>
        </w:tc>
        <w:tc>
          <w:tcPr>
            <w:tcW w:w="1220" w:type="dxa"/>
            <w:vAlign w:val="bottom"/>
            <w:shd w:val="clear" w:color="auto" w:fill="E9E9E9"/>
          </w:tcPr>
          <w:p>
            <w:pPr>
              <w:jc w:val="right"/>
              <w:ind w:right="257"/>
              <w:spacing w:after="0"/>
              <w:rPr>
                <w:sz w:val="20"/>
                <w:szCs w:val="20"/>
                <w:color w:val="auto"/>
              </w:rPr>
            </w:pPr>
            <w:r>
              <w:rPr>
                <w:rFonts w:ascii="Arial" w:cs="Arial" w:eastAsia="Arial" w:hAnsi="Arial"/>
                <w:sz w:val="17"/>
                <w:szCs w:val="17"/>
                <w:color w:val="auto"/>
              </w:rPr>
              <w:t>900,000</w:t>
            </w:r>
          </w:p>
        </w:tc>
        <w:tc>
          <w:tcPr>
            <w:tcW w:w="1180" w:type="dxa"/>
            <w:vAlign w:val="bottom"/>
            <w:shd w:val="clear" w:color="auto" w:fill="E9E9E9"/>
          </w:tcPr>
          <w:p>
            <w:pPr>
              <w:ind w:left="140"/>
              <w:spacing w:after="0"/>
              <w:rPr>
                <w:sz w:val="20"/>
                <w:szCs w:val="20"/>
                <w:color w:val="auto"/>
              </w:rPr>
            </w:pPr>
            <w:r>
              <w:rPr>
                <w:rFonts w:ascii="Arial" w:cs="Arial" w:eastAsia="Arial" w:hAnsi="Arial"/>
                <w:sz w:val="17"/>
                <w:szCs w:val="17"/>
                <w:color w:val="auto"/>
              </w:rPr>
              <w:t>$9,883,575</w:t>
            </w:r>
          </w:p>
        </w:tc>
      </w:tr>
      <w:tr>
        <w:trPr>
          <w:trHeight w:val="247"/>
        </w:trPr>
        <w:tc>
          <w:tcPr>
            <w:tcW w:w="5980" w:type="dxa"/>
            <w:vAlign w:val="bottom"/>
            <w:shd w:val="clear" w:color="auto" w:fill="E9E9E9"/>
          </w:tcPr>
          <w:p>
            <w:pPr>
              <w:spacing w:after="0"/>
              <w:rPr>
                <w:sz w:val="21"/>
                <w:szCs w:val="21"/>
                <w:color w:val="auto"/>
              </w:rPr>
            </w:pPr>
          </w:p>
        </w:tc>
        <w:tc>
          <w:tcPr>
            <w:tcW w:w="640" w:type="dxa"/>
            <w:vAlign w:val="bottom"/>
            <w:shd w:val="clear" w:color="auto" w:fill="E9E9E9"/>
          </w:tcPr>
          <w:p>
            <w:pPr>
              <w:jc w:val="center"/>
              <w:ind w:left="177"/>
              <w:spacing w:after="0"/>
              <w:rPr>
                <w:sz w:val="20"/>
                <w:szCs w:val="20"/>
                <w:color w:val="auto"/>
              </w:rPr>
            </w:pPr>
            <w:r>
              <w:rPr>
                <w:rFonts w:ascii="Arial" w:cs="Arial" w:eastAsia="Arial" w:hAnsi="Arial"/>
                <w:sz w:val="17"/>
                <w:szCs w:val="17"/>
                <w:color w:val="auto"/>
              </w:rPr>
              <w:t>2010</w:t>
            </w:r>
          </w:p>
        </w:tc>
        <w:tc>
          <w:tcPr>
            <w:tcW w:w="1320" w:type="dxa"/>
            <w:vAlign w:val="bottom"/>
            <w:shd w:val="clear" w:color="auto" w:fill="E9E9E9"/>
          </w:tcPr>
          <w:p>
            <w:pPr>
              <w:jc w:val="right"/>
              <w:ind w:right="198"/>
              <w:spacing w:after="0"/>
              <w:rPr>
                <w:sz w:val="20"/>
                <w:szCs w:val="20"/>
                <w:color w:val="auto"/>
              </w:rPr>
            </w:pPr>
            <w:r>
              <w:rPr>
                <w:rFonts w:ascii="Arial" w:cs="Arial" w:eastAsia="Arial" w:hAnsi="Arial"/>
                <w:sz w:val="17"/>
                <w:szCs w:val="17"/>
                <w:color w:val="auto"/>
              </w:rPr>
              <w:t>540,000</w:t>
            </w:r>
          </w:p>
        </w:tc>
        <w:tc>
          <w:tcPr>
            <w:tcW w:w="1080" w:type="dxa"/>
            <w:vAlign w:val="bottom"/>
            <w:shd w:val="clear" w:color="auto" w:fill="E9E9E9"/>
          </w:tcPr>
          <w:p>
            <w:pPr>
              <w:jc w:val="right"/>
              <w:ind w:right="259"/>
              <w:spacing w:after="0"/>
              <w:rPr>
                <w:sz w:val="20"/>
                <w:szCs w:val="20"/>
                <w:color w:val="auto"/>
              </w:rPr>
            </w:pPr>
            <w:r>
              <w:rPr>
                <w:rFonts w:ascii="Arial" w:cs="Arial" w:eastAsia="Arial" w:hAnsi="Arial"/>
                <w:sz w:val="17"/>
                <w:szCs w:val="17"/>
                <w:color w:val="auto"/>
              </w:rPr>
              <w:t>180,000</w:t>
            </w:r>
          </w:p>
        </w:tc>
        <w:tc>
          <w:tcPr>
            <w:tcW w:w="1220" w:type="dxa"/>
            <w:vAlign w:val="bottom"/>
            <w:shd w:val="clear" w:color="auto" w:fill="E9E9E9"/>
          </w:tcPr>
          <w:p>
            <w:pPr>
              <w:jc w:val="right"/>
              <w:ind w:right="257"/>
              <w:spacing w:after="0"/>
              <w:rPr>
                <w:sz w:val="20"/>
                <w:szCs w:val="20"/>
                <w:color w:val="auto"/>
              </w:rPr>
            </w:pPr>
            <w:r>
              <w:rPr>
                <w:rFonts w:ascii="Arial" w:cs="Arial" w:eastAsia="Arial" w:hAnsi="Arial"/>
                <w:sz w:val="17"/>
                <w:szCs w:val="17"/>
                <w:color w:val="auto"/>
              </w:rPr>
              <w:t>1,080,000</w:t>
            </w:r>
          </w:p>
        </w:tc>
        <w:tc>
          <w:tcPr>
            <w:tcW w:w="1180" w:type="dxa"/>
            <w:vAlign w:val="bottom"/>
            <w:shd w:val="clear" w:color="auto" w:fill="E9E9E9"/>
          </w:tcPr>
          <w:p>
            <w:pPr>
              <w:ind w:left="140"/>
              <w:spacing w:after="0"/>
              <w:rPr>
                <w:sz w:val="20"/>
                <w:szCs w:val="20"/>
                <w:color w:val="auto"/>
              </w:rPr>
            </w:pPr>
            <w:r>
              <w:rPr>
                <w:rFonts w:ascii="Arial" w:cs="Arial" w:eastAsia="Arial" w:hAnsi="Arial"/>
                <w:sz w:val="17"/>
                <w:szCs w:val="17"/>
                <w:color w:val="auto"/>
              </w:rPr>
              <w:t>$7,715,066</w:t>
            </w:r>
          </w:p>
        </w:tc>
      </w:tr>
      <w:tr>
        <w:trPr>
          <w:trHeight w:val="233"/>
        </w:trPr>
        <w:tc>
          <w:tcPr>
            <w:tcW w:w="5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8"/>
        </w:trPr>
        <w:tc>
          <w:tcPr>
            <w:tcW w:w="5980" w:type="dxa"/>
            <w:vAlign w:val="bottom"/>
            <w:shd w:val="clear" w:color="auto" w:fill="E9E9E9"/>
          </w:tcPr>
          <w:p>
            <w:pPr>
              <w:spacing w:after="0"/>
              <w:rPr>
                <w:sz w:val="20"/>
                <w:szCs w:val="20"/>
                <w:color w:val="auto"/>
              </w:rPr>
            </w:pPr>
            <w:r>
              <w:rPr>
                <w:rFonts w:ascii="Arial" w:cs="Arial" w:eastAsia="Arial" w:hAnsi="Arial"/>
                <w:sz w:val="17"/>
                <w:szCs w:val="17"/>
                <w:color w:val="auto"/>
              </w:rPr>
              <w:t>K. P. March</w:t>
            </w:r>
          </w:p>
        </w:tc>
        <w:tc>
          <w:tcPr>
            <w:tcW w:w="640" w:type="dxa"/>
            <w:vAlign w:val="bottom"/>
            <w:shd w:val="clear" w:color="auto" w:fill="E9E9E9"/>
          </w:tcPr>
          <w:p>
            <w:pPr>
              <w:jc w:val="center"/>
              <w:ind w:left="177"/>
              <w:spacing w:after="0"/>
              <w:rPr>
                <w:sz w:val="20"/>
                <w:szCs w:val="20"/>
                <w:color w:val="auto"/>
              </w:rPr>
            </w:pPr>
            <w:r>
              <w:rPr>
                <w:rFonts w:ascii="Arial" w:cs="Arial" w:eastAsia="Arial" w:hAnsi="Arial"/>
                <w:sz w:val="17"/>
                <w:szCs w:val="17"/>
                <w:color w:val="auto"/>
              </w:rPr>
              <w:t>2012</w:t>
            </w:r>
          </w:p>
        </w:tc>
        <w:tc>
          <w:tcPr>
            <w:tcW w:w="1320" w:type="dxa"/>
            <w:vAlign w:val="bottom"/>
            <w:shd w:val="clear" w:color="auto" w:fill="E9E9E9"/>
          </w:tcPr>
          <w:p>
            <w:pPr>
              <w:jc w:val="right"/>
              <w:ind w:right="198"/>
              <w:spacing w:after="0"/>
              <w:rPr>
                <w:sz w:val="20"/>
                <w:szCs w:val="20"/>
                <w:color w:val="auto"/>
              </w:rPr>
            </w:pPr>
            <w:r>
              <w:rPr>
                <w:rFonts w:ascii="Arial" w:cs="Arial" w:eastAsia="Arial" w:hAnsi="Arial"/>
                <w:sz w:val="17"/>
                <w:szCs w:val="17"/>
                <w:color w:val="auto"/>
              </w:rPr>
              <w:t>150,000</w:t>
            </w:r>
          </w:p>
        </w:tc>
        <w:tc>
          <w:tcPr>
            <w:tcW w:w="1080" w:type="dxa"/>
            <w:vAlign w:val="bottom"/>
            <w:shd w:val="clear" w:color="auto" w:fill="E9E9E9"/>
          </w:tcPr>
          <w:p>
            <w:pPr>
              <w:jc w:val="right"/>
              <w:ind w:right="259"/>
              <w:spacing w:after="0"/>
              <w:rPr>
                <w:sz w:val="20"/>
                <w:szCs w:val="20"/>
                <w:color w:val="auto"/>
              </w:rPr>
            </w:pPr>
            <w:r>
              <w:rPr>
                <w:rFonts w:ascii="Arial" w:cs="Arial" w:eastAsia="Arial" w:hAnsi="Arial"/>
                <w:sz w:val="17"/>
                <w:szCs w:val="17"/>
                <w:color w:val="auto"/>
              </w:rPr>
              <w:t>50,000</w:t>
            </w:r>
          </w:p>
        </w:tc>
        <w:tc>
          <w:tcPr>
            <w:tcW w:w="1220" w:type="dxa"/>
            <w:vAlign w:val="bottom"/>
            <w:shd w:val="clear" w:color="auto" w:fill="E9E9E9"/>
          </w:tcPr>
          <w:p>
            <w:pPr>
              <w:jc w:val="right"/>
              <w:ind w:right="257"/>
              <w:spacing w:after="0"/>
              <w:rPr>
                <w:sz w:val="20"/>
                <w:szCs w:val="20"/>
                <w:color w:val="auto"/>
              </w:rPr>
            </w:pPr>
            <w:r>
              <w:rPr>
                <w:rFonts w:ascii="Arial" w:cs="Arial" w:eastAsia="Arial" w:hAnsi="Arial"/>
                <w:sz w:val="17"/>
                <w:szCs w:val="17"/>
                <w:color w:val="auto"/>
              </w:rPr>
              <w:t>300,000</w:t>
            </w:r>
          </w:p>
        </w:tc>
        <w:tc>
          <w:tcPr>
            <w:tcW w:w="1180" w:type="dxa"/>
            <w:vAlign w:val="bottom"/>
            <w:shd w:val="clear" w:color="auto" w:fill="E9E9E9"/>
          </w:tcPr>
          <w:p>
            <w:pPr>
              <w:ind w:left="140"/>
              <w:spacing w:after="0"/>
              <w:rPr>
                <w:sz w:val="20"/>
                <w:szCs w:val="20"/>
                <w:color w:val="auto"/>
              </w:rPr>
            </w:pPr>
            <w:r>
              <w:rPr>
                <w:rFonts w:ascii="Arial" w:cs="Arial" w:eastAsia="Arial" w:hAnsi="Arial"/>
                <w:sz w:val="17"/>
                <w:szCs w:val="17"/>
                <w:color w:val="auto"/>
              </w:rPr>
              <w:t>$2,865,478</w:t>
            </w:r>
          </w:p>
        </w:tc>
      </w:tr>
      <w:tr>
        <w:trPr>
          <w:trHeight w:val="233"/>
        </w:trPr>
        <w:tc>
          <w:tcPr>
            <w:tcW w:w="5980" w:type="dxa"/>
            <w:vAlign w:val="bottom"/>
            <w:shd w:val="clear" w:color="auto" w:fill="E9E9E9"/>
          </w:tcPr>
          <w:p>
            <w:pPr>
              <w:spacing w:after="0"/>
              <w:rPr>
                <w:sz w:val="20"/>
                <w:szCs w:val="20"/>
                <w:color w:val="auto"/>
              </w:rPr>
            </w:pPr>
          </w:p>
        </w:tc>
        <w:tc>
          <w:tcPr>
            <w:tcW w:w="640" w:type="dxa"/>
            <w:vAlign w:val="bottom"/>
            <w:shd w:val="clear" w:color="auto" w:fill="E9E9E9"/>
          </w:tcPr>
          <w:p>
            <w:pPr>
              <w:jc w:val="center"/>
              <w:ind w:left="177"/>
              <w:spacing w:after="0"/>
              <w:rPr>
                <w:sz w:val="20"/>
                <w:szCs w:val="20"/>
                <w:color w:val="auto"/>
              </w:rPr>
            </w:pPr>
            <w:r>
              <w:rPr>
                <w:rFonts w:ascii="Arial" w:cs="Arial" w:eastAsia="Arial" w:hAnsi="Arial"/>
                <w:sz w:val="17"/>
                <w:szCs w:val="17"/>
                <w:color w:val="auto"/>
              </w:rPr>
              <w:t>2011</w:t>
            </w:r>
          </w:p>
        </w:tc>
        <w:tc>
          <w:tcPr>
            <w:tcW w:w="1320" w:type="dxa"/>
            <w:vAlign w:val="bottom"/>
            <w:shd w:val="clear" w:color="auto" w:fill="E9E9E9"/>
          </w:tcPr>
          <w:p>
            <w:pPr>
              <w:jc w:val="right"/>
              <w:ind w:right="198"/>
              <w:spacing w:after="0"/>
              <w:rPr>
                <w:sz w:val="20"/>
                <w:szCs w:val="20"/>
                <w:color w:val="auto"/>
              </w:rPr>
            </w:pPr>
            <w:r>
              <w:rPr>
                <w:rFonts w:ascii="Arial" w:cs="Arial" w:eastAsia="Arial" w:hAnsi="Arial"/>
                <w:sz w:val="17"/>
                <w:szCs w:val="17"/>
                <w:color w:val="auto"/>
              </w:rPr>
              <w:t>137,500</w:t>
            </w:r>
          </w:p>
        </w:tc>
        <w:tc>
          <w:tcPr>
            <w:tcW w:w="1080" w:type="dxa"/>
            <w:vAlign w:val="bottom"/>
            <w:shd w:val="clear" w:color="auto" w:fill="E9E9E9"/>
          </w:tcPr>
          <w:p>
            <w:pPr>
              <w:jc w:val="right"/>
              <w:ind w:right="259"/>
              <w:spacing w:after="0"/>
              <w:rPr>
                <w:sz w:val="20"/>
                <w:szCs w:val="20"/>
                <w:color w:val="auto"/>
              </w:rPr>
            </w:pPr>
            <w:r>
              <w:rPr>
                <w:rFonts w:ascii="Arial" w:cs="Arial" w:eastAsia="Arial" w:hAnsi="Arial"/>
                <w:sz w:val="17"/>
                <w:szCs w:val="17"/>
                <w:color w:val="auto"/>
              </w:rPr>
              <w:t>45,834</w:t>
            </w:r>
          </w:p>
        </w:tc>
        <w:tc>
          <w:tcPr>
            <w:tcW w:w="1220" w:type="dxa"/>
            <w:vAlign w:val="bottom"/>
            <w:shd w:val="clear" w:color="auto" w:fill="E9E9E9"/>
          </w:tcPr>
          <w:p>
            <w:pPr>
              <w:jc w:val="right"/>
              <w:ind w:right="257"/>
              <w:spacing w:after="0"/>
              <w:rPr>
                <w:sz w:val="20"/>
                <w:szCs w:val="20"/>
                <w:color w:val="auto"/>
              </w:rPr>
            </w:pPr>
            <w:r>
              <w:rPr>
                <w:rFonts w:ascii="Arial" w:cs="Arial" w:eastAsia="Arial" w:hAnsi="Arial"/>
                <w:sz w:val="17"/>
                <w:szCs w:val="17"/>
                <w:color w:val="auto"/>
              </w:rPr>
              <w:t>275,002</w:t>
            </w:r>
          </w:p>
        </w:tc>
        <w:tc>
          <w:tcPr>
            <w:tcW w:w="1180" w:type="dxa"/>
            <w:vAlign w:val="bottom"/>
            <w:shd w:val="clear" w:color="auto" w:fill="E9E9E9"/>
          </w:tcPr>
          <w:p>
            <w:pPr>
              <w:ind w:left="140"/>
              <w:spacing w:after="0"/>
              <w:rPr>
                <w:sz w:val="20"/>
                <w:szCs w:val="20"/>
                <w:color w:val="auto"/>
              </w:rPr>
            </w:pPr>
            <w:r>
              <w:rPr>
                <w:rFonts w:ascii="Arial" w:cs="Arial" w:eastAsia="Arial" w:hAnsi="Arial"/>
                <w:sz w:val="17"/>
                <w:szCs w:val="17"/>
                <w:color w:val="auto"/>
              </w:rPr>
              <w:t>$3,020,004</w:t>
            </w:r>
          </w:p>
        </w:tc>
      </w:tr>
      <w:tr>
        <w:trPr>
          <w:trHeight w:val="247"/>
        </w:trPr>
        <w:tc>
          <w:tcPr>
            <w:tcW w:w="5980" w:type="dxa"/>
            <w:vAlign w:val="bottom"/>
            <w:shd w:val="clear" w:color="auto" w:fill="E9E9E9"/>
          </w:tcPr>
          <w:p>
            <w:pPr>
              <w:spacing w:after="0"/>
              <w:rPr>
                <w:sz w:val="21"/>
                <w:szCs w:val="21"/>
                <w:color w:val="auto"/>
              </w:rPr>
            </w:pPr>
          </w:p>
        </w:tc>
        <w:tc>
          <w:tcPr>
            <w:tcW w:w="640" w:type="dxa"/>
            <w:vAlign w:val="bottom"/>
            <w:shd w:val="clear" w:color="auto" w:fill="E9E9E9"/>
          </w:tcPr>
          <w:p>
            <w:pPr>
              <w:jc w:val="center"/>
              <w:ind w:left="177"/>
              <w:spacing w:after="0"/>
              <w:rPr>
                <w:sz w:val="20"/>
                <w:szCs w:val="20"/>
                <w:color w:val="auto"/>
              </w:rPr>
            </w:pPr>
            <w:r>
              <w:rPr>
                <w:rFonts w:ascii="Arial" w:cs="Arial" w:eastAsia="Arial" w:hAnsi="Arial"/>
                <w:sz w:val="17"/>
                <w:szCs w:val="17"/>
                <w:color w:val="auto"/>
              </w:rPr>
              <w:t>2010</w:t>
            </w:r>
          </w:p>
        </w:tc>
        <w:tc>
          <w:tcPr>
            <w:tcW w:w="1320" w:type="dxa"/>
            <w:vAlign w:val="bottom"/>
            <w:shd w:val="clear" w:color="auto" w:fill="E9E9E9"/>
          </w:tcPr>
          <w:p>
            <w:pPr>
              <w:jc w:val="right"/>
              <w:ind w:right="198"/>
              <w:spacing w:after="0"/>
              <w:rPr>
                <w:sz w:val="20"/>
                <w:szCs w:val="20"/>
                <w:color w:val="auto"/>
              </w:rPr>
            </w:pPr>
            <w:r>
              <w:rPr>
                <w:rFonts w:ascii="Arial" w:cs="Arial" w:eastAsia="Arial" w:hAnsi="Arial"/>
                <w:sz w:val="17"/>
                <w:szCs w:val="17"/>
                <w:color w:val="auto"/>
              </w:rPr>
              <w:t>161,250</w:t>
            </w:r>
          </w:p>
        </w:tc>
        <w:tc>
          <w:tcPr>
            <w:tcW w:w="1080" w:type="dxa"/>
            <w:vAlign w:val="bottom"/>
            <w:shd w:val="clear" w:color="auto" w:fill="E9E9E9"/>
          </w:tcPr>
          <w:p>
            <w:pPr>
              <w:jc w:val="right"/>
              <w:ind w:right="259"/>
              <w:spacing w:after="0"/>
              <w:rPr>
                <w:sz w:val="20"/>
                <w:szCs w:val="20"/>
                <w:color w:val="auto"/>
              </w:rPr>
            </w:pPr>
            <w:r>
              <w:rPr>
                <w:rFonts w:ascii="Arial" w:cs="Arial" w:eastAsia="Arial" w:hAnsi="Arial"/>
                <w:sz w:val="17"/>
                <w:szCs w:val="17"/>
                <w:color w:val="auto"/>
              </w:rPr>
              <w:t>53,751</w:t>
            </w:r>
          </w:p>
        </w:tc>
        <w:tc>
          <w:tcPr>
            <w:tcW w:w="1220" w:type="dxa"/>
            <w:vAlign w:val="bottom"/>
            <w:shd w:val="clear" w:color="auto" w:fill="E9E9E9"/>
          </w:tcPr>
          <w:p>
            <w:pPr>
              <w:jc w:val="right"/>
              <w:ind w:right="257"/>
              <w:spacing w:after="0"/>
              <w:rPr>
                <w:sz w:val="20"/>
                <w:szCs w:val="20"/>
                <w:color w:val="auto"/>
              </w:rPr>
            </w:pPr>
            <w:r>
              <w:rPr>
                <w:rFonts w:ascii="Arial" w:cs="Arial" w:eastAsia="Arial" w:hAnsi="Arial"/>
                <w:sz w:val="17"/>
                <w:szCs w:val="17"/>
                <w:color w:val="auto"/>
              </w:rPr>
              <w:t>322,503</w:t>
            </w:r>
          </w:p>
        </w:tc>
        <w:tc>
          <w:tcPr>
            <w:tcW w:w="1180" w:type="dxa"/>
            <w:vAlign w:val="bottom"/>
            <w:shd w:val="clear" w:color="auto" w:fill="E9E9E9"/>
          </w:tcPr>
          <w:p>
            <w:pPr>
              <w:ind w:left="140"/>
              <w:spacing w:after="0"/>
              <w:rPr>
                <w:sz w:val="20"/>
                <w:szCs w:val="20"/>
                <w:color w:val="auto"/>
              </w:rPr>
            </w:pPr>
            <w:r>
              <w:rPr>
                <w:rFonts w:ascii="Arial" w:cs="Arial" w:eastAsia="Arial" w:hAnsi="Arial"/>
                <w:sz w:val="17"/>
                <w:szCs w:val="17"/>
                <w:color w:val="auto"/>
              </w:rPr>
              <w:t>$2,303,828</w:t>
            </w:r>
          </w:p>
        </w:tc>
      </w:tr>
      <w:tr>
        <w:trPr>
          <w:trHeight w:val="233"/>
        </w:trPr>
        <w:tc>
          <w:tcPr>
            <w:tcW w:w="5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8"/>
        </w:trPr>
        <w:tc>
          <w:tcPr>
            <w:tcW w:w="5980" w:type="dxa"/>
            <w:vAlign w:val="bottom"/>
            <w:shd w:val="clear" w:color="auto" w:fill="E9E9E9"/>
          </w:tcPr>
          <w:p>
            <w:pPr>
              <w:spacing w:after="0"/>
              <w:rPr>
                <w:sz w:val="20"/>
                <w:szCs w:val="20"/>
                <w:color w:val="auto"/>
              </w:rPr>
            </w:pPr>
            <w:r>
              <w:rPr>
                <w:rFonts w:ascii="Arial" w:cs="Arial" w:eastAsia="Arial" w:hAnsi="Arial"/>
                <w:sz w:val="17"/>
                <w:szCs w:val="17"/>
                <w:color w:val="auto"/>
              </w:rPr>
              <w:t>B. T. Crutcher</w:t>
            </w:r>
          </w:p>
        </w:tc>
        <w:tc>
          <w:tcPr>
            <w:tcW w:w="640" w:type="dxa"/>
            <w:vAlign w:val="bottom"/>
            <w:shd w:val="clear" w:color="auto" w:fill="E9E9E9"/>
          </w:tcPr>
          <w:p>
            <w:pPr>
              <w:jc w:val="center"/>
              <w:ind w:left="177"/>
              <w:spacing w:after="0"/>
              <w:rPr>
                <w:sz w:val="20"/>
                <w:szCs w:val="20"/>
                <w:color w:val="auto"/>
              </w:rPr>
            </w:pPr>
            <w:r>
              <w:rPr>
                <w:rFonts w:ascii="Arial" w:cs="Arial" w:eastAsia="Arial" w:hAnsi="Arial"/>
                <w:sz w:val="17"/>
                <w:szCs w:val="17"/>
                <w:color w:val="auto"/>
              </w:rPr>
              <w:t>2012</w:t>
            </w:r>
          </w:p>
        </w:tc>
        <w:tc>
          <w:tcPr>
            <w:tcW w:w="1320" w:type="dxa"/>
            <w:vAlign w:val="bottom"/>
            <w:shd w:val="clear" w:color="auto" w:fill="E9E9E9"/>
          </w:tcPr>
          <w:p>
            <w:pPr>
              <w:jc w:val="right"/>
              <w:ind w:right="198"/>
              <w:spacing w:after="0"/>
              <w:rPr>
                <w:sz w:val="20"/>
                <w:szCs w:val="20"/>
                <w:color w:val="auto"/>
              </w:rPr>
            </w:pPr>
            <w:r>
              <w:rPr>
                <w:rFonts w:ascii="Arial" w:cs="Arial" w:eastAsia="Arial" w:hAnsi="Arial"/>
                <w:sz w:val="17"/>
                <w:szCs w:val="17"/>
                <w:color w:val="auto"/>
              </w:rPr>
              <w:t>187,500</w:t>
            </w:r>
          </w:p>
        </w:tc>
        <w:tc>
          <w:tcPr>
            <w:tcW w:w="1080" w:type="dxa"/>
            <w:vAlign w:val="bottom"/>
            <w:shd w:val="clear" w:color="auto" w:fill="E9E9E9"/>
          </w:tcPr>
          <w:p>
            <w:pPr>
              <w:jc w:val="right"/>
              <w:ind w:right="259"/>
              <w:spacing w:after="0"/>
              <w:rPr>
                <w:sz w:val="20"/>
                <w:szCs w:val="20"/>
                <w:color w:val="auto"/>
              </w:rPr>
            </w:pPr>
            <w:r>
              <w:rPr>
                <w:rFonts w:ascii="Arial" w:cs="Arial" w:eastAsia="Arial" w:hAnsi="Arial"/>
                <w:sz w:val="17"/>
                <w:szCs w:val="17"/>
                <w:color w:val="auto"/>
              </w:rPr>
              <w:t>62,500</w:t>
            </w:r>
          </w:p>
        </w:tc>
        <w:tc>
          <w:tcPr>
            <w:tcW w:w="1220" w:type="dxa"/>
            <w:vAlign w:val="bottom"/>
            <w:shd w:val="clear" w:color="auto" w:fill="E9E9E9"/>
          </w:tcPr>
          <w:p>
            <w:pPr>
              <w:jc w:val="right"/>
              <w:ind w:right="257"/>
              <w:spacing w:after="0"/>
              <w:rPr>
                <w:sz w:val="20"/>
                <w:szCs w:val="20"/>
                <w:color w:val="auto"/>
              </w:rPr>
            </w:pPr>
            <w:r>
              <w:rPr>
                <w:rFonts w:ascii="Arial" w:cs="Arial" w:eastAsia="Arial" w:hAnsi="Arial"/>
                <w:sz w:val="17"/>
                <w:szCs w:val="17"/>
                <w:color w:val="auto"/>
              </w:rPr>
              <w:t>375,000</w:t>
            </w:r>
          </w:p>
        </w:tc>
        <w:tc>
          <w:tcPr>
            <w:tcW w:w="1180" w:type="dxa"/>
            <w:vAlign w:val="bottom"/>
            <w:shd w:val="clear" w:color="auto" w:fill="E9E9E9"/>
          </w:tcPr>
          <w:p>
            <w:pPr>
              <w:ind w:left="140"/>
              <w:spacing w:after="0"/>
              <w:rPr>
                <w:sz w:val="20"/>
                <w:szCs w:val="20"/>
                <w:color w:val="auto"/>
              </w:rPr>
            </w:pPr>
            <w:r>
              <w:rPr>
                <w:rFonts w:ascii="Arial" w:cs="Arial" w:eastAsia="Arial" w:hAnsi="Arial"/>
                <w:sz w:val="17"/>
                <w:szCs w:val="17"/>
                <w:color w:val="auto"/>
              </w:rPr>
              <w:t>$3,581,848</w:t>
            </w:r>
          </w:p>
        </w:tc>
      </w:tr>
      <w:tr>
        <w:trPr>
          <w:trHeight w:val="233"/>
        </w:trPr>
        <w:tc>
          <w:tcPr>
            <w:tcW w:w="5980" w:type="dxa"/>
            <w:vAlign w:val="bottom"/>
            <w:shd w:val="clear" w:color="auto" w:fill="E9E9E9"/>
          </w:tcPr>
          <w:p>
            <w:pPr>
              <w:spacing w:after="0"/>
              <w:rPr>
                <w:sz w:val="20"/>
                <w:szCs w:val="20"/>
                <w:color w:val="auto"/>
              </w:rPr>
            </w:pPr>
          </w:p>
        </w:tc>
        <w:tc>
          <w:tcPr>
            <w:tcW w:w="640" w:type="dxa"/>
            <w:vAlign w:val="bottom"/>
            <w:shd w:val="clear" w:color="auto" w:fill="E9E9E9"/>
          </w:tcPr>
          <w:p>
            <w:pPr>
              <w:jc w:val="center"/>
              <w:ind w:left="177"/>
              <w:spacing w:after="0"/>
              <w:rPr>
                <w:sz w:val="20"/>
                <w:szCs w:val="20"/>
                <w:color w:val="auto"/>
              </w:rPr>
            </w:pPr>
            <w:r>
              <w:rPr>
                <w:rFonts w:ascii="Arial" w:cs="Arial" w:eastAsia="Arial" w:hAnsi="Arial"/>
                <w:sz w:val="17"/>
                <w:szCs w:val="17"/>
                <w:color w:val="auto"/>
              </w:rPr>
              <w:t>2011</w:t>
            </w:r>
          </w:p>
        </w:tc>
        <w:tc>
          <w:tcPr>
            <w:tcW w:w="1320" w:type="dxa"/>
            <w:vAlign w:val="bottom"/>
            <w:shd w:val="clear" w:color="auto" w:fill="E9E9E9"/>
          </w:tcPr>
          <w:p>
            <w:pPr>
              <w:jc w:val="right"/>
              <w:ind w:right="198"/>
              <w:spacing w:after="0"/>
              <w:rPr>
                <w:sz w:val="20"/>
                <w:szCs w:val="20"/>
                <w:color w:val="auto"/>
              </w:rPr>
            </w:pPr>
            <w:r>
              <w:rPr>
                <w:rFonts w:ascii="Arial" w:cs="Arial" w:eastAsia="Arial" w:hAnsi="Arial"/>
                <w:sz w:val="17"/>
                <w:szCs w:val="17"/>
                <w:color w:val="auto"/>
              </w:rPr>
              <w:t>—</w:t>
            </w:r>
          </w:p>
        </w:tc>
        <w:tc>
          <w:tcPr>
            <w:tcW w:w="1080" w:type="dxa"/>
            <w:vAlign w:val="bottom"/>
            <w:shd w:val="clear" w:color="auto" w:fill="E9E9E9"/>
          </w:tcPr>
          <w:p>
            <w:pPr>
              <w:jc w:val="right"/>
              <w:ind w:right="119"/>
              <w:spacing w:after="0"/>
              <w:rPr>
                <w:sz w:val="20"/>
                <w:szCs w:val="20"/>
                <w:color w:val="auto"/>
              </w:rPr>
            </w:pPr>
            <w:r>
              <w:rPr>
                <w:rFonts w:ascii="Arial" w:cs="Arial" w:eastAsia="Arial" w:hAnsi="Arial"/>
                <w:sz w:val="17"/>
                <w:szCs w:val="17"/>
                <w:color w:val="auto"/>
              </w:rPr>
              <w:t>100,000**</w:t>
            </w:r>
          </w:p>
        </w:tc>
        <w:tc>
          <w:tcPr>
            <w:tcW w:w="1220" w:type="dxa"/>
            <w:vAlign w:val="bottom"/>
            <w:shd w:val="clear" w:color="auto" w:fill="E9E9E9"/>
          </w:tcPr>
          <w:p>
            <w:pPr>
              <w:jc w:val="right"/>
              <w:ind w:right="117"/>
              <w:spacing w:after="0"/>
              <w:rPr>
                <w:sz w:val="20"/>
                <w:szCs w:val="20"/>
                <w:color w:val="auto"/>
              </w:rPr>
            </w:pPr>
            <w:r>
              <w:rPr>
                <w:rFonts w:ascii="Arial" w:cs="Arial" w:eastAsia="Arial" w:hAnsi="Arial"/>
                <w:sz w:val="17"/>
                <w:szCs w:val="17"/>
                <w:color w:val="auto"/>
              </w:rPr>
              <w:t>300,000**</w:t>
            </w:r>
          </w:p>
        </w:tc>
        <w:tc>
          <w:tcPr>
            <w:tcW w:w="1180" w:type="dxa"/>
            <w:vAlign w:val="bottom"/>
            <w:shd w:val="clear" w:color="auto" w:fill="E9E9E9"/>
          </w:tcPr>
          <w:p>
            <w:pPr>
              <w:ind w:left="140"/>
              <w:spacing w:after="0"/>
              <w:rPr>
                <w:sz w:val="20"/>
                <w:szCs w:val="20"/>
                <w:color w:val="auto"/>
              </w:rPr>
            </w:pPr>
            <w:r>
              <w:rPr>
                <w:rFonts w:ascii="Arial" w:cs="Arial" w:eastAsia="Arial" w:hAnsi="Arial"/>
                <w:sz w:val="17"/>
                <w:szCs w:val="17"/>
                <w:color w:val="auto"/>
              </w:rPr>
              <w:t>$2,760,000**</w:t>
            </w:r>
          </w:p>
        </w:tc>
      </w:tr>
      <w:tr>
        <w:trPr>
          <w:trHeight w:val="233"/>
        </w:trPr>
        <w:tc>
          <w:tcPr>
            <w:tcW w:w="5980" w:type="dxa"/>
            <w:vAlign w:val="bottom"/>
            <w:shd w:val="clear" w:color="auto" w:fill="E9E9E9"/>
          </w:tcPr>
          <w:p>
            <w:pPr>
              <w:spacing w:after="0"/>
              <w:rPr>
                <w:sz w:val="20"/>
                <w:szCs w:val="20"/>
                <w:color w:val="auto"/>
              </w:rPr>
            </w:pPr>
          </w:p>
        </w:tc>
        <w:tc>
          <w:tcPr>
            <w:tcW w:w="640" w:type="dxa"/>
            <w:vAlign w:val="bottom"/>
            <w:shd w:val="clear" w:color="auto" w:fill="E9E9E9"/>
          </w:tcPr>
          <w:p>
            <w:pPr>
              <w:jc w:val="center"/>
              <w:ind w:left="177"/>
              <w:spacing w:after="0"/>
              <w:rPr>
                <w:sz w:val="20"/>
                <w:szCs w:val="20"/>
                <w:color w:val="auto"/>
              </w:rPr>
            </w:pPr>
            <w:r>
              <w:rPr>
                <w:rFonts w:ascii="Arial" w:cs="Arial" w:eastAsia="Arial" w:hAnsi="Arial"/>
                <w:sz w:val="17"/>
                <w:szCs w:val="17"/>
                <w:color w:val="auto"/>
              </w:rPr>
              <w:t>2010</w:t>
            </w:r>
          </w:p>
        </w:tc>
        <w:tc>
          <w:tcPr>
            <w:tcW w:w="1320" w:type="dxa"/>
            <w:vAlign w:val="bottom"/>
            <w:shd w:val="clear" w:color="auto" w:fill="E9E9E9"/>
          </w:tcPr>
          <w:p>
            <w:pPr>
              <w:jc w:val="right"/>
              <w:ind w:right="198"/>
              <w:spacing w:after="0"/>
              <w:rPr>
                <w:sz w:val="20"/>
                <w:szCs w:val="20"/>
                <w:color w:val="auto"/>
              </w:rPr>
            </w:pPr>
            <w:r>
              <w:rPr>
                <w:rFonts w:ascii="Arial" w:cs="Arial" w:eastAsia="Arial" w:hAnsi="Arial"/>
                <w:sz w:val="17"/>
                <w:szCs w:val="17"/>
                <w:color w:val="auto"/>
              </w:rPr>
              <w:t>162,500</w:t>
            </w:r>
          </w:p>
        </w:tc>
        <w:tc>
          <w:tcPr>
            <w:tcW w:w="1080" w:type="dxa"/>
            <w:vAlign w:val="bottom"/>
            <w:shd w:val="clear" w:color="auto" w:fill="E9E9E9"/>
          </w:tcPr>
          <w:p>
            <w:pPr>
              <w:jc w:val="right"/>
              <w:ind w:right="259"/>
              <w:spacing w:after="0"/>
              <w:rPr>
                <w:sz w:val="20"/>
                <w:szCs w:val="20"/>
                <w:color w:val="auto"/>
              </w:rPr>
            </w:pPr>
            <w:r>
              <w:rPr>
                <w:rFonts w:ascii="Arial" w:cs="Arial" w:eastAsia="Arial" w:hAnsi="Arial"/>
                <w:sz w:val="17"/>
                <w:szCs w:val="17"/>
                <w:color w:val="auto"/>
              </w:rPr>
              <w:t>54,167</w:t>
            </w:r>
          </w:p>
        </w:tc>
        <w:tc>
          <w:tcPr>
            <w:tcW w:w="1220" w:type="dxa"/>
            <w:vAlign w:val="bottom"/>
            <w:shd w:val="clear" w:color="auto" w:fill="E9E9E9"/>
          </w:tcPr>
          <w:p>
            <w:pPr>
              <w:jc w:val="right"/>
              <w:ind w:right="257"/>
              <w:spacing w:after="0"/>
              <w:rPr>
                <w:sz w:val="20"/>
                <w:szCs w:val="20"/>
                <w:color w:val="auto"/>
              </w:rPr>
            </w:pPr>
            <w:r>
              <w:rPr>
                <w:rFonts w:ascii="Arial" w:cs="Arial" w:eastAsia="Arial" w:hAnsi="Arial"/>
                <w:sz w:val="17"/>
                <w:szCs w:val="17"/>
                <w:color w:val="auto"/>
              </w:rPr>
              <w:t>325,001</w:t>
            </w:r>
          </w:p>
        </w:tc>
        <w:tc>
          <w:tcPr>
            <w:tcW w:w="1180" w:type="dxa"/>
            <w:vAlign w:val="bottom"/>
            <w:shd w:val="clear" w:color="auto" w:fill="E9E9E9"/>
          </w:tcPr>
          <w:p>
            <w:pPr>
              <w:ind w:left="140"/>
              <w:spacing w:after="0"/>
              <w:rPr>
                <w:sz w:val="20"/>
                <w:szCs w:val="20"/>
                <w:color w:val="auto"/>
              </w:rPr>
            </w:pPr>
            <w:r>
              <w:rPr>
                <w:rFonts w:ascii="Arial" w:cs="Arial" w:eastAsia="Arial" w:hAnsi="Arial"/>
                <w:sz w:val="17"/>
                <w:szCs w:val="17"/>
                <w:color w:val="auto"/>
              </w:rPr>
              <w:t>$3,569,080</w:t>
            </w:r>
          </w:p>
        </w:tc>
      </w:tr>
      <w:tr>
        <w:trPr>
          <w:trHeight w:val="247"/>
        </w:trPr>
        <w:tc>
          <w:tcPr>
            <w:tcW w:w="5980" w:type="dxa"/>
            <w:vAlign w:val="bottom"/>
            <w:shd w:val="clear" w:color="auto" w:fill="E9E9E9"/>
          </w:tcPr>
          <w:p>
            <w:pPr>
              <w:spacing w:after="0"/>
              <w:rPr>
                <w:sz w:val="21"/>
                <w:szCs w:val="21"/>
                <w:color w:val="auto"/>
              </w:rPr>
            </w:pPr>
          </w:p>
        </w:tc>
        <w:tc>
          <w:tcPr>
            <w:tcW w:w="640" w:type="dxa"/>
            <w:vAlign w:val="bottom"/>
            <w:shd w:val="clear" w:color="auto" w:fill="E9E9E9"/>
          </w:tcPr>
          <w:p>
            <w:pPr>
              <w:spacing w:after="0"/>
              <w:rPr>
                <w:sz w:val="21"/>
                <w:szCs w:val="21"/>
                <w:color w:val="auto"/>
              </w:rPr>
            </w:pPr>
          </w:p>
        </w:tc>
        <w:tc>
          <w:tcPr>
            <w:tcW w:w="1320" w:type="dxa"/>
            <w:vAlign w:val="bottom"/>
            <w:shd w:val="clear" w:color="auto" w:fill="E9E9E9"/>
          </w:tcPr>
          <w:p>
            <w:pPr>
              <w:jc w:val="right"/>
              <w:ind w:right="198"/>
              <w:spacing w:after="0"/>
              <w:rPr>
                <w:sz w:val="20"/>
                <w:szCs w:val="20"/>
                <w:color w:val="auto"/>
              </w:rPr>
            </w:pPr>
            <w:r>
              <w:rPr>
                <w:rFonts w:ascii="Arial" w:cs="Arial" w:eastAsia="Arial" w:hAnsi="Arial"/>
                <w:sz w:val="17"/>
                <w:szCs w:val="17"/>
                <w:color w:val="auto"/>
              </w:rPr>
              <w:t>—</w:t>
            </w:r>
          </w:p>
        </w:tc>
        <w:tc>
          <w:tcPr>
            <w:tcW w:w="108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100,000***</w:t>
            </w:r>
          </w:p>
        </w:tc>
        <w:tc>
          <w:tcPr>
            <w:tcW w:w="1220" w:type="dxa"/>
            <w:vAlign w:val="bottom"/>
            <w:shd w:val="clear" w:color="auto" w:fill="E9E9E9"/>
          </w:tcPr>
          <w:p>
            <w:pPr>
              <w:jc w:val="right"/>
              <w:ind w:right="57"/>
              <w:spacing w:after="0"/>
              <w:rPr>
                <w:sz w:val="20"/>
                <w:szCs w:val="20"/>
                <w:color w:val="auto"/>
              </w:rPr>
            </w:pPr>
            <w:r>
              <w:rPr>
                <w:rFonts w:ascii="Arial" w:cs="Arial" w:eastAsia="Arial" w:hAnsi="Arial"/>
                <w:sz w:val="17"/>
                <w:szCs w:val="17"/>
                <w:color w:val="auto"/>
              </w:rPr>
              <w:t>300,000***</w:t>
            </w:r>
          </w:p>
        </w:tc>
        <w:tc>
          <w:tcPr>
            <w:tcW w:w="1180" w:type="dxa"/>
            <w:vAlign w:val="bottom"/>
            <w:shd w:val="clear" w:color="auto" w:fill="E9E9E9"/>
          </w:tcPr>
          <w:p>
            <w:pPr>
              <w:ind w:left="140"/>
              <w:spacing w:after="0"/>
              <w:rPr>
                <w:sz w:val="20"/>
                <w:szCs w:val="20"/>
                <w:color w:val="auto"/>
              </w:rPr>
            </w:pPr>
            <w:r>
              <w:rPr>
                <w:rFonts w:ascii="Arial" w:cs="Arial" w:eastAsia="Arial" w:hAnsi="Arial"/>
                <w:sz w:val="17"/>
                <w:szCs w:val="17"/>
                <w:color w:val="auto"/>
                <w:w w:val="97"/>
              </w:rPr>
              <w:t>$2,498,000***</w:t>
            </w:r>
          </w:p>
        </w:tc>
      </w:tr>
      <w:tr>
        <w:trPr>
          <w:trHeight w:val="233"/>
        </w:trPr>
        <w:tc>
          <w:tcPr>
            <w:tcW w:w="5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8"/>
        </w:trPr>
        <w:tc>
          <w:tcPr>
            <w:tcW w:w="5980" w:type="dxa"/>
            <w:vAlign w:val="bottom"/>
            <w:shd w:val="clear" w:color="auto" w:fill="E9E9E9"/>
          </w:tcPr>
          <w:p>
            <w:pPr>
              <w:spacing w:after="0"/>
              <w:rPr>
                <w:sz w:val="20"/>
                <w:szCs w:val="20"/>
                <w:color w:val="auto"/>
              </w:rPr>
            </w:pPr>
            <w:r>
              <w:rPr>
                <w:rFonts w:ascii="Arial" w:cs="Arial" w:eastAsia="Arial" w:hAnsi="Arial"/>
                <w:sz w:val="17"/>
                <w:szCs w:val="17"/>
                <w:color w:val="auto"/>
              </w:rPr>
              <w:t>R. G. Delagi</w:t>
            </w:r>
          </w:p>
        </w:tc>
        <w:tc>
          <w:tcPr>
            <w:tcW w:w="640" w:type="dxa"/>
            <w:vAlign w:val="bottom"/>
            <w:shd w:val="clear" w:color="auto" w:fill="E9E9E9"/>
          </w:tcPr>
          <w:p>
            <w:pPr>
              <w:jc w:val="center"/>
              <w:ind w:left="177"/>
              <w:spacing w:after="0"/>
              <w:rPr>
                <w:sz w:val="20"/>
                <w:szCs w:val="20"/>
                <w:color w:val="auto"/>
              </w:rPr>
            </w:pPr>
            <w:r>
              <w:rPr>
                <w:rFonts w:ascii="Arial" w:cs="Arial" w:eastAsia="Arial" w:hAnsi="Arial"/>
                <w:sz w:val="17"/>
                <w:szCs w:val="17"/>
                <w:color w:val="auto"/>
              </w:rPr>
              <w:t>2012</w:t>
            </w:r>
          </w:p>
        </w:tc>
        <w:tc>
          <w:tcPr>
            <w:tcW w:w="1320" w:type="dxa"/>
            <w:vAlign w:val="bottom"/>
            <w:shd w:val="clear" w:color="auto" w:fill="E9E9E9"/>
          </w:tcPr>
          <w:p>
            <w:pPr>
              <w:jc w:val="right"/>
              <w:ind w:right="198"/>
              <w:spacing w:after="0"/>
              <w:rPr>
                <w:sz w:val="20"/>
                <w:szCs w:val="20"/>
                <w:color w:val="auto"/>
              </w:rPr>
            </w:pPr>
            <w:r>
              <w:rPr>
                <w:rFonts w:ascii="Arial" w:cs="Arial" w:eastAsia="Arial" w:hAnsi="Arial"/>
                <w:sz w:val="17"/>
                <w:szCs w:val="17"/>
                <w:color w:val="auto"/>
              </w:rPr>
              <w:t>175,000</w:t>
            </w:r>
          </w:p>
        </w:tc>
        <w:tc>
          <w:tcPr>
            <w:tcW w:w="1080" w:type="dxa"/>
            <w:vAlign w:val="bottom"/>
            <w:shd w:val="clear" w:color="auto" w:fill="E9E9E9"/>
          </w:tcPr>
          <w:p>
            <w:pPr>
              <w:jc w:val="right"/>
              <w:ind w:right="259"/>
              <w:spacing w:after="0"/>
              <w:rPr>
                <w:sz w:val="20"/>
                <w:szCs w:val="20"/>
                <w:color w:val="auto"/>
              </w:rPr>
            </w:pPr>
            <w:r>
              <w:rPr>
                <w:rFonts w:ascii="Arial" w:cs="Arial" w:eastAsia="Arial" w:hAnsi="Arial"/>
                <w:sz w:val="17"/>
                <w:szCs w:val="17"/>
                <w:color w:val="auto"/>
              </w:rPr>
              <w:t>58,334</w:t>
            </w:r>
          </w:p>
        </w:tc>
        <w:tc>
          <w:tcPr>
            <w:tcW w:w="1220" w:type="dxa"/>
            <w:vAlign w:val="bottom"/>
            <w:shd w:val="clear" w:color="auto" w:fill="E9E9E9"/>
          </w:tcPr>
          <w:p>
            <w:pPr>
              <w:jc w:val="right"/>
              <w:ind w:right="257"/>
              <w:spacing w:after="0"/>
              <w:rPr>
                <w:sz w:val="20"/>
                <w:szCs w:val="20"/>
                <w:color w:val="auto"/>
              </w:rPr>
            </w:pPr>
            <w:r>
              <w:rPr>
                <w:rFonts w:ascii="Arial" w:cs="Arial" w:eastAsia="Arial" w:hAnsi="Arial"/>
                <w:sz w:val="17"/>
                <w:szCs w:val="17"/>
                <w:color w:val="auto"/>
              </w:rPr>
              <w:t>350,002</w:t>
            </w:r>
          </w:p>
        </w:tc>
        <w:tc>
          <w:tcPr>
            <w:tcW w:w="1180" w:type="dxa"/>
            <w:vAlign w:val="bottom"/>
            <w:shd w:val="clear" w:color="auto" w:fill="E9E9E9"/>
          </w:tcPr>
          <w:p>
            <w:pPr>
              <w:ind w:left="140"/>
              <w:spacing w:after="0"/>
              <w:rPr>
                <w:sz w:val="20"/>
                <w:szCs w:val="20"/>
                <w:color w:val="auto"/>
              </w:rPr>
            </w:pPr>
            <w:r>
              <w:rPr>
                <w:rFonts w:ascii="Arial" w:cs="Arial" w:eastAsia="Arial" w:hAnsi="Arial"/>
                <w:sz w:val="17"/>
                <w:szCs w:val="17"/>
                <w:color w:val="auto"/>
              </w:rPr>
              <w:t>$3,343,079</w:t>
            </w:r>
          </w:p>
        </w:tc>
      </w:tr>
      <w:tr>
        <w:trPr>
          <w:trHeight w:val="247"/>
        </w:trPr>
        <w:tc>
          <w:tcPr>
            <w:tcW w:w="5980" w:type="dxa"/>
            <w:vAlign w:val="bottom"/>
            <w:shd w:val="clear" w:color="auto" w:fill="E9E9E9"/>
          </w:tcPr>
          <w:p>
            <w:pPr>
              <w:spacing w:after="0"/>
              <w:rPr>
                <w:sz w:val="21"/>
                <w:szCs w:val="21"/>
                <w:color w:val="auto"/>
              </w:rPr>
            </w:pPr>
          </w:p>
        </w:tc>
        <w:tc>
          <w:tcPr>
            <w:tcW w:w="640" w:type="dxa"/>
            <w:vAlign w:val="bottom"/>
            <w:shd w:val="clear" w:color="auto" w:fill="E9E9E9"/>
          </w:tcPr>
          <w:p>
            <w:pPr>
              <w:spacing w:after="0"/>
              <w:rPr>
                <w:sz w:val="21"/>
                <w:szCs w:val="21"/>
                <w:color w:val="auto"/>
              </w:rPr>
            </w:pPr>
          </w:p>
        </w:tc>
        <w:tc>
          <w:tcPr>
            <w:tcW w:w="1320" w:type="dxa"/>
            <w:vAlign w:val="bottom"/>
            <w:shd w:val="clear" w:color="auto" w:fill="E9E9E9"/>
          </w:tcPr>
          <w:p>
            <w:pPr>
              <w:jc w:val="right"/>
              <w:ind w:right="198"/>
              <w:spacing w:after="0"/>
              <w:rPr>
                <w:sz w:val="20"/>
                <w:szCs w:val="20"/>
                <w:color w:val="auto"/>
              </w:rPr>
            </w:pPr>
            <w:r>
              <w:rPr>
                <w:rFonts w:ascii="Arial" w:cs="Arial" w:eastAsia="Arial" w:hAnsi="Arial"/>
                <w:sz w:val="17"/>
                <w:szCs w:val="17"/>
                <w:color w:val="auto"/>
              </w:rPr>
              <w:t>—</w:t>
            </w:r>
          </w:p>
        </w:tc>
        <w:tc>
          <w:tcPr>
            <w:tcW w:w="1080" w:type="dxa"/>
            <w:vAlign w:val="bottom"/>
            <w:shd w:val="clear" w:color="auto" w:fill="E9E9E9"/>
          </w:tcPr>
          <w:p>
            <w:pPr>
              <w:jc w:val="right"/>
              <w:ind w:right="119"/>
              <w:spacing w:after="0"/>
              <w:rPr>
                <w:sz w:val="20"/>
                <w:szCs w:val="20"/>
                <w:color w:val="auto"/>
              </w:rPr>
            </w:pPr>
            <w:r>
              <w:rPr>
                <w:rFonts w:ascii="Arial" w:cs="Arial" w:eastAsia="Arial" w:hAnsi="Arial"/>
                <w:sz w:val="17"/>
                <w:szCs w:val="17"/>
                <w:color w:val="auto"/>
              </w:rPr>
              <w:t>50,000**</w:t>
            </w:r>
          </w:p>
        </w:tc>
        <w:tc>
          <w:tcPr>
            <w:tcW w:w="1220" w:type="dxa"/>
            <w:vAlign w:val="bottom"/>
            <w:shd w:val="clear" w:color="auto" w:fill="E9E9E9"/>
          </w:tcPr>
          <w:p>
            <w:pPr>
              <w:jc w:val="right"/>
              <w:ind w:right="117"/>
              <w:spacing w:after="0"/>
              <w:rPr>
                <w:sz w:val="20"/>
                <w:szCs w:val="20"/>
                <w:color w:val="auto"/>
              </w:rPr>
            </w:pPr>
            <w:r>
              <w:rPr>
                <w:rFonts w:ascii="Arial" w:cs="Arial" w:eastAsia="Arial" w:hAnsi="Arial"/>
                <w:sz w:val="17"/>
                <w:szCs w:val="17"/>
                <w:color w:val="auto"/>
              </w:rPr>
              <w:t>150,000**</w:t>
            </w:r>
          </w:p>
        </w:tc>
        <w:tc>
          <w:tcPr>
            <w:tcW w:w="1180" w:type="dxa"/>
            <w:vAlign w:val="bottom"/>
            <w:shd w:val="clear" w:color="auto" w:fill="E9E9E9"/>
          </w:tcPr>
          <w:p>
            <w:pPr>
              <w:ind w:left="140"/>
              <w:spacing w:after="0"/>
              <w:rPr>
                <w:sz w:val="20"/>
                <w:szCs w:val="20"/>
                <w:color w:val="auto"/>
              </w:rPr>
            </w:pPr>
            <w:r>
              <w:rPr>
                <w:rFonts w:ascii="Arial" w:cs="Arial" w:eastAsia="Arial" w:hAnsi="Arial"/>
                <w:sz w:val="17"/>
                <w:szCs w:val="17"/>
                <w:color w:val="auto"/>
              </w:rPr>
              <w:t>$1,380,000**</w:t>
            </w:r>
          </w:p>
        </w:tc>
      </w:tr>
      <w:tr>
        <w:trPr>
          <w:trHeight w:val="233"/>
        </w:trPr>
        <w:tc>
          <w:tcPr>
            <w:tcW w:w="5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8"/>
        </w:trPr>
        <w:tc>
          <w:tcPr>
            <w:tcW w:w="5980" w:type="dxa"/>
            <w:vAlign w:val="bottom"/>
            <w:shd w:val="clear" w:color="auto" w:fill="E9E9E9"/>
          </w:tcPr>
          <w:p>
            <w:pPr>
              <w:spacing w:after="0"/>
              <w:rPr>
                <w:sz w:val="20"/>
                <w:szCs w:val="20"/>
                <w:color w:val="auto"/>
              </w:rPr>
            </w:pPr>
            <w:r>
              <w:rPr>
                <w:rFonts w:ascii="Arial" w:cs="Arial" w:eastAsia="Arial" w:hAnsi="Arial"/>
                <w:sz w:val="17"/>
                <w:szCs w:val="17"/>
                <w:color w:val="auto"/>
              </w:rPr>
              <w:t>K. J. Ritchie</w:t>
            </w:r>
          </w:p>
        </w:tc>
        <w:tc>
          <w:tcPr>
            <w:tcW w:w="640" w:type="dxa"/>
            <w:vAlign w:val="bottom"/>
            <w:shd w:val="clear" w:color="auto" w:fill="E9E9E9"/>
          </w:tcPr>
          <w:p>
            <w:pPr>
              <w:jc w:val="center"/>
              <w:ind w:left="177"/>
              <w:spacing w:after="0"/>
              <w:rPr>
                <w:sz w:val="20"/>
                <w:szCs w:val="20"/>
                <w:color w:val="auto"/>
              </w:rPr>
            </w:pPr>
            <w:r>
              <w:rPr>
                <w:rFonts w:ascii="Arial" w:cs="Arial" w:eastAsia="Arial" w:hAnsi="Arial"/>
                <w:sz w:val="17"/>
                <w:szCs w:val="17"/>
                <w:color w:val="auto"/>
              </w:rPr>
              <w:t>2012</w:t>
            </w:r>
          </w:p>
        </w:tc>
        <w:tc>
          <w:tcPr>
            <w:tcW w:w="1320" w:type="dxa"/>
            <w:vAlign w:val="bottom"/>
            <w:shd w:val="clear" w:color="auto" w:fill="E9E9E9"/>
          </w:tcPr>
          <w:p>
            <w:pPr>
              <w:jc w:val="right"/>
              <w:ind w:right="198"/>
              <w:spacing w:after="0"/>
              <w:rPr>
                <w:sz w:val="20"/>
                <w:szCs w:val="20"/>
                <w:color w:val="auto"/>
              </w:rPr>
            </w:pPr>
            <w:r>
              <w:rPr>
                <w:rFonts w:ascii="Arial" w:cs="Arial" w:eastAsia="Arial" w:hAnsi="Arial"/>
                <w:sz w:val="17"/>
                <w:szCs w:val="17"/>
                <w:color w:val="auto"/>
              </w:rPr>
              <w:t>175,000</w:t>
            </w:r>
          </w:p>
        </w:tc>
        <w:tc>
          <w:tcPr>
            <w:tcW w:w="1080" w:type="dxa"/>
            <w:vAlign w:val="bottom"/>
            <w:shd w:val="clear" w:color="auto" w:fill="E9E9E9"/>
          </w:tcPr>
          <w:p>
            <w:pPr>
              <w:jc w:val="right"/>
              <w:ind w:right="259"/>
              <w:spacing w:after="0"/>
              <w:rPr>
                <w:sz w:val="20"/>
                <w:szCs w:val="20"/>
                <w:color w:val="auto"/>
              </w:rPr>
            </w:pPr>
            <w:r>
              <w:rPr>
                <w:rFonts w:ascii="Arial" w:cs="Arial" w:eastAsia="Arial" w:hAnsi="Arial"/>
                <w:sz w:val="17"/>
                <w:szCs w:val="17"/>
                <w:color w:val="auto"/>
              </w:rPr>
              <w:t>58,334</w:t>
            </w:r>
          </w:p>
        </w:tc>
        <w:tc>
          <w:tcPr>
            <w:tcW w:w="1220" w:type="dxa"/>
            <w:vAlign w:val="bottom"/>
            <w:shd w:val="clear" w:color="auto" w:fill="E9E9E9"/>
          </w:tcPr>
          <w:p>
            <w:pPr>
              <w:jc w:val="right"/>
              <w:ind w:right="257"/>
              <w:spacing w:after="0"/>
              <w:rPr>
                <w:sz w:val="20"/>
                <w:szCs w:val="20"/>
                <w:color w:val="auto"/>
              </w:rPr>
            </w:pPr>
            <w:r>
              <w:rPr>
                <w:rFonts w:ascii="Arial" w:cs="Arial" w:eastAsia="Arial" w:hAnsi="Arial"/>
                <w:sz w:val="17"/>
                <w:szCs w:val="17"/>
                <w:color w:val="auto"/>
              </w:rPr>
              <w:t>350,002</w:t>
            </w:r>
          </w:p>
        </w:tc>
        <w:tc>
          <w:tcPr>
            <w:tcW w:w="1180" w:type="dxa"/>
            <w:vAlign w:val="bottom"/>
            <w:shd w:val="clear" w:color="auto" w:fill="E9E9E9"/>
          </w:tcPr>
          <w:p>
            <w:pPr>
              <w:ind w:left="140"/>
              <w:spacing w:after="0"/>
              <w:rPr>
                <w:sz w:val="20"/>
                <w:szCs w:val="20"/>
                <w:color w:val="auto"/>
              </w:rPr>
            </w:pPr>
            <w:r>
              <w:rPr>
                <w:rFonts w:ascii="Arial" w:cs="Arial" w:eastAsia="Arial" w:hAnsi="Arial"/>
                <w:sz w:val="17"/>
                <w:szCs w:val="17"/>
                <w:color w:val="auto"/>
              </w:rPr>
              <w:t>$3,343,079</w:t>
            </w:r>
          </w:p>
        </w:tc>
      </w:tr>
      <w:tr>
        <w:trPr>
          <w:trHeight w:val="233"/>
        </w:trPr>
        <w:tc>
          <w:tcPr>
            <w:tcW w:w="5980" w:type="dxa"/>
            <w:vAlign w:val="bottom"/>
            <w:shd w:val="clear" w:color="auto" w:fill="E9E9E9"/>
          </w:tcPr>
          <w:p>
            <w:pPr>
              <w:spacing w:after="0"/>
              <w:rPr>
                <w:sz w:val="20"/>
                <w:szCs w:val="20"/>
                <w:color w:val="auto"/>
              </w:rPr>
            </w:pPr>
          </w:p>
        </w:tc>
        <w:tc>
          <w:tcPr>
            <w:tcW w:w="640" w:type="dxa"/>
            <w:vAlign w:val="bottom"/>
            <w:shd w:val="clear" w:color="auto" w:fill="E9E9E9"/>
          </w:tcPr>
          <w:p>
            <w:pPr>
              <w:jc w:val="center"/>
              <w:ind w:left="177"/>
              <w:spacing w:after="0"/>
              <w:rPr>
                <w:sz w:val="20"/>
                <w:szCs w:val="20"/>
                <w:color w:val="auto"/>
              </w:rPr>
            </w:pPr>
            <w:r>
              <w:rPr>
                <w:rFonts w:ascii="Arial" w:cs="Arial" w:eastAsia="Arial" w:hAnsi="Arial"/>
                <w:sz w:val="17"/>
                <w:szCs w:val="17"/>
                <w:color w:val="auto"/>
              </w:rPr>
              <w:t>2011</w:t>
            </w:r>
          </w:p>
        </w:tc>
        <w:tc>
          <w:tcPr>
            <w:tcW w:w="1320" w:type="dxa"/>
            <w:vAlign w:val="bottom"/>
            <w:shd w:val="clear" w:color="auto" w:fill="E9E9E9"/>
          </w:tcPr>
          <w:p>
            <w:pPr>
              <w:jc w:val="right"/>
              <w:ind w:right="198"/>
              <w:spacing w:after="0"/>
              <w:rPr>
                <w:sz w:val="20"/>
                <w:szCs w:val="20"/>
                <w:color w:val="auto"/>
              </w:rPr>
            </w:pPr>
            <w:r>
              <w:rPr>
                <w:rFonts w:ascii="Arial" w:cs="Arial" w:eastAsia="Arial" w:hAnsi="Arial"/>
                <w:sz w:val="17"/>
                <w:szCs w:val="17"/>
                <w:color w:val="auto"/>
              </w:rPr>
              <w:t>162,500</w:t>
            </w:r>
          </w:p>
        </w:tc>
        <w:tc>
          <w:tcPr>
            <w:tcW w:w="1080" w:type="dxa"/>
            <w:vAlign w:val="bottom"/>
            <w:shd w:val="clear" w:color="auto" w:fill="E9E9E9"/>
          </w:tcPr>
          <w:p>
            <w:pPr>
              <w:jc w:val="right"/>
              <w:ind w:right="259"/>
              <w:spacing w:after="0"/>
              <w:rPr>
                <w:sz w:val="20"/>
                <w:szCs w:val="20"/>
                <w:color w:val="auto"/>
              </w:rPr>
            </w:pPr>
            <w:r>
              <w:rPr>
                <w:rFonts w:ascii="Arial" w:cs="Arial" w:eastAsia="Arial" w:hAnsi="Arial"/>
                <w:sz w:val="17"/>
                <w:szCs w:val="17"/>
                <w:color w:val="auto"/>
              </w:rPr>
              <w:t>54,167</w:t>
            </w:r>
          </w:p>
        </w:tc>
        <w:tc>
          <w:tcPr>
            <w:tcW w:w="1220" w:type="dxa"/>
            <w:vAlign w:val="bottom"/>
            <w:shd w:val="clear" w:color="auto" w:fill="E9E9E9"/>
          </w:tcPr>
          <w:p>
            <w:pPr>
              <w:jc w:val="right"/>
              <w:ind w:right="257"/>
              <w:spacing w:after="0"/>
              <w:rPr>
                <w:sz w:val="20"/>
                <w:szCs w:val="20"/>
                <w:color w:val="auto"/>
              </w:rPr>
            </w:pPr>
            <w:r>
              <w:rPr>
                <w:rFonts w:ascii="Arial" w:cs="Arial" w:eastAsia="Arial" w:hAnsi="Arial"/>
                <w:sz w:val="17"/>
                <w:szCs w:val="17"/>
                <w:color w:val="auto"/>
              </w:rPr>
              <w:t>325,001</w:t>
            </w:r>
          </w:p>
        </w:tc>
        <w:tc>
          <w:tcPr>
            <w:tcW w:w="1180" w:type="dxa"/>
            <w:vAlign w:val="bottom"/>
            <w:shd w:val="clear" w:color="auto" w:fill="E9E9E9"/>
          </w:tcPr>
          <w:p>
            <w:pPr>
              <w:ind w:left="140"/>
              <w:spacing w:after="0"/>
              <w:rPr>
                <w:sz w:val="20"/>
                <w:szCs w:val="20"/>
                <w:color w:val="auto"/>
              </w:rPr>
            </w:pPr>
            <w:r>
              <w:rPr>
                <w:rFonts w:ascii="Arial" w:cs="Arial" w:eastAsia="Arial" w:hAnsi="Arial"/>
                <w:sz w:val="17"/>
                <w:szCs w:val="17"/>
                <w:color w:val="auto"/>
              </w:rPr>
              <w:t>$3,569,080</w:t>
            </w:r>
          </w:p>
        </w:tc>
      </w:tr>
      <w:tr>
        <w:trPr>
          <w:trHeight w:val="247"/>
        </w:trPr>
        <w:tc>
          <w:tcPr>
            <w:tcW w:w="5980" w:type="dxa"/>
            <w:vAlign w:val="bottom"/>
            <w:shd w:val="clear" w:color="auto" w:fill="E9E9E9"/>
          </w:tcPr>
          <w:p>
            <w:pPr>
              <w:spacing w:after="0"/>
              <w:rPr>
                <w:sz w:val="21"/>
                <w:szCs w:val="21"/>
                <w:color w:val="auto"/>
              </w:rPr>
            </w:pPr>
          </w:p>
        </w:tc>
        <w:tc>
          <w:tcPr>
            <w:tcW w:w="640" w:type="dxa"/>
            <w:vAlign w:val="bottom"/>
            <w:shd w:val="clear" w:color="auto" w:fill="E9E9E9"/>
          </w:tcPr>
          <w:p>
            <w:pPr>
              <w:jc w:val="center"/>
              <w:ind w:left="177"/>
              <w:spacing w:after="0"/>
              <w:rPr>
                <w:sz w:val="20"/>
                <w:szCs w:val="20"/>
                <w:color w:val="auto"/>
              </w:rPr>
            </w:pPr>
            <w:r>
              <w:rPr>
                <w:rFonts w:ascii="Arial" w:cs="Arial" w:eastAsia="Arial" w:hAnsi="Arial"/>
                <w:sz w:val="17"/>
                <w:szCs w:val="17"/>
                <w:color w:val="auto"/>
              </w:rPr>
              <w:t>2010</w:t>
            </w:r>
          </w:p>
        </w:tc>
        <w:tc>
          <w:tcPr>
            <w:tcW w:w="1320" w:type="dxa"/>
            <w:vAlign w:val="bottom"/>
            <w:shd w:val="clear" w:color="auto" w:fill="E9E9E9"/>
          </w:tcPr>
          <w:p>
            <w:pPr>
              <w:jc w:val="right"/>
              <w:ind w:right="198"/>
              <w:spacing w:after="0"/>
              <w:rPr>
                <w:sz w:val="20"/>
                <w:szCs w:val="20"/>
                <w:color w:val="auto"/>
              </w:rPr>
            </w:pPr>
            <w:r>
              <w:rPr>
                <w:rFonts w:ascii="Arial" w:cs="Arial" w:eastAsia="Arial" w:hAnsi="Arial"/>
                <w:sz w:val="17"/>
                <w:szCs w:val="17"/>
                <w:color w:val="auto"/>
              </w:rPr>
              <w:t>187,500</w:t>
            </w:r>
          </w:p>
        </w:tc>
        <w:tc>
          <w:tcPr>
            <w:tcW w:w="1080" w:type="dxa"/>
            <w:vAlign w:val="bottom"/>
            <w:shd w:val="clear" w:color="auto" w:fill="E9E9E9"/>
          </w:tcPr>
          <w:p>
            <w:pPr>
              <w:jc w:val="right"/>
              <w:ind w:right="259"/>
              <w:spacing w:after="0"/>
              <w:rPr>
                <w:sz w:val="20"/>
                <w:szCs w:val="20"/>
                <w:color w:val="auto"/>
              </w:rPr>
            </w:pPr>
            <w:r>
              <w:rPr>
                <w:rFonts w:ascii="Arial" w:cs="Arial" w:eastAsia="Arial" w:hAnsi="Arial"/>
                <w:sz w:val="17"/>
                <w:szCs w:val="17"/>
                <w:color w:val="auto"/>
              </w:rPr>
              <w:t>62,501</w:t>
            </w:r>
          </w:p>
        </w:tc>
        <w:tc>
          <w:tcPr>
            <w:tcW w:w="1220" w:type="dxa"/>
            <w:vAlign w:val="bottom"/>
            <w:shd w:val="clear" w:color="auto" w:fill="E9E9E9"/>
          </w:tcPr>
          <w:p>
            <w:pPr>
              <w:jc w:val="right"/>
              <w:ind w:right="257"/>
              <w:spacing w:after="0"/>
              <w:rPr>
                <w:sz w:val="20"/>
                <w:szCs w:val="20"/>
                <w:color w:val="auto"/>
              </w:rPr>
            </w:pPr>
            <w:r>
              <w:rPr>
                <w:rFonts w:ascii="Arial" w:cs="Arial" w:eastAsia="Arial" w:hAnsi="Arial"/>
                <w:sz w:val="17"/>
                <w:szCs w:val="17"/>
                <w:color w:val="auto"/>
              </w:rPr>
              <w:t>375,003</w:t>
            </w:r>
          </w:p>
        </w:tc>
        <w:tc>
          <w:tcPr>
            <w:tcW w:w="1180" w:type="dxa"/>
            <w:vAlign w:val="bottom"/>
            <w:shd w:val="clear" w:color="auto" w:fill="E9E9E9"/>
          </w:tcPr>
          <w:p>
            <w:pPr>
              <w:ind w:left="140"/>
              <w:spacing w:after="0"/>
              <w:rPr>
                <w:sz w:val="20"/>
                <w:szCs w:val="20"/>
                <w:color w:val="auto"/>
              </w:rPr>
            </w:pPr>
            <w:r>
              <w:rPr>
                <w:rFonts w:ascii="Arial" w:cs="Arial" w:eastAsia="Arial" w:hAnsi="Arial"/>
                <w:sz w:val="17"/>
                <w:szCs w:val="17"/>
                <w:color w:val="auto"/>
              </w:rPr>
              <w:t>$2,678,865</w:t>
            </w:r>
          </w:p>
        </w:tc>
      </w:tr>
    </w:tbl>
    <w:p>
      <w:pPr>
        <w:spacing w:after="0" w:line="236" w:lineRule="exact"/>
        <w:rPr>
          <w:sz w:val="20"/>
          <w:szCs w:val="20"/>
          <w:color w:val="auto"/>
        </w:rPr>
      </w:pPr>
    </w:p>
    <w:p>
      <w:pPr>
        <w:ind w:right="1580" w:firstLine="3"/>
        <w:spacing w:after="0" w:line="237" w:lineRule="auto"/>
        <w:tabs>
          <w:tab w:leader="none" w:pos="465"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See notes 2 and 3 to the summary compensation table on page 80 for information on how grant date fair value was calculated. ** Retention grant made in June 2012, when Mr. Crutcher and Mr. Delagi assumed new responsibilities.</w:t>
      </w:r>
    </w:p>
    <w:p>
      <w:pPr>
        <w:spacing w:after="0" w:line="1" w:lineRule="exact"/>
        <w:rPr>
          <w:rFonts w:ascii="Arial" w:cs="Arial" w:eastAsia="Arial" w:hAnsi="Arial"/>
          <w:sz w:val="17"/>
          <w:szCs w:val="17"/>
          <w:color w:val="auto"/>
        </w:rPr>
      </w:pPr>
    </w:p>
    <w:p>
      <w:pPr>
        <w:ind w:left="460" w:right="20" w:hanging="465"/>
        <w:spacing w:after="0" w:line="245" w:lineRule="auto"/>
        <w:rPr>
          <w:rFonts w:ascii="Arial" w:cs="Arial" w:eastAsia="Arial" w:hAnsi="Arial"/>
          <w:sz w:val="17"/>
          <w:szCs w:val="17"/>
          <w:color w:val="auto"/>
        </w:rPr>
      </w:pPr>
      <w:r>
        <w:rPr>
          <w:rFonts w:ascii="Arial" w:cs="Arial" w:eastAsia="Arial" w:hAnsi="Arial"/>
          <w:sz w:val="17"/>
          <w:szCs w:val="17"/>
          <w:color w:val="auto"/>
        </w:rPr>
        <w:t>*** Shown is the award made to Mr. Crutcher in September 2010, when he became an executive officer. The grants that he received before he became an executive officer were made under procedures applicable to non-executive officers.</w:t>
      </w:r>
    </w:p>
    <w:p>
      <w:pPr>
        <w:spacing w:after="0" w:line="240" w:lineRule="exact"/>
        <w:rPr>
          <w:sz w:val="20"/>
          <w:szCs w:val="20"/>
          <w:color w:val="auto"/>
        </w:rPr>
      </w:pPr>
    </w:p>
    <w:p>
      <w:pPr>
        <w:spacing w:after="0"/>
        <w:tabs>
          <w:tab w:leader="none" w:pos="10000" w:val="left"/>
        </w:tabs>
        <w:rPr>
          <w:sz w:val="20"/>
          <w:szCs w:val="20"/>
          <w:color w:val="auto"/>
        </w:rPr>
      </w:pPr>
      <w:r>
        <w:rPr>
          <w:rFonts w:ascii="Arial" w:cs="Arial" w:eastAsia="Arial" w:hAnsi="Arial"/>
          <w:sz w:val="13"/>
          <w:szCs w:val="13"/>
          <w:b w:val="1"/>
          <w:bCs w:val="1"/>
          <w:color w:val="808285"/>
        </w:rPr>
        <w:t>72 •  2013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40"/>
          </w:cols>
          <w:pgMar w:left="240" w:top="564" w:right="21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In January 2012, the committee awarded equity compensation to each of the named executive officers. The committee’s objective was to award to those</w:t>
      </w:r>
    </w:p>
    <w:p>
      <w:pPr>
        <w:spacing w:after="0" w:line="9" w:lineRule="exact"/>
        <w:rPr>
          <w:sz w:val="20"/>
          <w:szCs w:val="20"/>
          <w:color w:val="auto"/>
        </w:rPr>
      </w:pPr>
    </w:p>
    <w:p>
      <w:pPr>
        <w:ind w:right="320"/>
        <w:spacing w:after="0" w:line="206" w:lineRule="auto"/>
        <w:rPr>
          <w:sz w:val="20"/>
          <w:szCs w:val="20"/>
          <w:color w:val="auto"/>
        </w:rPr>
      </w:pPr>
      <w:r>
        <w:rPr>
          <w:rFonts w:ascii="Arial" w:cs="Arial" w:eastAsia="Arial" w:hAnsi="Arial"/>
          <w:sz w:val="17"/>
          <w:szCs w:val="17"/>
          <w:color w:val="auto"/>
        </w:rPr>
        <w:t>officers equity compensation that had a grant date fair value at approximately the median market level, in this case the 40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to 60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percentile of the 3-year average of equity compensation (including an estimate of amounts for 2012) granted by the Comparator Group.</w:t>
      </w:r>
    </w:p>
    <w:p>
      <w:pPr>
        <w:spacing w:after="0" w:line="18" w:lineRule="exact"/>
        <w:rPr>
          <w:sz w:val="20"/>
          <w:szCs w:val="20"/>
          <w:color w:val="auto"/>
        </w:rPr>
      </w:pPr>
    </w:p>
    <w:p>
      <w:pPr>
        <w:jc w:val="both"/>
        <w:ind w:right="20" w:firstLine="258"/>
        <w:spacing w:after="0" w:line="249" w:lineRule="auto"/>
        <w:rPr>
          <w:sz w:val="20"/>
          <w:szCs w:val="20"/>
          <w:color w:val="auto"/>
        </w:rPr>
      </w:pPr>
      <w:r>
        <w:rPr>
          <w:rFonts w:ascii="Arial" w:cs="Arial" w:eastAsia="Arial" w:hAnsi="Arial"/>
          <w:sz w:val="17"/>
          <w:szCs w:val="17"/>
          <w:color w:val="auto"/>
        </w:rPr>
        <w:t>In assessing the market level, the committee considered information presented by TI’s Compensation and Benefits organization (prepared using data provided by the committee’s compensation consultant) on the estimated value of the awards expected to be granted by the Comparator Group to similarly situated executives. The award value was estimated using the same methodology used for financial accounting.</w:t>
      </w:r>
    </w:p>
    <w:p>
      <w:pPr>
        <w:spacing w:after="0" w:line="12" w:lineRule="exact"/>
        <w:rPr>
          <w:sz w:val="20"/>
          <w:szCs w:val="20"/>
          <w:color w:val="auto"/>
        </w:rPr>
      </w:pPr>
    </w:p>
    <w:p>
      <w:pPr>
        <w:ind w:right="300" w:firstLine="258"/>
        <w:spacing w:after="0" w:line="249" w:lineRule="auto"/>
        <w:rPr>
          <w:sz w:val="20"/>
          <w:szCs w:val="20"/>
          <w:color w:val="auto"/>
        </w:rPr>
      </w:pPr>
      <w:r>
        <w:rPr>
          <w:rFonts w:ascii="Arial" w:cs="Arial" w:eastAsia="Arial" w:hAnsi="Arial"/>
          <w:sz w:val="17"/>
          <w:szCs w:val="17"/>
          <w:color w:val="auto"/>
        </w:rPr>
        <w:t>For each officer, the committee set a number of NQ Equivalents to achieve the desired grant value. The committee decided to allocate the NQ Equivalents for each officer equally between restricted stock units and options to give equal emphasis to promoting retention, motivating the executive and aligning his interests with those of shareholders.</w:t>
      </w:r>
    </w:p>
    <w:p>
      <w:pPr>
        <w:spacing w:after="0" w:line="12" w:lineRule="exact"/>
        <w:rPr>
          <w:sz w:val="20"/>
          <w:szCs w:val="20"/>
          <w:color w:val="auto"/>
        </w:rPr>
      </w:pPr>
    </w:p>
    <w:p>
      <w:pPr>
        <w:jc w:val="both"/>
        <w:ind w:right="20" w:firstLine="258"/>
        <w:spacing w:after="0" w:line="249" w:lineRule="auto"/>
        <w:rPr>
          <w:sz w:val="20"/>
          <w:szCs w:val="20"/>
          <w:color w:val="auto"/>
        </w:rPr>
      </w:pPr>
      <w:r>
        <w:rPr>
          <w:rFonts w:ascii="Arial" w:cs="Arial" w:eastAsia="Arial" w:hAnsi="Arial"/>
          <w:sz w:val="17"/>
          <w:szCs w:val="17"/>
          <w:color w:val="auto"/>
        </w:rPr>
        <w:t>Before approving the grants, the committee reviewed the amount of unvested equity compensation held by the officers to assess its retention value. In making this assessment, the committee used its judgment and did not apply any formula, threshold or maximum. This review did not result in an increase or decrease of the awards from the levels described above.</w:t>
      </w:r>
    </w:p>
    <w:p>
      <w:pPr>
        <w:spacing w:after="0" w:line="12" w:lineRule="exact"/>
        <w:rPr>
          <w:sz w:val="20"/>
          <w:szCs w:val="20"/>
          <w:color w:val="auto"/>
        </w:rPr>
      </w:pPr>
    </w:p>
    <w:p>
      <w:pPr>
        <w:ind w:right="180" w:firstLine="258"/>
        <w:spacing w:after="0" w:line="249" w:lineRule="auto"/>
        <w:rPr>
          <w:sz w:val="20"/>
          <w:szCs w:val="20"/>
          <w:color w:val="auto"/>
        </w:rPr>
      </w:pPr>
      <w:r>
        <w:rPr>
          <w:rFonts w:ascii="Arial" w:cs="Arial" w:eastAsia="Arial" w:hAnsi="Arial"/>
          <w:sz w:val="17"/>
          <w:szCs w:val="17"/>
          <w:color w:val="auto"/>
        </w:rPr>
        <w:t>The exercise price of the options was the closing price of TI stock on January 26, 2012, the third trading day after the company released its annual and fourth quarter financial results for 2011. All grants were made under the 2009 Texas Instruments Long-Term Incentive Plan (the “2009 Plan”), which shareholders approved in April 2009. All grants have the terms described on page 85.</w:t>
      </w:r>
    </w:p>
    <w:p>
      <w:pPr>
        <w:spacing w:after="0" w:line="12" w:lineRule="exact"/>
        <w:rPr>
          <w:sz w:val="20"/>
          <w:szCs w:val="20"/>
          <w:color w:val="auto"/>
        </w:rPr>
      </w:pPr>
    </w:p>
    <w:p>
      <w:pPr>
        <w:ind w:right="120" w:firstLine="258"/>
        <w:spacing w:after="0" w:line="261" w:lineRule="auto"/>
        <w:rPr>
          <w:sz w:val="20"/>
          <w:szCs w:val="20"/>
          <w:color w:val="auto"/>
        </w:rPr>
      </w:pPr>
      <w:r>
        <w:rPr>
          <w:rFonts w:ascii="Arial" w:cs="Arial" w:eastAsia="Arial" w:hAnsi="Arial"/>
          <w:sz w:val="17"/>
          <w:szCs w:val="17"/>
          <w:color w:val="auto"/>
        </w:rPr>
        <w:t>The differences in the equity awards between the named executive officers were primarily the result of differences in the applicable estimated market level of equity compensation for their positions, and not the application of any formula designed to maintain differentials between the officers.</w:t>
      </w:r>
    </w:p>
    <w:p>
      <w:pPr>
        <w:spacing w:after="0" w:line="1" w:lineRule="exact"/>
        <w:rPr>
          <w:sz w:val="20"/>
          <w:szCs w:val="20"/>
          <w:color w:val="auto"/>
        </w:rPr>
      </w:pPr>
    </w:p>
    <w:p>
      <w:pPr>
        <w:ind w:right="260" w:firstLine="258"/>
        <w:spacing w:after="0" w:line="245" w:lineRule="auto"/>
        <w:rPr>
          <w:sz w:val="20"/>
          <w:szCs w:val="20"/>
          <w:color w:val="auto"/>
        </w:rPr>
      </w:pPr>
      <w:r>
        <w:rPr>
          <w:rFonts w:ascii="Arial" w:cs="Arial" w:eastAsia="Arial" w:hAnsi="Arial"/>
          <w:sz w:val="17"/>
          <w:szCs w:val="17"/>
          <w:color w:val="auto"/>
        </w:rPr>
        <w:t>In addition to the January 2012 awards described above, the committee awarded restricted stock units to Mr. Crutcher and Mr. Delagi as they assumed new and broader responsibilities in June 2012. The awards were intended to increase the retention value of their outstanding equity compensation. The number of restricted stock units was based on the committee’s judgment following a review of market data; no formula or threshold was applied.</w:t>
      </w:r>
    </w:p>
    <w:p>
      <w:pPr>
        <w:spacing w:after="0" w:line="179" w:lineRule="exact"/>
        <w:rPr>
          <w:sz w:val="20"/>
          <w:szCs w:val="20"/>
          <w:color w:val="auto"/>
        </w:rPr>
      </w:pPr>
    </w:p>
    <w:p>
      <w:pPr>
        <w:ind w:right="520"/>
        <w:spacing w:after="0" w:line="241" w:lineRule="auto"/>
        <w:rPr>
          <w:sz w:val="20"/>
          <w:szCs w:val="20"/>
          <w:color w:val="auto"/>
        </w:rPr>
      </w:pPr>
      <w:r>
        <w:rPr>
          <w:rFonts w:ascii="Arial" w:cs="Arial" w:eastAsia="Arial" w:hAnsi="Arial"/>
          <w:sz w:val="17"/>
          <w:szCs w:val="17"/>
          <w:i w:val="1"/>
          <w:iCs w:val="1"/>
          <w:color w:val="auto"/>
        </w:rPr>
        <w:t xml:space="preserve">Bonus </w:t>
      </w:r>
      <w:r>
        <w:rPr>
          <w:rFonts w:ascii="Arial" w:cs="Arial" w:eastAsia="Arial" w:hAnsi="Arial"/>
          <w:sz w:val="17"/>
          <w:szCs w:val="17"/>
          <w:color w:val="auto"/>
        </w:rPr>
        <w:t>– In January 2013, the committee set the 2012 bonus compensation for executive officers based on its assessment of 2012 performance. In</w:t>
      </w:r>
      <w:r>
        <w:rPr>
          <w:rFonts w:ascii="Arial" w:cs="Arial" w:eastAsia="Arial" w:hAnsi="Arial"/>
          <w:sz w:val="17"/>
          <w:szCs w:val="17"/>
          <w:i w:val="1"/>
          <w:iCs w:val="1"/>
          <w:color w:val="auto"/>
        </w:rPr>
        <w:t xml:space="preserve"> </w:t>
      </w:r>
      <w:r>
        <w:rPr>
          <w:rFonts w:ascii="Arial" w:cs="Arial" w:eastAsia="Arial" w:hAnsi="Arial"/>
          <w:sz w:val="17"/>
          <w:szCs w:val="17"/>
          <w:color w:val="auto"/>
        </w:rPr>
        <w:t>setting the bonuses, the committee used the following performance measures to assess the company:</w:t>
      </w:r>
    </w:p>
    <w:p>
      <w:pPr>
        <w:ind w:left="220" w:right="2460" w:firstLine="310"/>
        <w:spacing w:after="0" w:line="219"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u w:val="single" w:color="auto"/>
          <w:color w:val="auto"/>
        </w:rPr>
        <w:t>relative</w:t>
      </w:r>
      <w:r>
        <w:rPr>
          <w:rFonts w:ascii="Arial" w:cs="Arial" w:eastAsia="Arial" w:hAnsi="Arial"/>
          <w:sz w:val="17"/>
          <w:szCs w:val="17"/>
          <w:color w:val="auto"/>
        </w:rPr>
        <w:t xml:space="preserve"> one-year and three-year performance of TI as compared with competitor companies, as measured by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-191135</wp:posOffset>
            </wp:positionV>
            <wp:extent cx="58420" cy="584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-92710</wp:posOffset>
            </wp:positionV>
            <wp:extent cx="58420" cy="584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operating profit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-88900</wp:posOffset>
            </wp:positionV>
            <wp:extent cx="58420" cy="584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220"/>
        <w:spacing w:after="0" w:line="204" w:lineRule="auto"/>
        <w:rPr>
          <w:sz w:val="20"/>
          <w:szCs w:val="20"/>
          <w:color w:val="auto"/>
        </w:rPr>
      </w:pPr>
      <w:r>
        <w:rPr>
          <w:rFonts w:ascii="Arial" w:cs="Arial" w:eastAsia="Arial" w:hAnsi="Arial"/>
          <w:sz w:val="17"/>
          <w:szCs w:val="17"/>
          <w:color w:val="auto"/>
        </w:rPr>
        <w:t>total shareholder return;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58420" cy="584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u w:val="single" w:color="auto"/>
          <w:color w:val="auto"/>
        </w:rPr>
        <w:t>absolute</w:t>
      </w:r>
      <w:r>
        <w:rPr>
          <w:rFonts w:ascii="Arial" w:cs="Arial" w:eastAsia="Arial" w:hAnsi="Arial"/>
          <w:sz w:val="17"/>
          <w:szCs w:val="17"/>
          <w:color w:val="auto"/>
        </w:rPr>
        <w:t xml:space="preserve"> one-year and three-year performance of TI on the above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8" w:lineRule="exact"/>
        <w:rPr>
          <w:sz w:val="20"/>
          <w:szCs w:val="20"/>
          <w:color w:val="auto"/>
        </w:rPr>
      </w:pPr>
    </w:p>
    <w:p>
      <w:pPr>
        <w:ind w:right="1020"/>
        <w:spacing w:after="0" w:line="245" w:lineRule="auto"/>
        <w:rPr>
          <w:sz w:val="20"/>
          <w:szCs w:val="20"/>
          <w:color w:val="auto"/>
        </w:rPr>
      </w:pPr>
      <w:r>
        <w:rPr>
          <w:rFonts w:ascii="Arial" w:cs="Arial" w:eastAsia="Arial" w:hAnsi="Arial"/>
          <w:sz w:val="17"/>
          <w:szCs w:val="17"/>
          <w:color w:val="auto"/>
        </w:rPr>
        <w:t>In addition, the committee considered our strategic progress by reviewing how competitive we are in key markets with our core products and technologies, as well as the strength of our relationships with key customers.</w:t>
      </w:r>
    </w:p>
    <w:p>
      <w:pPr>
        <w:spacing w:after="0" w:line="14" w:lineRule="exact"/>
        <w:rPr>
          <w:sz w:val="20"/>
          <w:szCs w:val="20"/>
          <w:color w:val="auto"/>
        </w:rPr>
      </w:pPr>
    </w:p>
    <w:p>
      <w:pPr>
        <w:ind w:right="40" w:firstLine="258"/>
        <w:spacing w:after="0" w:line="241" w:lineRule="auto"/>
        <w:rPr>
          <w:sz w:val="20"/>
          <w:szCs w:val="20"/>
          <w:color w:val="auto"/>
        </w:rPr>
      </w:pPr>
      <w:r>
        <w:rPr>
          <w:rFonts w:ascii="Arial" w:cs="Arial" w:eastAsia="Arial" w:hAnsi="Arial"/>
          <w:sz w:val="17"/>
          <w:szCs w:val="17"/>
          <w:color w:val="auto"/>
        </w:rPr>
        <w:t>One-year relative performance on the three measures and one-year strategic progress were the primary considerations in the committee’s assessment of the company’s 2012 performance. In assessing performance, the committee did not use formulas, thresholds or multiples. Because market conditions can quickly change in our industry, thresholds established at the beginning of a year could prove irrelevant by year-end. The committee believes its approach, which assesses the company’s relative performance in hindsight after year-end, gives it the insight to most effectively and critically judge results and encourages executives to pursue strategies that serve the long-term interests of the company and its shareholders.</w:t>
      </w:r>
    </w:p>
    <w:p>
      <w:pPr>
        <w:ind w:left="260"/>
        <w:spacing w:after="0"/>
        <w:rPr>
          <w:sz w:val="20"/>
          <w:szCs w:val="20"/>
          <w:color w:val="auto"/>
        </w:rPr>
      </w:pPr>
      <w:r>
        <w:rPr>
          <w:rFonts w:ascii="Arial" w:cs="Arial" w:eastAsia="Arial" w:hAnsi="Arial"/>
          <w:sz w:val="17"/>
          <w:szCs w:val="17"/>
          <w:color w:val="auto"/>
        </w:rPr>
        <w:t>In the comparison of relative performance, the committee used the following companies (the “competitor companies”):</w:t>
      </w:r>
      <w:r>
        <w:rPr>
          <w:rFonts w:ascii="Arial" w:cs="Arial" w:eastAsia="Arial" w:hAnsi="Arial"/>
          <w:sz w:val="27"/>
          <w:szCs w:val="27"/>
          <w:color w:val="auto"/>
          <w:vertAlign w:val="superscript"/>
        </w:rPr>
        <w:t>2</w:t>
      </w:r>
    </w:p>
    <w:p>
      <w:pPr>
        <w:sectPr>
          <w:pgSz w:w="11900" w:h="16838" w:orient="portrait"/>
          <w:cols w:equalWidth="0" w:num="1">
            <w:col w:w="11420"/>
          </w:cols>
          <w:pgMar w:left="240" w:top="582" w:right="239" w:bottom="1440" w:gutter="0" w:footer="0" w:header="0"/>
        </w:sectPr>
      </w:pPr>
    </w:p>
    <w:p>
      <w:pPr>
        <w:spacing w:after="0" w:line="155"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Advanced Micro Devices, Inc.</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LSI Logic Corporation</w:t>
      </w:r>
    </w:p>
    <w:p>
      <w:pPr>
        <w:spacing w:after="0" w:line="49" w:lineRule="exact"/>
        <w:rPr>
          <w:sz w:val="20"/>
          <w:szCs w:val="20"/>
          <w:color w:val="auto"/>
        </w:rPr>
      </w:pPr>
    </w:p>
    <w:p>
      <w:pPr>
        <w:sectPr>
          <w:pgSz w:w="11900" w:h="16838" w:orient="portrait"/>
          <w:cols w:equalWidth="0" w:num="2">
            <w:col w:w="5060" w:space="720"/>
            <w:col w:w="5640"/>
          </w:cols>
          <w:pgMar w:left="240" w:top="582"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Altera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Marvell Technology Group Ltd.</w:t>
      </w:r>
    </w:p>
    <w:p>
      <w:pPr>
        <w:spacing w:after="0" w:line="49" w:lineRule="exact"/>
        <w:rPr>
          <w:sz w:val="20"/>
          <w:szCs w:val="20"/>
          <w:color w:val="auto"/>
        </w:rPr>
      </w:pPr>
    </w:p>
    <w:p>
      <w:pPr>
        <w:sectPr>
          <w:pgSz w:w="11900" w:h="16838" w:orient="portrait"/>
          <w:cols w:equalWidth="0" w:num="2">
            <w:col w:w="5060" w:space="720"/>
            <w:col w:w="5640"/>
          </w:cols>
          <w:pgMar w:left="240" w:top="582"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Analog Devices,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Maxim Integrated Products, Inc.</w:t>
      </w:r>
    </w:p>
    <w:p>
      <w:pPr>
        <w:spacing w:after="0" w:line="49" w:lineRule="exact"/>
        <w:rPr>
          <w:sz w:val="20"/>
          <w:szCs w:val="20"/>
          <w:color w:val="auto"/>
        </w:rPr>
      </w:pPr>
    </w:p>
    <w:p>
      <w:pPr>
        <w:sectPr>
          <w:pgSz w:w="11900" w:h="16838" w:orient="portrait"/>
          <w:cols w:equalWidth="0" w:num="2">
            <w:col w:w="5060" w:space="720"/>
            <w:col w:w="5640"/>
          </w:cols>
          <w:pgMar w:left="240" w:top="582"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Atmel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Microchip Technology Incorporated</w:t>
      </w:r>
    </w:p>
    <w:p>
      <w:pPr>
        <w:spacing w:after="0" w:line="49" w:lineRule="exact"/>
        <w:rPr>
          <w:sz w:val="20"/>
          <w:szCs w:val="20"/>
          <w:color w:val="auto"/>
        </w:rPr>
      </w:pPr>
    </w:p>
    <w:p>
      <w:pPr>
        <w:sectPr>
          <w:pgSz w:w="11900" w:h="16838" w:orient="portrait"/>
          <w:cols w:equalWidth="0" w:num="2">
            <w:col w:w="5060" w:space="720"/>
            <w:col w:w="5640"/>
          </w:cols>
          <w:pgMar w:left="240" w:top="582"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Broadcom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NVIDIA Corporation</w:t>
      </w:r>
    </w:p>
    <w:p>
      <w:pPr>
        <w:spacing w:after="0" w:line="49" w:lineRule="exact"/>
        <w:rPr>
          <w:sz w:val="20"/>
          <w:szCs w:val="20"/>
          <w:color w:val="auto"/>
        </w:rPr>
      </w:pPr>
    </w:p>
    <w:p>
      <w:pPr>
        <w:sectPr>
          <w:pgSz w:w="11900" w:h="16838" w:orient="portrait"/>
          <w:cols w:equalWidth="0" w:num="2">
            <w:col w:w="5060" w:space="720"/>
            <w:col w:w="5640"/>
          </w:cols>
          <w:pgMar w:left="240" w:top="582"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Fairchild Semiconductor International,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NXP Semiconductors N.V.</w:t>
      </w:r>
    </w:p>
    <w:p>
      <w:pPr>
        <w:spacing w:after="0" w:line="49" w:lineRule="exact"/>
        <w:rPr>
          <w:sz w:val="20"/>
          <w:szCs w:val="20"/>
          <w:color w:val="auto"/>
        </w:rPr>
      </w:pPr>
    </w:p>
    <w:p>
      <w:pPr>
        <w:sectPr>
          <w:pgSz w:w="11900" w:h="16838" w:orient="portrait"/>
          <w:cols w:equalWidth="0" w:num="2">
            <w:col w:w="5060" w:space="720"/>
            <w:col w:w="5640"/>
          </w:cols>
          <w:pgMar w:left="240" w:top="582" w:right="239" w:bottom="1440" w:gutter="0" w:footer="0" w:header="0"/>
          <w:type w:val="continuous"/>
        </w:sectPr>
      </w:pPr>
    </w:p>
    <w:p>
      <w:pPr>
        <w:jc w:val="center"/>
        <w:ind w:left="660"/>
        <w:spacing w:after="0"/>
        <w:rPr>
          <w:sz w:val="20"/>
          <w:szCs w:val="20"/>
          <w:color w:val="auto"/>
        </w:rPr>
      </w:pPr>
      <w:r>
        <w:rPr>
          <w:rFonts w:ascii="Arial" w:cs="Arial" w:eastAsia="Arial" w:hAnsi="Arial"/>
          <w:sz w:val="16"/>
          <w:szCs w:val="16"/>
          <w:color w:val="auto"/>
        </w:rPr>
        <w:t>Freescale Semiconductor,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ON Semiconductor Corporation</w:t>
      </w:r>
    </w:p>
    <w:p>
      <w:pPr>
        <w:spacing w:after="0" w:line="49" w:lineRule="exact"/>
        <w:rPr>
          <w:sz w:val="20"/>
          <w:szCs w:val="20"/>
          <w:color w:val="auto"/>
        </w:rPr>
      </w:pPr>
    </w:p>
    <w:p>
      <w:pPr>
        <w:sectPr>
          <w:pgSz w:w="11900" w:h="16838" w:orient="portrait"/>
          <w:cols w:equalWidth="0" w:num="2">
            <w:col w:w="5060" w:space="720"/>
            <w:col w:w="5640"/>
          </w:cols>
          <w:pgMar w:left="240" w:top="582"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Infineon Technologies 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QUALCOMM Incorporated</w:t>
      </w:r>
    </w:p>
    <w:p>
      <w:pPr>
        <w:spacing w:after="0" w:line="49" w:lineRule="exact"/>
        <w:rPr>
          <w:sz w:val="20"/>
          <w:szCs w:val="20"/>
          <w:color w:val="auto"/>
        </w:rPr>
      </w:pPr>
    </w:p>
    <w:p>
      <w:pPr>
        <w:sectPr>
          <w:pgSz w:w="11900" w:h="16838" w:orient="portrait"/>
          <w:cols w:equalWidth="0" w:num="2">
            <w:col w:w="5060" w:space="720"/>
            <w:col w:w="5640"/>
          </w:cols>
          <w:pgMar w:left="240" w:top="582"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Intel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STMicroelectronics N.V.</w:t>
      </w:r>
    </w:p>
    <w:p>
      <w:pPr>
        <w:spacing w:after="0" w:line="49" w:lineRule="exact"/>
        <w:rPr>
          <w:sz w:val="20"/>
          <w:szCs w:val="20"/>
          <w:color w:val="auto"/>
        </w:rPr>
      </w:pPr>
    </w:p>
    <w:p>
      <w:pPr>
        <w:sectPr>
          <w:pgSz w:w="11900" w:h="16838" w:orient="portrait"/>
          <w:cols w:equalWidth="0" w:num="2">
            <w:col w:w="5060" w:space="720"/>
            <w:col w:w="5640"/>
          </w:cols>
          <w:pgMar w:left="240" w:top="582"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Intersil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Xilinx, Inc.</w:t>
      </w:r>
    </w:p>
    <w:p>
      <w:pPr>
        <w:spacing w:after="0" w:line="49" w:lineRule="exact"/>
        <w:rPr>
          <w:sz w:val="20"/>
          <w:szCs w:val="20"/>
          <w:color w:val="auto"/>
        </w:rPr>
      </w:pPr>
    </w:p>
    <w:p>
      <w:pPr>
        <w:sectPr>
          <w:pgSz w:w="11900" w:h="16838" w:orient="portrait"/>
          <w:cols w:equalWidth="0" w:num="2">
            <w:col w:w="5060" w:space="720"/>
            <w:col w:w="5640"/>
          </w:cols>
          <w:pgMar w:left="240" w:top="582"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Linear Technology Corporation</w:t>
      </w:r>
    </w:p>
    <w:p>
      <w:pPr>
        <w:sectPr>
          <w:pgSz w:w="11900" w:h="16838" w:orient="portrait"/>
          <w:cols w:equalWidth="0" w:num="1">
            <w:col w:w="11420"/>
          </w:cols>
          <w:pgMar w:left="240" w:top="582" w:right="239"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230" w:lineRule="exact"/>
        <w:rPr>
          <w:sz w:val="20"/>
          <w:szCs w:val="20"/>
          <w:color w:val="auto"/>
        </w:rPr>
      </w:pPr>
    </w:p>
    <w:p>
      <w:pPr>
        <w:ind w:left="360" w:right="180" w:hanging="357"/>
        <w:spacing w:after="0" w:line="245" w:lineRule="auto"/>
        <w:tabs>
          <w:tab w:leader="none" w:pos="3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the extent the companies had not released financial results for the year or most recent quarter, the committee based its evaluation on estimates and projections of the companies’ financial results for 2012.</w:t>
      </w:r>
    </w:p>
    <w:p>
      <w:pPr>
        <w:spacing w:after="0" w:line="240" w:lineRule="exact"/>
        <w:rPr>
          <w:sz w:val="20"/>
          <w:szCs w:val="20"/>
          <w:color w:val="auto"/>
        </w:rPr>
      </w:pPr>
    </w:p>
    <w:p>
      <w:pPr>
        <w:spacing w:after="0"/>
        <w:tabs>
          <w:tab w:leader="none" w:pos="95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2"/>
          <w:szCs w:val="12"/>
          <w:b w:val="1"/>
          <w:bCs w:val="1"/>
          <w:color w:val="808285"/>
        </w:rPr>
        <w:t>2013 PROXY STATEMENT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type w:val="continuous"/>
        </w:sectPr>
      </w:pPr>
    </w:p>
    <w:bookmarkStart w:id="20" w:name="page21"/>
    <w:bookmarkEnd w:id="20"/>
    <w:p>
      <w:pPr>
        <w:ind w:right="40"/>
        <w:spacing w:after="0"/>
        <w:rPr>
          <w:sz w:val="20"/>
          <w:szCs w:val="20"/>
          <w:color w:val="auto"/>
        </w:rPr>
      </w:pPr>
      <w:r>
        <w:rPr>
          <w:rFonts w:ascii="Arial" w:cs="Arial" w:eastAsia="Arial" w:hAnsi="Arial"/>
          <w:sz w:val="17"/>
          <w:szCs w:val="17"/>
          <w:color w:val="auto"/>
        </w:rPr>
        <w:t>These companies include both broad-based and niche suppliers that operate in our key markets or offer technology that competes with our products. The committee considers annually whether the list is still appropriate in terms of revenue, market capitalization and changes in business activities of the companies. In July 2012, the committee decided to add Freescale, a TI competitor that had its initial public offering in 2011, to increase the overall comparability of the group to TI.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Assessment of 2012 performance</w:t>
      </w:r>
    </w:p>
    <w:p>
      <w:pPr>
        <w:ind w:right="40"/>
        <w:spacing w:after="0" w:line="258" w:lineRule="auto"/>
        <w:rPr>
          <w:sz w:val="20"/>
          <w:szCs w:val="20"/>
          <w:color w:val="auto"/>
        </w:rPr>
      </w:pPr>
      <w:r>
        <w:rPr>
          <w:rFonts w:ascii="Arial" w:cs="Arial" w:eastAsia="Arial" w:hAnsi="Arial"/>
          <w:sz w:val="16"/>
          <w:szCs w:val="16"/>
          <w:color w:val="auto"/>
        </w:rPr>
        <w:t>The committee spent extensive time in December and January assessing TI’s results and strategic progress for 2012. The committee considered both quantitative and qualitative data, and it applied judgment in its assessment. Overall, the committee determined that TI’s performance was about the same as the prior year, with absolute performance slightly down and relative performance again above median in most competitor comparisons (see list of competitor companies above). The committee also noted the continued strength of TI’s strategic position. Commensurate with this performance, the committee set bonuses for executive officers generally at the same level as the prior year. Below are details of the committee’s performance assessment.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and margin</w:t>
      </w:r>
    </w:p>
    <w:p>
      <w:pPr>
        <w:ind w:left="520" w:right="100"/>
        <w:spacing w:after="0" w:line="253" w:lineRule="auto"/>
        <w:rPr>
          <w:sz w:val="20"/>
          <w:szCs w:val="20"/>
          <w:color w:val="auto"/>
        </w:rPr>
      </w:pPr>
      <w:r>
        <w:rPr>
          <w:rFonts w:ascii="Arial" w:cs="Arial" w:eastAsia="Arial" w:hAnsi="Arial"/>
          <w:sz w:val="17"/>
          <w:szCs w:val="17"/>
          <w:color w:val="auto"/>
        </w:rPr>
        <w:t>TI revenue declined 7 percent, which was slightly below the median growth rate of competitor companies. This included an $800 million decline in revenue from wireless baseband operations, for which the company has had a publicly stated exit plan for a number of years. Without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-226695</wp:posOffset>
            </wp:positionV>
            <wp:extent cx="58420" cy="584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40"/>
        <w:spacing w:after="0" w:line="224" w:lineRule="auto"/>
        <w:rPr>
          <w:sz w:val="20"/>
          <w:szCs w:val="20"/>
          <w:color w:val="auto"/>
        </w:rPr>
      </w:pPr>
      <w:r>
        <w:rPr>
          <w:rFonts w:ascii="Arial" w:cs="Arial" w:eastAsia="Arial" w:hAnsi="Arial"/>
          <w:sz w:val="17"/>
          <w:szCs w:val="17"/>
          <w:color w:val="auto"/>
        </w:rPr>
        <w:t>wireless operations, TI’s revenue declined 1 percent, better than the median rate of competitors.</w:t>
      </w:r>
      <w:r>
        <w:rPr>
          <w:rFonts w:ascii="Arial" w:cs="Arial" w:eastAsia="Arial" w:hAnsi="Arial"/>
          <w:sz w:val="27"/>
          <w:szCs w:val="27"/>
          <w:color w:val="auto"/>
          <w:vertAlign w:val="superscript"/>
        </w:rPr>
        <w:t>3</w:t>
      </w:r>
      <w:r>
        <w:rPr>
          <w:rFonts w:ascii="Arial" w:cs="Arial" w:eastAsia="Arial" w:hAnsi="Arial"/>
          <w:sz w:val="17"/>
          <w:szCs w:val="17"/>
          <w:color w:val="auto"/>
        </w:rPr>
        <w:t xml:space="preserve"> Revenue for the company’s core businesses of Analog and Embedded Processing was up 10 percent and down 7 percent, respectively. This resulted in a strong share gain in Analog and a slight share decline in Embedded Processing.</w:t>
      </w:r>
    </w:p>
    <w:p>
      <w:pPr>
        <w:spacing w:after="0" w:line="5" w:lineRule="exact"/>
        <w:rPr>
          <w:sz w:val="20"/>
          <w:szCs w:val="20"/>
          <w:color w:val="auto"/>
        </w:rPr>
      </w:pPr>
    </w:p>
    <w:p>
      <w:pPr>
        <w:ind w:left="520" w:right="520"/>
        <w:spacing w:after="0" w:line="253" w:lineRule="auto"/>
        <w:rPr>
          <w:sz w:val="20"/>
          <w:szCs w:val="20"/>
          <w:color w:val="auto"/>
        </w:rPr>
      </w:pPr>
      <w:r>
        <w:rPr>
          <w:rFonts w:ascii="Arial" w:cs="Arial" w:eastAsia="Arial" w:hAnsi="Arial"/>
          <w:sz w:val="17"/>
          <w:szCs w:val="17"/>
          <w:color w:val="auto"/>
        </w:rPr>
        <w:t>Operating profit margin was 15 percent, above median as compared with competitors. Return on invested capital was 11 percent, above the company’s cost of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-226695</wp:posOffset>
            </wp:positionV>
            <wp:extent cx="58420" cy="584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40"/>
        <w:spacing w:after="0" w:line="257" w:lineRule="auto"/>
        <w:rPr>
          <w:sz w:val="20"/>
          <w:szCs w:val="20"/>
          <w:color w:val="auto"/>
        </w:rPr>
      </w:pPr>
      <w:r>
        <w:rPr>
          <w:rFonts w:ascii="Arial" w:cs="Arial" w:eastAsia="Arial" w:hAnsi="Arial"/>
          <w:sz w:val="17"/>
          <w:szCs w:val="17"/>
          <w:color w:val="auto"/>
        </w:rPr>
        <w:t>Three-year metrics were 7 percent compounded annual revenue growth and 23 percent average operating profit margin, below and well above the median, respectively, as compared with competitors. (Without the impact of the wireless operations mentioned above, three-year compounded revenue growth was 13 percent, above the median comparison with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-363220</wp:posOffset>
            </wp:positionV>
            <wp:extent cx="58420" cy="584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Total shareholder return (TSR)</w:t>
      </w:r>
    </w:p>
    <w:p>
      <w:pPr>
        <w:spacing w:after="0" w:line="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TSR increased 9 percent, which was slightly better than the median performance of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40"/>
        <w:spacing w:after="0" w:line="224" w:lineRule="auto"/>
        <w:rPr>
          <w:sz w:val="20"/>
          <w:szCs w:val="20"/>
          <w:color w:val="auto"/>
        </w:rPr>
      </w:pPr>
      <w:r>
        <w:rPr>
          <w:rFonts w:ascii="Arial" w:cs="Arial" w:eastAsia="Arial" w:hAnsi="Arial"/>
          <w:sz w:val="17"/>
          <w:szCs w:val="17"/>
          <w:color w:val="auto"/>
        </w:rPr>
        <w:t>The company again generated strong cash, with free cash flow at 23 percent of revenue.</w:t>
      </w:r>
      <w:r>
        <w:rPr>
          <w:rFonts w:ascii="Arial" w:cs="Arial" w:eastAsia="Arial" w:hAnsi="Arial"/>
          <w:sz w:val="27"/>
          <w:szCs w:val="27"/>
          <w:color w:val="auto"/>
          <w:vertAlign w:val="superscript"/>
        </w:rPr>
        <w:t>4</w:t>
      </w:r>
      <w:r>
        <w:rPr>
          <w:rFonts w:ascii="Arial" w:cs="Arial" w:eastAsia="Arial" w:hAnsi="Arial"/>
          <w:sz w:val="17"/>
          <w:szCs w:val="17"/>
          <w:color w:val="auto"/>
        </w:rPr>
        <w:t xml:space="preserve"> Ninety percent of free cash flow was returned to shareholders in 2012 through share repurchases and dividends. Share repurchases of $1.8 billion reduced outstanding shares by 3 percent (net of stock issuances during the year), and the quarterly dividend rate increased 24 percent (the tenth increase in nine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-355600</wp:posOffset>
            </wp:positionV>
            <wp:extent cx="58420" cy="584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The balance sheet remained robust, ending the year with cash and short-term investments of $4 billion, up 35 percent from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Three-year TSR increased 8 percent, about the median performance of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230" w:lineRule="exact"/>
        <w:rPr>
          <w:sz w:val="20"/>
          <w:szCs w:val="20"/>
          <w:color w:val="auto"/>
        </w:rPr>
      </w:pPr>
    </w:p>
    <w:p>
      <w:pPr>
        <w:ind w:left="360" w:right="520" w:hanging="357"/>
        <w:spacing w:after="0" w:line="245" w:lineRule="auto"/>
        <w:tabs>
          <w:tab w:leader="none" w:pos="3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Revenue excluding baseband products is a non-GAAP financial measure that provides insight into the company’s underlying business results. Following is a reconciliation to TI revenue as reported on a GAAP basis (amounts in millions of dollars):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5"/>
          </w:tcPr>
          <w:p>
            <w:pPr>
              <w:jc w:val="right"/>
              <w:ind w:right="560"/>
              <w:spacing w:after="0"/>
              <w:rPr>
                <w:sz w:val="20"/>
                <w:szCs w:val="20"/>
                <w:color w:val="auto"/>
              </w:rPr>
            </w:pPr>
            <w:r>
              <w:rPr>
                <w:rFonts w:ascii="Arial" w:cs="Arial" w:eastAsia="Arial" w:hAnsi="Arial"/>
                <w:sz w:val="13"/>
                <w:szCs w:val="13"/>
                <w:b w:val="1"/>
                <w:bCs w:val="1"/>
                <w:color w:val="auto"/>
              </w:rPr>
              <w:t>For Years Ended,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40"/>
        </w:trPr>
        <w:tc>
          <w:tcPr>
            <w:tcW w:w="6920" w:type="dxa"/>
            <w:vAlign w:val="bottom"/>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gridSpan w:val="2"/>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186"/>
        </w:trPr>
        <w:tc>
          <w:tcPr>
            <w:tcW w:w="692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Arial" w:cs="Arial" w:eastAsia="Arial" w:hAnsi="Arial"/>
                <w:sz w:val="13"/>
                <w:szCs w:val="13"/>
                <w:b w:val="1"/>
                <w:bCs w:val="1"/>
                <w:color w:val="auto"/>
              </w:rPr>
              <w:t>Dec. 31,</w:t>
            </w:r>
          </w:p>
        </w:tc>
        <w:tc>
          <w:tcPr>
            <w:tcW w:w="18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Arial" w:cs="Arial" w:eastAsia="Arial" w:hAnsi="Arial"/>
                <w:sz w:val="13"/>
                <w:szCs w:val="13"/>
                <w:b w:val="1"/>
                <w:bCs w:val="1"/>
                <w:color w:val="auto"/>
              </w:rPr>
              <w:t>Dec. 31,</w:t>
            </w:r>
          </w:p>
        </w:tc>
        <w:tc>
          <w:tcPr>
            <w:tcW w:w="180" w:type="dxa"/>
            <w:vAlign w:val="bottom"/>
          </w:tcPr>
          <w:p>
            <w:pPr>
              <w:spacing w:after="0"/>
              <w:rPr>
                <w:sz w:val="16"/>
                <w:szCs w:val="16"/>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Dec. 31,</w:t>
            </w:r>
          </w:p>
        </w:tc>
        <w:tc>
          <w:tcPr>
            <w:tcW w:w="100" w:type="dxa"/>
            <w:vAlign w:val="bottom"/>
          </w:tcPr>
          <w:p>
            <w:pPr>
              <w:spacing w:after="0"/>
              <w:rPr>
                <w:sz w:val="16"/>
                <w:szCs w:val="16"/>
                <w:color w:val="auto"/>
              </w:rPr>
            </w:pP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rPr>
              <w:t>Dec. 31,</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w w:val="94"/>
              </w:rPr>
              <w:t>Three-Year</w:t>
            </w:r>
          </w:p>
        </w:tc>
      </w:tr>
      <w:tr>
        <w:trPr>
          <w:trHeight w:val="233"/>
        </w:trPr>
        <w:tc>
          <w:tcPr>
            <w:tcW w:w="6920" w:type="dxa"/>
            <w:vAlign w:val="bottom"/>
          </w:tcPr>
          <w:p>
            <w:pPr>
              <w:spacing w:after="0"/>
              <w:rPr>
                <w:sz w:val="20"/>
                <w:szCs w:val="20"/>
                <w:color w:val="auto"/>
              </w:rPr>
            </w:pPr>
          </w:p>
        </w:tc>
        <w:tc>
          <w:tcPr>
            <w:tcW w:w="620" w:type="dxa"/>
            <w:vAlign w:val="bottom"/>
          </w:tcPr>
          <w:p>
            <w:pPr>
              <w:jc w:val="right"/>
              <w:ind w:right="64"/>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20"/>
                <w:szCs w:val="20"/>
                <w:color w:val="auto"/>
              </w:rPr>
            </w:pPr>
          </w:p>
        </w:tc>
        <w:tc>
          <w:tcPr>
            <w:tcW w:w="800" w:type="dxa"/>
            <w:vAlign w:val="bottom"/>
            <w:gridSpan w:val="2"/>
          </w:tcPr>
          <w:p>
            <w:pPr>
              <w:jc w:val="right"/>
              <w:ind w:right="49"/>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20"/>
                <w:szCs w:val="20"/>
                <w:color w:val="auto"/>
              </w:rPr>
            </w:pPr>
          </w:p>
        </w:tc>
        <w:tc>
          <w:tcPr>
            <w:tcW w:w="800" w:type="dxa"/>
            <w:vAlign w:val="bottom"/>
            <w:gridSpan w:val="2"/>
          </w:tcPr>
          <w:p>
            <w:pPr>
              <w:jc w:val="right"/>
              <w:ind w:right="46"/>
              <w:spacing w:after="0"/>
              <w:rPr>
                <w:sz w:val="20"/>
                <w:szCs w:val="20"/>
                <w:color w:val="auto"/>
              </w:rPr>
            </w:pPr>
            <w:r>
              <w:rPr>
                <w:rFonts w:ascii="Arial" w:cs="Arial" w:eastAsia="Arial" w:hAnsi="Arial"/>
                <w:sz w:val="13"/>
                <w:szCs w:val="13"/>
                <w:b w:val="1"/>
                <w:bCs w:val="1"/>
                <w:color w:val="auto"/>
              </w:rPr>
              <w:t>2010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ind w:right="64"/>
              <w:spacing w:after="0"/>
              <w:rPr>
                <w:sz w:val="20"/>
                <w:szCs w:val="20"/>
                <w:color w:val="auto"/>
              </w:rPr>
            </w:pPr>
            <w:r>
              <w:rPr>
                <w:rFonts w:ascii="Arial" w:cs="Arial" w:eastAsia="Arial" w:hAnsi="Arial"/>
                <w:sz w:val="13"/>
                <w:szCs w:val="13"/>
                <w:b w:val="1"/>
                <w:bCs w:val="1"/>
                <w:color w:val="auto"/>
              </w:rPr>
              <w:t>2009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66"/>
              <w:spacing w:after="0"/>
              <w:rPr>
                <w:sz w:val="20"/>
                <w:szCs w:val="20"/>
                <w:color w:val="auto"/>
              </w:rPr>
            </w:pPr>
            <w:r>
              <w:rPr>
                <w:rFonts w:ascii="Arial" w:cs="Arial" w:eastAsia="Arial" w:hAnsi="Arial"/>
                <w:sz w:val="13"/>
                <w:szCs w:val="13"/>
                <w:b w:val="1"/>
                <w:bCs w:val="1"/>
                <w:color w:val="auto"/>
              </w:rPr>
              <w:t>CAGR</w:t>
            </w:r>
          </w:p>
        </w:tc>
      </w:tr>
      <w:tr>
        <w:trPr>
          <w:trHeight w:val="45"/>
        </w:trPr>
        <w:tc>
          <w:tcPr>
            <w:tcW w:w="6920" w:type="dxa"/>
            <w:vAlign w:val="bottom"/>
            <w:tcBorders>
              <w:bottom w:val="single" w:sz="8" w:color="808285"/>
            </w:tcBorders>
          </w:tcPr>
          <w:p>
            <w:pPr>
              <w:spacing w:after="0"/>
              <w:rPr>
                <w:sz w:val="3"/>
                <w:szCs w:val="3"/>
                <w:color w:val="auto"/>
              </w:rPr>
            </w:pPr>
          </w:p>
        </w:tc>
        <w:tc>
          <w:tcPr>
            <w:tcW w:w="620" w:type="dxa"/>
            <w:vAlign w:val="bottom"/>
            <w:tcBorders>
              <w:bottom w:val="single" w:sz="8" w:color="808285"/>
            </w:tcBorders>
          </w:tcPr>
          <w:p>
            <w:pPr>
              <w:spacing w:after="0"/>
              <w:rPr>
                <w:sz w:val="3"/>
                <w:szCs w:val="3"/>
                <w:color w:val="auto"/>
              </w:rPr>
            </w:pPr>
          </w:p>
        </w:tc>
        <w:tc>
          <w:tcPr>
            <w:tcW w:w="160" w:type="dxa"/>
            <w:vAlign w:val="bottom"/>
            <w:tcBorders>
              <w:bottom w:val="single" w:sz="8" w:color="808285"/>
            </w:tcBorders>
          </w:tcPr>
          <w:p>
            <w:pPr>
              <w:spacing w:after="0"/>
              <w:rPr>
                <w:sz w:val="3"/>
                <w:szCs w:val="3"/>
                <w:color w:val="auto"/>
              </w:rPr>
            </w:pPr>
          </w:p>
        </w:tc>
        <w:tc>
          <w:tcPr>
            <w:tcW w:w="180" w:type="dxa"/>
            <w:vAlign w:val="bottom"/>
            <w:tcBorders>
              <w:bottom w:val="single" w:sz="8" w:color="808285"/>
            </w:tcBorders>
          </w:tcPr>
          <w:p>
            <w:pPr>
              <w:spacing w:after="0"/>
              <w:rPr>
                <w:sz w:val="3"/>
                <w:szCs w:val="3"/>
                <w:color w:val="auto"/>
              </w:rPr>
            </w:pPr>
          </w:p>
        </w:tc>
        <w:tc>
          <w:tcPr>
            <w:tcW w:w="620" w:type="dxa"/>
            <w:vAlign w:val="bottom"/>
            <w:tcBorders>
              <w:bottom w:val="single" w:sz="8" w:color="808285"/>
            </w:tcBorders>
          </w:tcPr>
          <w:p>
            <w:pPr>
              <w:spacing w:after="0"/>
              <w:rPr>
                <w:sz w:val="3"/>
                <w:szCs w:val="3"/>
                <w:color w:val="auto"/>
              </w:rPr>
            </w:pPr>
          </w:p>
        </w:tc>
        <w:tc>
          <w:tcPr>
            <w:tcW w:w="160" w:type="dxa"/>
            <w:vAlign w:val="bottom"/>
            <w:tcBorders>
              <w:bottom w:val="single" w:sz="8" w:color="808285"/>
            </w:tcBorders>
          </w:tcPr>
          <w:p>
            <w:pPr>
              <w:spacing w:after="0"/>
              <w:rPr>
                <w:sz w:val="3"/>
                <w:szCs w:val="3"/>
                <w:color w:val="auto"/>
              </w:rPr>
            </w:pPr>
          </w:p>
        </w:tc>
        <w:tc>
          <w:tcPr>
            <w:tcW w:w="180" w:type="dxa"/>
            <w:vAlign w:val="bottom"/>
            <w:tcBorders>
              <w:bottom w:val="single" w:sz="8" w:color="808285"/>
            </w:tcBorders>
          </w:tcPr>
          <w:p>
            <w:pPr>
              <w:spacing w:after="0"/>
              <w:rPr>
                <w:sz w:val="3"/>
                <w:szCs w:val="3"/>
                <w:color w:val="auto"/>
              </w:rPr>
            </w:pPr>
          </w:p>
        </w:tc>
        <w:tc>
          <w:tcPr>
            <w:tcW w:w="620" w:type="dxa"/>
            <w:vAlign w:val="bottom"/>
            <w:tcBorders>
              <w:bottom w:val="single" w:sz="8" w:color="808285"/>
            </w:tcBorders>
          </w:tcPr>
          <w:p>
            <w:pPr>
              <w:spacing w:after="0"/>
              <w:rPr>
                <w:sz w:val="3"/>
                <w:szCs w:val="3"/>
                <w:color w:val="auto"/>
              </w:rPr>
            </w:pPr>
          </w:p>
        </w:tc>
        <w:tc>
          <w:tcPr>
            <w:tcW w:w="340" w:type="dxa"/>
            <w:vAlign w:val="bottom"/>
            <w:tcBorders>
              <w:bottom w:val="single" w:sz="8" w:color="808285"/>
            </w:tcBorders>
          </w:tcPr>
          <w:p>
            <w:pPr>
              <w:spacing w:after="0"/>
              <w:rPr>
                <w:sz w:val="3"/>
                <w:szCs w:val="3"/>
                <w:color w:val="auto"/>
              </w:rPr>
            </w:pPr>
          </w:p>
        </w:tc>
        <w:tc>
          <w:tcPr>
            <w:tcW w:w="100" w:type="dxa"/>
            <w:vAlign w:val="bottom"/>
            <w:tcBorders>
              <w:bottom w:val="single" w:sz="8" w:color="808285"/>
            </w:tcBorders>
          </w:tcPr>
          <w:p>
            <w:pPr>
              <w:spacing w:after="0"/>
              <w:rPr>
                <w:sz w:val="3"/>
                <w:szCs w:val="3"/>
                <w:color w:val="auto"/>
              </w:rPr>
            </w:pPr>
          </w:p>
        </w:tc>
        <w:tc>
          <w:tcPr>
            <w:tcW w:w="520" w:type="dxa"/>
            <w:vAlign w:val="bottom"/>
            <w:tcBorders>
              <w:bottom w:val="single" w:sz="8" w:color="808285"/>
            </w:tcBorders>
          </w:tcPr>
          <w:p>
            <w:pPr>
              <w:spacing w:after="0"/>
              <w:rPr>
                <w:sz w:val="3"/>
                <w:szCs w:val="3"/>
                <w:color w:val="auto"/>
              </w:rPr>
            </w:pPr>
          </w:p>
        </w:tc>
        <w:tc>
          <w:tcPr>
            <w:tcW w:w="80" w:type="dxa"/>
            <w:vAlign w:val="bottom"/>
            <w:tcBorders>
              <w:bottom w:val="single" w:sz="8" w:color="808285"/>
            </w:tcBorders>
          </w:tcPr>
          <w:p>
            <w:pPr>
              <w:spacing w:after="0"/>
              <w:rPr>
                <w:sz w:val="3"/>
                <w:szCs w:val="3"/>
                <w:color w:val="auto"/>
              </w:rPr>
            </w:pPr>
          </w:p>
        </w:tc>
        <w:tc>
          <w:tcPr>
            <w:tcW w:w="260" w:type="dxa"/>
            <w:vAlign w:val="bottom"/>
            <w:tcBorders>
              <w:bottom w:val="single" w:sz="8" w:color="E9E9E9"/>
            </w:tcBorders>
          </w:tcPr>
          <w:p>
            <w:pPr>
              <w:spacing w:after="0"/>
              <w:rPr>
                <w:sz w:val="3"/>
                <w:szCs w:val="3"/>
                <w:color w:val="auto"/>
              </w:rPr>
            </w:pPr>
          </w:p>
        </w:tc>
        <w:tc>
          <w:tcPr>
            <w:tcW w:w="660" w:type="dxa"/>
            <w:vAlign w:val="bottom"/>
            <w:tcBorders>
              <w:bottom w:val="single" w:sz="8" w:color="808285"/>
            </w:tcBorders>
          </w:tcPr>
          <w:p>
            <w:pPr>
              <w:spacing w:after="0"/>
              <w:rPr>
                <w:sz w:val="3"/>
                <w:szCs w:val="3"/>
                <w:color w:val="auto"/>
              </w:rPr>
            </w:pPr>
          </w:p>
        </w:tc>
      </w:tr>
      <w:tr>
        <w:trPr>
          <w:trHeight w:val="233"/>
        </w:trPr>
        <w:tc>
          <w:tcPr>
            <w:tcW w:w="6920" w:type="dxa"/>
            <w:vAlign w:val="bottom"/>
            <w:shd w:val="clear" w:color="auto" w:fill="E9E9E9"/>
          </w:tcPr>
          <w:p>
            <w:pPr>
              <w:spacing w:after="0"/>
              <w:rPr>
                <w:sz w:val="20"/>
                <w:szCs w:val="20"/>
                <w:color w:val="auto"/>
              </w:rPr>
            </w:pPr>
            <w:r>
              <w:rPr>
                <w:rFonts w:ascii="Arial" w:cs="Arial" w:eastAsia="Arial" w:hAnsi="Arial"/>
                <w:sz w:val="17"/>
                <w:szCs w:val="17"/>
                <w:color w:val="auto"/>
              </w:rPr>
              <w:t>Revenue as reported</w:t>
            </w:r>
          </w:p>
        </w:tc>
        <w:tc>
          <w:tcPr>
            <w:tcW w:w="780" w:type="dxa"/>
            <w:vAlign w:val="bottom"/>
            <w:gridSpan w:val="2"/>
            <w:shd w:val="clear" w:color="auto" w:fill="E9E9E9"/>
          </w:tcPr>
          <w:p>
            <w:pPr>
              <w:jc w:val="right"/>
              <w:ind w:right="160"/>
              <w:spacing w:after="0"/>
              <w:rPr>
                <w:sz w:val="20"/>
                <w:szCs w:val="20"/>
                <w:color w:val="auto"/>
              </w:rPr>
            </w:pPr>
            <w:r>
              <w:rPr>
                <w:rFonts w:ascii="Arial" w:cs="Arial" w:eastAsia="Arial" w:hAnsi="Arial"/>
                <w:sz w:val="17"/>
                <w:szCs w:val="17"/>
                <w:color w:val="auto"/>
                <w:w w:val="97"/>
              </w:rPr>
              <w:t>$12,825</w:t>
            </w:r>
          </w:p>
        </w:tc>
        <w:tc>
          <w:tcPr>
            <w:tcW w:w="960" w:type="dxa"/>
            <w:vAlign w:val="bottom"/>
            <w:gridSpan w:val="3"/>
            <w:shd w:val="clear" w:color="auto" w:fill="E9E9E9"/>
          </w:tcPr>
          <w:p>
            <w:pPr>
              <w:jc w:val="right"/>
              <w:ind w:right="160"/>
              <w:spacing w:after="0"/>
              <w:rPr>
                <w:sz w:val="20"/>
                <w:szCs w:val="20"/>
                <w:color w:val="auto"/>
              </w:rPr>
            </w:pPr>
            <w:r>
              <w:rPr>
                <w:rFonts w:ascii="Arial" w:cs="Arial" w:eastAsia="Arial" w:hAnsi="Arial"/>
                <w:sz w:val="17"/>
                <w:szCs w:val="17"/>
                <w:color w:val="auto"/>
              </w:rPr>
              <w:t>$13,735</w:t>
            </w:r>
          </w:p>
        </w:tc>
        <w:tc>
          <w:tcPr>
            <w:tcW w:w="1140" w:type="dxa"/>
            <w:vAlign w:val="bottom"/>
            <w:gridSpan w:val="3"/>
            <w:shd w:val="clear" w:color="auto" w:fill="E9E9E9"/>
          </w:tcPr>
          <w:p>
            <w:pPr>
              <w:jc w:val="right"/>
              <w:ind w:right="340"/>
              <w:spacing w:after="0"/>
              <w:rPr>
                <w:sz w:val="20"/>
                <w:szCs w:val="20"/>
                <w:color w:val="auto"/>
              </w:rPr>
            </w:pPr>
            <w:r>
              <w:rPr>
                <w:rFonts w:ascii="Arial" w:cs="Arial" w:eastAsia="Arial" w:hAnsi="Arial"/>
                <w:sz w:val="17"/>
                <w:szCs w:val="17"/>
                <w:color w:val="auto"/>
              </w:rPr>
              <w:t>$13,966</w:t>
            </w:r>
          </w:p>
        </w:tc>
        <w:tc>
          <w:tcPr>
            <w:tcW w:w="1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w w:val="96"/>
              </w:rPr>
              <w:t>10,427</w:t>
            </w:r>
          </w:p>
        </w:tc>
        <w:tc>
          <w:tcPr>
            <w:tcW w:w="260" w:type="dxa"/>
            <w:vAlign w:val="bottom"/>
            <w:shd w:val="clear" w:color="auto" w:fill="E9E9E9"/>
          </w:tcPr>
          <w:p>
            <w:pPr>
              <w:spacing w:after="0"/>
              <w:rPr>
                <w:sz w:val="20"/>
                <w:szCs w:val="20"/>
                <w:color w:val="auto"/>
              </w:rPr>
            </w:pPr>
          </w:p>
        </w:tc>
        <w:tc>
          <w:tcPr>
            <w:tcW w:w="660" w:type="dxa"/>
            <w:vAlign w:val="bottom"/>
            <w:shd w:val="clear" w:color="auto" w:fill="E9E9E9"/>
          </w:tcPr>
          <w:p>
            <w:pPr>
              <w:jc w:val="right"/>
              <w:ind w:right="106"/>
              <w:spacing w:after="0"/>
              <w:rPr>
                <w:sz w:val="20"/>
                <w:szCs w:val="20"/>
                <w:color w:val="auto"/>
              </w:rPr>
            </w:pPr>
            <w:r>
              <w:rPr>
                <w:rFonts w:ascii="Arial" w:cs="Arial" w:eastAsia="Arial" w:hAnsi="Arial"/>
                <w:sz w:val="17"/>
                <w:szCs w:val="17"/>
                <w:color w:val="auto"/>
              </w:rPr>
              <w:t>7%</w:t>
            </w:r>
          </w:p>
        </w:tc>
      </w:tr>
      <w:tr>
        <w:trPr>
          <w:trHeight w:val="225"/>
        </w:trPr>
        <w:tc>
          <w:tcPr>
            <w:tcW w:w="6920" w:type="dxa"/>
            <w:vAlign w:val="bottom"/>
          </w:tcPr>
          <w:p>
            <w:pPr>
              <w:spacing w:after="0"/>
              <w:rPr>
                <w:sz w:val="20"/>
                <w:szCs w:val="20"/>
                <w:color w:val="auto"/>
              </w:rPr>
            </w:pPr>
            <w:r>
              <w:rPr>
                <w:rFonts w:ascii="Arial" w:cs="Arial" w:eastAsia="Arial" w:hAnsi="Arial"/>
                <w:sz w:val="17"/>
                <w:szCs w:val="17"/>
                <w:color w:val="auto"/>
              </w:rPr>
              <w:t>Less baseband revenue</w:t>
            </w:r>
          </w:p>
        </w:tc>
        <w:tc>
          <w:tcPr>
            <w:tcW w:w="620" w:type="dxa"/>
            <w:vAlign w:val="bottom"/>
          </w:tcPr>
          <w:p>
            <w:pPr>
              <w:jc w:val="right"/>
              <w:spacing w:after="0"/>
              <w:rPr>
                <w:sz w:val="20"/>
                <w:szCs w:val="20"/>
                <w:color w:val="auto"/>
              </w:rPr>
            </w:pPr>
            <w:r>
              <w:rPr>
                <w:rFonts w:ascii="Arial" w:cs="Arial" w:eastAsia="Arial" w:hAnsi="Arial"/>
                <w:sz w:val="17"/>
                <w:szCs w:val="17"/>
                <w:color w:val="auto"/>
              </w:rPr>
              <w:t>294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1,104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7"/>
                <w:szCs w:val="17"/>
                <w:color w:val="auto"/>
              </w:rPr>
              <w:t>1,714</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1,725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
        </w:trPr>
        <w:tc>
          <w:tcPr>
            <w:tcW w:w="6920" w:type="dxa"/>
            <w:vAlign w:val="bottom"/>
            <w:shd w:val="clear" w:color="auto" w:fill="E9E9E9"/>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E9E9E9"/>
          </w:tcPr>
          <w:p>
            <w:pPr>
              <w:spacing w:after="0" w:line="20" w:lineRule="exact"/>
              <w:rPr>
                <w:sz w:val="1"/>
                <w:szCs w:val="1"/>
                <w:color w:val="auto"/>
              </w:rPr>
            </w:pPr>
          </w:p>
        </w:tc>
        <w:tc>
          <w:tcPr>
            <w:tcW w:w="180" w:type="dxa"/>
            <w:vAlign w:val="bottom"/>
            <w:shd w:val="clear" w:color="auto" w:fill="E9E9E9"/>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E9E9E9"/>
          </w:tcPr>
          <w:p>
            <w:pPr>
              <w:spacing w:after="0" w:line="20" w:lineRule="exact"/>
              <w:rPr>
                <w:sz w:val="1"/>
                <w:szCs w:val="1"/>
                <w:color w:val="auto"/>
              </w:rPr>
            </w:pPr>
          </w:p>
        </w:tc>
        <w:tc>
          <w:tcPr>
            <w:tcW w:w="180" w:type="dxa"/>
            <w:vAlign w:val="bottom"/>
            <w:shd w:val="clear" w:color="auto" w:fill="E9E9E9"/>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E9E9E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E9E9E9"/>
          </w:tcPr>
          <w:p>
            <w:pPr>
              <w:spacing w:after="0" w:line="20" w:lineRule="exact"/>
              <w:rPr>
                <w:sz w:val="1"/>
                <w:szCs w:val="1"/>
                <w:color w:val="auto"/>
              </w:rPr>
            </w:pPr>
          </w:p>
        </w:tc>
        <w:tc>
          <w:tcPr>
            <w:tcW w:w="260" w:type="dxa"/>
            <w:vAlign w:val="bottom"/>
            <w:shd w:val="clear" w:color="auto" w:fill="E9E9E9"/>
          </w:tcPr>
          <w:p>
            <w:pPr>
              <w:spacing w:after="0" w:line="20" w:lineRule="exact"/>
              <w:rPr>
                <w:sz w:val="1"/>
                <w:szCs w:val="1"/>
                <w:color w:val="auto"/>
              </w:rPr>
            </w:pPr>
          </w:p>
        </w:tc>
        <w:tc>
          <w:tcPr>
            <w:tcW w:w="660" w:type="dxa"/>
            <w:vAlign w:val="bottom"/>
            <w:shd w:val="clear" w:color="auto" w:fill="E9E9E9"/>
          </w:tcPr>
          <w:p>
            <w:pPr>
              <w:spacing w:after="0" w:line="20" w:lineRule="exact"/>
              <w:rPr>
                <w:sz w:val="1"/>
                <w:szCs w:val="1"/>
                <w:color w:val="auto"/>
              </w:rPr>
            </w:pPr>
          </w:p>
        </w:tc>
      </w:tr>
      <w:tr>
        <w:trPr>
          <w:trHeight w:val="225"/>
        </w:trPr>
        <w:tc>
          <w:tcPr>
            <w:tcW w:w="6920" w:type="dxa"/>
            <w:vAlign w:val="bottom"/>
            <w:shd w:val="clear" w:color="auto" w:fill="E9E9E9"/>
          </w:tcPr>
          <w:p>
            <w:pPr>
              <w:spacing w:after="0"/>
              <w:rPr>
                <w:sz w:val="20"/>
                <w:szCs w:val="20"/>
                <w:color w:val="auto"/>
              </w:rPr>
            </w:pPr>
            <w:r>
              <w:rPr>
                <w:rFonts w:ascii="Arial" w:cs="Arial" w:eastAsia="Arial" w:hAnsi="Arial"/>
                <w:sz w:val="17"/>
                <w:szCs w:val="17"/>
                <w:color w:val="auto"/>
              </w:rPr>
              <w:t>Revenue excluding baseband</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$12,531</w:t>
            </w:r>
          </w:p>
        </w:tc>
        <w:tc>
          <w:tcPr>
            <w:tcW w:w="160" w:type="dxa"/>
            <w:vAlign w:val="bottom"/>
            <w:shd w:val="clear" w:color="auto" w:fill="E9E9E9"/>
          </w:tcPr>
          <w:p>
            <w:pPr>
              <w:spacing w:after="0"/>
              <w:rPr>
                <w:sz w:val="19"/>
                <w:szCs w:val="19"/>
                <w:color w:val="auto"/>
              </w:rPr>
            </w:pPr>
          </w:p>
        </w:tc>
        <w:tc>
          <w:tcPr>
            <w:tcW w:w="960" w:type="dxa"/>
            <w:vAlign w:val="bottom"/>
            <w:gridSpan w:val="3"/>
            <w:shd w:val="clear" w:color="auto" w:fill="E9E9E9"/>
          </w:tcPr>
          <w:p>
            <w:pPr>
              <w:jc w:val="right"/>
              <w:ind w:right="160"/>
              <w:spacing w:after="0"/>
              <w:rPr>
                <w:sz w:val="20"/>
                <w:szCs w:val="20"/>
                <w:color w:val="auto"/>
              </w:rPr>
            </w:pPr>
            <w:r>
              <w:rPr>
                <w:rFonts w:ascii="Arial" w:cs="Arial" w:eastAsia="Arial" w:hAnsi="Arial"/>
                <w:sz w:val="17"/>
                <w:szCs w:val="17"/>
                <w:color w:val="auto"/>
              </w:rPr>
              <w:t>$12,631</w:t>
            </w:r>
          </w:p>
        </w:tc>
        <w:tc>
          <w:tcPr>
            <w:tcW w:w="1140" w:type="dxa"/>
            <w:vAlign w:val="bottom"/>
            <w:gridSpan w:val="3"/>
            <w:shd w:val="clear" w:color="auto" w:fill="E9E9E9"/>
          </w:tcPr>
          <w:p>
            <w:pPr>
              <w:jc w:val="right"/>
              <w:ind w:right="340"/>
              <w:spacing w:after="0"/>
              <w:rPr>
                <w:sz w:val="20"/>
                <w:szCs w:val="20"/>
                <w:color w:val="auto"/>
              </w:rPr>
            </w:pPr>
            <w:r>
              <w:rPr>
                <w:rFonts w:ascii="Arial" w:cs="Arial" w:eastAsia="Arial" w:hAnsi="Arial"/>
                <w:sz w:val="17"/>
                <w:szCs w:val="17"/>
                <w:color w:val="auto"/>
              </w:rPr>
              <w:t>$12,252</w:t>
            </w:r>
          </w:p>
        </w:tc>
        <w:tc>
          <w:tcPr>
            <w:tcW w:w="1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8,702</w:t>
            </w:r>
          </w:p>
        </w:tc>
        <w:tc>
          <w:tcPr>
            <w:tcW w:w="8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660" w:type="dxa"/>
            <w:vAlign w:val="bottom"/>
            <w:shd w:val="clear" w:color="auto" w:fill="E9E9E9"/>
          </w:tcPr>
          <w:p>
            <w:pPr>
              <w:jc w:val="right"/>
              <w:ind w:right="106"/>
              <w:spacing w:after="0"/>
              <w:rPr>
                <w:sz w:val="20"/>
                <w:szCs w:val="20"/>
                <w:color w:val="auto"/>
              </w:rPr>
            </w:pPr>
            <w:r>
              <w:rPr>
                <w:rFonts w:ascii="Arial" w:cs="Arial" w:eastAsia="Arial" w:hAnsi="Arial"/>
                <w:sz w:val="17"/>
                <w:szCs w:val="17"/>
                <w:color w:val="auto"/>
              </w:rPr>
              <w:t>13%</w:t>
            </w:r>
          </w:p>
        </w:tc>
      </w:tr>
      <w:tr>
        <w:trPr>
          <w:trHeight w:val="20"/>
        </w:trPr>
        <w:tc>
          <w:tcPr>
            <w:tcW w:w="69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3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CAGR (compound annual growth rate) is calculated using the formula (Ending Value/Beginning Value)</w:t>
      </w:r>
      <w:r>
        <w:rPr>
          <w:rFonts w:ascii="Arial" w:cs="Arial" w:eastAsia="Arial" w:hAnsi="Arial"/>
          <w:sz w:val="27"/>
          <w:szCs w:val="27"/>
          <w:color w:val="auto"/>
          <w:vertAlign w:val="superscript"/>
        </w:rPr>
        <w:t>1/number of years</w:t>
      </w:r>
      <w:r>
        <w:rPr>
          <w:rFonts w:ascii="Arial" w:cs="Arial" w:eastAsia="Arial" w:hAnsi="Arial"/>
          <w:sz w:val="17"/>
          <w:szCs w:val="17"/>
          <w:color w:val="auto"/>
        </w:rPr>
        <w:t>-1.</w:t>
      </w:r>
    </w:p>
    <w:p>
      <w:pPr>
        <w:spacing w:after="0" w:line="155" w:lineRule="exact"/>
        <w:rPr>
          <w:sz w:val="20"/>
          <w:szCs w:val="20"/>
          <w:color w:val="auto"/>
        </w:rPr>
      </w:pPr>
    </w:p>
    <w:p>
      <w:pPr>
        <w:ind w:left="360" w:right="40" w:hanging="357"/>
        <w:spacing w:after="0"/>
        <w:tabs>
          <w:tab w:leader="none" w:pos="3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Free cash flow is a non-GAAP financial measure calculated by subtracting capital expenditures (Additions to property, plant and equipment) from the GAAP-based Cash flows from operating activities. It provides insight into the company’s liquidity, its cash-generating capability and the amount of cash available to return to investors. For a reconciliation to GAAP, see Exhibit 13 to TI’s annual report on Form 10-K for the year ended December 31, 2012 (page 51).</w:t>
      </w:r>
    </w:p>
    <w:p>
      <w:pPr>
        <w:spacing w:after="0" w:line="245" w:lineRule="exact"/>
        <w:rPr>
          <w:sz w:val="20"/>
          <w:szCs w:val="20"/>
          <w:color w:val="auto"/>
        </w:rPr>
      </w:pPr>
    </w:p>
    <w:p>
      <w:pPr>
        <w:spacing w:after="0"/>
        <w:tabs>
          <w:tab w:leader="none" w:pos="10000" w:val="left"/>
        </w:tabs>
        <w:rPr>
          <w:sz w:val="20"/>
          <w:szCs w:val="20"/>
          <w:color w:val="auto"/>
        </w:rPr>
      </w:pPr>
      <w:r>
        <w:rPr>
          <w:rFonts w:ascii="Arial" w:cs="Arial" w:eastAsia="Arial" w:hAnsi="Arial"/>
          <w:sz w:val="13"/>
          <w:szCs w:val="13"/>
          <w:b w:val="1"/>
          <w:bCs w:val="1"/>
          <w:color w:val="808285"/>
        </w:rPr>
        <w:t>74 •  2013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i w:val="1"/>
          <w:iCs w:val="1"/>
          <w:color w:val="auto"/>
        </w:rPr>
        <w:t>Strategic progress</w:t>
      </w:r>
    </w:p>
    <w:p>
      <w:pPr>
        <w:spacing w:after="0" w:line="3" w:lineRule="exact"/>
        <w:rPr>
          <w:sz w:val="20"/>
          <w:szCs w:val="20"/>
          <w:color w:val="auto"/>
        </w:rPr>
      </w:pPr>
    </w:p>
    <w:p>
      <w:pPr>
        <w:ind w:left="520" w:right="80"/>
        <w:spacing w:after="0" w:line="253" w:lineRule="auto"/>
        <w:rPr>
          <w:sz w:val="20"/>
          <w:szCs w:val="20"/>
          <w:color w:val="auto"/>
        </w:rPr>
      </w:pPr>
      <w:r>
        <w:rPr>
          <w:rFonts w:ascii="Arial" w:cs="Arial" w:eastAsia="Arial" w:hAnsi="Arial"/>
          <w:sz w:val="17"/>
          <w:szCs w:val="17"/>
          <w:color w:val="auto"/>
        </w:rPr>
        <w:t>The company reached a milestone in 2012, with 70 percent of its revenue now coming from its core businesses of Analog and Embedded Processing semiconductors. These businesses serve markets that are among the best in the industry, with thousands of possible applications and dependable long-term growth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-357505</wp:posOffset>
            </wp:positionV>
            <wp:extent cx="58420" cy="584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80"/>
        <w:spacing w:after="0" w:line="253" w:lineRule="auto"/>
        <w:rPr>
          <w:sz w:val="20"/>
          <w:szCs w:val="20"/>
          <w:color w:val="auto"/>
        </w:rPr>
      </w:pPr>
      <w:r>
        <w:rPr>
          <w:rFonts w:ascii="Arial" w:cs="Arial" w:eastAsia="Arial" w:hAnsi="Arial"/>
          <w:sz w:val="17"/>
          <w:szCs w:val="17"/>
          <w:color w:val="auto"/>
        </w:rPr>
        <w:t>Also of note was the successful integration of National Semiconductor, which was acquired in September 2011; the readiness of low-cost capacity for revenue growth; the increasing diversity of the customer base, especially in the industrial sector; and the company’s strong customer and market share position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-357505</wp:posOffset>
            </wp:positionV>
            <wp:extent cx="58420" cy="584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In all, the committee concluded that the strategic condition of the company continues to provide a sustainable competitive advantage.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-88900</wp:posOffset>
            </wp:positionV>
            <wp:extent cx="58420" cy="584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1" w:lineRule="exact"/>
        <w:rPr>
          <w:sz w:val="20"/>
          <w:szCs w:val="20"/>
          <w:color w:val="auto"/>
        </w:rPr>
      </w:pPr>
    </w:p>
    <w:p>
      <w:pPr>
        <w:ind w:left="4860"/>
        <w:spacing w:after="0"/>
        <w:rPr>
          <w:sz w:val="20"/>
          <w:szCs w:val="20"/>
          <w:color w:val="auto"/>
        </w:rPr>
      </w:pPr>
      <w:r>
        <w:rPr>
          <w:rFonts w:ascii="Arial" w:cs="Arial" w:eastAsia="Arial" w:hAnsi="Arial"/>
          <w:sz w:val="17"/>
          <w:szCs w:val="17"/>
          <w:i w:val="1"/>
          <w:iCs w:val="1"/>
          <w:color w:val="auto"/>
        </w:rPr>
        <w:t>Performance Summary</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4140" w:type="dxa"/>
            <w:vAlign w:val="bottom"/>
          </w:tcPr>
          <w:p>
            <w:pPr>
              <w:jc w:val="right"/>
              <w:ind w:right="59"/>
              <w:spacing w:after="0"/>
              <w:rPr>
                <w:sz w:val="20"/>
                <w:szCs w:val="20"/>
                <w:color w:val="auto"/>
              </w:rPr>
            </w:pPr>
            <w:r>
              <w:rPr>
                <w:rFonts w:ascii="Arial" w:cs="Arial" w:eastAsia="Arial" w:hAnsi="Arial"/>
                <w:sz w:val="13"/>
                <w:szCs w:val="13"/>
                <w:b w:val="1"/>
                <w:bCs w:val="1"/>
                <w:color w:val="auto"/>
              </w:rPr>
              <w:t>1-Year</w:t>
            </w:r>
          </w:p>
        </w:tc>
        <w:tc>
          <w:tcPr>
            <w:tcW w:w="1120" w:type="dxa"/>
            <w:vAlign w:val="bottom"/>
            <w:gridSpan w:val="2"/>
          </w:tcPr>
          <w:p>
            <w:pPr>
              <w:jc w:val="center"/>
              <w:ind w:left="39"/>
              <w:spacing w:after="0"/>
              <w:rPr>
                <w:sz w:val="20"/>
                <w:szCs w:val="20"/>
                <w:color w:val="auto"/>
              </w:rPr>
            </w:pPr>
            <w:r>
              <w:rPr>
                <w:rFonts w:ascii="Arial" w:cs="Arial" w:eastAsia="Arial" w:hAnsi="Arial"/>
                <w:sz w:val="13"/>
                <w:szCs w:val="13"/>
                <w:b w:val="1"/>
                <w:bCs w:val="1"/>
                <w:color w:val="auto"/>
              </w:rPr>
              <w:t>3-Year</w:t>
            </w:r>
          </w:p>
        </w:tc>
      </w:tr>
      <w:tr>
        <w:trPr>
          <w:trHeight w:val="45"/>
        </w:trPr>
        <w:tc>
          <w:tcPr>
            <w:tcW w:w="6160" w:type="dxa"/>
            <w:vAlign w:val="bottom"/>
            <w:tcBorders>
              <w:bottom w:val="single" w:sz="8" w:color="808285"/>
            </w:tcBorders>
          </w:tcPr>
          <w:p>
            <w:pPr>
              <w:spacing w:after="0"/>
              <w:rPr>
                <w:sz w:val="3"/>
                <w:szCs w:val="3"/>
                <w:color w:val="auto"/>
              </w:rPr>
            </w:pPr>
          </w:p>
        </w:tc>
        <w:tc>
          <w:tcPr>
            <w:tcW w:w="4140" w:type="dxa"/>
            <w:vAlign w:val="bottom"/>
            <w:tcBorders>
              <w:bottom w:val="single" w:sz="8" w:color="808285"/>
            </w:tcBorders>
          </w:tcPr>
          <w:p>
            <w:pPr>
              <w:spacing w:after="0"/>
              <w:rPr>
                <w:sz w:val="3"/>
                <w:szCs w:val="3"/>
                <w:color w:val="auto"/>
              </w:rPr>
            </w:pPr>
          </w:p>
        </w:tc>
        <w:tc>
          <w:tcPr>
            <w:tcW w:w="480" w:type="dxa"/>
            <w:vAlign w:val="bottom"/>
            <w:tcBorders>
              <w:bottom w:val="single" w:sz="8" w:color="808285"/>
            </w:tcBorders>
          </w:tcPr>
          <w:p>
            <w:pPr>
              <w:spacing w:after="0"/>
              <w:rPr>
                <w:sz w:val="3"/>
                <w:szCs w:val="3"/>
                <w:color w:val="auto"/>
              </w:rPr>
            </w:pPr>
          </w:p>
        </w:tc>
        <w:tc>
          <w:tcPr>
            <w:tcW w:w="640" w:type="dxa"/>
            <w:vAlign w:val="bottom"/>
            <w:tcBorders>
              <w:bottom w:val="single" w:sz="8" w:color="808285"/>
            </w:tcBorders>
          </w:tcPr>
          <w:p>
            <w:pPr>
              <w:spacing w:after="0"/>
              <w:rPr>
                <w:sz w:val="3"/>
                <w:szCs w:val="3"/>
                <w:color w:val="auto"/>
              </w:rPr>
            </w:pPr>
          </w:p>
        </w:tc>
      </w:tr>
      <w:tr>
        <w:trPr>
          <w:trHeight w:val="233"/>
        </w:trPr>
        <w:tc>
          <w:tcPr>
            <w:tcW w:w="6160" w:type="dxa"/>
            <w:vAlign w:val="bottom"/>
            <w:shd w:val="clear" w:color="auto" w:fill="E9E9E9"/>
          </w:tcPr>
          <w:p>
            <w:pPr>
              <w:spacing w:after="0"/>
              <w:rPr>
                <w:sz w:val="20"/>
                <w:szCs w:val="20"/>
                <w:color w:val="auto"/>
              </w:rPr>
            </w:pPr>
            <w:r>
              <w:rPr>
                <w:rFonts w:ascii="Arial" w:cs="Arial" w:eastAsia="Arial" w:hAnsi="Arial"/>
                <w:sz w:val="17"/>
                <w:szCs w:val="17"/>
                <w:color w:val="auto"/>
              </w:rPr>
              <w:t>Revenue growth</w:t>
            </w:r>
          </w:p>
        </w:tc>
        <w:tc>
          <w:tcPr>
            <w:tcW w:w="4140" w:type="dxa"/>
            <w:vAlign w:val="bottom"/>
            <w:shd w:val="clear" w:color="auto" w:fill="E9E9E9"/>
          </w:tcPr>
          <w:p>
            <w:pPr>
              <w:jc w:val="right"/>
              <w:ind w:right="99"/>
              <w:spacing w:after="0"/>
              <w:rPr>
                <w:sz w:val="20"/>
                <w:szCs w:val="20"/>
                <w:color w:val="auto"/>
              </w:rPr>
            </w:pPr>
            <w:r>
              <w:rPr>
                <w:rFonts w:ascii="Arial" w:cs="Arial" w:eastAsia="Arial" w:hAnsi="Arial"/>
                <w:sz w:val="17"/>
                <w:szCs w:val="17"/>
                <w:color w:val="auto"/>
              </w:rPr>
              <w:t>-7%</w:t>
            </w:r>
          </w:p>
        </w:tc>
        <w:tc>
          <w:tcPr>
            <w:tcW w:w="4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w:t>
            </w:r>
          </w:p>
        </w:tc>
        <w:tc>
          <w:tcPr>
            <w:tcW w:w="640" w:type="dxa"/>
            <w:vAlign w:val="bottom"/>
            <w:shd w:val="clear" w:color="auto" w:fill="E9E9E9"/>
          </w:tcPr>
          <w:p>
            <w:pPr>
              <w:ind w:left="40"/>
              <w:spacing w:after="0"/>
              <w:rPr>
                <w:sz w:val="20"/>
                <w:szCs w:val="20"/>
                <w:color w:val="auto"/>
              </w:rPr>
            </w:pPr>
            <w:r>
              <w:rPr>
                <w:rFonts w:ascii="Arial" w:cs="Arial" w:eastAsia="Arial" w:hAnsi="Arial"/>
                <w:sz w:val="17"/>
                <w:szCs w:val="17"/>
                <w:color w:val="auto"/>
              </w:rPr>
              <w:t>CAGR</w:t>
            </w:r>
          </w:p>
        </w:tc>
      </w:tr>
      <w:tr>
        <w:trPr>
          <w:trHeight w:val="225"/>
        </w:trPr>
        <w:tc>
          <w:tcPr>
            <w:tcW w:w="6160" w:type="dxa"/>
            <w:vAlign w:val="bottom"/>
          </w:tcPr>
          <w:p>
            <w:pPr>
              <w:spacing w:after="0"/>
              <w:rPr>
                <w:sz w:val="20"/>
                <w:szCs w:val="20"/>
                <w:color w:val="auto"/>
              </w:rPr>
            </w:pPr>
            <w:r>
              <w:rPr>
                <w:rFonts w:ascii="Arial" w:cs="Arial" w:eastAsia="Arial" w:hAnsi="Arial"/>
                <w:sz w:val="17"/>
                <w:szCs w:val="17"/>
                <w:color w:val="auto"/>
              </w:rPr>
              <w:t>Operating margin</w:t>
            </w:r>
          </w:p>
        </w:tc>
        <w:tc>
          <w:tcPr>
            <w:tcW w:w="4140" w:type="dxa"/>
            <w:vAlign w:val="bottom"/>
          </w:tcPr>
          <w:p>
            <w:pPr>
              <w:jc w:val="right"/>
              <w:ind w:right="99"/>
              <w:spacing w:after="0"/>
              <w:rPr>
                <w:sz w:val="20"/>
                <w:szCs w:val="20"/>
                <w:color w:val="auto"/>
              </w:rPr>
            </w:pPr>
            <w:r>
              <w:rPr>
                <w:rFonts w:ascii="Arial" w:cs="Arial" w:eastAsia="Arial" w:hAnsi="Arial"/>
                <w:sz w:val="17"/>
                <w:szCs w:val="17"/>
                <w:color w:val="auto"/>
              </w:rPr>
              <w:t>15%</w:t>
            </w:r>
          </w:p>
        </w:tc>
        <w:tc>
          <w:tcPr>
            <w:tcW w:w="1120" w:type="dxa"/>
            <w:vAlign w:val="bottom"/>
            <w:gridSpan w:val="2"/>
          </w:tcPr>
          <w:p>
            <w:pPr>
              <w:jc w:val="center"/>
              <w:ind w:left="39"/>
              <w:spacing w:after="0"/>
              <w:rPr>
                <w:sz w:val="20"/>
                <w:szCs w:val="20"/>
                <w:color w:val="auto"/>
              </w:rPr>
            </w:pPr>
            <w:r>
              <w:rPr>
                <w:rFonts w:ascii="Arial" w:cs="Arial" w:eastAsia="Arial" w:hAnsi="Arial"/>
                <w:sz w:val="17"/>
                <w:szCs w:val="17"/>
                <w:color w:val="auto"/>
                <w:w w:val="99"/>
              </w:rPr>
              <w:t>23% average</w:t>
            </w:r>
          </w:p>
        </w:tc>
      </w:tr>
      <w:tr>
        <w:trPr>
          <w:trHeight w:val="240"/>
        </w:trPr>
        <w:tc>
          <w:tcPr>
            <w:tcW w:w="6160" w:type="dxa"/>
            <w:vAlign w:val="bottom"/>
            <w:shd w:val="clear" w:color="auto" w:fill="E9E9E9"/>
          </w:tcPr>
          <w:p>
            <w:pPr>
              <w:spacing w:after="0"/>
              <w:rPr>
                <w:sz w:val="20"/>
                <w:szCs w:val="20"/>
                <w:color w:val="auto"/>
              </w:rPr>
            </w:pPr>
            <w:r>
              <w:rPr>
                <w:rFonts w:ascii="Arial" w:cs="Arial" w:eastAsia="Arial" w:hAnsi="Arial"/>
                <w:sz w:val="17"/>
                <w:szCs w:val="17"/>
                <w:color w:val="auto"/>
              </w:rPr>
              <w:t>Return on invested capital (ROIC)</w:t>
            </w:r>
          </w:p>
        </w:tc>
        <w:tc>
          <w:tcPr>
            <w:tcW w:w="4140" w:type="dxa"/>
            <w:vAlign w:val="bottom"/>
            <w:shd w:val="clear" w:color="auto" w:fill="E9E9E9"/>
          </w:tcPr>
          <w:p>
            <w:pPr>
              <w:jc w:val="right"/>
              <w:ind w:right="99"/>
              <w:spacing w:after="0"/>
              <w:rPr>
                <w:sz w:val="20"/>
                <w:szCs w:val="20"/>
                <w:color w:val="auto"/>
              </w:rPr>
            </w:pPr>
            <w:r>
              <w:rPr>
                <w:rFonts w:ascii="Arial" w:cs="Arial" w:eastAsia="Arial" w:hAnsi="Arial"/>
                <w:sz w:val="17"/>
                <w:szCs w:val="17"/>
                <w:color w:val="auto"/>
              </w:rPr>
              <w:t>11%</w:t>
            </w:r>
          </w:p>
        </w:tc>
        <w:tc>
          <w:tcPr>
            <w:tcW w:w="1120" w:type="dxa"/>
            <w:vAlign w:val="bottom"/>
            <w:gridSpan w:val="2"/>
            <w:shd w:val="clear" w:color="auto" w:fill="E9E9E9"/>
          </w:tcPr>
          <w:p>
            <w:pPr>
              <w:jc w:val="center"/>
              <w:ind w:left="39"/>
              <w:spacing w:after="0"/>
              <w:rPr>
                <w:sz w:val="20"/>
                <w:szCs w:val="20"/>
                <w:color w:val="auto"/>
              </w:rPr>
            </w:pPr>
            <w:r>
              <w:rPr>
                <w:rFonts w:ascii="Arial" w:cs="Arial" w:eastAsia="Arial" w:hAnsi="Arial"/>
                <w:sz w:val="17"/>
                <w:szCs w:val="17"/>
                <w:color w:val="auto"/>
                <w:w w:val="99"/>
              </w:rPr>
              <w:t>17% average</w:t>
            </w:r>
          </w:p>
        </w:tc>
      </w:tr>
      <w:tr>
        <w:trPr>
          <w:trHeight w:val="225"/>
        </w:trPr>
        <w:tc>
          <w:tcPr>
            <w:tcW w:w="6160" w:type="dxa"/>
            <w:vAlign w:val="bottom"/>
          </w:tcPr>
          <w:p>
            <w:pPr>
              <w:spacing w:after="0"/>
              <w:rPr>
                <w:sz w:val="20"/>
                <w:szCs w:val="20"/>
                <w:color w:val="auto"/>
              </w:rPr>
            </w:pPr>
            <w:r>
              <w:rPr>
                <w:rFonts w:ascii="Arial" w:cs="Arial" w:eastAsia="Arial" w:hAnsi="Arial"/>
                <w:sz w:val="17"/>
                <w:szCs w:val="17"/>
                <w:color w:val="auto"/>
              </w:rPr>
              <w:t>Increase in quarterly dividend rate</w:t>
            </w:r>
          </w:p>
        </w:tc>
        <w:tc>
          <w:tcPr>
            <w:tcW w:w="4140" w:type="dxa"/>
            <w:vAlign w:val="bottom"/>
          </w:tcPr>
          <w:p>
            <w:pPr>
              <w:jc w:val="right"/>
              <w:ind w:right="99"/>
              <w:spacing w:after="0"/>
              <w:rPr>
                <w:sz w:val="20"/>
                <w:szCs w:val="20"/>
                <w:color w:val="auto"/>
              </w:rPr>
            </w:pPr>
            <w:r>
              <w:rPr>
                <w:rFonts w:ascii="Arial" w:cs="Arial" w:eastAsia="Arial" w:hAnsi="Arial"/>
                <w:sz w:val="17"/>
                <w:szCs w:val="17"/>
                <w:color w:val="auto"/>
              </w:rPr>
              <w:t>24%</w:t>
            </w:r>
          </w:p>
        </w:tc>
        <w:tc>
          <w:tcPr>
            <w:tcW w:w="480" w:type="dxa"/>
            <w:vAlign w:val="bottom"/>
          </w:tcPr>
          <w:p>
            <w:pPr>
              <w:jc w:val="right"/>
              <w:spacing w:after="0"/>
              <w:rPr>
                <w:sz w:val="20"/>
                <w:szCs w:val="20"/>
                <w:color w:val="auto"/>
              </w:rPr>
            </w:pPr>
            <w:r>
              <w:rPr>
                <w:rFonts w:ascii="Arial" w:cs="Arial" w:eastAsia="Arial" w:hAnsi="Arial"/>
                <w:sz w:val="17"/>
                <w:szCs w:val="17"/>
                <w:color w:val="auto"/>
              </w:rPr>
              <w:t>75%</w:t>
            </w:r>
          </w:p>
        </w:tc>
        <w:tc>
          <w:tcPr>
            <w:tcW w:w="640" w:type="dxa"/>
            <w:vAlign w:val="bottom"/>
          </w:tcPr>
          <w:p>
            <w:pPr>
              <w:spacing w:after="0"/>
              <w:rPr>
                <w:sz w:val="19"/>
                <w:szCs w:val="19"/>
                <w:color w:val="auto"/>
              </w:rPr>
            </w:pPr>
          </w:p>
        </w:tc>
      </w:tr>
      <w:tr>
        <w:trPr>
          <w:trHeight w:val="240"/>
        </w:trPr>
        <w:tc>
          <w:tcPr>
            <w:tcW w:w="6160" w:type="dxa"/>
            <w:vAlign w:val="bottom"/>
            <w:shd w:val="clear" w:color="auto" w:fill="E9E9E9"/>
          </w:tcPr>
          <w:p>
            <w:pPr>
              <w:spacing w:after="0"/>
              <w:rPr>
                <w:sz w:val="20"/>
                <w:szCs w:val="20"/>
                <w:color w:val="auto"/>
              </w:rPr>
            </w:pPr>
            <w:r>
              <w:rPr>
                <w:rFonts w:ascii="Arial" w:cs="Arial" w:eastAsia="Arial" w:hAnsi="Arial"/>
                <w:sz w:val="17"/>
                <w:szCs w:val="17"/>
                <w:color w:val="auto"/>
              </w:rPr>
              <w:t>Total shareholder return (TSR)</w:t>
            </w:r>
          </w:p>
        </w:tc>
        <w:tc>
          <w:tcPr>
            <w:tcW w:w="4140" w:type="dxa"/>
            <w:vAlign w:val="bottom"/>
            <w:shd w:val="clear" w:color="auto" w:fill="E9E9E9"/>
          </w:tcPr>
          <w:p>
            <w:pPr>
              <w:jc w:val="right"/>
              <w:ind w:right="99"/>
              <w:spacing w:after="0"/>
              <w:rPr>
                <w:sz w:val="20"/>
                <w:szCs w:val="20"/>
                <w:color w:val="auto"/>
              </w:rPr>
            </w:pPr>
            <w:r>
              <w:rPr>
                <w:rFonts w:ascii="Arial" w:cs="Arial" w:eastAsia="Arial" w:hAnsi="Arial"/>
                <w:sz w:val="17"/>
                <w:szCs w:val="17"/>
                <w:color w:val="auto"/>
              </w:rPr>
              <w:t>9%</w:t>
            </w:r>
          </w:p>
        </w:tc>
        <w:tc>
          <w:tcPr>
            <w:tcW w:w="4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w:t>
            </w:r>
          </w:p>
        </w:tc>
        <w:tc>
          <w:tcPr>
            <w:tcW w:w="640" w:type="dxa"/>
            <w:vAlign w:val="bottom"/>
            <w:shd w:val="clear" w:color="auto" w:fill="E9E9E9"/>
          </w:tcPr>
          <w:p>
            <w:pPr>
              <w:ind w:left="40"/>
              <w:spacing w:after="0"/>
              <w:rPr>
                <w:sz w:val="20"/>
                <w:szCs w:val="20"/>
                <w:color w:val="auto"/>
              </w:rPr>
            </w:pPr>
            <w:r>
              <w:rPr>
                <w:rFonts w:ascii="Arial" w:cs="Arial" w:eastAsia="Arial" w:hAnsi="Arial"/>
                <w:sz w:val="17"/>
                <w:szCs w:val="17"/>
                <w:color w:val="auto"/>
              </w:rPr>
              <w:t>CAGR</w:t>
            </w: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CAGR = compound annual growth rate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ROIC = operating margin x (1 – tax rate) / (assets – non-debt liabilities)</w:t>
      </w:r>
    </w:p>
    <w:p>
      <w:pPr>
        <w:spacing w:after="0" w:line="205" w:lineRule="exact"/>
        <w:rPr>
          <w:sz w:val="20"/>
          <w:szCs w:val="20"/>
          <w:color w:val="auto"/>
        </w:rPr>
      </w:pPr>
    </w:p>
    <w:p>
      <w:pPr>
        <w:ind w:left="1480" w:right="360" w:hanging="1472"/>
        <w:spacing w:after="0" w:line="241" w:lineRule="auto"/>
        <w:rPr>
          <w:sz w:val="20"/>
          <w:szCs w:val="20"/>
          <w:color w:val="auto"/>
        </w:rPr>
      </w:pPr>
      <w:r>
        <w:rPr>
          <w:rFonts w:ascii="Arial" w:cs="Arial" w:eastAsia="Arial" w:hAnsi="Arial"/>
          <w:sz w:val="17"/>
          <w:szCs w:val="17"/>
          <w:color w:val="auto"/>
        </w:rPr>
        <w:t>One-year TSR % = (adjusted closing price of the company’s stock at year-end 2012, divided by 2011 year-end adjusted closing price) minus 1. The adjusted closing price is as shown under Historical Prices for the company’s stock on Yahoo Finance and reflects stock splits and reinvestment of dividends.</w:t>
      </w:r>
    </w:p>
    <w:p>
      <w:pPr>
        <w:spacing w:after="0" w:line="113"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Three-year TSR CAGR % =</w:t>
      </w:r>
      <w:r>
        <w:rPr>
          <w:rFonts w:ascii="Arial" w:cs="Arial" w:eastAsia="Arial" w:hAnsi="Arial"/>
          <w:sz w:val="16"/>
          <w:szCs w:val="16"/>
          <w:color w:val="auto"/>
        </w:rPr>
        <w:t xml:space="preserve"> (adjusted closing price of the company’s stock at year-end 2012, divided by 2009 year-end adjusted closing price)</w:t>
      </w:r>
      <w:r>
        <w:rPr>
          <w:rFonts w:ascii="Arial" w:cs="Arial" w:eastAsia="Arial" w:hAnsi="Arial"/>
          <w:sz w:val="25"/>
          <w:szCs w:val="25"/>
          <w:color w:val="auto"/>
          <w:vertAlign w:val="superscript"/>
        </w:rPr>
        <w:t>⅓</w:t>
      </w:r>
      <w:r>
        <w:rPr>
          <w:rFonts w:ascii="Arial" w:cs="Arial" w:eastAsia="Arial" w:hAnsi="Arial"/>
          <w:sz w:val="16"/>
          <w:szCs w:val="16"/>
          <w:color w:val="auto"/>
        </w:rPr>
        <w:t xml:space="preserve"> minus 1.</w:t>
      </w:r>
    </w:p>
    <w:p>
      <w:pPr>
        <w:ind w:left="2140"/>
        <w:spacing w:after="0"/>
        <w:rPr>
          <w:sz w:val="20"/>
          <w:szCs w:val="20"/>
          <w:color w:val="auto"/>
        </w:rPr>
      </w:pPr>
      <w:r>
        <w:rPr>
          <w:rFonts w:ascii="Arial" w:cs="Arial" w:eastAsia="Arial" w:hAnsi="Arial"/>
          <w:sz w:val="17"/>
          <w:szCs w:val="17"/>
          <w:color w:val="auto"/>
        </w:rPr>
        <w:t>Adjusted closing price is as described above.</w:t>
      </w:r>
    </w:p>
    <w:p>
      <w:pPr>
        <w:spacing w:after="0" w:line="201" w:lineRule="exact"/>
        <w:rPr>
          <w:sz w:val="20"/>
          <w:szCs w:val="20"/>
          <w:color w:val="auto"/>
        </w:rPr>
      </w:pPr>
    </w:p>
    <w:p>
      <w:pPr>
        <w:ind w:right="80"/>
        <w:spacing w:after="0" w:line="228" w:lineRule="auto"/>
        <w:rPr>
          <w:sz w:val="20"/>
          <w:szCs w:val="20"/>
          <w:color w:val="auto"/>
        </w:rPr>
      </w:pPr>
      <w:r>
        <w:rPr>
          <w:rFonts w:ascii="Arial" w:cs="Arial" w:eastAsia="Arial" w:hAnsi="Arial"/>
          <w:sz w:val="13"/>
          <w:szCs w:val="13"/>
          <w:color w:val="auto"/>
        </w:rPr>
        <w:t>Before setting the bonuses for the named executive officers, the committee considered the officers’ individual performance. The performance of the CEO was judged according to the performance of the company. For the other officers, the committee considered the factors described below in assessing individual performance. In making this assessment, the committee did not apply any formula or performance targets.</w:t>
      </w:r>
    </w:p>
    <w:p>
      <w:pPr>
        <w:ind w:left="180"/>
        <w:spacing w:after="0" w:line="228" w:lineRule="auto"/>
        <w:rPr>
          <w:sz w:val="20"/>
          <w:szCs w:val="20"/>
          <w:color w:val="auto"/>
        </w:rPr>
      </w:pPr>
      <w:r>
        <w:rPr>
          <w:rFonts w:ascii="Arial" w:cs="Arial" w:eastAsia="Arial" w:hAnsi="Arial"/>
          <w:sz w:val="13"/>
          <w:szCs w:val="13"/>
          <w:color w:val="auto"/>
        </w:rPr>
        <w:t>Mr. March is the chief financial officer. The committee noted the financial management of the company.</w:t>
      </w:r>
    </w:p>
    <w:p>
      <w:pPr>
        <w:ind w:right="240" w:firstLine="180"/>
        <w:spacing w:after="0" w:line="228" w:lineRule="auto"/>
        <w:rPr>
          <w:sz w:val="20"/>
          <w:szCs w:val="20"/>
          <w:color w:val="auto"/>
        </w:rPr>
      </w:pPr>
      <w:r>
        <w:rPr>
          <w:rFonts w:ascii="Arial" w:cs="Arial" w:eastAsia="Arial" w:hAnsi="Arial"/>
          <w:sz w:val="13"/>
          <w:szCs w:val="13"/>
          <w:color w:val="auto"/>
        </w:rPr>
        <w:t>Mr. Crutcher was responsible for the company’s embedded processing and custom product lines until June 2012, when he became responsible for the company’s analog semiconductor product lines. The committee noted the financial performance and strategic position of the product lines.</w:t>
      </w:r>
    </w:p>
    <w:p>
      <w:pPr>
        <w:ind w:left="180"/>
        <w:spacing w:after="0"/>
        <w:rPr>
          <w:sz w:val="20"/>
          <w:szCs w:val="20"/>
          <w:color w:val="auto"/>
        </w:rPr>
      </w:pPr>
      <w:r>
        <w:rPr>
          <w:rFonts w:ascii="Arial" w:cs="Arial" w:eastAsia="Arial" w:hAnsi="Arial"/>
          <w:sz w:val="12"/>
          <w:szCs w:val="12"/>
          <w:color w:val="auto"/>
        </w:rPr>
        <w:t>Mr. Delagi is responsible for the company’s wireless semiconductor product lines. In addition, beginning in June 2012 he became responsible for its embedded processing and custom product lines.</w:t>
      </w:r>
    </w:p>
    <w:p>
      <w:pPr>
        <w:spacing w:after="0" w:line="234" w:lineRule="auto"/>
        <w:rPr>
          <w:sz w:val="20"/>
          <w:szCs w:val="20"/>
          <w:color w:val="auto"/>
        </w:rPr>
      </w:pPr>
      <w:r>
        <w:rPr>
          <w:rFonts w:ascii="Arial" w:cs="Arial" w:eastAsia="Arial" w:hAnsi="Arial"/>
          <w:sz w:val="13"/>
          <w:szCs w:val="13"/>
          <w:color w:val="auto"/>
        </w:rPr>
        <w:t>The committee noted the financial performance and strategic position of the product lines.</w:t>
      </w:r>
    </w:p>
    <w:p>
      <w:pPr>
        <w:ind w:right="60" w:firstLine="180"/>
        <w:spacing w:after="0" w:line="228" w:lineRule="auto"/>
        <w:rPr>
          <w:sz w:val="20"/>
          <w:szCs w:val="20"/>
          <w:color w:val="auto"/>
        </w:rPr>
      </w:pPr>
      <w:r>
        <w:rPr>
          <w:rFonts w:ascii="Arial" w:cs="Arial" w:eastAsia="Arial" w:hAnsi="Arial"/>
          <w:sz w:val="13"/>
          <w:szCs w:val="13"/>
          <w:color w:val="auto"/>
        </w:rPr>
        <w:t>Mr. Ritchie is responsible for the company’s semiconductor manufacturing operations. The committee noted the performance of those operations, including their cost-competitiveness and inventory management.</w:t>
      </w:r>
    </w:p>
    <w:p>
      <w:pPr>
        <w:ind w:right="120" w:firstLine="180"/>
        <w:spacing w:after="0" w:line="233" w:lineRule="auto"/>
        <w:rPr>
          <w:sz w:val="20"/>
          <w:szCs w:val="20"/>
          <w:color w:val="auto"/>
        </w:rPr>
      </w:pPr>
      <w:r>
        <w:rPr>
          <w:rFonts w:ascii="Arial" w:cs="Arial" w:eastAsia="Arial" w:hAnsi="Arial"/>
          <w:sz w:val="13"/>
          <w:szCs w:val="13"/>
          <w:color w:val="auto"/>
        </w:rPr>
        <w:t>The bonuses awarded for 2012 performance are shown in the table on page 76. The differences in the amounts awarded to the named executive officers were primarily the result of differences in the officers’ level of responsibility and the applicable market level of total cash compensation expected to be paid to similarly situated officers in the Comparator Group. The increase in Mr. Crutcher’s bonus for 2012 as compared to 2011 reflects the substantial increase in his level of responsibility during 2012. The bonus of each named executive officer was paid under the Executive Officer Performance Plan described on pages 79 and 82.</w:t>
      </w:r>
    </w:p>
    <w:p>
      <w:pPr>
        <w:spacing w:after="0" w:line="217" w:lineRule="exact"/>
        <w:rPr>
          <w:sz w:val="20"/>
          <w:szCs w:val="20"/>
          <w:color w:val="auto"/>
        </w:rPr>
      </w:pPr>
    </w:p>
    <w:p>
      <w:pPr>
        <w:spacing w:after="0"/>
        <w:tabs>
          <w:tab w:leader="none" w:pos="95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2"/>
          <w:szCs w:val="12"/>
          <w:b w:val="1"/>
          <w:bCs w:val="1"/>
          <w:color w:val="808285"/>
        </w:rPr>
        <w:t>2013 PROXY STATEMENT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22" w:name="page23"/>
    <w:bookmarkEnd w:id="22"/>
    <w:p>
      <w:pPr>
        <w:ind w:right="80"/>
        <w:spacing w:after="0" w:line="255" w:lineRule="auto"/>
        <w:rPr>
          <w:sz w:val="20"/>
          <w:szCs w:val="20"/>
          <w:color w:val="auto"/>
        </w:rPr>
      </w:pPr>
      <w:r>
        <w:rPr>
          <w:rFonts w:ascii="Arial" w:cs="Arial" w:eastAsia="Arial" w:hAnsi="Arial"/>
          <w:sz w:val="17"/>
          <w:szCs w:val="17"/>
          <w:i w:val="1"/>
          <w:iCs w:val="1"/>
          <w:color w:val="auto"/>
        </w:rPr>
        <w:t xml:space="preserve">Results of the compensation decisions </w:t>
      </w:r>
      <w:r>
        <w:rPr>
          <w:rFonts w:ascii="Arial" w:cs="Arial" w:eastAsia="Arial" w:hAnsi="Arial"/>
          <w:sz w:val="17"/>
          <w:szCs w:val="17"/>
          <w:color w:val="auto"/>
        </w:rPr>
        <w:t>– Results of the compensation decisions made by the committee relating to the named executive officers for 2012</w:t>
      </w:r>
      <w:r>
        <w:rPr>
          <w:rFonts w:ascii="Arial" w:cs="Arial" w:eastAsia="Arial" w:hAnsi="Arial"/>
          <w:sz w:val="17"/>
          <w:szCs w:val="17"/>
          <w:i w:val="1"/>
          <w:iCs w:val="1"/>
          <w:color w:val="auto"/>
        </w:rPr>
        <w:t xml:space="preserve"> </w:t>
      </w:r>
      <w:r>
        <w:rPr>
          <w:rFonts w:ascii="Arial" w:cs="Arial" w:eastAsia="Arial" w:hAnsi="Arial"/>
          <w:sz w:val="17"/>
          <w:szCs w:val="17"/>
          <w:color w:val="auto"/>
        </w:rPr>
        <w:t>are summarized in the following table. This table is provided as a supplement to the summary compensation table on page 80 for investors who may find it useful to see the data presented in this form. Although the committee does not target a specific level of total compensation, it considers information similar to that in the table to ensure that the sum of these elements is, in its judgment, in a reasonable range. The principal differences between this table and the summary compensation table are explained in footnote 5 below.</w:t>
      </w:r>
      <w:r>
        <w:rPr>
          <w:rFonts w:ascii="Arial" w:cs="Arial" w:eastAsia="Arial" w:hAnsi="Arial"/>
          <w:sz w:val="27"/>
          <w:szCs w:val="27"/>
          <w:color w:val="auto"/>
          <w:vertAlign w:val="superscript"/>
        </w:rPr>
        <w:t>5</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ind w:left="140"/>
              <w:spacing w:after="0"/>
              <w:rPr>
                <w:sz w:val="20"/>
                <w:szCs w:val="20"/>
                <w:color w:val="auto"/>
              </w:rPr>
            </w:pPr>
            <w:r>
              <w:rPr>
                <w:rFonts w:ascii="Arial" w:cs="Arial" w:eastAsia="Arial" w:hAnsi="Arial"/>
                <w:sz w:val="13"/>
                <w:szCs w:val="13"/>
                <w:b w:val="1"/>
                <w:bCs w:val="1"/>
                <w:color w:val="auto"/>
              </w:rPr>
              <w:t>Equity Compensation</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3"/>
        </w:trPr>
        <w:tc>
          <w:tcPr>
            <w:tcW w:w="4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17"/>
              <w:spacing w:after="0"/>
              <w:rPr>
                <w:sz w:val="20"/>
                <w:szCs w:val="20"/>
                <w:color w:val="auto"/>
              </w:rPr>
            </w:pPr>
            <w:r>
              <w:rPr>
                <w:rFonts w:ascii="Arial" w:cs="Arial" w:eastAsia="Arial" w:hAnsi="Arial"/>
                <w:sz w:val="13"/>
                <w:szCs w:val="13"/>
                <w:b w:val="1"/>
                <w:bCs w:val="1"/>
                <w:color w:val="auto"/>
              </w:rPr>
              <w:t>Salary</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20" w:type="dxa"/>
            <w:vAlign w:val="bottom"/>
          </w:tcPr>
          <w:p>
            <w:pPr>
              <w:ind w:left="460"/>
              <w:spacing w:after="0"/>
              <w:rPr>
                <w:sz w:val="20"/>
                <w:szCs w:val="20"/>
                <w:color w:val="auto"/>
              </w:rPr>
            </w:pPr>
            <w:r>
              <w:rPr>
                <w:rFonts w:ascii="Arial" w:cs="Arial" w:eastAsia="Arial" w:hAnsi="Arial"/>
                <w:sz w:val="13"/>
                <w:szCs w:val="13"/>
                <w:b w:val="1"/>
                <w:bCs w:val="1"/>
                <w:color w:val="auto"/>
              </w:rPr>
              <w:t>(Grant Date</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3"/>
        </w:trPr>
        <w:tc>
          <w:tcPr>
            <w:tcW w:w="4440" w:type="dxa"/>
            <w:vAlign w:val="bottom"/>
          </w:tcPr>
          <w:p>
            <w:pPr>
              <w:spacing w:after="0"/>
              <w:rPr>
                <w:sz w:val="20"/>
                <w:szCs w:val="20"/>
                <w:color w:val="auto"/>
              </w:rPr>
            </w:pPr>
            <w:r>
              <w:rPr>
                <w:rFonts w:ascii="Arial" w:cs="Arial" w:eastAsia="Arial" w:hAnsi="Arial"/>
                <w:sz w:val="13"/>
                <w:szCs w:val="13"/>
                <w:b w:val="1"/>
                <w:bCs w:val="1"/>
                <w:color w:val="auto"/>
              </w:rPr>
              <w:t>Officer</w:t>
            </w:r>
          </w:p>
        </w:tc>
        <w:tc>
          <w:tcPr>
            <w:tcW w:w="780" w:type="dxa"/>
            <w:vAlign w:val="bottom"/>
          </w:tcPr>
          <w:p>
            <w:pPr>
              <w:jc w:val="center"/>
              <w:ind w:left="57"/>
              <w:spacing w:after="0"/>
              <w:rPr>
                <w:sz w:val="20"/>
                <w:szCs w:val="20"/>
                <w:color w:val="auto"/>
              </w:rPr>
            </w:pPr>
            <w:r>
              <w:rPr>
                <w:rFonts w:ascii="Arial" w:cs="Arial" w:eastAsia="Arial" w:hAnsi="Arial"/>
                <w:sz w:val="13"/>
                <w:szCs w:val="13"/>
                <w:b w:val="1"/>
                <w:bCs w:val="1"/>
                <w:color w:val="auto"/>
                <w:w w:val="99"/>
              </w:rPr>
              <w:t>Year</w:t>
            </w:r>
          </w:p>
        </w:tc>
        <w:tc>
          <w:tcPr>
            <w:tcW w:w="1180" w:type="dxa"/>
            <w:vAlign w:val="bottom"/>
            <w:gridSpan w:val="2"/>
          </w:tcPr>
          <w:p>
            <w:pPr>
              <w:jc w:val="right"/>
              <w:ind w:right="77"/>
              <w:spacing w:after="0"/>
              <w:rPr>
                <w:sz w:val="20"/>
                <w:szCs w:val="20"/>
                <w:color w:val="auto"/>
              </w:rPr>
            </w:pPr>
            <w:r>
              <w:rPr>
                <w:rFonts w:ascii="Arial" w:cs="Arial" w:eastAsia="Arial" w:hAnsi="Arial"/>
                <w:sz w:val="13"/>
                <w:szCs w:val="13"/>
                <w:b w:val="1"/>
                <w:bCs w:val="1"/>
                <w:color w:val="auto"/>
              </w:rPr>
              <w:t>(Annual Rate)</w:t>
            </w:r>
          </w:p>
        </w:tc>
        <w:tc>
          <w:tcPr>
            <w:tcW w:w="1160" w:type="dxa"/>
            <w:vAlign w:val="bottom"/>
            <w:gridSpan w:val="2"/>
          </w:tcPr>
          <w:p>
            <w:pPr>
              <w:jc w:val="right"/>
              <w:ind w:right="56"/>
              <w:spacing w:after="0"/>
              <w:rPr>
                <w:sz w:val="20"/>
                <w:szCs w:val="20"/>
                <w:color w:val="auto"/>
              </w:rPr>
            </w:pPr>
            <w:r>
              <w:rPr>
                <w:rFonts w:ascii="Arial" w:cs="Arial" w:eastAsia="Arial" w:hAnsi="Arial"/>
                <w:sz w:val="13"/>
                <w:szCs w:val="13"/>
                <w:b w:val="1"/>
                <w:bCs w:val="1"/>
                <w:color w:val="auto"/>
              </w:rPr>
              <w:t>Profit Sharing</w:t>
            </w:r>
          </w:p>
        </w:tc>
        <w:tc>
          <w:tcPr>
            <w:tcW w:w="240" w:type="dxa"/>
            <w:vAlign w:val="bottom"/>
          </w:tcPr>
          <w:p>
            <w:pPr>
              <w:spacing w:after="0"/>
              <w:rPr>
                <w:sz w:val="20"/>
                <w:szCs w:val="20"/>
                <w:color w:val="auto"/>
              </w:rPr>
            </w:pPr>
          </w:p>
        </w:tc>
        <w:tc>
          <w:tcPr>
            <w:tcW w:w="900" w:type="dxa"/>
            <w:vAlign w:val="bottom"/>
          </w:tcPr>
          <w:p>
            <w:pPr>
              <w:jc w:val="right"/>
              <w:ind w:right="297"/>
              <w:spacing w:after="0"/>
              <w:rPr>
                <w:sz w:val="20"/>
                <w:szCs w:val="20"/>
                <w:color w:val="auto"/>
              </w:rPr>
            </w:pPr>
            <w:r>
              <w:rPr>
                <w:rFonts w:ascii="Arial" w:cs="Arial" w:eastAsia="Arial" w:hAnsi="Arial"/>
                <w:sz w:val="13"/>
                <w:szCs w:val="13"/>
                <w:b w:val="1"/>
                <w:bCs w:val="1"/>
                <w:color w:val="auto"/>
              </w:rPr>
              <w:t>Bonus</w:t>
            </w:r>
          </w:p>
        </w:tc>
        <w:tc>
          <w:tcPr>
            <w:tcW w:w="1620" w:type="dxa"/>
            <w:vAlign w:val="bottom"/>
          </w:tcPr>
          <w:p>
            <w:pPr>
              <w:ind w:left="480"/>
              <w:spacing w:after="0"/>
              <w:rPr>
                <w:sz w:val="20"/>
                <w:szCs w:val="20"/>
                <w:color w:val="auto"/>
              </w:rPr>
            </w:pPr>
            <w:r>
              <w:rPr>
                <w:rFonts w:ascii="Arial" w:cs="Arial" w:eastAsia="Arial" w:hAnsi="Arial"/>
                <w:sz w:val="13"/>
                <w:szCs w:val="13"/>
                <w:b w:val="1"/>
                <w:bCs w:val="1"/>
                <w:color w:val="auto"/>
              </w:rPr>
              <w:t>Fair Value)</w:t>
            </w:r>
          </w:p>
        </w:tc>
        <w:tc>
          <w:tcPr>
            <w:tcW w:w="260" w:type="dxa"/>
            <w:vAlign w:val="bottom"/>
          </w:tcPr>
          <w:p>
            <w:pPr>
              <w:spacing w:after="0"/>
              <w:rPr>
                <w:sz w:val="20"/>
                <w:szCs w:val="20"/>
                <w:color w:val="auto"/>
              </w:rPr>
            </w:pPr>
          </w:p>
        </w:tc>
        <w:tc>
          <w:tcPr>
            <w:tcW w:w="840" w:type="dxa"/>
            <w:vAlign w:val="bottom"/>
          </w:tcPr>
          <w:p>
            <w:pPr>
              <w:jc w:val="right"/>
              <w:ind w:right="237"/>
              <w:spacing w:after="0"/>
              <w:rPr>
                <w:sz w:val="20"/>
                <w:szCs w:val="20"/>
                <w:color w:val="auto"/>
              </w:rPr>
            </w:pPr>
            <w:r>
              <w:rPr>
                <w:rFonts w:ascii="Arial" w:cs="Arial" w:eastAsia="Arial" w:hAnsi="Arial"/>
                <w:sz w:val="13"/>
                <w:szCs w:val="13"/>
                <w:b w:val="1"/>
                <w:bCs w:val="1"/>
                <w:color w:val="auto"/>
              </w:rPr>
              <w:t>Total</w:t>
            </w:r>
          </w:p>
        </w:tc>
      </w:tr>
      <w:tr>
        <w:trPr>
          <w:trHeight w:val="45"/>
        </w:trPr>
        <w:tc>
          <w:tcPr>
            <w:tcW w:w="4440" w:type="dxa"/>
            <w:vAlign w:val="bottom"/>
            <w:tcBorders>
              <w:bottom w:val="single" w:sz="8" w:color="808285"/>
            </w:tcBorders>
          </w:tcPr>
          <w:p>
            <w:pPr>
              <w:spacing w:after="0"/>
              <w:rPr>
                <w:sz w:val="3"/>
                <w:szCs w:val="3"/>
                <w:color w:val="auto"/>
              </w:rPr>
            </w:pPr>
          </w:p>
        </w:tc>
        <w:tc>
          <w:tcPr>
            <w:tcW w:w="780" w:type="dxa"/>
            <w:vAlign w:val="bottom"/>
            <w:tcBorders>
              <w:bottom w:val="single" w:sz="8" w:color="808285"/>
            </w:tcBorders>
          </w:tcPr>
          <w:p>
            <w:pPr>
              <w:spacing w:after="0"/>
              <w:rPr>
                <w:sz w:val="3"/>
                <w:szCs w:val="3"/>
                <w:color w:val="auto"/>
              </w:rPr>
            </w:pPr>
          </w:p>
        </w:tc>
        <w:tc>
          <w:tcPr>
            <w:tcW w:w="220" w:type="dxa"/>
            <w:vAlign w:val="bottom"/>
            <w:tcBorders>
              <w:bottom w:val="single" w:sz="8" w:color="808285"/>
            </w:tcBorders>
          </w:tcPr>
          <w:p>
            <w:pPr>
              <w:spacing w:after="0"/>
              <w:rPr>
                <w:sz w:val="3"/>
                <w:szCs w:val="3"/>
                <w:color w:val="auto"/>
              </w:rPr>
            </w:pPr>
          </w:p>
        </w:tc>
        <w:tc>
          <w:tcPr>
            <w:tcW w:w="960" w:type="dxa"/>
            <w:vAlign w:val="bottom"/>
            <w:tcBorders>
              <w:bottom w:val="single" w:sz="8" w:color="808285"/>
            </w:tcBorders>
          </w:tcPr>
          <w:p>
            <w:pPr>
              <w:spacing w:after="0"/>
              <w:rPr>
                <w:sz w:val="3"/>
                <w:szCs w:val="3"/>
                <w:color w:val="auto"/>
              </w:rPr>
            </w:pPr>
          </w:p>
        </w:tc>
        <w:tc>
          <w:tcPr>
            <w:tcW w:w="320" w:type="dxa"/>
            <w:vAlign w:val="bottom"/>
            <w:tcBorders>
              <w:bottom w:val="single" w:sz="8" w:color="808285"/>
            </w:tcBorders>
          </w:tcPr>
          <w:p>
            <w:pPr>
              <w:spacing w:after="0"/>
              <w:rPr>
                <w:sz w:val="3"/>
                <w:szCs w:val="3"/>
                <w:color w:val="auto"/>
              </w:rPr>
            </w:pPr>
          </w:p>
        </w:tc>
        <w:tc>
          <w:tcPr>
            <w:tcW w:w="840" w:type="dxa"/>
            <w:vAlign w:val="bottom"/>
            <w:tcBorders>
              <w:bottom w:val="single" w:sz="8" w:color="808285"/>
            </w:tcBorders>
          </w:tcPr>
          <w:p>
            <w:pPr>
              <w:spacing w:after="0"/>
              <w:rPr>
                <w:sz w:val="3"/>
                <w:szCs w:val="3"/>
                <w:color w:val="auto"/>
              </w:rPr>
            </w:pPr>
          </w:p>
        </w:tc>
        <w:tc>
          <w:tcPr>
            <w:tcW w:w="240" w:type="dxa"/>
            <w:vAlign w:val="bottom"/>
            <w:tcBorders>
              <w:bottom w:val="single" w:sz="8" w:color="808285"/>
            </w:tcBorders>
          </w:tcPr>
          <w:p>
            <w:pPr>
              <w:spacing w:after="0"/>
              <w:rPr>
                <w:sz w:val="3"/>
                <w:szCs w:val="3"/>
                <w:color w:val="auto"/>
              </w:rPr>
            </w:pPr>
          </w:p>
        </w:tc>
        <w:tc>
          <w:tcPr>
            <w:tcW w:w="900" w:type="dxa"/>
            <w:vAlign w:val="bottom"/>
            <w:tcBorders>
              <w:bottom w:val="single" w:sz="8" w:color="808285"/>
            </w:tcBorders>
          </w:tcPr>
          <w:p>
            <w:pPr>
              <w:spacing w:after="0"/>
              <w:rPr>
                <w:sz w:val="3"/>
                <w:szCs w:val="3"/>
                <w:color w:val="auto"/>
              </w:rPr>
            </w:pPr>
          </w:p>
        </w:tc>
        <w:tc>
          <w:tcPr>
            <w:tcW w:w="1620" w:type="dxa"/>
            <w:vAlign w:val="bottom"/>
            <w:tcBorders>
              <w:bottom w:val="single" w:sz="8" w:color="808285"/>
            </w:tcBorders>
          </w:tcPr>
          <w:p>
            <w:pPr>
              <w:spacing w:after="0"/>
              <w:rPr>
                <w:sz w:val="3"/>
                <w:szCs w:val="3"/>
                <w:color w:val="auto"/>
              </w:rPr>
            </w:pPr>
          </w:p>
        </w:tc>
        <w:tc>
          <w:tcPr>
            <w:tcW w:w="260" w:type="dxa"/>
            <w:vAlign w:val="bottom"/>
            <w:tcBorders>
              <w:bottom w:val="single" w:sz="8" w:color="808285"/>
            </w:tcBorders>
          </w:tcPr>
          <w:p>
            <w:pPr>
              <w:spacing w:after="0"/>
              <w:rPr>
                <w:sz w:val="3"/>
                <w:szCs w:val="3"/>
                <w:color w:val="auto"/>
              </w:rPr>
            </w:pPr>
          </w:p>
        </w:tc>
        <w:tc>
          <w:tcPr>
            <w:tcW w:w="840" w:type="dxa"/>
            <w:vAlign w:val="bottom"/>
            <w:tcBorders>
              <w:bottom w:val="single" w:sz="8" w:color="808285"/>
            </w:tcBorders>
          </w:tcPr>
          <w:p>
            <w:pPr>
              <w:spacing w:after="0"/>
              <w:rPr>
                <w:sz w:val="3"/>
                <w:szCs w:val="3"/>
                <w:color w:val="auto"/>
              </w:rPr>
            </w:pPr>
          </w:p>
        </w:tc>
      </w:tr>
      <w:tr>
        <w:trPr>
          <w:trHeight w:val="218"/>
        </w:trPr>
        <w:tc>
          <w:tcPr>
            <w:tcW w:w="4440" w:type="dxa"/>
            <w:vAlign w:val="bottom"/>
            <w:shd w:val="clear" w:color="auto" w:fill="E9E9E9"/>
          </w:tcPr>
          <w:p>
            <w:pPr>
              <w:spacing w:after="0"/>
              <w:rPr>
                <w:sz w:val="20"/>
                <w:szCs w:val="20"/>
                <w:color w:val="auto"/>
              </w:rPr>
            </w:pPr>
            <w:r>
              <w:rPr>
                <w:rFonts w:ascii="Arial" w:cs="Arial" w:eastAsia="Arial" w:hAnsi="Arial"/>
                <w:sz w:val="17"/>
                <w:szCs w:val="17"/>
                <w:color w:val="auto"/>
              </w:rPr>
              <w:t>R. K. Templeton</w:t>
            </w:r>
          </w:p>
        </w:tc>
        <w:tc>
          <w:tcPr>
            <w:tcW w:w="78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2012</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117"/>
              <w:spacing w:after="0"/>
              <w:rPr>
                <w:sz w:val="20"/>
                <w:szCs w:val="20"/>
                <w:color w:val="auto"/>
              </w:rPr>
            </w:pPr>
            <w:r>
              <w:rPr>
                <w:rFonts w:ascii="Arial" w:cs="Arial" w:eastAsia="Arial" w:hAnsi="Arial"/>
                <w:sz w:val="17"/>
                <w:szCs w:val="17"/>
                <w:color w:val="auto"/>
                <w:w w:val="97"/>
              </w:rPr>
              <w:t>1,040,000</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136"/>
              <w:spacing w:after="0"/>
              <w:rPr>
                <w:sz w:val="20"/>
                <w:szCs w:val="20"/>
                <w:color w:val="auto"/>
              </w:rPr>
            </w:pPr>
            <w:r>
              <w:rPr>
                <w:rFonts w:ascii="Arial" w:cs="Arial" w:eastAsia="Arial" w:hAnsi="Arial"/>
                <w:sz w:val="17"/>
                <w:szCs w:val="17"/>
                <w:color w:val="auto"/>
              </w:rPr>
              <w:t>48,581</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w w:val="95"/>
              </w:rPr>
              <w:t>2,700,000</w:t>
            </w:r>
          </w:p>
        </w:tc>
        <w:tc>
          <w:tcPr>
            <w:tcW w:w="1620" w:type="dxa"/>
            <w:vAlign w:val="bottom"/>
            <w:shd w:val="clear" w:color="auto" w:fill="E9E9E9"/>
          </w:tcPr>
          <w:p>
            <w:pPr>
              <w:ind w:left="440"/>
              <w:spacing w:after="0"/>
              <w:rPr>
                <w:sz w:val="20"/>
                <w:szCs w:val="20"/>
                <w:color w:val="auto"/>
              </w:rPr>
            </w:pPr>
            <w:r>
              <w:rPr>
                <w:rFonts w:ascii="Arial" w:cs="Arial" w:eastAsia="Arial" w:hAnsi="Arial"/>
                <w:sz w:val="17"/>
                <w:szCs w:val="17"/>
                <w:color w:val="auto"/>
              </w:rPr>
              <w:t>$9,074,035</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12,862,616</w:t>
            </w:r>
          </w:p>
        </w:tc>
      </w:tr>
      <w:tr>
        <w:trPr>
          <w:trHeight w:val="233"/>
        </w:trPr>
        <w:tc>
          <w:tcPr>
            <w:tcW w:w="4440" w:type="dxa"/>
            <w:vAlign w:val="bottom"/>
            <w:shd w:val="clear" w:color="auto" w:fill="E9E9E9"/>
          </w:tcPr>
          <w:p>
            <w:pPr>
              <w:spacing w:after="0"/>
              <w:rPr>
                <w:sz w:val="20"/>
                <w:szCs w:val="20"/>
                <w:color w:val="auto"/>
              </w:rPr>
            </w:pPr>
          </w:p>
        </w:tc>
        <w:tc>
          <w:tcPr>
            <w:tcW w:w="78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2011</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117"/>
              <w:spacing w:after="0"/>
              <w:rPr>
                <w:sz w:val="20"/>
                <w:szCs w:val="20"/>
                <w:color w:val="auto"/>
              </w:rPr>
            </w:pPr>
            <w:r>
              <w:rPr>
                <w:rFonts w:ascii="Arial" w:cs="Arial" w:eastAsia="Arial" w:hAnsi="Arial"/>
                <w:sz w:val="17"/>
                <w:szCs w:val="17"/>
                <w:color w:val="auto"/>
              </w:rPr>
              <w:t>990,087</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136"/>
              <w:spacing w:after="0"/>
              <w:rPr>
                <w:sz w:val="20"/>
                <w:szCs w:val="20"/>
                <w:color w:val="auto"/>
              </w:rPr>
            </w:pPr>
            <w:r>
              <w:rPr>
                <w:rFonts w:ascii="Arial" w:cs="Arial" w:eastAsia="Arial" w:hAnsi="Arial"/>
                <w:sz w:val="17"/>
                <w:szCs w:val="17"/>
                <w:color w:val="auto"/>
              </w:rPr>
              <w:t>78,118</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w w:val="95"/>
              </w:rPr>
              <w:t>2,700,000</w:t>
            </w:r>
          </w:p>
        </w:tc>
        <w:tc>
          <w:tcPr>
            <w:tcW w:w="1620" w:type="dxa"/>
            <w:vAlign w:val="bottom"/>
            <w:shd w:val="clear" w:color="auto" w:fill="E9E9E9"/>
          </w:tcPr>
          <w:p>
            <w:pPr>
              <w:ind w:left="440"/>
              <w:spacing w:after="0"/>
              <w:rPr>
                <w:sz w:val="20"/>
                <w:szCs w:val="20"/>
                <w:color w:val="auto"/>
              </w:rPr>
            </w:pPr>
            <w:r>
              <w:rPr>
                <w:rFonts w:ascii="Arial" w:cs="Arial" w:eastAsia="Arial" w:hAnsi="Arial"/>
                <w:sz w:val="17"/>
                <w:szCs w:val="17"/>
                <w:color w:val="auto"/>
              </w:rPr>
              <w:t>$9,883,575</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13,651,780</w:t>
            </w:r>
          </w:p>
        </w:tc>
      </w:tr>
      <w:tr>
        <w:trPr>
          <w:trHeight w:val="247"/>
        </w:trPr>
        <w:tc>
          <w:tcPr>
            <w:tcW w:w="4440" w:type="dxa"/>
            <w:vAlign w:val="bottom"/>
            <w:shd w:val="clear" w:color="auto" w:fill="E9E9E9"/>
          </w:tcPr>
          <w:p>
            <w:pPr>
              <w:spacing w:after="0"/>
              <w:rPr>
                <w:sz w:val="21"/>
                <w:szCs w:val="21"/>
                <w:color w:val="auto"/>
              </w:rPr>
            </w:pPr>
          </w:p>
        </w:tc>
        <w:tc>
          <w:tcPr>
            <w:tcW w:w="78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2010</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117"/>
              <w:spacing w:after="0"/>
              <w:rPr>
                <w:sz w:val="20"/>
                <w:szCs w:val="20"/>
                <w:color w:val="auto"/>
              </w:rPr>
            </w:pPr>
            <w:r>
              <w:rPr>
                <w:rFonts w:ascii="Arial" w:cs="Arial" w:eastAsia="Arial" w:hAnsi="Arial"/>
                <w:sz w:val="17"/>
                <w:szCs w:val="17"/>
                <w:color w:val="auto"/>
              </w:rPr>
              <w:t>990,087</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136"/>
              <w:spacing w:after="0"/>
              <w:rPr>
                <w:sz w:val="20"/>
                <w:szCs w:val="20"/>
                <w:color w:val="auto"/>
              </w:rPr>
            </w:pPr>
            <w:r>
              <w:rPr>
                <w:rFonts w:ascii="Arial" w:cs="Arial" w:eastAsia="Arial" w:hAnsi="Arial"/>
                <w:sz w:val="17"/>
                <w:szCs w:val="17"/>
                <w:color w:val="auto"/>
                <w:w w:val="97"/>
              </w:rPr>
              <w:t>171,094</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w w:val="95"/>
              </w:rPr>
              <w:t>3,000,000</w:t>
            </w:r>
          </w:p>
        </w:tc>
        <w:tc>
          <w:tcPr>
            <w:tcW w:w="1620" w:type="dxa"/>
            <w:vAlign w:val="bottom"/>
            <w:shd w:val="clear" w:color="auto" w:fill="E9E9E9"/>
          </w:tcPr>
          <w:p>
            <w:pPr>
              <w:ind w:left="440"/>
              <w:spacing w:after="0"/>
              <w:rPr>
                <w:sz w:val="20"/>
                <w:szCs w:val="20"/>
                <w:color w:val="auto"/>
              </w:rPr>
            </w:pPr>
            <w:r>
              <w:rPr>
                <w:rFonts w:ascii="Arial" w:cs="Arial" w:eastAsia="Arial" w:hAnsi="Arial"/>
                <w:sz w:val="17"/>
                <w:szCs w:val="17"/>
                <w:color w:val="auto"/>
              </w:rPr>
              <w:t>$7,715,066</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11,876,247</w:t>
            </w:r>
          </w:p>
        </w:tc>
      </w:tr>
      <w:tr>
        <w:trPr>
          <w:trHeight w:val="233"/>
        </w:trPr>
        <w:tc>
          <w:tcPr>
            <w:tcW w:w="4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8"/>
        </w:trPr>
        <w:tc>
          <w:tcPr>
            <w:tcW w:w="4440" w:type="dxa"/>
            <w:vAlign w:val="bottom"/>
            <w:shd w:val="clear" w:color="auto" w:fill="E9E9E9"/>
          </w:tcPr>
          <w:p>
            <w:pPr>
              <w:spacing w:after="0"/>
              <w:rPr>
                <w:sz w:val="20"/>
                <w:szCs w:val="20"/>
                <w:color w:val="auto"/>
              </w:rPr>
            </w:pPr>
            <w:r>
              <w:rPr>
                <w:rFonts w:ascii="Arial" w:cs="Arial" w:eastAsia="Arial" w:hAnsi="Arial"/>
                <w:sz w:val="17"/>
                <w:szCs w:val="17"/>
                <w:color w:val="auto"/>
              </w:rPr>
              <w:t>K. P. March</w:t>
            </w:r>
          </w:p>
        </w:tc>
        <w:tc>
          <w:tcPr>
            <w:tcW w:w="78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2012</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117"/>
              <w:spacing w:after="0"/>
              <w:rPr>
                <w:sz w:val="20"/>
                <w:szCs w:val="20"/>
                <w:color w:val="auto"/>
              </w:rPr>
            </w:pPr>
            <w:r>
              <w:rPr>
                <w:rFonts w:ascii="Arial" w:cs="Arial" w:eastAsia="Arial" w:hAnsi="Arial"/>
                <w:sz w:val="17"/>
                <w:szCs w:val="17"/>
                <w:color w:val="auto"/>
              </w:rPr>
              <w:t>590,000</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136"/>
              <w:spacing w:after="0"/>
              <w:rPr>
                <w:sz w:val="20"/>
                <w:szCs w:val="20"/>
                <w:color w:val="auto"/>
              </w:rPr>
            </w:pPr>
            <w:r>
              <w:rPr>
                <w:rFonts w:ascii="Arial" w:cs="Arial" w:eastAsia="Arial" w:hAnsi="Arial"/>
                <w:sz w:val="17"/>
                <w:szCs w:val="17"/>
                <w:color w:val="auto"/>
              </w:rPr>
              <w:t>27,573</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875,000</w:t>
            </w:r>
          </w:p>
        </w:tc>
        <w:tc>
          <w:tcPr>
            <w:tcW w:w="1620" w:type="dxa"/>
            <w:vAlign w:val="bottom"/>
            <w:shd w:val="clear" w:color="auto" w:fill="E9E9E9"/>
          </w:tcPr>
          <w:p>
            <w:pPr>
              <w:ind w:left="440"/>
              <w:spacing w:after="0"/>
              <w:rPr>
                <w:sz w:val="20"/>
                <w:szCs w:val="20"/>
                <w:color w:val="auto"/>
              </w:rPr>
            </w:pPr>
            <w:r>
              <w:rPr>
                <w:rFonts w:ascii="Arial" w:cs="Arial" w:eastAsia="Arial" w:hAnsi="Arial"/>
                <w:sz w:val="17"/>
                <w:szCs w:val="17"/>
                <w:color w:val="auto"/>
              </w:rPr>
              <w:t>$2,865,478</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4,358,051</w:t>
            </w:r>
          </w:p>
        </w:tc>
      </w:tr>
      <w:tr>
        <w:trPr>
          <w:trHeight w:val="233"/>
        </w:trPr>
        <w:tc>
          <w:tcPr>
            <w:tcW w:w="4440" w:type="dxa"/>
            <w:vAlign w:val="bottom"/>
            <w:shd w:val="clear" w:color="auto" w:fill="E9E9E9"/>
          </w:tcPr>
          <w:p>
            <w:pPr>
              <w:spacing w:after="0"/>
              <w:rPr>
                <w:sz w:val="20"/>
                <w:szCs w:val="20"/>
                <w:color w:val="auto"/>
              </w:rPr>
            </w:pPr>
          </w:p>
        </w:tc>
        <w:tc>
          <w:tcPr>
            <w:tcW w:w="78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2011</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117"/>
              <w:spacing w:after="0"/>
              <w:rPr>
                <w:sz w:val="20"/>
                <w:szCs w:val="20"/>
                <w:color w:val="auto"/>
              </w:rPr>
            </w:pPr>
            <w:r>
              <w:rPr>
                <w:rFonts w:ascii="Arial" w:cs="Arial" w:eastAsia="Arial" w:hAnsi="Arial"/>
                <w:sz w:val="17"/>
                <w:szCs w:val="17"/>
                <w:color w:val="auto"/>
              </w:rPr>
              <w:t>565,008</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136"/>
              <w:spacing w:after="0"/>
              <w:rPr>
                <w:sz w:val="20"/>
                <w:szCs w:val="20"/>
                <w:color w:val="auto"/>
              </w:rPr>
            </w:pPr>
            <w:r>
              <w:rPr>
                <w:rFonts w:ascii="Arial" w:cs="Arial" w:eastAsia="Arial" w:hAnsi="Arial"/>
                <w:sz w:val="17"/>
                <w:szCs w:val="17"/>
                <w:color w:val="auto"/>
              </w:rPr>
              <w:t>44,349</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875,000</w:t>
            </w:r>
          </w:p>
        </w:tc>
        <w:tc>
          <w:tcPr>
            <w:tcW w:w="1620" w:type="dxa"/>
            <w:vAlign w:val="bottom"/>
            <w:shd w:val="clear" w:color="auto" w:fill="E9E9E9"/>
          </w:tcPr>
          <w:p>
            <w:pPr>
              <w:ind w:left="440"/>
              <w:spacing w:after="0"/>
              <w:rPr>
                <w:sz w:val="20"/>
                <w:szCs w:val="20"/>
                <w:color w:val="auto"/>
              </w:rPr>
            </w:pPr>
            <w:r>
              <w:rPr>
                <w:rFonts w:ascii="Arial" w:cs="Arial" w:eastAsia="Arial" w:hAnsi="Arial"/>
                <w:sz w:val="17"/>
                <w:szCs w:val="17"/>
                <w:color w:val="auto"/>
              </w:rPr>
              <w:t>$3,020,004</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4,504,361</w:t>
            </w:r>
          </w:p>
        </w:tc>
      </w:tr>
      <w:tr>
        <w:trPr>
          <w:trHeight w:val="247"/>
        </w:trPr>
        <w:tc>
          <w:tcPr>
            <w:tcW w:w="4440" w:type="dxa"/>
            <w:vAlign w:val="bottom"/>
            <w:shd w:val="clear" w:color="auto" w:fill="E9E9E9"/>
          </w:tcPr>
          <w:p>
            <w:pPr>
              <w:spacing w:after="0"/>
              <w:rPr>
                <w:sz w:val="21"/>
                <w:szCs w:val="21"/>
                <w:color w:val="auto"/>
              </w:rPr>
            </w:pPr>
          </w:p>
        </w:tc>
        <w:tc>
          <w:tcPr>
            <w:tcW w:w="78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2010</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117"/>
              <w:spacing w:after="0"/>
              <w:rPr>
                <w:sz w:val="20"/>
                <w:szCs w:val="20"/>
                <w:color w:val="auto"/>
              </w:rPr>
            </w:pPr>
            <w:r>
              <w:rPr>
                <w:rFonts w:ascii="Arial" w:cs="Arial" w:eastAsia="Arial" w:hAnsi="Arial"/>
                <w:sz w:val="17"/>
                <w:szCs w:val="17"/>
                <w:color w:val="auto"/>
              </w:rPr>
              <w:t>530,004</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136"/>
              <w:spacing w:after="0"/>
              <w:rPr>
                <w:sz w:val="20"/>
                <w:szCs w:val="20"/>
                <w:color w:val="auto"/>
              </w:rPr>
            </w:pPr>
            <w:r>
              <w:rPr>
                <w:rFonts w:ascii="Arial" w:cs="Arial" w:eastAsia="Arial" w:hAnsi="Arial"/>
                <w:sz w:val="17"/>
                <w:szCs w:val="17"/>
                <w:color w:val="auto"/>
              </w:rPr>
              <w:t>90,858</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975,000</w:t>
            </w:r>
          </w:p>
        </w:tc>
        <w:tc>
          <w:tcPr>
            <w:tcW w:w="1620" w:type="dxa"/>
            <w:vAlign w:val="bottom"/>
            <w:shd w:val="clear" w:color="auto" w:fill="E9E9E9"/>
          </w:tcPr>
          <w:p>
            <w:pPr>
              <w:ind w:left="440"/>
              <w:spacing w:after="0"/>
              <w:rPr>
                <w:sz w:val="20"/>
                <w:szCs w:val="20"/>
                <w:color w:val="auto"/>
              </w:rPr>
            </w:pPr>
            <w:r>
              <w:rPr>
                <w:rFonts w:ascii="Arial" w:cs="Arial" w:eastAsia="Arial" w:hAnsi="Arial"/>
                <w:sz w:val="17"/>
                <w:szCs w:val="17"/>
                <w:color w:val="auto"/>
              </w:rPr>
              <w:t>$2,303,828</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3,899,690</w:t>
            </w:r>
          </w:p>
        </w:tc>
      </w:tr>
      <w:tr>
        <w:trPr>
          <w:trHeight w:val="233"/>
        </w:trPr>
        <w:tc>
          <w:tcPr>
            <w:tcW w:w="4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8"/>
        </w:trPr>
        <w:tc>
          <w:tcPr>
            <w:tcW w:w="4440" w:type="dxa"/>
            <w:vAlign w:val="bottom"/>
            <w:shd w:val="clear" w:color="auto" w:fill="E9E9E9"/>
          </w:tcPr>
          <w:p>
            <w:pPr>
              <w:spacing w:after="0"/>
              <w:rPr>
                <w:sz w:val="20"/>
                <w:szCs w:val="20"/>
                <w:color w:val="auto"/>
              </w:rPr>
            </w:pPr>
            <w:r>
              <w:rPr>
                <w:rFonts w:ascii="Arial" w:cs="Arial" w:eastAsia="Arial" w:hAnsi="Arial"/>
                <w:sz w:val="17"/>
                <w:szCs w:val="17"/>
                <w:color w:val="auto"/>
              </w:rPr>
              <w:t>B. T. Crutcher</w:t>
            </w:r>
          </w:p>
        </w:tc>
        <w:tc>
          <w:tcPr>
            <w:tcW w:w="78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2012</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57"/>
              <w:spacing w:after="0"/>
              <w:rPr>
                <w:sz w:val="20"/>
                <w:szCs w:val="20"/>
                <w:color w:val="auto"/>
              </w:rPr>
            </w:pPr>
            <w:r>
              <w:rPr>
                <w:rFonts w:ascii="Arial" w:cs="Arial" w:eastAsia="Arial" w:hAnsi="Arial"/>
                <w:sz w:val="17"/>
                <w:szCs w:val="17"/>
                <w:color w:val="auto"/>
              </w:rPr>
              <w:t>630,000*</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136"/>
              <w:spacing w:after="0"/>
              <w:rPr>
                <w:sz w:val="20"/>
                <w:szCs w:val="20"/>
                <w:color w:val="auto"/>
              </w:rPr>
            </w:pPr>
            <w:r>
              <w:rPr>
                <w:rFonts w:ascii="Arial" w:cs="Arial" w:eastAsia="Arial" w:hAnsi="Arial"/>
                <w:sz w:val="17"/>
                <w:szCs w:val="17"/>
                <w:color w:val="auto"/>
              </w:rPr>
              <w:t>27,573</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w w:val="95"/>
              </w:rPr>
              <w:t>1,100,000</w:t>
            </w:r>
          </w:p>
        </w:tc>
        <w:tc>
          <w:tcPr>
            <w:tcW w:w="1620" w:type="dxa"/>
            <w:vAlign w:val="bottom"/>
            <w:shd w:val="clear" w:color="auto" w:fill="E9E9E9"/>
          </w:tcPr>
          <w:p>
            <w:pPr>
              <w:ind w:left="440"/>
              <w:spacing w:after="0"/>
              <w:rPr>
                <w:sz w:val="20"/>
                <w:szCs w:val="20"/>
                <w:color w:val="auto"/>
              </w:rPr>
            </w:pPr>
            <w:r>
              <w:rPr>
                <w:rFonts w:ascii="Arial" w:cs="Arial" w:eastAsia="Arial" w:hAnsi="Arial"/>
                <w:sz w:val="17"/>
                <w:szCs w:val="17"/>
                <w:color w:val="auto"/>
              </w:rPr>
              <w:t>$6,341,848</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8,099,421</w:t>
            </w:r>
          </w:p>
        </w:tc>
      </w:tr>
      <w:tr>
        <w:trPr>
          <w:trHeight w:val="233"/>
        </w:trPr>
        <w:tc>
          <w:tcPr>
            <w:tcW w:w="4440" w:type="dxa"/>
            <w:vAlign w:val="bottom"/>
            <w:shd w:val="clear" w:color="auto" w:fill="E9E9E9"/>
          </w:tcPr>
          <w:p>
            <w:pPr>
              <w:spacing w:after="0"/>
              <w:rPr>
                <w:sz w:val="20"/>
                <w:szCs w:val="20"/>
                <w:color w:val="auto"/>
              </w:rPr>
            </w:pPr>
          </w:p>
        </w:tc>
        <w:tc>
          <w:tcPr>
            <w:tcW w:w="78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2011</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117"/>
              <w:spacing w:after="0"/>
              <w:rPr>
                <w:sz w:val="20"/>
                <w:szCs w:val="20"/>
                <w:color w:val="auto"/>
              </w:rPr>
            </w:pPr>
            <w:r>
              <w:rPr>
                <w:rFonts w:ascii="Arial" w:cs="Arial" w:eastAsia="Arial" w:hAnsi="Arial"/>
                <w:sz w:val="17"/>
                <w:szCs w:val="17"/>
                <w:color w:val="auto"/>
              </w:rPr>
              <w:t>485,004</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136"/>
              <w:spacing w:after="0"/>
              <w:rPr>
                <w:sz w:val="20"/>
                <w:szCs w:val="20"/>
                <w:color w:val="auto"/>
              </w:rPr>
            </w:pPr>
            <w:r>
              <w:rPr>
                <w:rFonts w:ascii="Arial" w:cs="Arial" w:eastAsia="Arial" w:hAnsi="Arial"/>
                <w:sz w:val="17"/>
                <w:szCs w:val="17"/>
                <w:color w:val="auto"/>
              </w:rPr>
              <w:t>37,873</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925,000</w:t>
            </w:r>
          </w:p>
        </w:tc>
        <w:tc>
          <w:tcPr>
            <w:tcW w:w="1620" w:type="dxa"/>
            <w:vAlign w:val="bottom"/>
            <w:shd w:val="clear" w:color="auto" w:fill="E9E9E9"/>
          </w:tcPr>
          <w:p>
            <w:pPr>
              <w:ind w:left="440"/>
              <w:spacing w:after="0"/>
              <w:rPr>
                <w:sz w:val="20"/>
                <w:szCs w:val="20"/>
                <w:color w:val="auto"/>
              </w:rPr>
            </w:pPr>
            <w:r>
              <w:rPr>
                <w:rFonts w:ascii="Arial" w:cs="Arial" w:eastAsia="Arial" w:hAnsi="Arial"/>
                <w:sz w:val="17"/>
                <w:szCs w:val="17"/>
                <w:color w:val="auto"/>
              </w:rPr>
              <w:t>$3,569,080</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5,016,957</w:t>
            </w:r>
          </w:p>
        </w:tc>
      </w:tr>
      <w:tr>
        <w:trPr>
          <w:trHeight w:val="247"/>
        </w:trPr>
        <w:tc>
          <w:tcPr>
            <w:tcW w:w="4440" w:type="dxa"/>
            <w:vAlign w:val="bottom"/>
            <w:shd w:val="clear" w:color="auto" w:fill="E9E9E9"/>
          </w:tcPr>
          <w:p>
            <w:pPr>
              <w:spacing w:after="0"/>
              <w:rPr>
                <w:sz w:val="21"/>
                <w:szCs w:val="21"/>
                <w:color w:val="auto"/>
              </w:rPr>
            </w:pPr>
          </w:p>
        </w:tc>
        <w:tc>
          <w:tcPr>
            <w:tcW w:w="78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2010</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117"/>
              <w:spacing w:after="0"/>
              <w:rPr>
                <w:sz w:val="20"/>
                <w:szCs w:val="20"/>
                <w:color w:val="auto"/>
              </w:rPr>
            </w:pPr>
            <w:r>
              <w:rPr>
                <w:rFonts w:ascii="Arial" w:cs="Arial" w:eastAsia="Arial" w:hAnsi="Arial"/>
                <w:sz w:val="17"/>
                <w:szCs w:val="17"/>
                <w:color w:val="auto"/>
              </w:rPr>
              <w:t>425,040</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136"/>
              <w:spacing w:after="0"/>
              <w:rPr>
                <w:sz w:val="20"/>
                <w:szCs w:val="20"/>
                <w:color w:val="auto"/>
              </w:rPr>
            </w:pPr>
            <w:r>
              <w:rPr>
                <w:rFonts w:ascii="Arial" w:cs="Arial" w:eastAsia="Arial" w:hAnsi="Arial"/>
                <w:sz w:val="17"/>
                <w:szCs w:val="17"/>
                <w:color w:val="auto"/>
              </w:rPr>
              <w:t>62,508</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750,000</w:t>
            </w:r>
          </w:p>
        </w:tc>
        <w:tc>
          <w:tcPr>
            <w:tcW w:w="1620" w:type="dxa"/>
            <w:vAlign w:val="bottom"/>
            <w:shd w:val="clear" w:color="auto" w:fill="E9E9E9"/>
          </w:tcPr>
          <w:p>
            <w:pPr>
              <w:ind w:left="440"/>
              <w:spacing w:after="0"/>
              <w:rPr>
                <w:sz w:val="20"/>
                <w:szCs w:val="20"/>
                <w:color w:val="auto"/>
              </w:rPr>
            </w:pPr>
            <w:r>
              <w:rPr>
                <w:rFonts w:ascii="Arial" w:cs="Arial" w:eastAsia="Arial" w:hAnsi="Arial"/>
                <w:sz w:val="17"/>
                <w:szCs w:val="17"/>
                <w:color w:val="auto"/>
              </w:rPr>
              <w:t>$4,641,074</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5,878,622</w:t>
            </w:r>
          </w:p>
        </w:tc>
      </w:tr>
      <w:tr>
        <w:trPr>
          <w:trHeight w:val="233"/>
        </w:trPr>
        <w:tc>
          <w:tcPr>
            <w:tcW w:w="4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3"/>
        </w:trPr>
        <w:tc>
          <w:tcPr>
            <w:tcW w:w="4440" w:type="dxa"/>
            <w:vAlign w:val="bottom"/>
            <w:shd w:val="clear" w:color="auto" w:fill="E9E9E9"/>
          </w:tcPr>
          <w:p>
            <w:pPr>
              <w:spacing w:after="0"/>
              <w:rPr>
                <w:sz w:val="20"/>
                <w:szCs w:val="20"/>
                <w:color w:val="auto"/>
              </w:rPr>
            </w:pPr>
            <w:r>
              <w:rPr>
                <w:rFonts w:ascii="Arial" w:cs="Arial" w:eastAsia="Arial" w:hAnsi="Arial"/>
                <w:sz w:val="17"/>
                <w:szCs w:val="17"/>
                <w:color w:val="auto"/>
              </w:rPr>
              <w:t>R. G. Delagi</w:t>
            </w:r>
          </w:p>
        </w:tc>
        <w:tc>
          <w:tcPr>
            <w:tcW w:w="78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2012</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57"/>
              <w:spacing w:after="0"/>
              <w:rPr>
                <w:sz w:val="20"/>
                <w:szCs w:val="20"/>
                <w:color w:val="auto"/>
              </w:rPr>
            </w:pPr>
            <w:r>
              <w:rPr>
                <w:rFonts w:ascii="Arial" w:cs="Arial" w:eastAsia="Arial" w:hAnsi="Arial"/>
                <w:sz w:val="17"/>
                <w:szCs w:val="17"/>
                <w:color w:val="auto"/>
              </w:rPr>
              <w:t>600,000*</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136"/>
              <w:spacing w:after="0"/>
              <w:rPr>
                <w:sz w:val="20"/>
                <w:szCs w:val="20"/>
                <w:color w:val="auto"/>
              </w:rPr>
            </w:pPr>
            <w:r>
              <w:rPr>
                <w:rFonts w:ascii="Arial" w:cs="Arial" w:eastAsia="Arial" w:hAnsi="Arial"/>
                <w:sz w:val="17"/>
                <w:szCs w:val="17"/>
                <w:color w:val="auto"/>
              </w:rPr>
              <w:t>26,645</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825,000</w:t>
            </w:r>
          </w:p>
        </w:tc>
        <w:tc>
          <w:tcPr>
            <w:tcW w:w="1620" w:type="dxa"/>
            <w:vAlign w:val="bottom"/>
            <w:shd w:val="clear" w:color="auto" w:fill="E9E9E9"/>
          </w:tcPr>
          <w:p>
            <w:pPr>
              <w:ind w:left="440"/>
              <w:spacing w:after="0"/>
              <w:rPr>
                <w:sz w:val="20"/>
                <w:szCs w:val="20"/>
                <w:color w:val="auto"/>
              </w:rPr>
            </w:pPr>
            <w:r>
              <w:rPr>
                <w:rFonts w:ascii="Arial" w:cs="Arial" w:eastAsia="Arial" w:hAnsi="Arial"/>
                <w:sz w:val="17"/>
                <w:szCs w:val="17"/>
                <w:color w:val="auto"/>
              </w:rPr>
              <w:t>$4,723,079</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6,174,724</w:t>
            </w:r>
          </w:p>
        </w:tc>
      </w:tr>
      <w:tr>
        <w:trPr>
          <w:trHeight w:val="233"/>
        </w:trPr>
        <w:tc>
          <w:tcPr>
            <w:tcW w:w="4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8"/>
        </w:trPr>
        <w:tc>
          <w:tcPr>
            <w:tcW w:w="4440" w:type="dxa"/>
            <w:vAlign w:val="bottom"/>
            <w:shd w:val="clear" w:color="auto" w:fill="E9E9E9"/>
          </w:tcPr>
          <w:p>
            <w:pPr>
              <w:spacing w:after="0"/>
              <w:rPr>
                <w:sz w:val="20"/>
                <w:szCs w:val="20"/>
                <w:color w:val="auto"/>
              </w:rPr>
            </w:pPr>
            <w:r>
              <w:rPr>
                <w:rFonts w:ascii="Arial" w:cs="Arial" w:eastAsia="Arial" w:hAnsi="Arial"/>
                <w:sz w:val="17"/>
                <w:szCs w:val="17"/>
                <w:color w:val="auto"/>
              </w:rPr>
              <w:t>K. J. Ritchie</w:t>
            </w:r>
          </w:p>
        </w:tc>
        <w:tc>
          <w:tcPr>
            <w:tcW w:w="78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2012</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117"/>
              <w:spacing w:after="0"/>
              <w:rPr>
                <w:sz w:val="20"/>
                <w:szCs w:val="20"/>
                <w:color w:val="auto"/>
              </w:rPr>
            </w:pPr>
            <w:r>
              <w:rPr>
                <w:rFonts w:ascii="Arial" w:cs="Arial" w:eastAsia="Arial" w:hAnsi="Arial"/>
                <w:sz w:val="17"/>
                <w:szCs w:val="17"/>
                <w:color w:val="auto"/>
              </w:rPr>
              <w:t>600,000</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136"/>
              <w:spacing w:after="0"/>
              <w:rPr>
                <w:sz w:val="20"/>
                <w:szCs w:val="20"/>
                <w:color w:val="auto"/>
              </w:rPr>
            </w:pPr>
            <w:r>
              <w:rPr>
                <w:rFonts w:ascii="Arial" w:cs="Arial" w:eastAsia="Arial" w:hAnsi="Arial"/>
                <w:sz w:val="17"/>
                <w:szCs w:val="17"/>
                <w:color w:val="auto"/>
              </w:rPr>
              <w:t>27,945</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w w:val="95"/>
              </w:rPr>
              <w:t>1,000,000</w:t>
            </w:r>
          </w:p>
        </w:tc>
        <w:tc>
          <w:tcPr>
            <w:tcW w:w="1620" w:type="dxa"/>
            <w:vAlign w:val="bottom"/>
            <w:shd w:val="clear" w:color="auto" w:fill="E9E9E9"/>
          </w:tcPr>
          <w:p>
            <w:pPr>
              <w:ind w:left="440"/>
              <w:spacing w:after="0"/>
              <w:rPr>
                <w:sz w:val="20"/>
                <w:szCs w:val="20"/>
                <w:color w:val="auto"/>
              </w:rPr>
            </w:pPr>
            <w:r>
              <w:rPr>
                <w:rFonts w:ascii="Arial" w:cs="Arial" w:eastAsia="Arial" w:hAnsi="Arial"/>
                <w:sz w:val="17"/>
                <w:szCs w:val="17"/>
                <w:color w:val="auto"/>
              </w:rPr>
              <w:t>$3,343,079</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4,971,024</w:t>
            </w:r>
          </w:p>
        </w:tc>
      </w:tr>
      <w:tr>
        <w:trPr>
          <w:trHeight w:val="233"/>
        </w:trPr>
        <w:tc>
          <w:tcPr>
            <w:tcW w:w="4440" w:type="dxa"/>
            <w:vAlign w:val="bottom"/>
            <w:shd w:val="clear" w:color="auto" w:fill="E9E9E9"/>
          </w:tcPr>
          <w:p>
            <w:pPr>
              <w:spacing w:after="0"/>
              <w:rPr>
                <w:sz w:val="20"/>
                <w:szCs w:val="20"/>
                <w:color w:val="auto"/>
              </w:rPr>
            </w:pPr>
          </w:p>
        </w:tc>
        <w:tc>
          <w:tcPr>
            <w:tcW w:w="78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2011</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117"/>
              <w:spacing w:after="0"/>
              <w:rPr>
                <w:sz w:val="20"/>
                <w:szCs w:val="20"/>
                <w:color w:val="auto"/>
              </w:rPr>
            </w:pPr>
            <w:r>
              <w:rPr>
                <w:rFonts w:ascii="Arial" w:cs="Arial" w:eastAsia="Arial" w:hAnsi="Arial"/>
                <w:sz w:val="17"/>
                <w:szCs w:val="17"/>
                <w:color w:val="auto"/>
              </w:rPr>
              <w:t>550,020</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136"/>
              <w:spacing w:after="0"/>
              <w:rPr>
                <w:sz w:val="20"/>
                <w:szCs w:val="20"/>
                <w:color w:val="auto"/>
              </w:rPr>
            </w:pPr>
            <w:r>
              <w:rPr>
                <w:rFonts w:ascii="Arial" w:cs="Arial" w:eastAsia="Arial" w:hAnsi="Arial"/>
                <w:sz w:val="17"/>
                <w:szCs w:val="17"/>
                <w:color w:val="auto"/>
              </w:rPr>
              <w:t>42,873</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w w:val="95"/>
              </w:rPr>
              <w:t>1,000,000</w:t>
            </w:r>
          </w:p>
        </w:tc>
        <w:tc>
          <w:tcPr>
            <w:tcW w:w="1620" w:type="dxa"/>
            <w:vAlign w:val="bottom"/>
            <w:shd w:val="clear" w:color="auto" w:fill="E9E9E9"/>
          </w:tcPr>
          <w:p>
            <w:pPr>
              <w:ind w:left="440"/>
              <w:spacing w:after="0"/>
              <w:rPr>
                <w:sz w:val="20"/>
                <w:szCs w:val="20"/>
                <w:color w:val="auto"/>
              </w:rPr>
            </w:pPr>
            <w:r>
              <w:rPr>
                <w:rFonts w:ascii="Arial" w:cs="Arial" w:eastAsia="Arial" w:hAnsi="Arial"/>
                <w:sz w:val="17"/>
                <w:szCs w:val="17"/>
                <w:color w:val="auto"/>
              </w:rPr>
              <w:t>$3,569,080</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5,161,973</w:t>
            </w:r>
          </w:p>
        </w:tc>
      </w:tr>
      <w:tr>
        <w:trPr>
          <w:trHeight w:val="247"/>
        </w:trPr>
        <w:tc>
          <w:tcPr>
            <w:tcW w:w="4440" w:type="dxa"/>
            <w:vAlign w:val="bottom"/>
            <w:shd w:val="clear" w:color="auto" w:fill="E9E9E9"/>
          </w:tcPr>
          <w:p>
            <w:pPr>
              <w:spacing w:after="0"/>
              <w:rPr>
                <w:sz w:val="21"/>
                <w:szCs w:val="21"/>
                <w:color w:val="auto"/>
              </w:rPr>
            </w:pPr>
          </w:p>
        </w:tc>
        <w:tc>
          <w:tcPr>
            <w:tcW w:w="780" w:type="dxa"/>
            <w:vAlign w:val="bottom"/>
            <w:shd w:val="clear" w:color="auto" w:fill="E9E9E9"/>
          </w:tcPr>
          <w:p>
            <w:pPr>
              <w:jc w:val="center"/>
              <w:ind w:left="37"/>
              <w:spacing w:after="0"/>
              <w:rPr>
                <w:sz w:val="20"/>
                <w:szCs w:val="20"/>
                <w:color w:val="auto"/>
              </w:rPr>
            </w:pPr>
            <w:r>
              <w:rPr>
                <w:rFonts w:ascii="Arial" w:cs="Arial" w:eastAsia="Arial" w:hAnsi="Arial"/>
                <w:sz w:val="17"/>
                <w:szCs w:val="17"/>
                <w:color w:val="auto"/>
              </w:rPr>
              <w:t>2010</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117"/>
              <w:spacing w:after="0"/>
              <w:rPr>
                <w:sz w:val="20"/>
                <w:szCs w:val="20"/>
                <w:color w:val="auto"/>
              </w:rPr>
            </w:pPr>
            <w:r>
              <w:rPr>
                <w:rFonts w:ascii="Arial" w:cs="Arial" w:eastAsia="Arial" w:hAnsi="Arial"/>
                <w:sz w:val="17"/>
                <w:szCs w:val="17"/>
                <w:color w:val="auto"/>
              </w:rPr>
              <w:t>470,400</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136"/>
              <w:spacing w:after="0"/>
              <w:rPr>
                <w:sz w:val="20"/>
                <w:szCs w:val="20"/>
                <w:color w:val="auto"/>
              </w:rPr>
            </w:pPr>
            <w:r>
              <w:rPr>
                <w:rFonts w:ascii="Arial" w:cs="Arial" w:eastAsia="Arial" w:hAnsi="Arial"/>
                <w:sz w:val="17"/>
                <w:szCs w:val="17"/>
                <w:color w:val="auto"/>
              </w:rPr>
              <w:t>81,151</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w w:val="95"/>
              </w:rPr>
              <w:t>1,100,000</w:t>
            </w:r>
          </w:p>
        </w:tc>
        <w:tc>
          <w:tcPr>
            <w:tcW w:w="1620" w:type="dxa"/>
            <w:vAlign w:val="bottom"/>
            <w:shd w:val="clear" w:color="auto" w:fill="E9E9E9"/>
          </w:tcPr>
          <w:p>
            <w:pPr>
              <w:ind w:left="440"/>
              <w:spacing w:after="0"/>
              <w:rPr>
                <w:sz w:val="20"/>
                <w:szCs w:val="20"/>
                <w:color w:val="auto"/>
              </w:rPr>
            </w:pPr>
            <w:r>
              <w:rPr>
                <w:rFonts w:ascii="Arial" w:cs="Arial" w:eastAsia="Arial" w:hAnsi="Arial"/>
                <w:sz w:val="17"/>
                <w:szCs w:val="17"/>
                <w:color w:val="auto"/>
              </w:rPr>
              <w:t>$2,678,865</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4,330,416</w:t>
            </w:r>
          </w:p>
        </w:tc>
      </w:tr>
    </w:tbl>
    <w:p>
      <w:pPr>
        <w:spacing w:after="0" w:line="236" w:lineRule="exact"/>
        <w:rPr>
          <w:sz w:val="20"/>
          <w:szCs w:val="20"/>
          <w:color w:val="auto"/>
        </w:rPr>
      </w:pPr>
    </w:p>
    <w:p>
      <w:pPr>
        <w:ind w:left="340" w:hanging="337"/>
        <w:spacing w:after="0"/>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Annual rate as of June 2012.</w:t>
      </w:r>
    </w:p>
    <w:p>
      <w:pPr>
        <w:spacing w:after="0" w:line="270" w:lineRule="exact"/>
        <w:rPr>
          <w:sz w:val="20"/>
          <w:szCs w:val="20"/>
          <w:color w:val="auto"/>
        </w:rPr>
      </w:pPr>
    </w:p>
    <w:p>
      <w:pPr>
        <w:ind w:right="480"/>
        <w:spacing w:after="0" w:line="245" w:lineRule="auto"/>
        <w:rPr>
          <w:sz w:val="20"/>
          <w:szCs w:val="20"/>
          <w:color w:val="auto"/>
        </w:rPr>
      </w:pPr>
      <w:r>
        <w:rPr>
          <w:rFonts w:ascii="Arial" w:cs="Arial" w:eastAsia="Arial" w:hAnsi="Arial"/>
          <w:sz w:val="17"/>
          <w:szCs w:val="17"/>
          <w:color w:val="auto"/>
        </w:rPr>
        <w:t>For Mr. Crutcher, the “Total” is higher for 2012 primarily due to the restricted stock unit award he received in June 2012 (discussed on page 73). For Messrs. Templeton, March and Ritchie, the “Total” was lower for 2012 due to the lower grant date fair value of their equity compensation.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230" w:lineRule="exact"/>
        <w:rPr>
          <w:sz w:val="20"/>
          <w:szCs w:val="20"/>
          <w:color w:val="auto"/>
        </w:rPr>
      </w:pPr>
    </w:p>
    <w:p>
      <w:pPr>
        <w:ind w:left="360" w:right="40" w:hanging="357"/>
        <w:spacing w:after="0"/>
        <w:tabs>
          <w:tab w:leader="none" w:pos="3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This table shows the annual rate of base salary as set by the committee. In the summary compensation table, the “Salary” column shows the actual salary paid in the year. This table has separate columns for profit sharing and bonus. In the summary compensation table, profit sharing and bonus are aggregated in the column for “Non-Equity Incentive Plan Compensation,” in accordance with SEC requirements. Please see notes 2 and 3 to the summary compensation table for information about how grant date fair value was calculated.</w:t>
      </w:r>
    </w:p>
    <w:p>
      <w:pPr>
        <w:spacing w:after="0" w:line="245" w:lineRule="exact"/>
        <w:rPr>
          <w:sz w:val="20"/>
          <w:szCs w:val="20"/>
          <w:color w:val="auto"/>
        </w:rPr>
      </w:pPr>
    </w:p>
    <w:p>
      <w:pPr>
        <w:spacing w:after="0"/>
        <w:tabs>
          <w:tab w:leader="none" w:pos="10000" w:val="left"/>
        </w:tabs>
        <w:rPr>
          <w:sz w:val="20"/>
          <w:szCs w:val="20"/>
          <w:color w:val="auto"/>
        </w:rPr>
      </w:pPr>
      <w:r>
        <w:rPr>
          <w:rFonts w:ascii="Arial" w:cs="Arial" w:eastAsia="Arial" w:hAnsi="Arial"/>
          <w:sz w:val="13"/>
          <w:szCs w:val="13"/>
          <w:b w:val="1"/>
          <w:bCs w:val="1"/>
          <w:color w:val="808285"/>
        </w:rPr>
        <w:t>76 •  2013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23" w:name="page24"/>
    <w:bookmarkEnd w:id="23"/>
    <w:p>
      <w:pPr>
        <w:ind w:left="240"/>
        <w:spacing w:after="0"/>
        <w:rPr>
          <w:sz w:val="20"/>
          <w:szCs w:val="20"/>
          <w:color w:val="auto"/>
        </w:rPr>
      </w:pPr>
      <w:r>
        <w:rPr>
          <w:rFonts w:ascii="Arial" w:cs="Arial" w:eastAsia="Arial" w:hAnsi="Arial"/>
          <w:sz w:val="17"/>
          <w:szCs w:val="17"/>
          <w:color w:val="auto"/>
        </w:rPr>
        <w:t>The compensation decisions shown above resulted in the following 2012 compensation mix for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1717040</wp:posOffset>
            </wp:positionH>
            <wp:positionV relativeFrom="paragraph">
              <wp:posOffset>128270</wp:posOffset>
            </wp:positionV>
            <wp:extent cx="3823335" cy="19939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23335" cy="1993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2800" w:right="2720" w:hanging="96"/>
        <w:spacing w:after="0" w:line="241" w:lineRule="auto"/>
        <w:tabs>
          <w:tab w:leader="none" w:pos="2809" w:val="left"/>
        </w:tabs>
        <w:numPr>
          <w:ilvl w:val="0"/>
          <w:numId w:val="21"/>
        </w:numPr>
        <w:rPr>
          <w:rFonts w:ascii="Arial" w:cs="Arial" w:eastAsia="Arial" w:hAnsi="Arial"/>
          <w:sz w:val="17"/>
          <w:szCs w:val="17"/>
          <w:color w:val="auto"/>
        </w:rPr>
      </w:pPr>
      <w:r>
        <w:rPr>
          <w:rFonts w:ascii="Arial" w:cs="Arial" w:eastAsia="Arial" w:hAnsi="Arial"/>
          <w:sz w:val="17"/>
          <w:szCs w:val="17"/>
          <w:color w:val="auto"/>
        </w:rPr>
        <w:t>Average data for the named executive officers other than Mr. Templeton. Salary includes the annual rate for Mr. Crutcher and Mr. Delagi as of June 2012. Totals may not equal 100 percent, due to rounding.</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Equity dilution</w:t>
      </w:r>
    </w:p>
    <w:p>
      <w:pPr>
        <w:ind w:right="60"/>
        <w:spacing w:after="0"/>
        <w:rPr>
          <w:sz w:val="20"/>
          <w:szCs w:val="20"/>
          <w:color w:val="auto"/>
        </w:rPr>
      </w:pPr>
      <w:r>
        <w:rPr>
          <w:rFonts w:ascii="Arial" w:cs="Arial" w:eastAsia="Arial" w:hAnsi="Arial"/>
          <w:sz w:val="17"/>
          <w:szCs w:val="17"/>
          <w:color w:val="auto"/>
        </w:rPr>
        <w:t>The Compensation Committee’s goal is to keep net annual dilution from equity compensation under 2 percent. “Net annual dilution” means the number of shares under equity awards granted by the committee each year to all employees (net of award forfeitures) as a percentage of the shares of the company’s outstanding common stock. Equity awards granted in 2012 under the company’s equity-compensation program resulted in 1.2 percent net annual dilution.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Process for equity grants</w:t>
      </w:r>
    </w:p>
    <w:p>
      <w:pPr>
        <w:jc w:val="both"/>
        <w:ind w:right="400"/>
        <w:spacing w:after="0" w:line="237" w:lineRule="auto"/>
        <w:rPr>
          <w:sz w:val="20"/>
          <w:szCs w:val="20"/>
          <w:color w:val="auto"/>
        </w:rPr>
      </w:pPr>
      <w:r>
        <w:rPr>
          <w:rFonts w:ascii="Arial" w:cs="Arial" w:eastAsia="Arial" w:hAnsi="Arial"/>
          <w:sz w:val="17"/>
          <w:szCs w:val="17"/>
          <w:color w:val="auto"/>
        </w:rPr>
        <w:t>The Compensation Committee makes grant decisions for equity compensation at its January meeting each year. The dates on which these meetings occur are generally set three years in advance. The January meetings of the board and the committee generally occur in the week or two before we announce our financial results for the previous quarter and year.</w:t>
      </w:r>
    </w:p>
    <w:p>
      <w:pPr>
        <w:spacing w:after="0" w:line="2" w:lineRule="exact"/>
        <w:rPr>
          <w:sz w:val="20"/>
          <w:szCs w:val="20"/>
          <w:color w:val="auto"/>
        </w:rPr>
      </w:pPr>
    </w:p>
    <w:p>
      <w:pPr>
        <w:ind w:right="60" w:firstLine="233"/>
        <w:spacing w:after="0" w:line="237" w:lineRule="auto"/>
        <w:rPr>
          <w:sz w:val="20"/>
          <w:szCs w:val="20"/>
          <w:color w:val="auto"/>
        </w:rPr>
      </w:pPr>
      <w:r>
        <w:rPr>
          <w:rFonts w:ascii="Arial" w:cs="Arial" w:eastAsia="Arial" w:hAnsi="Arial"/>
          <w:sz w:val="17"/>
          <w:szCs w:val="17"/>
          <w:color w:val="auto"/>
        </w:rPr>
        <w:t>On occasion, the committee may grant stock options or restricted stock units to executives at times other than January. For example, it has done so in connection with job promotions and for purposes of retention.</w:t>
      </w:r>
    </w:p>
    <w:p>
      <w:pPr>
        <w:spacing w:after="0" w:line="2" w:lineRule="exact"/>
        <w:rPr>
          <w:sz w:val="20"/>
          <w:szCs w:val="20"/>
          <w:color w:val="auto"/>
        </w:rPr>
      </w:pPr>
    </w:p>
    <w:p>
      <w:pPr>
        <w:ind w:right="280" w:firstLine="233"/>
        <w:spacing w:after="0" w:line="237" w:lineRule="auto"/>
        <w:rPr>
          <w:sz w:val="20"/>
          <w:szCs w:val="20"/>
          <w:color w:val="auto"/>
        </w:rPr>
      </w:pPr>
      <w:r>
        <w:rPr>
          <w:rFonts w:ascii="Arial" w:cs="Arial" w:eastAsia="Arial" w:hAnsi="Arial"/>
          <w:sz w:val="17"/>
          <w:szCs w:val="17"/>
          <w:color w:val="auto"/>
        </w:rPr>
        <w:t>We do not back-date stock options or restricted stock units. We do not accelerate or delay the release of information due to plans for making equity grants.</w:t>
      </w:r>
    </w:p>
    <w:p>
      <w:pPr>
        <w:spacing w:after="0" w:line="2" w:lineRule="exact"/>
        <w:rPr>
          <w:sz w:val="20"/>
          <w:szCs w:val="20"/>
          <w:color w:val="auto"/>
        </w:rPr>
      </w:pPr>
    </w:p>
    <w:p>
      <w:pPr>
        <w:ind w:right="40" w:firstLine="233"/>
        <w:spacing w:after="0" w:line="264" w:lineRule="auto"/>
        <w:rPr>
          <w:sz w:val="20"/>
          <w:szCs w:val="20"/>
          <w:color w:val="auto"/>
        </w:rPr>
      </w:pPr>
      <w:r>
        <w:rPr>
          <w:rFonts w:ascii="Arial" w:cs="Arial" w:eastAsia="Arial" w:hAnsi="Arial"/>
          <w:sz w:val="16"/>
          <w:szCs w:val="16"/>
          <w:color w:val="auto"/>
        </w:rPr>
        <w:t>Under the committee’s policy, if the committee meeting falls in the same month as the release of the company’s financial results, the grants approved at the meeting will be made effective on the later of (i) the meeting day or (ii) the third trading day after the release of results. Otherwise they will be made effective on the day of committee action. The exercise price of stock options is the closing price of TI stock on the effective date of the grant.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Recoupment policy</w:t>
      </w:r>
    </w:p>
    <w:p>
      <w:pPr>
        <w:spacing w:after="0" w:line="239" w:lineRule="auto"/>
        <w:rPr>
          <w:sz w:val="20"/>
          <w:szCs w:val="20"/>
          <w:color w:val="auto"/>
        </w:rPr>
      </w:pPr>
      <w:r>
        <w:rPr>
          <w:rFonts w:ascii="Arial" w:cs="Arial" w:eastAsia="Arial" w:hAnsi="Arial"/>
          <w:sz w:val="17"/>
          <w:szCs w:val="17"/>
          <w:color w:val="auto"/>
        </w:rPr>
        <w:t>The committee has a policy concerning recoupment (“clawback”) of executive bonuses and equity compensation. Under the policy, in the event of a material restatement of TI’s financial results due to misconduct, the committee will review the facts and circumstances and take the actions it considers appropriate with respect to the compensation of any executive officer whose fraud or willful misconduct contributed to the need for such restatement. Such action may include (a) seeking reimbursement of any bonus paid to such officer exceeding the amount that, in the judgment of the committee, would have been paid had the financial results been properly reported and (b) seeking to recover profits received by such officer during the twelve months after the restated period under equity compensation awards. All determinations by the committee with respect to this policy are final and binding on all interested parties.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Most recent stockholder advisory vote on executive compensation</w:t>
      </w:r>
    </w:p>
    <w:p>
      <w:pPr>
        <w:ind w:right="180"/>
        <w:spacing w:after="0"/>
        <w:rPr>
          <w:sz w:val="20"/>
          <w:szCs w:val="20"/>
          <w:color w:val="auto"/>
        </w:rPr>
      </w:pPr>
      <w:r>
        <w:rPr>
          <w:rFonts w:ascii="Arial" w:cs="Arial" w:eastAsia="Arial" w:hAnsi="Arial"/>
          <w:sz w:val="17"/>
          <w:szCs w:val="17"/>
          <w:color w:val="auto"/>
        </w:rPr>
        <w:t>In April 2012, our shareholders cast an advisory vote on the company’s executive compensation decisions and policies as disclosed in the proxy statement issued by the company in March 2012. Approximately 95 percent of the shares voted on the matter were cast in support of the compensation decisions and policies as disclosed. The committee considered this result and determined that it was not necessary at this time to make any material changes to the company’s compensation policies and practices in response to the advisory vote.</w:t>
      </w:r>
    </w:p>
    <w:p>
      <w:pPr>
        <w:spacing w:after="0" w:line="219" w:lineRule="exact"/>
        <w:rPr>
          <w:sz w:val="20"/>
          <w:szCs w:val="20"/>
          <w:color w:val="auto"/>
        </w:rPr>
      </w:pPr>
    </w:p>
    <w:p>
      <w:pPr>
        <w:spacing w:after="0"/>
        <w:tabs>
          <w:tab w:leader="none" w:pos="95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2"/>
          <w:szCs w:val="12"/>
          <w:b w:val="1"/>
          <w:bCs w:val="1"/>
          <w:color w:val="808285"/>
        </w:rPr>
        <w:t>2013 PROXY STATEMENT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auto"/>
        </w:rPr>
        <w:t>Benefits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Retirement plans</w:t>
      </w:r>
    </w:p>
    <w:p>
      <w:pPr>
        <w:spacing w:after="0" w:line="16" w:lineRule="exact"/>
        <w:rPr>
          <w:sz w:val="20"/>
          <w:szCs w:val="20"/>
          <w:color w:val="auto"/>
        </w:rPr>
      </w:pPr>
    </w:p>
    <w:p>
      <w:pPr>
        <w:ind w:right="340"/>
        <w:spacing w:after="0" w:line="237" w:lineRule="auto"/>
        <w:rPr>
          <w:sz w:val="20"/>
          <w:szCs w:val="20"/>
          <w:color w:val="auto"/>
        </w:rPr>
      </w:pPr>
      <w:r>
        <w:rPr>
          <w:rFonts w:ascii="Arial" w:cs="Arial" w:eastAsia="Arial" w:hAnsi="Arial"/>
          <w:sz w:val="17"/>
          <w:szCs w:val="17"/>
          <w:color w:val="auto"/>
        </w:rPr>
        <w:t>The executive officers participate in our retirement plans under the same rules that apply to other U.S. employees. We maintain these plans to have a competitive benefits program and for retention.</w:t>
      </w:r>
    </w:p>
    <w:p>
      <w:pPr>
        <w:spacing w:after="0" w:line="2" w:lineRule="exact"/>
        <w:rPr>
          <w:sz w:val="20"/>
          <w:szCs w:val="20"/>
          <w:color w:val="auto"/>
        </w:rPr>
      </w:pPr>
    </w:p>
    <w:p>
      <w:pPr>
        <w:ind w:right="220" w:firstLine="233"/>
        <w:spacing w:after="0" w:line="252" w:lineRule="auto"/>
        <w:rPr>
          <w:sz w:val="20"/>
          <w:szCs w:val="20"/>
          <w:color w:val="auto"/>
        </w:rPr>
      </w:pPr>
      <w:r>
        <w:rPr>
          <w:rFonts w:ascii="Arial" w:cs="Arial" w:eastAsia="Arial" w:hAnsi="Arial"/>
          <w:sz w:val="16"/>
          <w:szCs w:val="16"/>
          <w:color w:val="auto"/>
        </w:rPr>
        <w:t>Like other established U.S. manufacturers, we have had a U.S. qualified defined benefit pension plan for many years. At its origin, the plan was designed to be consistent with those offered by other employers in the diverse markets in which we operated, which at the time included consumer and defense electronics as well as semiconductors and materials products. In order to limit the cost of the plan, we closed the plan to new participants in 1997. We gave U.S. employees as of November 1997 the choice to remain in the plan, or to have their plan benefits frozen (i.e., no benefit increase attributable to years of service or change in eligible earnings) and begin participating in an enhanced defined contribution plan. Mr. Templeton and Mr. Crutcher chose not to remain in the defined benefit plan. As a result, their benefits under that plan were frozen in 1997 and they participate in the enhanced defined contribution plan. The other named executive officers have continued their participation in the defined benefit pension plan.</w:t>
      </w:r>
    </w:p>
    <w:p>
      <w:pPr>
        <w:spacing w:after="0" w:line="4" w:lineRule="exact"/>
        <w:rPr>
          <w:sz w:val="20"/>
          <w:szCs w:val="20"/>
          <w:color w:val="auto"/>
        </w:rPr>
      </w:pPr>
    </w:p>
    <w:p>
      <w:pPr>
        <w:ind w:right="80" w:firstLine="233"/>
        <w:spacing w:after="0" w:line="237" w:lineRule="auto"/>
        <w:rPr>
          <w:sz w:val="20"/>
          <w:szCs w:val="20"/>
          <w:color w:val="auto"/>
        </w:rPr>
      </w:pPr>
      <w:r>
        <w:rPr>
          <w:rFonts w:ascii="Arial" w:cs="Arial" w:eastAsia="Arial" w:hAnsi="Arial"/>
          <w:sz w:val="17"/>
          <w:szCs w:val="17"/>
          <w:color w:val="auto"/>
        </w:rPr>
        <w:t>The Internal Revenue Code (IRC) imposes certain limits on the retirement benefits that may be provided under a qualified plan. To maintain the desired level of benefits, we have non-qualified defined benefit pension plans for participants in the qualified pension plan. Under the non-qualified plans, participants receive benefits that would ordinarily be paid under the qualified pension plan but for the limitations under the IRC. For additional information about the defined benefit plans, please see pages 86-89.</w:t>
      </w:r>
    </w:p>
    <w:p>
      <w:pPr>
        <w:spacing w:after="0" w:line="3" w:lineRule="exact"/>
        <w:rPr>
          <w:sz w:val="20"/>
          <w:szCs w:val="20"/>
          <w:color w:val="auto"/>
        </w:rPr>
      </w:pPr>
    </w:p>
    <w:p>
      <w:pPr>
        <w:ind w:right="80" w:firstLine="233"/>
        <w:spacing w:after="0" w:line="237" w:lineRule="auto"/>
        <w:rPr>
          <w:sz w:val="20"/>
          <w:szCs w:val="20"/>
          <w:color w:val="auto"/>
        </w:rPr>
      </w:pPr>
      <w:r>
        <w:rPr>
          <w:rFonts w:ascii="Arial" w:cs="Arial" w:eastAsia="Arial" w:hAnsi="Arial"/>
          <w:sz w:val="17"/>
          <w:szCs w:val="17"/>
          <w:color w:val="auto"/>
        </w:rPr>
        <w:t>Employees accruing benefits in the qualified pension plan, including the named executive officers other than Mr. Templeton and Mr. Crutcher, also are eligible to participate in a qualified defined contribution plan that provides employer matching contributions. The enhanced defined contribution plan, in which Mr. Templeton and Mr. Crutcher participate, provides for a fixed employer contribution plus an employer matching contribution.</w:t>
      </w:r>
    </w:p>
    <w:p>
      <w:pPr>
        <w:spacing w:after="0" w:line="2" w:lineRule="exact"/>
        <w:rPr>
          <w:sz w:val="20"/>
          <w:szCs w:val="20"/>
          <w:color w:val="auto"/>
        </w:rPr>
      </w:pPr>
    </w:p>
    <w:p>
      <w:pPr>
        <w:ind w:right="120" w:firstLine="233"/>
        <w:spacing w:after="0" w:line="237" w:lineRule="auto"/>
        <w:rPr>
          <w:sz w:val="20"/>
          <w:szCs w:val="20"/>
          <w:color w:val="auto"/>
        </w:rPr>
      </w:pPr>
      <w:r>
        <w:rPr>
          <w:rFonts w:ascii="Arial" w:cs="Arial" w:eastAsia="Arial" w:hAnsi="Arial"/>
          <w:sz w:val="17"/>
          <w:szCs w:val="17"/>
          <w:color w:val="auto"/>
        </w:rPr>
        <w:t>In general, if an employee who participates in the pension plan (including an employee whose benefits are frozen as described above) dies after having met the requirements for normal or early retirement, his or her beneficiary will receive a benefit equal to the lump-sum amount that the participant would have received if he or she had retired before death. In 2011, having reached the age of 55 with at least 20 years of employment, Mr. Ritchie met the requirements for early retirement under the pension plans. In 2012, none of the other named executive officers was retirement-eligible under the plans.</w:t>
      </w:r>
    </w:p>
    <w:p>
      <w:pPr>
        <w:spacing w:after="0" w:line="4" w:lineRule="exact"/>
        <w:rPr>
          <w:sz w:val="20"/>
          <w:szCs w:val="20"/>
          <w:color w:val="auto"/>
        </w:rPr>
      </w:pPr>
    </w:p>
    <w:p>
      <w:pPr>
        <w:ind w:right="360" w:firstLine="233"/>
        <w:spacing w:after="0" w:line="260" w:lineRule="auto"/>
        <w:rPr>
          <w:sz w:val="20"/>
          <w:szCs w:val="20"/>
          <w:color w:val="auto"/>
        </w:rPr>
      </w:pPr>
      <w:r>
        <w:rPr>
          <w:rFonts w:ascii="Arial" w:cs="Arial" w:eastAsia="Arial" w:hAnsi="Arial"/>
          <w:sz w:val="16"/>
          <w:szCs w:val="16"/>
          <w:color w:val="auto"/>
        </w:rPr>
        <w:t>Because benefits under the qualified and non-qualified defined benefit pension plans are calculated on the basis of eligible earnings (salary and bonus), an increase in salary or bonus may result in an increase in benefits under the plans. Salary or bonus increases for Mr. Templeton and Mr. Crutcher do not result in greater benefits for them under the company’s defined benefit pension plans because their benefits under those plans were frozen in 1997. The committee considers the potential effect on the executives’ retirement benefits when it sets salary and performance bonus levels.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Deferred compensation</w:t>
      </w:r>
    </w:p>
    <w:p>
      <w:pPr>
        <w:spacing w:after="0" w:line="16"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Any U.S. employee whose base salary and management responsibility exceed a certain level may defer the receipt of a portion of his or her salary, bonus and profit sharing. Rules of the U.S. Department of Labor require that this plan be limited to a select group of management or highly compensated employees. The plan allows employees to defer the receipt of their compensation in a tax-efficient manner. Eligible employees include, but are not limited to, the executive officers. We have the plan to be competitive with the benefits packages offered by other companies.</w:t>
      </w:r>
    </w:p>
    <w:p>
      <w:pPr>
        <w:spacing w:after="0" w:line="3" w:lineRule="exact"/>
        <w:rPr>
          <w:sz w:val="20"/>
          <w:szCs w:val="20"/>
          <w:color w:val="auto"/>
        </w:rPr>
      </w:pPr>
    </w:p>
    <w:p>
      <w:pPr>
        <w:ind w:right="40" w:firstLine="233"/>
        <w:spacing w:after="0" w:line="239" w:lineRule="auto"/>
        <w:rPr>
          <w:sz w:val="20"/>
          <w:szCs w:val="20"/>
          <w:color w:val="auto"/>
        </w:rPr>
      </w:pPr>
      <w:r>
        <w:rPr>
          <w:rFonts w:ascii="Arial" w:cs="Arial" w:eastAsia="Arial" w:hAnsi="Arial"/>
          <w:sz w:val="17"/>
          <w:szCs w:val="17"/>
          <w:color w:val="auto"/>
        </w:rPr>
        <w:t>The executive officers’ deferred compensation account balances are unsecured and all amounts remain part of the company’s operating assets. The value of the deferred amounts tracks the performance of investment alternatives selected by the participant. These alternatives are a subset of those offered to participants in the defined contribution plans described above. The company does not guarantee any minimum return on the amounts deferred. In accordance with SEC rules, no earnings on deferred compensation are shown in the summary compensation table on page 80 for 2012 because no “above market” rates were earned on deferred amounts in that year.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stock purchase plan</w:t>
      </w:r>
    </w:p>
    <w:p>
      <w:pPr>
        <w:spacing w:after="0" w:line="16"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Our shareholders approved the TI Employees 2005 Stock Purchase Plan in April 2005. Under the plan, all employees in the U.S. and certain other countries may purchase a limited number of shares of the company’s common stock at a 15 percent discount. The plan is designed to offer the broad-based employee population an opportunity to acquire an equity interest in the company and thereby align their interests with those of shareholders. Consistent with our general approach to benefit programs, executive officers are also eligible to participate.</w:t>
      </w:r>
    </w:p>
    <w:p>
      <w:pPr>
        <w:spacing w:after="0" w:line="219" w:lineRule="exact"/>
        <w:rPr>
          <w:sz w:val="20"/>
          <w:szCs w:val="20"/>
          <w:color w:val="auto"/>
        </w:rPr>
      </w:pPr>
    </w:p>
    <w:p>
      <w:pPr>
        <w:spacing w:after="0"/>
        <w:tabs>
          <w:tab w:leader="none" w:pos="10000" w:val="left"/>
        </w:tabs>
        <w:rPr>
          <w:sz w:val="20"/>
          <w:szCs w:val="20"/>
          <w:color w:val="auto"/>
        </w:rPr>
      </w:pPr>
      <w:r>
        <w:rPr>
          <w:rFonts w:ascii="Arial" w:cs="Arial" w:eastAsia="Arial" w:hAnsi="Arial"/>
          <w:sz w:val="13"/>
          <w:szCs w:val="13"/>
          <w:b w:val="1"/>
          <w:bCs w:val="1"/>
          <w:color w:val="808285"/>
        </w:rPr>
        <w:t>78 •  2013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i w:val="1"/>
          <w:iCs w:val="1"/>
          <w:color w:val="auto"/>
        </w:rPr>
        <w:t>Health-related benefits</w:t>
      </w:r>
    </w:p>
    <w:p>
      <w:pPr>
        <w:spacing w:after="0" w:line="16" w:lineRule="exact"/>
        <w:rPr>
          <w:sz w:val="20"/>
          <w:szCs w:val="20"/>
          <w:color w:val="auto"/>
        </w:rPr>
      </w:pPr>
    </w:p>
    <w:p>
      <w:pPr>
        <w:ind w:right="240"/>
        <w:spacing w:after="0" w:line="245" w:lineRule="auto"/>
        <w:rPr>
          <w:sz w:val="20"/>
          <w:szCs w:val="20"/>
          <w:color w:val="auto"/>
        </w:rPr>
      </w:pPr>
      <w:r>
        <w:rPr>
          <w:rFonts w:ascii="Arial" w:cs="Arial" w:eastAsia="Arial" w:hAnsi="Arial"/>
          <w:sz w:val="17"/>
          <w:szCs w:val="17"/>
          <w:color w:val="auto"/>
        </w:rPr>
        <w:t>Executive officers are eligible under the same plans as all other U.S. employees for medical, dental, vision, disability and life insurance. These benefits are intended to be competitive with benefits offered in the semiconductor industry.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benefits</w:t>
      </w:r>
    </w:p>
    <w:p>
      <w:pPr>
        <w:spacing w:after="0" w:line="16"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Executive officers receive only a few benefits that are not available to all other U.S. employees. The CEO is eligible for a company-paid physical and financial counseling. In addition, the board of directors has determined that for security reasons, it is in the company’s interest to require the CEO to use company aircraft for personal air travel. Please see pages 81 (footnote 6) and 90 for further details. The company provides no tax gross-ups for perquisites to any of the executive officers.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Compensation following employment termination or change in control</w:t>
      </w:r>
    </w:p>
    <w:p>
      <w:pPr>
        <w:spacing w:after="0" w:line="237" w:lineRule="auto"/>
        <w:rPr>
          <w:sz w:val="20"/>
          <w:szCs w:val="20"/>
          <w:color w:val="auto"/>
        </w:rPr>
      </w:pPr>
      <w:r>
        <w:rPr>
          <w:rFonts w:ascii="Arial" w:cs="Arial" w:eastAsia="Arial" w:hAnsi="Arial"/>
          <w:sz w:val="17"/>
          <w:szCs w:val="17"/>
          <w:color w:val="auto"/>
        </w:rPr>
        <w:t>None of the executive officers has an employment contract. Executive officers are eligible for benefits on the same terms as other U.S. employees upon termination of employment or a change in control of the company. The current programs are described under the heading Potential Payments upon Termination or Change in Control beginning on page 89. None of the few additional benefits that the executive officers receive continue after termination of employment, except the amount for financial counseling is provided in the following year in the event of retirement. The committee reviews the potential impact of these programs before finalizing the annual compensation for the named executive officers. The committee did not raise or lower compensation for 2012 based on this review.</w:t>
      </w:r>
    </w:p>
    <w:p>
      <w:pPr>
        <w:spacing w:after="0" w:line="5" w:lineRule="exact"/>
        <w:rPr>
          <w:sz w:val="20"/>
          <w:szCs w:val="20"/>
          <w:color w:val="auto"/>
        </w:rPr>
      </w:pPr>
    </w:p>
    <w:p>
      <w:pPr>
        <w:ind w:right="80" w:firstLine="233"/>
        <w:spacing w:after="0" w:line="239" w:lineRule="auto"/>
        <w:rPr>
          <w:sz w:val="20"/>
          <w:szCs w:val="20"/>
          <w:color w:val="auto"/>
        </w:rPr>
      </w:pPr>
      <w:r>
        <w:rPr>
          <w:rFonts w:ascii="Arial" w:cs="Arial" w:eastAsia="Arial" w:hAnsi="Arial"/>
          <w:sz w:val="17"/>
          <w:szCs w:val="17"/>
          <w:color w:val="auto"/>
        </w:rPr>
        <w:t>The Texas Instruments 2009 Long-Term Incentive Plan generally establishes double-trigger change-in-control terms for grants made in 2010 and later years. Under those terms, options become fully exercisable and shares are issued under restricted stock unit awards (to the extent permitted by Section 409A of the IRC) if the grantee is involuntarily terminated within 24 months after a change in control of TI. These terms are intended to encourage employees to remain with the company through a transaction while reducing employee uncertainty and distraction in the period leading up to any such event.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 ownership guidelines and policy against hedging</w:t>
      </w:r>
    </w:p>
    <w:p>
      <w:pPr>
        <w:spacing w:after="0" w:line="237" w:lineRule="auto"/>
        <w:rPr>
          <w:sz w:val="20"/>
          <w:szCs w:val="20"/>
          <w:color w:val="auto"/>
        </w:rPr>
      </w:pPr>
      <w:r>
        <w:rPr>
          <w:rFonts w:ascii="Arial" w:cs="Arial" w:eastAsia="Arial" w:hAnsi="Arial"/>
          <w:sz w:val="17"/>
          <w:szCs w:val="17"/>
          <w:color w:val="auto"/>
        </w:rPr>
        <w:t>Our board of directors has established stock ownership guidelines for executive officers. The guideline for the CEO is four times base salary or 125,000 shares, whichever is less. The guideline for other executive officers is three times base salary or 25,000 shares, whichever is less. Executive officers have five years from their election as executive officers to reach these targets. Directly owned shares and restricted stock units count toward satisfying the guidelines.</w:t>
      </w:r>
    </w:p>
    <w:p>
      <w:pPr>
        <w:spacing w:after="0" w:line="3" w:lineRule="exact"/>
        <w:rPr>
          <w:sz w:val="20"/>
          <w:szCs w:val="20"/>
          <w:color w:val="auto"/>
        </w:rPr>
      </w:pPr>
    </w:p>
    <w:p>
      <w:pPr>
        <w:ind w:right="240" w:firstLine="233"/>
        <w:spacing w:after="0" w:line="241" w:lineRule="auto"/>
        <w:rPr>
          <w:sz w:val="20"/>
          <w:szCs w:val="20"/>
          <w:color w:val="auto"/>
        </w:rPr>
      </w:pPr>
      <w:r>
        <w:rPr>
          <w:rFonts w:ascii="Arial" w:cs="Arial" w:eastAsia="Arial" w:hAnsi="Arial"/>
          <w:sz w:val="17"/>
          <w:szCs w:val="17"/>
          <w:color w:val="auto"/>
        </w:rPr>
        <w:t>Short sales of TI stock by our executive officers are prohibited. It is against TI policy for any employee, including an executive officer, to engage in trading in “puts” (options to sell at a fixed price on or before a certain date), “calls” (similar options to buy), or other options or hedging techniques on TI stock.</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Consideration of tax and accounting treatment of compensation</w:t>
      </w:r>
    </w:p>
    <w:p>
      <w:pPr>
        <w:ind w:right="40"/>
        <w:spacing w:after="0" w:line="237" w:lineRule="auto"/>
        <w:rPr>
          <w:sz w:val="20"/>
          <w:szCs w:val="20"/>
          <w:color w:val="auto"/>
        </w:rPr>
      </w:pPr>
      <w:r>
        <w:rPr>
          <w:rFonts w:ascii="Arial" w:cs="Arial" w:eastAsia="Arial" w:hAnsi="Arial"/>
          <w:sz w:val="17"/>
          <w:szCs w:val="17"/>
          <w:color w:val="auto"/>
        </w:rPr>
        <w:t>Section 162(m) of the IRC generally denies a deduction to any publicly held corporation for compensation paid in a taxable year to the company’s CEO and four other highest compensated officers to the extent that the officer’s compensation (other than qualified performance-based compensation) exceeds $1 million. The Compensation Committee considers the impact of this deductibility limit on the compensation that it intends to award. The committee exercises its discretion to award compensation that does not meet the requirements of Section 162(m) when applying the limits of Section 162(m) would frustrate or be inconsistent with our compensation policies and/or when the value of the foregone deduction would not be material. The committee has exercised this discretion when awarding restricted stock units that vest over time, without performance conditions to vesting. The committee believes it is in the best interest of the company and its shareholders that restricted stock unit awards provide for the retention of our executive officers in all market conditions.</w:t>
      </w:r>
    </w:p>
    <w:p>
      <w:pPr>
        <w:spacing w:after="0" w:line="6" w:lineRule="exact"/>
        <w:rPr>
          <w:sz w:val="20"/>
          <w:szCs w:val="20"/>
          <w:color w:val="auto"/>
        </w:rPr>
      </w:pPr>
    </w:p>
    <w:p>
      <w:pPr>
        <w:ind w:right="60" w:firstLine="233"/>
        <w:spacing w:after="0" w:line="237" w:lineRule="auto"/>
        <w:rPr>
          <w:sz w:val="20"/>
          <w:szCs w:val="20"/>
          <w:color w:val="auto"/>
        </w:rPr>
      </w:pPr>
      <w:r>
        <w:rPr>
          <w:rFonts w:ascii="Arial" w:cs="Arial" w:eastAsia="Arial" w:hAnsi="Arial"/>
          <w:sz w:val="17"/>
          <w:szCs w:val="17"/>
          <w:color w:val="auto"/>
        </w:rPr>
        <w:t>The Texas Instruments Executive Officer Performance Plan is intended to ensure that performance bonuses under the plan are fully tax deductible under Section 162(m). The plan, which shareholders approved in 2002, is further described on page 82. The committee’s general policy is to award bonuses within the plan, although the committee reserves the discretion to pay a bonus outside the plan if it determines that it is in our shareholders’ best interest to do so. The committee set the bonuses of the named executive officers for 2012 performance at the levels described on pages 74 and 76. The bonuses were awarded within the plan.</w:t>
      </w:r>
    </w:p>
    <w:p>
      <w:pPr>
        <w:spacing w:after="0" w:line="4" w:lineRule="exact"/>
        <w:rPr>
          <w:sz w:val="20"/>
          <w:szCs w:val="20"/>
          <w:color w:val="auto"/>
        </w:rPr>
      </w:pPr>
    </w:p>
    <w:p>
      <w:pPr>
        <w:ind w:right="260" w:firstLine="233"/>
        <w:spacing w:after="0" w:line="245" w:lineRule="auto"/>
        <w:rPr>
          <w:sz w:val="20"/>
          <w:szCs w:val="20"/>
          <w:color w:val="auto"/>
        </w:rPr>
      </w:pPr>
      <w:r>
        <w:rPr>
          <w:rFonts w:ascii="Arial" w:cs="Arial" w:eastAsia="Arial" w:hAnsi="Arial"/>
          <w:sz w:val="17"/>
          <w:szCs w:val="17"/>
          <w:color w:val="auto"/>
        </w:rPr>
        <w:t>When setting equity compensation, the committee considers the estimated cost for financial reporting purposes of equity compensation it intends to grant. Its consideration of the estimated cost of grants made in 2012 is discussed on page 73 above.</w:t>
      </w:r>
    </w:p>
    <w:p>
      <w:pPr>
        <w:spacing w:after="0" w:line="214" w:lineRule="exact"/>
        <w:rPr>
          <w:sz w:val="20"/>
          <w:szCs w:val="20"/>
          <w:color w:val="auto"/>
        </w:rPr>
      </w:pPr>
    </w:p>
    <w:p>
      <w:pPr>
        <w:spacing w:after="0"/>
        <w:tabs>
          <w:tab w:leader="none" w:pos="95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2"/>
          <w:szCs w:val="12"/>
          <w:b w:val="1"/>
          <w:bCs w:val="1"/>
          <w:color w:val="808285"/>
        </w:rPr>
        <w:t>2013 PROXY STATEMENT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Compensation Committee report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Committee of the board of directors has furnished the following report:</w:t>
      </w:r>
    </w:p>
    <w:p>
      <w:pPr>
        <w:ind w:right="40" w:firstLine="233"/>
        <w:spacing w:after="0" w:line="241" w:lineRule="auto"/>
        <w:rPr>
          <w:sz w:val="20"/>
          <w:szCs w:val="20"/>
          <w:color w:val="auto"/>
        </w:rPr>
      </w:pPr>
      <w:r>
        <w:rPr>
          <w:rFonts w:ascii="Arial" w:cs="Arial" w:eastAsia="Arial" w:hAnsi="Arial"/>
          <w:sz w:val="17"/>
          <w:szCs w:val="17"/>
          <w:color w:val="auto"/>
        </w:rPr>
        <w:t>The committee has reviewed and discussed the Compensation Discussion and Analysis (CD&amp;A) with the company’s management. Based on that review and discussion, the committee has recommended to the board of directors that the CD&amp;A be included in the company’s annual report on Form 10-K for 2012 and the company’s proxy statement for the 2013 annual meeting of stockholders.</w:t>
      </w:r>
    </w:p>
    <w:p>
      <w:pPr>
        <w:spacing w:after="0" w:line="212" w:lineRule="exact"/>
        <w:rPr>
          <w:sz w:val="20"/>
          <w:szCs w:val="20"/>
          <w:color w:val="auto"/>
        </w:rPr>
      </w:pPr>
    </w:p>
    <w:p>
      <w:pPr>
        <w:ind w:left="1780"/>
        <w:spacing w:after="0"/>
        <w:tabs>
          <w:tab w:leader="none" w:pos="5080" w:val="left"/>
          <w:tab w:leader="none" w:pos="8320" w:val="left"/>
        </w:tabs>
        <w:rPr>
          <w:sz w:val="20"/>
          <w:szCs w:val="20"/>
          <w:color w:val="auto"/>
        </w:rPr>
      </w:pPr>
      <w:r>
        <w:rPr>
          <w:rFonts w:ascii="Arial" w:cs="Arial" w:eastAsia="Arial" w:hAnsi="Arial"/>
          <w:sz w:val="17"/>
          <w:szCs w:val="17"/>
          <w:color w:val="auto"/>
        </w:rPr>
        <w:t>Carrie S. Cox, Chair</w:t>
      </w:r>
      <w:r>
        <w:rPr>
          <w:sz w:val="20"/>
          <w:szCs w:val="20"/>
          <w:color w:val="auto"/>
        </w:rPr>
        <w:tab/>
      </w:r>
      <w:r>
        <w:rPr>
          <w:rFonts w:ascii="Arial" w:cs="Arial" w:eastAsia="Arial" w:hAnsi="Arial"/>
          <w:sz w:val="17"/>
          <w:szCs w:val="17"/>
          <w:color w:val="auto"/>
        </w:rPr>
        <w:t>Wayne R. Sanders</w:t>
      </w:r>
      <w:r>
        <w:rPr>
          <w:sz w:val="20"/>
          <w:szCs w:val="20"/>
          <w:color w:val="auto"/>
        </w:rPr>
        <w:tab/>
      </w:r>
      <w:r>
        <w:rPr>
          <w:rFonts w:ascii="Arial" w:cs="Arial" w:eastAsia="Arial" w:hAnsi="Arial"/>
          <w:sz w:val="16"/>
          <w:szCs w:val="16"/>
          <w:color w:val="auto"/>
        </w:rPr>
        <w:t>Ruth J. Simmons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2012 summary compensation table</w:t>
      </w:r>
    </w:p>
    <w:p>
      <w:pPr>
        <w:spacing w:after="0" w:line="225"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The table below shows the compensation of the company’s CEO, CFO and each of the other three most highly compensated individuals who were executive officers during 2012 (collectively called the “named executive officers”) for services in all capacities to the company in 2012. For a discussion of the amount of a named executive officer’s salary and bonus in proportion to his total compensation, please see the CD&amp;A on pages 68-79.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60"/>
              <w:spacing w:after="0"/>
              <w:rPr>
                <w:sz w:val="20"/>
                <w:szCs w:val="20"/>
                <w:color w:val="auto"/>
              </w:rPr>
            </w:pPr>
            <w:r>
              <w:rPr>
                <w:rFonts w:ascii="Arial" w:cs="Arial" w:eastAsia="Arial" w:hAnsi="Arial"/>
                <w:sz w:val="13"/>
                <w:szCs w:val="13"/>
                <w:b w:val="1"/>
                <w:bCs w:val="1"/>
                <w:color w:val="auto"/>
                <w:w w:val="98"/>
              </w:rPr>
              <w:t>Change in</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3"/>
        </w:trPr>
        <w:tc>
          <w:tcPr>
            <w:tcW w:w="2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3"/>
                <w:szCs w:val="13"/>
                <w:b w:val="1"/>
                <w:bCs w:val="1"/>
                <w:color w:val="auto"/>
              </w:rPr>
              <w:t>Pension Value</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3"/>
        </w:trPr>
        <w:tc>
          <w:tcPr>
            <w:tcW w:w="2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center"/>
              <w:ind w:right="160"/>
              <w:spacing w:after="0"/>
              <w:rPr>
                <w:sz w:val="20"/>
                <w:szCs w:val="20"/>
                <w:color w:val="auto"/>
              </w:rPr>
            </w:pPr>
            <w:r>
              <w:rPr>
                <w:rFonts w:ascii="Arial" w:cs="Arial" w:eastAsia="Arial" w:hAnsi="Arial"/>
                <w:sz w:val="13"/>
                <w:szCs w:val="13"/>
                <w:b w:val="1"/>
                <w:bCs w:val="1"/>
                <w:color w:val="auto"/>
                <w:w w:val="94"/>
              </w:rPr>
              <w:t>and</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3"/>
        </w:trPr>
        <w:tc>
          <w:tcPr>
            <w:tcW w:w="2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Arial" w:cs="Arial" w:eastAsia="Arial" w:hAnsi="Arial"/>
                <w:sz w:val="13"/>
                <w:szCs w:val="13"/>
                <w:b w:val="1"/>
                <w:bCs w:val="1"/>
                <w:color w:val="auto"/>
              </w:rPr>
              <w:t>Non-Equity</w:t>
            </w: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Non-qualified</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3"/>
        </w:trPr>
        <w:tc>
          <w:tcPr>
            <w:tcW w:w="2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Stock</w:t>
            </w:r>
          </w:p>
        </w:tc>
        <w:tc>
          <w:tcPr>
            <w:tcW w:w="180" w:type="dxa"/>
            <w:vAlign w:val="bottom"/>
          </w:tcPr>
          <w:p>
            <w:pPr>
              <w:spacing w:after="0"/>
              <w:rPr>
                <w:sz w:val="20"/>
                <w:szCs w:val="20"/>
                <w:color w:val="auto"/>
              </w:rPr>
            </w:pPr>
          </w:p>
        </w:tc>
        <w:tc>
          <w:tcPr>
            <w:tcW w:w="860" w:type="dxa"/>
            <w:vAlign w:val="bottom"/>
          </w:tcPr>
          <w:p>
            <w:pPr>
              <w:jc w:val="center"/>
              <w:ind w:right="120"/>
              <w:spacing w:after="0"/>
              <w:rPr>
                <w:sz w:val="20"/>
                <w:szCs w:val="20"/>
                <w:color w:val="auto"/>
              </w:rPr>
            </w:pPr>
            <w:r>
              <w:rPr>
                <w:rFonts w:ascii="Arial" w:cs="Arial" w:eastAsia="Arial" w:hAnsi="Arial"/>
                <w:sz w:val="13"/>
                <w:szCs w:val="13"/>
                <w:b w:val="1"/>
                <w:bCs w:val="1"/>
                <w:color w:val="auto"/>
              </w:rPr>
              <w:t>Option</w:t>
            </w:r>
          </w:p>
        </w:tc>
        <w:tc>
          <w:tcPr>
            <w:tcW w:w="1140" w:type="dxa"/>
            <w:vAlign w:val="bottom"/>
            <w:gridSpan w:val="2"/>
          </w:tcPr>
          <w:p>
            <w:pPr>
              <w:ind w:left="140"/>
              <w:spacing w:after="0"/>
              <w:rPr>
                <w:sz w:val="20"/>
                <w:szCs w:val="20"/>
                <w:color w:val="auto"/>
              </w:rPr>
            </w:pPr>
            <w:r>
              <w:rPr>
                <w:rFonts w:ascii="Arial" w:cs="Arial" w:eastAsia="Arial" w:hAnsi="Arial"/>
                <w:sz w:val="13"/>
                <w:szCs w:val="13"/>
                <w:b w:val="1"/>
                <w:bCs w:val="1"/>
                <w:color w:val="auto"/>
              </w:rPr>
              <w:t>Incentive Plan</w:t>
            </w:r>
          </w:p>
        </w:tc>
        <w:tc>
          <w:tcPr>
            <w:tcW w:w="240" w:type="dxa"/>
            <w:vAlign w:val="bottom"/>
          </w:tcPr>
          <w:p>
            <w:pPr>
              <w:spacing w:after="0"/>
              <w:rPr>
                <w:sz w:val="20"/>
                <w:szCs w:val="20"/>
                <w:color w:val="auto"/>
              </w:rPr>
            </w:pPr>
          </w:p>
        </w:tc>
        <w:tc>
          <w:tcPr>
            <w:tcW w:w="900" w:type="dxa"/>
            <w:vAlign w:val="bottom"/>
          </w:tcPr>
          <w:p>
            <w:pPr>
              <w:jc w:val="center"/>
              <w:ind w:right="160"/>
              <w:spacing w:after="0"/>
              <w:rPr>
                <w:sz w:val="20"/>
                <w:szCs w:val="20"/>
                <w:color w:val="auto"/>
              </w:rPr>
            </w:pPr>
            <w:r>
              <w:rPr>
                <w:rFonts w:ascii="Arial" w:cs="Arial" w:eastAsia="Arial" w:hAnsi="Arial"/>
                <w:sz w:val="13"/>
                <w:szCs w:val="13"/>
                <w:b w:val="1"/>
                <w:bCs w:val="1"/>
                <w:color w:val="auto"/>
              </w:rPr>
              <w:t>Deferred</w:t>
            </w: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All Other</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3"/>
        </w:trPr>
        <w:tc>
          <w:tcPr>
            <w:tcW w:w="2700" w:type="dxa"/>
            <w:vAlign w:val="bottom"/>
          </w:tcPr>
          <w:p>
            <w:pPr>
              <w:spacing w:after="0"/>
              <w:rPr>
                <w:sz w:val="20"/>
                <w:szCs w:val="20"/>
                <w:color w:val="auto"/>
              </w:rPr>
            </w:pPr>
            <w:r>
              <w:rPr>
                <w:rFonts w:ascii="Arial" w:cs="Arial" w:eastAsia="Arial" w:hAnsi="Arial"/>
                <w:sz w:val="13"/>
                <w:szCs w:val="13"/>
                <w:b w:val="1"/>
                <w:bCs w:val="1"/>
                <w:color w:val="auto"/>
              </w:rPr>
              <w:t>Name and Principal</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39"/>
              <w:spacing w:after="0"/>
              <w:rPr>
                <w:sz w:val="20"/>
                <w:szCs w:val="20"/>
                <w:color w:val="auto"/>
              </w:rPr>
            </w:pPr>
            <w:r>
              <w:rPr>
                <w:rFonts w:ascii="Arial" w:cs="Arial" w:eastAsia="Arial" w:hAnsi="Arial"/>
                <w:sz w:val="13"/>
                <w:szCs w:val="13"/>
                <w:b w:val="1"/>
                <w:bCs w:val="1"/>
                <w:color w:val="auto"/>
              </w:rPr>
              <w:t>Salary</w:t>
            </w:r>
          </w:p>
        </w:tc>
        <w:tc>
          <w:tcPr>
            <w:tcW w:w="560" w:type="dxa"/>
            <w:vAlign w:val="bottom"/>
          </w:tcPr>
          <w:p>
            <w:pPr>
              <w:ind w:left="80"/>
              <w:spacing w:after="0"/>
              <w:rPr>
                <w:sz w:val="20"/>
                <w:szCs w:val="20"/>
                <w:color w:val="auto"/>
              </w:rPr>
            </w:pPr>
            <w:r>
              <w:rPr>
                <w:rFonts w:ascii="Arial" w:cs="Arial" w:eastAsia="Arial" w:hAnsi="Arial"/>
                <w:sz w:val="13"/>
                <w:szCs w:val="13"/>
                <w:b w:val="1"/>
                <w:bCs w:val="1"/>
                <w:color w:val="auto"/>
              </w:rPr>
              <w:t>Bonus</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180" w:type="dxa"/>
            <w:vAlign w:val="bottom"/>
          </w:tcPr>
          <w:p>
            <w:pPr>
              <w:spacing w:after="0"/>
              <w:rPr>
                <w:sz w:val="20"/>
                <w:szCs w:val="20"/>
                <w:color w:val="auto"/>
              </w:rPr>
            </w:pPr>
          </w:p>
        </w:tc>
        <w:tc>
          <w:tcPr>
            <w:tcW w:w="860" w:type="dxa"/>
            <w:vAlign w:val="bottom"/>
          </w:tcPr>
          <w:p>
            <w:pPr>
              <w:jc w:val="center"/>
              <w:ind w:right="120"/>
              <w:spacing w:after="0"/>
              <w:rPr>
                <w:sz w:val="20"/>
                <w:szCs w:val="20"/>
                <w:color w:val="auto"/>
              </w:rPr>
            </w:pPr>
            <w:r>
              <w:rPr>
                <w:rFonts w:ascii="Arial" w:cs="Arial" w:eastAsia="Arial" w:hAnsi="Arial"/>
                <w:sz w:val="13"/>
                <w:szCs w:val="13"/>
                <w:b w:val="1"/>
                <w:bCs w:val="1"/>
                <w:color w:val="auto"/>
                <w:w w:val="97"/>
              </w:rPr>
              <w:t>Awards</w:t>
            </w:r>
          </w:p>
        </w:tc>
        <w:tc>
          <w:tcPr>
            <w:tcW w:w="1140" w:type="dxa"/>
            <w:vAlign w:val="bottom"/>
            <w:gridSpan w:val="2"/>
          </w:tcPr>
          <w:p>
            <w:pPr>
              <w:ind w:left="120"/>
              <w:spacing w:after="0"/>
              <w:rPr>
                <w:sz w:val="20"/>
                <w:szCs w:val="20"/>
                <w:color w:val="auto"/>
              </w:rPr>
            </w:pPr>
            <w:r>
              <w:rPr>
                <w:rFonts w:ascii="Arial" w:cs="Arial" w:eastAsia="Arial" w:hAnsi="Arial"/>
                <w:sz w:val="13"/>
                <w:szCs w:val="13"/>
                <w:b w:val="1"/>
                <w:bCs w:val="1"/>
                <w:color w:val="auto"/>
              </w:rPr>
              <w:t>Compensation</w:t>
            </w:r>
          </w:p>
        </w:tc>
        <w:tc>
          <w:tcPr>
            <w:tcW w:w="1140" w:type="dxa"/>
            <w:vAlign w:val="bottom"/>
            <w:gridSpan w:val="2"/>
          </w:tcPr>
          <w:p>
            <w:pPr>
              <w:ind w:left="120"/>
              <w:spacing w:after="0"/>
              <w:rPr>
                <w:sz w:val="20"/>
                <w:szCs w:val="20"/>
                <w:color w:val="auto"/>
              </w:rPr>
            </w:pPr>
            <w:r>
              <w:rPr>
                <w:rFonts w:ascii="Arial" w:cs="Arial" w:eastAsia="Arial" w:hAnsi="Arial"/>
                <w:sz w:val="13"/>
                <w:szCs w:val="13"/>
                <w:b w:val="1"/>
                <w:bCs w:val="1"/>
                <w:color w:val="auto"/>
              </w:rPr>
              <w:t>Compensation</w:t>
            </w: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Compensation</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3"/>
        </w:trPr>
        <w:tc>
          <w:tcPr>
            <w:tcW w:w="2700" w:type="dxa"/>
            <w:vAlign w:val="bottom"/>
          </w:tcPr>
          <w:p>
            <w:pPr>
              <w:spacing w:after="0"/>
              <w:rPr>
                <w:sz w:val="20"/>
                <w:szCs w:val="20"/>
                <w:color w:val="auto"/>
              </w:rPr>
            </w:pPr>
            <w:r>
              <w:rPr>
                <w:rFonts w:ascii="Arial" w:cs="Arial" w:eastAsia="Arial" w:hAnsi="Arial"/>
                <w:sz w:val="13"/>
                <w:szCs w:val="13"/>
                <w:b w:val="1"/>
                <w:bCs w:val="1"/>
                <w:color w:val="auto"/>
              </w:rPr>
              <w:t>Position</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2"/>
              </w:rPr>
              <w:t>Year</w:t>
            </w:r>
          </w:p>
        </w:tc>
        <w:tc>
          <w:tcPr>
            <w:tcW w:w="180" w:type="dxa"/>
            <w:vAlign w:val="bottom"/>
          </w:tcPr>
          <w:p>
            <w:pPr>
              <w:spacing w:after="0"/>
              <w:rPr>
                <w:sz w:val="20"/>
                <w:szCs w:val="20"/>
                <w:color w:val="auto"/>
              </w:rPr>
            </w:pPr>
          </w:p>
        </w:tc>
        <w:tc>
          <w:tcPr>
            <w:tcW w:w="840" w:type="dxa"/>
            <w:vAlign w:val="bottom"/>
          </w:tcPr>
          <w:p>
            <w:pPr>
              <w:jc w:val="right"/>
              <w:ind w:right="359"/>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($)(2)</w:t>
            </w:r>
          </w:p>
        </w:tc>
        <w:tc>
          <w:tcPr>
            <w:tcW w:w="180" w:type="dxa"/>
            <w:vAlign w:val="bottom"/>
          </w:tcPr>
          <w:p>
            <w:pPr>
              <w:spacing w:after="0"/>
              <w:rPr>
                <w:sz w:val="20"/>
                <w:szCs w:val="20"/>
                <w:color w:val="auto"/>
              </w:rPr>
            </w:pPr>
          </w:p>
        </w:tc>
        <w:tc>
          <w:tcPr>
            <w:tcW w:w="860" w:type="dxa"/>
            <w:vAlign w:val="bottom"/>
          </w:tcPr>
          <w:p>
            <w:pPr>
              <w:jc w:val="center"/>
              <w:ind w:right="120"/>
              <w:spacing w:after="0"/>
              <w:rPr>
                <w:sz w:val="20"/>
                <w:szCs w:val="20"/>
                <w:color w:val="auto"/>
              </w:rPr>
            </w:pPr>
            <w:r>
              <w:rPr>
                <w:rFonts w:ascii="Arial" w:cs="Arial" w:eastAsia="Arial" w:hAnsi="Arial"/>
                <w:sz w:val="13"/>
                <w:szCs w:val="13"/>
                <w:b w:val="1"/>
                <w:bCs w:val="1"/>
                <w:color w:val="auto"/>
                <w:w w:val="94"/>
              </w:rPr>
              <w:t>($)(3)</w:t>
            </w:r>
          </w:p>
        </w:tc>
        <w:tc>
          <w:tcPr>
            <w:tcW w:w="240" w:type="dxa"/>
            <w:vAlign w:val="bottom"/>
          </w:tcPr>
          <w:p>
            <w:pPr>
              <w:spacing w:after="0"/>
              <w:rPr>
                <w:sz w:val="20"/>
                <w:szCs w:val="20"/>
                <w:color w:val="auto"/>
              </w:rPr>
            </w:pPr>
          </w:p>
        </w:tc>
        <w:tc>
          <w:tcPr>
            <w:tcW w:w="900" w:type="dxa"/>
            <w:vAlign w:val="bottom"/>
          </w:tcPr>
          <w:p>
            <w:pPr>
              <w:jc w:val="right"/>
              <w:ind w:right="337"/>
              <w:spacing w:after="0"/>
              <w:rPr>
                <w:sz w:val="20"/>
                <w:szCs w:val="20"/>
                <w:color w:val="auto"/>
              </w:rPr>
            </w:pPr>
            <w:r>
              <w:rPr>
                <w:rFonts w:ascii="Arial" w:cs="Arial" w:eastAsia="Arial" w:hAnsi="Arial"/>
                <w:sz w:val="13"/>
                <w:szCs w:val="13"/>
                <w:b w:val="1"/>
                <w:bCs w:val="1"/>
                <w:color w:val="auto"/>
              </w:rPr>
              <w:t>($)(4)</w:t>
            </w:r>
          </w:p>
        </w:tc>
        <w:tc>
          <w:tcPr>
            <w:tcW w:w="1140" w:type="dxa"/>
            <w:vAlign w:val="bottom"/>
            <w:gridSpan w:val="2"/>
          </w:tcPr>
          <w:p>
            <w:pPr>
              <w:ind w:left="120"/>
              <w:spacing w:after="0"/>
              <w:rPr>
                <w:sz w:val="20"/>
                <w:szCs w:val="20"/>
                <w:color w:val="auto"/>
              </w:rPr>
            </w:pPr>
            <w:r>
              <w:rPr>
                <w:rFonts w:ascii="Arial" w:cs="Arial" w:eastAsia="Arial" w:hAnsi="Arial"/>
                <w:sz w:val="13"/>
                <w:szCs w:val="13"/>
                <w:b w:val="1"/>
                <w:bCs w:val="1"/>
                <w:color w:val="auto"/>
              </w:rPr>
              <w:t>Earnings ($)(5)</w:t>
            </w:r>
          </w:p>
        </w:tc>
        <w:tc>
          <w:tcPr>
            <w:tcW w:w="320" w:type="dxa"/>
            <w:vAlign w:val="bottom"/>
          </w:tcPr>
          <w:p>
            <w:pPr>
              <w:spacing w:after="0"/>
              <w:rPr>
                <w:sz w:val="20"/>
                <w:szCs w:val="20"/>
                <w:color w:val="auto"/>
              </w:rPr>
            </w:pPr>
          </w:p>
        </w:tc>
        <w:tc>
          <w:tcPr>
            <w:tcW w:w="820" w:type="dxa"/>
            <w:vAlign w:val="bottom"/>
          </w:tcPr>
          <w:p>
            <w:pPr>
              <w:jc w:val="center"/>
              <w:ind w:right="217"/>
              <w:spacing w:after="0"/>
              <w:rPr>
                <w:sz w:val="20"/>
                <w:szCs w:val="20"/>
                <w:color w:val="auto"/>
              </w:rPr>
            </w:pPr>
            <w:r>
              <w:rPr>
                <w:rFonts w:ascii="Arial" w:cs="Arial" w:eastAsia="Arial" w:hAnsi="Arial"/>
                <w:sz w:val="13"/>
                <w:szCs w:val="13"/>
                <w:b w:val="1"/>
                <w:bCs w:val="1"/>
                <w:color w:val="auto"/>
              </w:rPr>
              <w:t>($)(6)</w:t>
            </w:r>
          </w:p>
        </w:tc>
        <w:tc>
          <w:tcPr>
            <w:tcW w:w="220" w:type="dxa"/>
            <w:vAlign w:val="bottom"/>
          </w:tcPr>
          <w:p>
            <w:pPr>
              <w:spacing w:after="0"/>
              <w:rPr>
                <w:sz w:val="20"/>
                <w:szCs w:val="20"/>
                <w:color w:val="auto"/>
              </w:rPr>
            </w:pPr>
          </w:p>
        </w:tc>
        <w:tc>
          <w:tcPr>
            <w:tcW w:w="8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 ($)</w:t>
            </w:r>
          </w:p>
        </w:tc>
      </w:tr>
      <w:tr>
        <w:trPr>
          <w:trHeight w:val="45"/>
        </w:trPr>
        <w:tc>
          <w:tcPr>
            <w:tcW w:w="2700" w:type="dxa"/>
            <w:vAlign w:val="bottom"/>
            <w:tcBorders>
              <w:bottom w:val="single" w:sz="8" w:color="808285"/>
            </w:tcBorders>
          </w:tcPr>
          <w:p>
            <w:pPr>
              <w:spacing w:after="0"/>
              <w:rPr>
                <w:sz w:val="3"/>
                <w:szCs w:val="3"/>
                <w:color w:val="auto"/>
              </w:rPr>
            </w:pPr>
          </w:p>
        </w:tc>
        <w:tc>
          <w:tcPr>
            <w:tcW w:w="620" w:type="dxa"/>
            <w:vAlign w:val="bottom"/>
            <w:tcBorders>
              <w:bottom w:val="single" w:sz="8" w:color="808285"/>
            </w:tcBorders>
          </w:tcPr>
          <w:p>
            <w:pPr>
              <w:spacing w:after="0"/>
              <w:rPr>
                <w:sz w:val="3"/>
                <w:szCs w:val="3"/>
                <w:color w:val="auto"/>
              </w:rPr>
            </w:pPr>
          </w:p>
        </w:tc>
        <w:tc>
          <w:tcPr>
            <w:tcW w:w="180" w:type="dxa"/>
            <w:vAlign w:val="bottom"/>
            <w:tcBorders>
              <w:bottom w:val="single" w:sz="8" w:color="808285"/>
            </w:tcBorders>
          </w:tcPr>
          <w:p>
            <w:pPr>
              <w:spacing w:after="0"/>
              <w:rPr>
                <w:sz w:val="3"/>
                <w:szCs w:val="3"/>
                <w:color w:val="auto"/>
              </w:rPr>
            </w:pPr>
          </w:p>
        </w:tc>
        <w:tc>
          <w:tcPr>
            <w:tcW w:w="840" w:type="dxa"/>
            <w:vAlign w:val="bottom"/>
            <w:tcBorders>
              <w:bottom w:val="single" w:sz="8" w:color="808285"/>
            </w:tcBorders>
          </w:tcPr>
          <w:p>
            <w:pPr>
              <w:spacing w:after="0"/>
              <w:rPr>
                <w:sz w:val="3"/>
                <w:szCs w:val="3"/>
                <w:color w:val="auto"/>
              </w:rPr>
            </w:pPr>
          </w:p>
        </w:tc>
        <w:tc>
          <w:tcPr>
            <w:tcW w:w="560" w:type="dxa"/>
            <w:vAlign w:val="bottom"/>
            <w:tcBorders>
              <w:bottom w:val="single" w:sz="8" w:color="808285"/>
            </w:tcBorders>
          </w:tcPr>
          <w:p>
            <w:pPr>
              <w:spacing w:after="0"/>
              <w:rPr>
                <w:sz w:val="3"/>
                <w:szCs w:val="3"/>
                <w:color w:val="auto"/>
              </w:rPr>
            </w:pPr>
          </w:p>
        </w:tc>
        <w:tc>
          <w:tcPr>
            <w:tcW w:w="1000" w:type="dxa"/>
            <w:vAlign w:val="bottom"/>
            <w:tcBorders>
              <w:bottom w:val="single" w:sz="8" w:color="808285"/>
            </w:tcBorders>
          </w:tcPr>
          <w:p>
            <w:pPr>
              <w:spacing w:after="0"/>
              <w:rPr>
                <w:sz w:val="3"/>
                <w:szCs w:val="3"/>
                <w:color w:val="auto"/>
              </w:rPr>
            </w:pPr>
          </w:p>
        </w:tc>
        <w:tc>
          <w:tcPr>
            <w:tcW w:w="180" w:type="dxa"/>
            <w:vAlign w:val="bottom"/>
            <w:tcBorders>
              <w:bottom w:val="single" w:sz="8" w:color="808285"/>
            </w:tcBorders>
          </w:tcPr>
          <w:p>
            <w:pPr>
              <w:spacing w:after="0"/>
              <w:rPr>
                <w:sz w:val="3"/>
                <w:szCs w:val="3"/>
                <w:color w:val="auto"/>
              </w:rPr>
            </w:pPr>
          </w:p>
        </w:tc>
        <w:tc>
          <w:tcPr>
            <w:tcW w:w="860" w:type="dxa"/>
            <w:vAlign w:val="bottom"/>
            <w:tcBorders>
              <w:bottom w:val="single" w:sz="8" w:color="808285"/>
            </w:tcBorders>
          </w:tcPr>
          <w:p>
            <w:pPr>
              <w:spacing w:after="0"/>
              <w:rPr>
                <w:sz w:val="3"/>
                <w:szCs w:val="3"/>
                <w:color w:val="auto"/>
              </w:rPr>
            </w:pPr>
          </w:p>
        </w:tc>
        <w:tc>
          <w:tcPr>
            <w:tcW w:w="240" w:type="dxa"/>
            <w:vAlign w:val="bottom"/>
            <w:tcBorders>
              <w:bottom w:val="single" w:sz="8" w:color="808285"/>
            </w:tcBorders>
          </w:tcPr>
          <w:p>
            <w:pPr>
              <w:spacing w:after="0"/>
              <w:rPr>
                <w:sz w:val="3"/>
                <w:szCs w:val="3"/>
                <w:color w:val="auto"/>
              </w:rPr>
            </w:pPr>
          </w:p>
        </w:tc>
        <w:tc>
          <w:tcPr>
            <w:tcW w:w="900" w:type="dxa"/>
            <w:vAlign w:val="bottom"/>
            <w:tcBorders>
              <w:bottom w:val="single" w:sz="8" w:color="808285"/>
            </w:tcBorders>
          </w:tcPr>
          <w:p>
            <w:pPr>
              <w:spacing w:after="0"/>
              <w:rPr>
                <w:sz w:val="3"/>
                <w:szCs w:val="3"/>
                <w:color w:val="auto"/>
              </w:rPr>
            </w:pPr>
          </w:p>
        </w:tc>
        <w:tc>
          <w:tcPr>
            <w:tcW w:w="240" w:type="dxa"/>
            <w:vAlign w:val="bottom"/>
            <w:tcBorders>
              <w:bottom w:val="single" w:sz="8" w:color="808285"/>
            </w:tcBorders>
          </w:tcPr>
          <w:p>
            <w:pPr>
              <w:spacing w:after="0"/>
              <w:rPr>
                <w:sz w:val="3"/>
                <w:szCs w:val="3"/>
                <w:color w:val="auto"/>
              </w:rPr>
            </w:pPr>
          </w:p>
        </w:tc>
        <w:tc>
          <w:tcPr>
            <w:tcW w:w="900" w:type="dxa"/>
            <w:vAlign w:val="bottom"/>
            <w:tcBorders>
              <w:bottom w:val="single" w:sz="8" w:color="808285"/>
            </w:tcBorders>
          </w:tcPr>
          <w:p>
            <w:pPr>
              <w:spacing w:after="0"/>
              <w:rPr>
                <w:sz w:val="3"/>
                <w:szCs w:val="3"/>
                <w:color w:val="auto"/>
              </w:rPr>
            </w:pPr>
          </w:p>
        </w:tc>
        <w:tc>
          <w:tcPr>
            <w:tcW w:w="320" w:type="dxa"/>
            <w:vAlign w:val="bottom"/>
            <w:tcBorders>
              <w:bottom w:val="single" w:sz="8" w:color="808285"/>
            </w:tcBorders>
          </w:tcPr>
          <w:p>
            <w:pPr>
              <w:spacing w:after="0"/>
              <w:rPr>
                <w:sz w:val="3"/>
                <w:szCs w:val="3"/>
                <w:color w:val="auto"/>
              </w:rPr>
            </w:pPr>
          </w:p>
        </w:tc>
        <w:tc>
          <w:tcPr>
            <w:tcW w:w="820" w:type="dxa"/>
            <w:vAlign w:val="bottom"/>
            <w:tcBorders>
              <w:bottom w:val="single" w:sz="8" w:color="808285"/>
            </w:tcBorders>
          </w:tcPr>
          <w:p>
            <w:pPr>
              <w:spacing w:after="0"/>
              <w:rPr>
                <w:sz w:val="3"/>
                <w:szCs w:val="3"/>
                <w:color w:val="auto"/>
              </w:rPr>
            </w:pPr>
          </w:p>
        </w:tc>
        <w:tc>
          <w:tcPr>
            <w:tcW w:w="220" w:type="dxa"/>
            <w:vAlign w:val="bottom"/>
            <w:tcBorders>
              <w:bottom w:val="single" w:sz="8" w:color="808285"/>
            </w:tcBorders>
          </w:tcPr>
          <w:p>
            <w:pPr>
              <w:spacing w:after="0"/>
              <w:rPr>
                <w:sz w:val="3"/>
                <w:szCs w:val="3"/>
                <w:color w:val="auto"/>
              </w:rPr>
            </w:pPr>
          </w:p>
        </w:tc>
        <w:tc>
          <w:tcPr>
            <w:tcW w:w="840" w:type="dxa"/>
            <w:vAlign w:val="bottom"/>
            <w:tcBorders>
              <w:bottom w:val="single" w:sz="8" w:color="808285"/>
            </w:tcBorders>
          </w:tcPr>
          <w:p>
            <w:pPr>
              <w:spacing w:after="0"/>
              <w:rPr>
                <w:sz w:val="3"/>
                <w:szCs w:val="3"/>
                <w:color w:val="auto"/>
              </w:rPr>
            </w:pPr>
          </w:p>
        </w:tc>
      </w:tr>
      <w:tr>
        <w:trPr>
          <w:trHeight w:val="218"/>
        </w:trPr>
        <w:tc>
          <w:tcPr>
            <w:tcW w:w="2700" w:type="dxa"/>
            <w:vAlign w:val="bottom"/>
            <w:shd w:val="clear" w:color="auto" w:fill="E9E9E9"/>
          </w:tcPr>
          <w:p>
            <w:pPr>
              <w:spacing w:after="0"/>
              <w:rPr>
                <w:sz w:val="20"/>
                <w:szCs w:val="20"/>
                <w:color w:val="auto"/>
              </w:rPr>
            </w:pPr>
            <w:r>
              <w:rPr>
                <w:rFonts w:ascii="Arial" w:cs="Arial" w:eastAsia="Arial" w:hAnsi="Arial"/>
                <w:sz w:val="17"/>
                <w:szCs w:val="17"/>
                <w:color w:val="auto"/>
              </w:rPr>
              <w:t>Richard K. Templeton</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2012</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1,035,841</w:t>
            </w:r>
          </w:p>
        </w:tc>
        <w:tc>
          <w:tcPr>
            <w:tcW w:w="5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$5,123,688</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20"/>
              <w:spacing w:after="0"/>
              <w:rPr>
                <w:sz w:val="20"/>
                <w:szCs w:val="20"/>
                <w:color w:val="auto"/>
              </w:rPr>
            </w:pPr>
            <w:r>
              <w:rPr>
                <w:rFonts w:ascii="Arial" w:cs="Arial" w:eastAsia="Arial" w:hAnsi="Arial"/>
                <w:sz w:val="17"/>
                <w:szCs w:val="17"/>
                <w:color w:val="auto"/>
                <w:w w:val="97"/>
              </w:rPr>
              <w:t>3,950,347</w:t>
            </w:r>
          </w:p>
        </w:tc>
        <w:tc>
          <w:tcPr>
            <w:tcW w:w="240" w:type="dxa"/>
            <w:vAlign w:val="bottom"/>
            <w:shd w:val="clear" w:color="auto" w:fill="E9E9E9"/>
          </w:tcPr>
          <w:p>
            <w:pPr>
              <w:ind w:left="14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E9E9E9"/>
          </w:tcPr>
          <w:p>
            <w:pPr>
              <w:jc w:val="right"/>
              <w:ind w:right="57"/>
              <w:spacing w:after="0"/>
              <w:rPr>
                <w:sz w:val="20"/>
                <w:szCs w:val="20"/>
                <w:color w:val="auto"/>
              </w:rPr>
            </w:pPr>
            <w:r>
              <w:rPr>
                <w:rFonts w:ascii="Arial" w:cs="Arial" w:eastAsia="Arial" w:hAnsi="Arial"/>
                <w:sz w:val="17"/>
                <w:szCs w:val="17"/>
                <w:color w:val="auto"/>
                <w:w w:val="97"/>
              </w:rPr>
              <w:t>2,748,581</w:t>
            </w:r>
          </w:p>
        </w:tc>
        <w:tc>
          <w:tcPr>
            <w:tcW w:w="240" w:type="dxa"/>
            <w:vAlign w:val="bottom"/>
            <w:shd w:val="clear" w:color="auto" w:fill="E9E9E9"/>
          </w:tcPr>
          <w:p>
            <w:pPr>
              <w:ind w:left="14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E9E9E9"/>
          </w:tcPr>
          <w:p>
            <w:pPr>
              <w:jc w:val="right"/>
              <w:ind w:right="60"/>
              <w:spacing w:after="0"/>
              <w:rPr>
                <w:sz w:val="20"/>
                <w:szCs w:val="20"/>
                <w:color w:val="auto"/>
              </w:rPr>
            </w:pPr>
            <w:r>
              <w:rPr>
                <w:rFonts w:ascii="Arial" w:cs="Arial" w:eastAsia="Arial" w:hAnsi="Arial"/>
                <w:sz w:val="17"/>
                <w:szCs w:val="17"/>
                <w:color w:val="auto"/>
              </w:rPr>
              <w:t>185,472</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right"/>
              <w:ind w:right="117"/>
              <w:spacing w:after="0"/>
              <w:rPr>
                <w:sz w:val="20"/>
                <w:szCs w:val="20"/>
                <w:color w:val="auto"/>
              </w:rPr>
            </w:pPr>
            <w:r>
              <w:rPr>
                <w:rFonts w:ascii="Arial" w:cs="Arial" w:eastAsia="Arial" w:hAnsi="Arial"/>
                <w:sz w:val="17"/>
                <w:szCs w:val="17"/>
                <w:color w:val="auto"/>
                <w:w w:val="97"/>
              </w:rPr>
              <w:t>272,710</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13,316,639</w:t>
            </w:r>
          </w:p>
        </w:tc>
      </w:tr>
      <w:tr>
        <w:trPr>
          <w:trHeight w:val="233"/>
        </w:trPr>
        <w:tc>
          <w:tcPr>
            <w:tcW w:w="2700" w:type="dxa"/>
            <w:vAlign w:val="bottom"/>
            <w:shd w:val="clear" w:color="auto" w:fill="E9E9E9"/>
          </w:tcPr>
          <w:p>
            <w:pPr>
              <w:ind w:left="240"/>
              <w:spacing w:after="0"/>
              <w:rPr>
                <w:sz w:val="20"/>
                <w:szCs w:val="20"/>
                <w:color w:val="auto"/>
              </w:rPr>
            </w:pPr>
            <w:r>
              <w:rPr>
                <w:rFonts w:ascii="Arial" w:cs="Arial" w:eastAsia="Arial" w:hAnsi="Arial"/>
                <w:sz w:val="17"/>
                <w:szCs w:val="17"/>
                <w:color w:val="auto"/>
              </w:rPr>
              <w:t>Chairman, President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2011</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990,087</w:t>
            </w:r>
          </w:p>
        </w:tc>
        <w:tc>
          <w:tcPr>
            <w:tcW w:w="5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$5,194,500</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20"/>
              <w:spacing w:after="0"/>
              <w:rPr>
                <w:sz w:val="20"/>
                <w:szCs w:val="20"/>
                <w:color w:val="auto"/>
              </w:rPr>
            </w:pPr>
            <w:r>
              <w:rPr>
                <w:rFonts w:ascii="Arial" w:cs="Arial" w:eastAsia="Arial" w:hAnsi="Arial"/>
                <w:sz w:val="17"/>
                <w:szCs w:val="17"/>
                <w:color w:val="auto"/>
                <w:w w:val="97"/>
              </w:rPr>
              <w:t>4,689,075</w:t>
            </w:r>
          </w:p>
        </w:tc>
        <w:tc>
          <w:tcPr>
            <w:tcW w:w="240" w:type="dxa"/>
            <w:vAlign w:val="bottom"/>
            <w:shd w:val="clear" w:color="auto" w:fill="E9E9E9"/>
          </w:tcPr>
          <w:p>
            <w:pPr>
              <w:ind w:left="14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E9E9E9"/>
          </w:tcPr>
          <w:p>
            <w:pPr>
              <w:jc w:val="right"/>
              <w:ind w:right="57"/>
              <w:spacing w:after="0"/>
              <w:rPr>
                <w:sz w:val="20"/>
                <w:szCs w:val="20"/>
                <w:color w:val="auto"/>
              </w:rPr>
            </w:pPr>
            <w:r>
              <w:rPr>
                <w:rFonts w:ascii="Arial" w:cs="Arial" w:eastAsia="Arial" w:hAnsi="Arial"/>
                <w:sz w:val="17"/>
                <w:szCs w:val="17"/>
                <w:color w:val="auto"/>
                <w:w w:val="97"/>
              </w:rPr>
              <w:t>2,778,118</w:t>
            </w:r>
          </w:p>
        </w:tc>
        <w:tc>
          <w:tcPr>
            <w:tcW w:w="240" w:type="dxa"/>
            <w:vAlign w:val="bottom"/>
            <w:shd w:val="clear" w:color="auto" w:fill="E9E9E9"/>
          </w:tcPr>
          <w:p>
            <w:pPr>
              <w:ind w:left="14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E9E9E9"/>
          </w:tcPr>
          <w:p>
            <w:pPr>
              <w:jc w:val="right"/>
              <w:ind w:right="60"/>
              <w:spacing w:after="0"/>
              <w:rPr>
                <w:sz w:val="20"/>
                <w:szCs w:val="20"/>
                <w:color w:val="auto"/>
              </w:rPr>
            </w:pPr>
            <w:r>
              <w:rPr>
                <w:rFonts w:ascii="Arial" w:cs="Arial" w:eastAsia="Arial" w:hAnsi="Arial"/>
                <w:sz w:val="17"/>
                <w:szCs w:val="17"/>
                <w:color w:val="auto"/>
              </w:rPr>
              <w:t>149,704</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right"/>
              <w:ind w:right="117"/>
              <w:spacing w:after="0"/>
              <w:rPr>
                <w:sz w:val="20"/>
                <w:szCs w:val="20"/>
                <w:color w:val="auto"/>
              </w:rPr>
            </w:pPr>
            <w:r>
              <w:rPr>
                <w:rFonts w:ascii="Arial" w:cs="Arial" w:eastAsia="Arial" w:hAnsi="Arial"/>
                <w:sz w:val="17"/>
                <w:szCs w:val="17"/>
                <w:color w:val="auto"/>
                <w:w w:val="97"/>
              </w:rPr>
              <w:t>254,283</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14,055,767</w:t>
            </w:r>
          </w:p>
        </w:tc>
      </w:tr>
      <w:tr>
        <w:trPr>
          <w:trHeight w:val="247"/>
        </w:trPr>
        <w:tc>
          <w:tcPr>
            <w:tcW w:w="2700" w:type="dxa"/>
            <w:vAlign w:val="bottom"/>
            <w:shd w:val="clear" w:color="auto" w:fill="E9E9E9"/>
          </w:tcPr>
          <w:p>
            <w:pPr>
              <w:ind w:left="240"/>
              <w:spacing w:after="0"/>
              <w:rPr>
                <w:sz w:val="20"/>
                <w:szCs w:val="20"/>
                <w:color w:val="auto"/>
              </w:rPr>
            </w:pPr>
            <w:r>
              <w:rPr>
                <w:rFonts w:ascii="Arial" w:cs="Arial" w:eastAsia="Arial" w:hAnsi="Arial"/>
                <w:sz w:val="17"/>
                <w:szCs w:val="17"/>
                <w:color w:val="auto"/>
              </w:rPr>
              <w:t>&amp; Chief Executive Officer</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2010</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987,840</w:t>
            </w:r>
          </w:p>
        </w:tc>
        <w:tc>
          <w:tcPr>
            <w:tcW w:w="5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$4,149,000</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20"/>
              <w:spacing w:after="0"/>
              <w:rPr>
                <w:sz w:val="20"/>
                <w:szCs w:val="20"/>
                <w:color w:val="auto"/>
              </w:rPr>
            </w:pPr>
            <w:r>
              <w:rPr>
                <w:rFonts w:ascii="Arial" w:cs="Arial" w:eastAsia="Arial" w:hAnsi="Arial"/>
                <w:sz w:val="17"/>
                <w:szCs w:val="17"/>
                <w:color w:val="auto"/>
                <w:w w:val="97"/>
              </w:rPr>
              <w:t>3,566,066</w:t>
            </w:r>
          </w:p>
        </w:tc>
        <w:tc>
          <w:tcPr>
            <w:tcW w:w="240" w:type="dxa"/>
            <w:vAlign w:val="bottom"/>
            <w:shd w:val="clear" w:color="auto" w:fill="E9E9E9"/>
          </w:tcPr>
          <w:p>
            <w:pPr>
              <w:ind w:left="14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E9E9E9"/>
          </w:tcPr>
          <w:p>
            <w:pPr>
              <w:jc w:val="right"/>
              <w:ind w:right="57"/>
              <w:spacing w:after="0"/>
              <w:rPr>
                <w:sz w:val="20"/>
                <w:szCs w:val="20"/>
                <w:color w:val="auto"/>
              </w:rPr>
            </w:pPr>
            <w:r>
              <w:rPr>
                <w:rFonts w:ascii="Arial" w:cs="Arial" w:eastAsia="Arial" w:hAnsi="Arial"/>
                <w:sz w:val="17"/>
                <w:szCs w:val="17"/>
                <w:color w:val="auto"/>
                <w:w w:val="97"/>
              </w:rPr>
              <w:t>3,171,094</w:t>
            </w:r>
          </w:p>
        </w:tc>
        <w:tc>
          <w:tcPr>
            <w:tcW w:w="240" w:type="dxa"/>
            <w:vAlign w:val="bottom"/>
            <w:shd w:val="clear" w:color="auto" w:fill="E9E9E9"/>
          </w:tcPr>
          <w:p>
            <w:pPr>
              <w:ind w:left="14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E9E9E9"/>
          </w:tcPr>
          <w:p>
            <w:pPr>
              <w:jc w:val="right"/>
              <w:ind w:right="60"/>
              <w:spacing w:after="0"/>
              <w:rPr>
                <w:sz w:val="20"/>
                <w:szCs w:val="20"/>
                <w:color w:val="auto"/>
              </w:rPr>
            </w:pPr>
            <w:r>
              <w:rPr>
                <w:rFonts w:ascii="Arial" w:cs="Arial" w:eastAsia="Arial" w:hAnsi="Arial"/>
                <w:sz w:val="17"/>
                <w:szCs w:val="17"/>
                <w:color w:val="auto"/>
              </w:rPr>
              <w:t>98,899</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right"/>
              <w:ind w:right="117"/>
              <w:spacing w:after="0"/>
              <w:rPr>
                <w:sz w:val="20"/>
                <w:szCs w:val="20"/>
                <w:color w:val="auto"/>
              </w:rPr>
            </w:pPr>
            <w:r>
              <w:rPr>
                <w:rFonts w:ascii="Arial" w:cs="Arial" w:eastAsia="Arial" w:hAnsi="Arial"/>
                <w:sz w:val="17"/>
                <w:szCs w:val="17"/>
                <w:color w:val="auto"/>
                <w:w w:val="97"/>
              </w:rPr>
              <w:t>240,521</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12,213,420</w:t>
            </w:r>
          </w:p>
        </w:tc>
      </w:tr>
      <w:tr>
        <w:trPr>
          <w:trHeight w:val="233"/>
        </w:trPr>
        <w:tc>
          <w:tcPr>
            <w:tcW w:w="2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8"/>
        </w:trPr>
        <w:tc>
          <w:tcPr>
            <w:tcW w:w="2700" w:type="dxa"/>
            <w:vAlign w:val="bottom"/>
            <w:shd w:val="clear" w:color="auto" w:fill="E9E9E9"/>
          </w:tcPr>
          <w:p>
            <w:pPr>
              <w:spacing w:after="0"/>
              <w:rPr>
                <w:sz w:val="20"/>
                <w:szCs w:val="20"/>
                <w:color w:val="auto"/>
              </w:rPr>
            </w:pPr>
            <w:r>
              <w:rPr>
                <w:rFonts w:ascii="Arial" w:cs="Arial" w:eastAsia="Arial" w:hAnsi="Arial"/>
                <w:sz w:val="17"/>
                <w:szCs w:val="17"/>
                <w:color w:val="auto"/>
              </w:rPr>
              <w:t>Kevin P. March</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2012</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587,917</w:t>
            </w:r>
          </w:p>
        </w:tc>
        <w:tc>
          <w:tcPr>
            <w:tcW w:w="5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$1,618,000</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20"/>
              <w:spacing w:after="0"/>
              <w:rPr>
                <w:sz w:val="20"/>
                <w:szCs w:val="20"/>
                <w:color w:val="auto"/>
              </w:rPr>
            </w:pPr>
            <w:r>
              <w:rPr>
                <w:rFonts w:ascii="Arial" w:cs="Arial" w:eastAsia="Arial" w:hAnsi="Arial"/>
                <w:sz w:val="17"/>
                <w:szCs w:val="17"/>
                <w:color w:val="auto"/>
                <w:w w:val="97"/>
              </w:rPr>
              <w:t>1,247,478</w:t>
            </w:r>
          </w:p>
        </w:tc>
        <w:tc>
          <w:tcPr>
            <w:tcW w:w="240" w:type="dxa"/>
            <w:vAlign w:val="bottom"/>
            <w:shd w:val="clear" w:color="auto" w:fill="E9E9E9"/>
          </w:tcPr>
          <w:p>
            <w:pPr>
              <w:ind w:left="14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E9E9E9"/>
          </w:tcPr>
          <w:p>
            <w:pPr>
              <w:jc w:val="right"/>
              <w:ind w:right="57"/>
              <w:spacing w:after="0"/>
              <w:rPr>
                <w:sz w:val="20"/>
                <w:szCs w:val="20"/>
                <w:color w:val="auto"/>
              </w:rPr>
            </w:pPr>
            <w:r>
              <w:rPr>
                <w:rFonts w:ascii="Arial" w:cs="Arial" w:eastAsia="Arial" w:hAnsi="Arial"/>
                <w:sz w:val="17"/>
                <w:szCs w:val="17"/>
                <w:color w:val="auto"/>
              </w:rPr>
              <w:t>902,573</w:t>
            </w:r>
          </w:p>
        </w:tc>
        <w:tc>
          <w:tcPr>
            <w:tcW w:w="1140" w:type="dxa"/>
            <w:vAlign w:val="bottom"/>
            <w:gridSpan w:val="2"/>
            <w:shd w:val="clear" w:color="auto" w:fill="E9E9E9"/>
          </w:tcPr>
          <w:p>
            <w:pPr>
              <w:jc w:val="right"/>
              <w:ind w:right="60"/>
              <w:spacing w:after="0"/>
              <w:rPr>
                <w:sz w:val="20"/>
                <w:szCs w:val="20"/>
                <w:color w:val="auto"/>
              </w:rPr>
            </w:pPr>
            <w:r>
              <w:rPr>
                <w:rFonts w:ascii="Arial" w:cs="Arial" w:eastAsia="Arial" w:hAnsi="Arial"/>
                <w:sz w:val="17"/>
                <w:szCs w:val="17"/>
                <w:color w:val="auto"/>
              </w:rPr>
              <w:t>$1,065,717</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right"/>
              <w:ind w:right="117"/>
              <w:spacing w:after="0"/>
              <w:rPr>
                <w:sz w:val="20"/>
                <w:szCs w:val="20"/>
                <w:color w:val="auto"/>
              </w:rPr>
            </w:pPr>
            <w:r>
              <w:rPr>
                <w:rFonts w:ascii="Arial" w:cs="Arial" w:eastAsia="Arial" w:hAnsi="Arial"/>
                <w:sz w:val="17"/>
                <w:szCs w:val="17"/>
                <w:color w:val="auto"/>
              </w:rPr>
              <w:t>20,244</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5,441,929</w:t>
            </w:r>
          </w:p>
        </w:tc>
      </w:tr>
      <w:tr>
        <w:trPr>
          <w:trHeight w:val="233"/>
        </w:trPr>
        <w:tc>
          <w:tcPr>
            <w:tcW w:w="2700" w:type="dxa"/>
            <w:vAlign w:val="bottom"/>
            <w:shd w:val="clear" w:color="auto" w:fill="E9E9E9"/>
          </w:tcPr>
          <w:p>
            <w:pPr>
              <w:ind w:left="240"/>
              <w:spacing w:after="0"/>
              <w:rPr>
                <w:sz w:val="20"/>
                <w:szCs w:val="20"/>
                <w:color w:val="auto"/>
              </w:rPr>
            </w:pPr>
            <w:r>
              <w:rPr>
                <w:rFonts w:ascii="Arial" w:cs="Arial" w:eastAsia="Arial" w:hAnsi="Arial"/>
                <w:sz w:val="17"/>
                <w:szCs w:val="17"/>
                <w:color w:val="auto"/>
              </w:rPr>
              <w:t>Senior Vice President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2011</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562,091</w:t>
            </w:r>
          </w:p>
        </w:tc>
        <w:tc>
          <w:tcPr>
            <w:tcW w:w="5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$1,587,231</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20"/>
              <w:spacing w:after="0"/>
              <w:rPr>
                <w:sz w:val="20"/>
                <w:szCs w:val="20"/>
                <w:color w:val="auto"/>
              </w:rPr>
            </w:pPr>
            <w:r>
              <w:rPr>
                <w:rFonts w:ascii="Arial" w:cs="Arial" w:eastAsia="Arial" w:hAnsi="Arial"/>
                <w:sz w:val="17"/>
                <w:szCs w:val="17"/>
                <w:color w:val="auto"/>
                <w:w w:val="97"/>
              </w:rPr>
              <w:t>1,432,773</w:t>
            </w:r>
          </w:p>
        </w:tc>
        <w:tc>
          <w:tcPr>
            <w:tcW w:w="240" w:type="dxa"/>
            <w:vAlign w:val="bottom"/>
            <w:shd w:val="clear" w:color="auto" w:fill="E9E9E9"/>
          </w:tcPr>
          <w:p>
            <w:pPr>
              <w:ind w:left="14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E9E9E9"/>
          </w:tcPr>
          <w:p>
            <w:pPr>
              <w:jc w:val="right"/>
              <w:ind w:right="57"/>
              <w:spacing w:after="0"/>
              <w:rPr>
                <w:sz w:val="20"/>
                <w:szCs w:val="20"/>
                <w:color w:val="auto"/>
              </w:rPr>
            </w:pPr>
            <w:r>
              <w:rPr>
                <w:rFonts w:ascii="Arial" w:cs="Arial" w:eastAsia="Arial" w:hAnsi="Arial"/>
                <w:sz w:val="17"/>
                <w:szCs w:val="17"/>
                <w:color w:val="auto"/>
              </w:rPr>
              <w:t>919,349</w:t>
            </w:r>
          </w:p>
        </w:tc>
        <w:tc>
          <w:tcPr>
            <w:tcW w:w="240" w:type="dxa"/>
            <w:vAlign w:val="bottom"/>
            <w:shd w:val="clear" w:color="auto" w:fill="E9E9E9"/>
          </w:tcPr>
          <w:p>
            <w:pPr>
              <w:ind w:left="14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E9E9E9"/>
          </w:tcPr>
          <w:p>
            <w:pPr>
              <w:jc w:val="right"/>
              <w:ind w:right="60"/>
              <w:spacing w:after="0"/>
              <w:rPr>
                <w:sz w:val="20"/>
                <w:szCs w:val="20"/>
                <w:color w:val="auto"/>
              </w:rPr>
            </w:pPr>
            <w:r>
              <w:rPr>
                <w:rFonts w:ascii="Arial" w:cs="Arial" w:eastAsia="Arial" w:hAnsi="Arial"/>
                <w:sz w:val="17"/>
                <w:szCs w:val="17"/>
                <w:color w:val="auto"/>
              </w:rPr>
              <w:t>896,326</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right"/>
              <w:ind w:right="117"/>
              <w:spacing w:after="0"/>
              <w:rPr>
                <w:sz w:val="20"/>
                <w:szCs w:val="20"/>
                <w:color w:val="auto"/>
              </w:rPr>
            </w:pPr>
            <w:r>
              <w:rPr>
                <w:rFonts w:ascii="Arial" w:cs="Arial" w:eastAsia="Arial" w:hAnsi="Arial"/>
                <w:sz w:val="17"/>
                <w:szCs w:val="17"/>
                <w:color w:val="auto"/>
              </w:rPr>
              <w:t>39,925</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5,437,695</w:t>
            </w:r>
          </w:p>
        </w:tc>
      </w:tr>
      <w:tr>
        <w:trPr>
          <w:trHeight w:val="247"/>
        </w:trPr>
        <w:tc>
          <w:tcPr>
            <w:tcW w:w="2700" w:type="dxa"/>
            <w:vAlign w:val="bottom"/>
            <w:shd w:val="clear" w:color="auto" w:fill="E9E9E9"/>
          </w:tcPr>
          <w:p>
            <w:pPr>
              <w:ind w:left="240"/>
              <w:spacing w:after="0"/>
              <w:rPr>
                <w:sz w:val="20"/>
                <w:szCs w:val="20"/>
                <w:color w:val="auto"/>
              </w:rPr>
            </w:pPr>
            <w:r>
              <w:rPr>
                <w:rFonts w:ascii="Arial" w:cs="Arial" w:eastAsia="Arial" w:hAnsi="Arial"/>
                <w:sz w:val="17"/>
                <w:szCs w:val="17"/>
                <w:color w:val="auto"/>
              </w:rPr>
              <w:t>&amp; Chief Financial Officer</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2010</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524,587</w:t>
            </w:r>
          </w:p>
        </w:tc>
        <w:tc>
          <w:tcPr>
            <w:tcW w:w="5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$1,238,961</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20"/>
              <w:spacing w:after="0"/>
              <w:rPr>
                <w:sz w:val="20"/>
                <w:szCs w:val="20"/>
                <w:color w:val="auto"/>
              </w:rPr>
            </w:pPr>
            <w:r>
              <w:rPr>
                <w:rFonts w:ascii="Arial" w:cs="Arial" w:eastAsia="Arial" w:hAnsi="Arial"/>
                <w:sz w:val="17"/>
                <w:szCs w:val="17"/>
                <w:color w:val="auto"/>
                <w:w w:val="97"/>
              </w:rPr>
              <w:t>1,064,867</w:t>
            </w:r>
          </w:p>
        </w:tc>
        <w:tc>
          <w:tcPr>
            <w:tcW w:w="240" w:type="dxa"/>
            <w:vAlign w:val="bottom"/>
            <w:shd w:val="clear" w:color="auto" w:fill="E9E9E9"/>
          </w:tcPr>
          <w:p>
            <w:pPr>
              <w:ind w:left="14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E9E9E9"/>
          </w:tcPr>
          <w:p>
            <w:pPr>
              <w:jc w:val="right"/>
              <w:ind w:right="57"/>
              <w:spacing w:after="0"/>
              <w:rPr>
                <w:sz w:val="20"/>
                <w:szCs w:val="20"/>
                <w:color w:val="auto"/>
              </w:rPr>
            </w:pPr>
            <w:r>
              <w:rPr>
                <w:rFonts w:ascii="Arial" w:cs="Arial" w:eastAsia="Arial" w:hAnsi="Arial"/>
                <w:sz w:val="17"/>
                <w:szCs w:val="17"/>
                <w:color w:val="auto"/>
                <w:w w:val="97"/>
              </w:rPr>
              <w:t>1,065,858</w:t>
            </w:r>
          </w:p>
        </w:tc>
        <w:tc>
          <w:tcPr>
            <w:tcW w:w="240" w:type="dxa"/>
            <w:vAlign w:val="bottom"/>
            <w:shd w:val="clear" w:color="auto" w:fill="E9E9E9"/>
          </w:tcPr>
          <w:p>
            <w:pPr>
              <w:ind w:left="14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E9E9E9"/>
          </w:tcPr>
          <w:p>
            <w:pPr>
              <w:jc w:val="right"/>
              <w:ind w:right="60"/>
              <w:spacing w:after="0"/>
              <w:rPr>
                <w:sz w:val="20"/>
                <w:szCs w:val="20"/>
                <w:color w:val="auto"/>
              </w:rPr>
            </w:pPr>
            <w:r>
              <w:rPr>
                <w:rFonts w:ascii="Arial" w:cs="Arial" w:eastAsia="Arial" w:hAnsi="Arial"/>
                <w:sz w:val="17"/>
                <w:szCs w:val="17"/>
                <w:color w:val="auto"/>
              </w:rPr>
              <w:t>558,705</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right"/>
              <w:ind w:right="117"/>
              <w:spacing w:after="0"/>
              <w:rPr>
                <w:sz w:val="20"/>
                <w:szCs w:val="20"/>
                <w:color w:val="auto"/>
              </w:rPr>
            </w:pPr>
            <w:r>
              <w:rPr>
                <w:rFonts w:ascii="Arial" w:cs="Arial" w:eastAsia="Arial" w:hAnsi="Arial"/>
                <w:sz w:val="17"/>
                <w:szCs w:val="17"/>
                <w:color w:val="auto"/>
              </w:rPr>
              <w:t>19,995</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4,472,973</w:t>
            </w:r>
          </w:p>
        </w:tc>
      </w:tr>
      <w:tr>
        <w:trPr>
          <w:trHeight w:val="233"/>
        </w:trPr>
        <w:tc>
          <w:tcPr>
            <w:tcW w:w="2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8"/>
        </w:trPr>
        <w:tc>
          <w:tcPr>
            <w:tcW w:w="2700" w:type="dxa"/>
            <w:vAlign w:val="bottom"/>
            <w:shd w:val="clear" w:color="auto" w:fill="E9E9E9"/>
          </w:tcPr>
          <w:p>
            <w:pPr>
              <w:spacing w:after="0"/>
              <w:rPr>
                <w:sz w:val="20"/>
                <w:szCs w:val="20"/>
                <w:color w:val="auto"/>
              </w:rPr>
            </w:pPr>
            <w:r>
              <w:rPr>
                <w:rFonts w:ascii="Arial" w:cs="Arial" w:eastAsia="Arial" w:hAnsi="Arial"/>
                <w:sz w:val="17"/>
                <w:szCs w:val="17"/>
                <w:color w:val="auto"/>
              </w:rPr>
              <w:t>Brian T. Crutcher</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2012</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587,917</w:t>
            </w:r>
          </w:p>
        </w:tc>
        <w:tc>
          <w:tcPr>
            <w:tcW w:w="5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$4,782,500</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20"/>
              <w:spacing w:after="0"/>
              <w:rPr>
                <w:sz w:val="20"/>
                <w:szCs w:val="20"/>
                <w:color w:val="auto"/>
              </w:rPr>
            </w:pPr>
            <w:r>
              <w:rPr>
                <w:rFonts w:ascii="Arial" w:cs="Arial" w:eastAsia="Arial" w:hAnsi="Arial"/>
                <w:sz w:val="17"/>
                <w:szCs w:val="17"/>
                <w:color w:val="auto"/>
                <w:w w:val="97"/>
              </w:rPr>
              <w:t>1,559,348</w:t>
            </w:r>
          </w:p>
        </w:tc>
        <w:tc>
          <w:tcPr>
            <w:tcW w:w="240" w:type="dxa"/>
            <w:vAlign w:val="bottom"/>
            <w:shd w:val="clear" w:color="auto" w:fill="E9E9E9"/>
          </w:tcPr>
          <w:p>
            <w:pPr>
              <w:ind w:left="14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E9E9E9"/>
          </w:tcPr>
          <w:p>
            <w:pPr>
              <w:jc w:val="right"/>
              <w:ind w:right="57"/>
              <w:spacing w:after="0"/>
              <w:rPr>
                <w:sz w:val="20"/>
                <w:szCs w:val="20"/>
                <w:color w:val="auto"/>
              </w:rPr>
            </w:pPr>
            <w:r>
              <w:rPr>
                <w:rFonts w:ascii="Arial" w:cs="Arial" w:eastAsia="Arial" w:hAnsi="Arial"/>
                <w:sz w:val="17"/>
                <w:szCs w:val="17"/>
                <w:color w:val="auto"/>
                <w:w w:val="97"/>
              </w:rPr>
              <w:t>1,127,573</w:t>
            </w:r>
          </w:p>
        </w:tc>
        <w:tc>
          <w:tcPr>
            <w:tcW w:w="240" w:type="dxa"/>
            <w:vAlign w:val="bottom"/>
            <w:shd w:val="clear" w:color="auto" w:fill="E9E9E9"/>
          </w:tcPr>
          <w:p>
            <w:pPr>
              <w:ind w:left="14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E9E9E9"/>
          </w:tcPr>
          <w:p>
            <w:pPr>
              <w:jc w:val="right"/>
              <w:ind w:right="60"/>
              <w:spacing w:after="0"/>
              <w:rPr>
                <w:sz w:val="20"/>
                <w:szCs w:val="20"/>
                <w:color w:val="auto"/>
              </w:rPr>
            </w:pPr>
            <w:r>
              <w:rPr>
                <w:rFonts w:ascii="Arial" w:cs="Arial" w:eastAsia="Arial" w:hAnsi="Arial"/>
                <w:sz w:val="17"/>
                <w:szCs w:val="17"/>
                <w:color w:val="auto"/>
              </w:rPr>
              <w:t>1,005</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right"/>
              <w:ind w:right="117"/>
              <w:spacing w:after="0"/>
              <w:rPr>
                <w:sz w:val="20"/>
                <w:szCs w:val="20"/>
                <w:color w:val="auto"/>
              </w:rPr>
            </w:pPr>
            <w:r>
              <w:rPr>
                <w:rFonts w:ascii="Arial" w:cs="Arial" w:eastAsia="Arial" w:hAnsi="Arial"/>
                <w:sz w:val="17"/>
                <w:szCs w:val="17"/>
                <w:color w:val="auto"/>
              </w:rPr>
              <w:t>95,375</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8,153,718</w:t>
            </w:r>
          </w:p>
        </w:tc>
      </w:tr>
      <w:tr>
        <w:trPr>
          <w:trHeight w:val="233"/>
        </w:trPr>
        <w:tc>
          <w:tcPr>
            <w:tcW w:w="2700" w:type="dxa"/>
            <w:vAlign w:val="bottom"/>
            <w:shd w:val="clear" w:color="auto" w:fill="E9E9E9"/>
          </w:tcPr>
          <w:p>
            <w:pPr>
              <w:ind w:left="240"/>
              <w:spacing w:after="0"/>
              <w:rPr>
                <w:sz w:val="20"/>
                <w:szCs w:val="20"/>
                <w:color w:val="auto"/>
              </w:rPr>
            </w:pPr>
            <w:r>
              <w:rPr>
                <w:rFonts w:ascii="Arial" w:cs="Arial" w:eastAsia="Arial" w:hAnsi="Arial"/>
                <w:sz w:val="17"/>
                <w:szCs w:val="17"/>
                <w:color w:val="auto"/>
              </w:rPr>
              <w:t>Senior Vice President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2011</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480,007</w:t>
            </w:r>
          </w:p>
        </w:tc>
        <w:tc>
          <w:tcPr>
            <w:tcW w:w="5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$1,875,803</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20"/>
              <w:spacing w:after="0"/>
              <w:rPr>
                <w:sz w:val="20"/>
                <w:szCs w:val="20"/>
                <w:color w:val="auto"/>
              </w:rPr>
            </w:pPr>
            <w:r>
              <w:rPr>
                <w:rFonts w:ascii="Arial" w:cs="Arial" w:eastAsia="Arial" w:hAnsi="Arial"/>
                <w:sz w:val="17"/>
                <w:szCs w:val="17"/>
                <w:color w:val="auto"/>
                <w:w w:val="97"/>
              </w:rPr>
              <w:t>1,693,277</w:t>
            </w:r>
          </w:p>
        </w:tc>
        <w:tc>
          <w:tcPr>
            <w:tcW w:w="240" w:type="dxa"/>
            <w:vAlign w:val="bottom"/>
            <w:shd w:val="clear" w:color="auto" w:fill="E9E9E9"/>
          </w:tcPr>
          <w:p>
            <w:pPr>
              <w:ind w:left="14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E9E9E9"/>
          </w:tcPr>
          <w:p>
            <w:pPr>
              <w:jc w:val="right"/>
              <w:ind w:right="57"/>
              <w:spacing w:after="0"/>
              <w:rPr>
                <w:sz w:val="20"/>
                <w:szCs w:val="20"/>
                <w:color w:val="auto"/>
              </w:rPr>
            </w:pPr>
            <w:r>
              <w:rPr>
                <w:rFonts w:ascii="Arial" w:cs="Arial" w:eastAsia="Arial" w:hAnsi="Arial"/>
                <w:sz w:val="17"/>
                <w:szCs w:val="17"/>
                <w:color w:val="auto"/>
              </w:rPr>
              <w:t>962,873</w:t>
            </w:r>
          </w:p>
        </w:tc>
        <w:tc>
          <w:tcPr>
            <w:tcW w:w="240" w:type="dxa"/>
            <w:vAlign w:val="bottom"/>
            <w:shd w:val="clear" w:color="auto" w:fill="E9E9E9"/>
          </w:tcPr>
          <w:p>
            <w:pPr>
              <w:ind w:left="14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E9E9E9"/>
          </w:tcPr>
          <w:p>
            <w:pPr>
              <w:jc w:val="right"/>
              <w:ind w:right="60"/>
              <w:spacing w:after="0"/>
              <w:rPr>
                <w:sz w:val="20"/>
                <w:szCs w:val="20"/>
                <w:color w:val="auto"/>
              </w:rPr>
            </w:pPr>
            <w:r>
              <w:rPr>
                <w:rFonts w:ascii="Arial" w:cs="Arial" w:eastAsia="Arial" w:hAnsi="Arial"/>
                <w:sz w:val="17"/>
                <w:szCs w:val="17"/>
                <w:color w:val="auto"/>
              </w:rPr>
              <w:t>696</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right"/>
              <w:ind w:right="117"/>
              <w:spacing w:after="0"/>
              <w:rPr>
                <w:sz w:val="20"/>
                <w:szCs w:val="20"/>
                <w:color w:val="auto"/>
              </w:rPr>
            </w:pPr>
            <w:r>
              <w:rPr>
                <w:rFonts w:ascii="Arial" w:cs="Arial" w:eastAsia="Arial" w:hAnsi="Arial"/>
                <w:sz w:val="17"/>
                <w:szCs w:val="17"/>
                <w:color w:val="auto"/>
              </w:rPr>
              <w:t>49,540</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5,062,196</w:t>
            </w:r>
          </w:p>
        </w:tc>
      </w:tr>
      <w:tr>
        <w:trPr>
          <w:trHeight w:val="247"/>
        </w:trPr>
        <w:tc>
          <w:tcPr>
            <w:tcW w:w="2700" w:type="dxa"/>
            <w:vAlign w:val="bottom"/>
            <w:shd w:val="clear" w:color="auto" w:fill="E9E9E9"/>
          </w:tcPr>
          <w:p>
            <w:pPr>
              <w:spacing w:after="0"/>
              <w:rPr>
                <w:sz w:val="21"/>
                <w:szCs w:val="21"/>
                <w:color w:val="auto"/>
              </w:rPr>
            </w:pP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2010</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360,903</w:t>
            </w:r>
          </w:p>
        </w:tc>
        <w:tc>
          <w:tcPr>
            <w:tcW w:w="5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$3,650,500</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20"/>
              <w:spacing w:after="0"/>
              <w:rPr>
                <w:sz w:val="20"/>
                <w:szCs w:val="20"/>
                <w:color w:val="auto"/>
              </w:rPr>
            </w:pPr>
            <w:r>
              <w:rPr>
                <w:rFonts w:ascii="Arial" w:cs="Arial" w:eastAsia="Arial" w:hAnsi="Arial"/>
                <w:sz w:val="17"/>
                <w:szCs w:val="17"/>
                <w:color w:val="auto"/>
              </w:rPr>
              <w:t>990,574</w:t>
            </w:r>
          </w:p>
        </w:tc>
        <w:tc>
          <w:tcPr>
            <w:tcW w:w="240" w:type="dxa"/>
            <w:vAlign w:val="bottom"/>
            <w:shd w:val="clear" w:color="auto" w:fill="E9E9E9"/>
          </w:tcPr>
          <w:p>
            <w:pPr>
              <w:ind w:left="14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E9E9E9"/>
          </w:tcPr>
          <w:p>
            <w:pPr>
              <w:jc w:val="right"/>
              <w:ind w:right="57"/>
              <w:spacing w:after="0"/>
              <w:rPr>
                <w:sz w:val="20"/>
                <w:szCs w:val="20"/>
                <w:color w:val="auto"/>
              </w:rPr>
            </w:pPr>
            <w:r>
              <w:rPr>
                <w:rFonts w:ascii="Arial" w:cs="Arial" w:eastAsia="Arial" w:hAnsi="Arial"/>
                <w:sz w:val="17"/>
                <w:szCs w:val="17"/>
                <w:color w:val="auto"/>
              </w:rPr>
              <w:t>812,508</w:t>
            </w:r>
          </w:p>
        </w:tc>
        <w:tc>
          <w:tcPr>
            <w:tcW w:w="240" w:type="dxa"/>
            <w:vAlign w:val="bottom"/>
            <w:shd w:val="clear" w:color="auto" w:fill="E9E9E9"/>
          </w:tcPr>
          <w:p>
            <w:pPr>
              <w:ind w:left="14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E9E9E9"/>
          </w:tcPr>
          <w:p>
            <w:pPr>
              <w:jc w:val="right"/>
              <w:ind w:right="60"/>
              <w:spacing w:after="0"/>
              <w:rPr>
                <w:sz w:val="20"/>
                <w:szCs w:val="20"/>
                <w:color w:val="auto"/>
              </w:rPr>
            </w:pPr>
            <w:r>
              <w:rPr>
                <w:rFonts w:ascii="Arial" w:cs="Arial" w:eastAsia="Arial" w:hAnsi="Arial"/>
                <w:sz w:val="17"/>
                <w:szCs w:val="17"/>
                <w:color w:val="auto"/>
              </w:rPr>
              <w:t>402</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right"/>
              <w:ind w:right="117"/>
              <w:spacing w:after="0"/>
              <w:rPr>
                <w:sz w:val="20"/>
                <w:szCs w:val="20"/>
                <w:color w:val="auto"/>
              </w:rPr>
            </w:pPr>
            <w:r>
              <w:rPr>
                <w:rFonts w:ascii="Arial" w:cs="Arial" w:eastAsia="Arial" w:hAnsi="Arial"/>
                <w:sz w:val="17"/>
                <w:szCs w:val="17"/>
                <w:color w:val="auto"/>
              </w:rPr>
              <w:t>30,468</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5,845,355</w:t>
            </w:r>
          </w:p>
        </w:tc>
      </w:tr>
      <w:tr>
        <w:trPr>
          <w:trHeight w:val="233"/>
        </w:trPr>
        <w:tc>
          <w:tcPr>
            <w:tcW w:w="2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8"/>
        </w:trPr>
        <w:tc>
          <w:tcPr>
            <w:tcW w:w="2700" w:type="dxa"/>
            <w:vAlign w:val="bottom"/>
            <w:shd w:val="clear" w:color="auto" w:fill="E9E9E9"/>
          </w:tcPr>
          <w:p>
            <w:pPr>
              <w:spacing w:after="0"/>
              <w:rPr>
                <w:sz w:val="20"/>
                <w:szCs w:val="20"/>
                <w:color w:val="auto"/>
              </w:rPr>
            </w:pPr>
            <w:r>
              <w:rPr>
                <w:rFonts w:ascii="Arial" w:cs="Arial" w:eastAsia="Arial" w:hAnsi="Arial"/>
                <w:sz w:val="17"/>
                <w:szCs w:val="17"/>
                <w:color w:val="auto"/>
              </w:rPr>
              <w:t>R. Gregory Delagi</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2012</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568,125</w:t>
            </w:r>
          </w:p>
        </w:tc>
        <w:tc>
          <w:tcPr>
            <w:tcW w:w="5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$3,267,688</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20"/>
              <w:spacing w:after="0"/>
              <w:rPr>
                <w:sz w:val="20"/>
                <w:szCs w:val="20"/>
                <w:color w:val="auto"/>
              </w:rPr>
            </w:pPr>
            <w:r>
              <w:rPr>
                <w:rFonts w:ascii="Arial" w:cs="Arial" w:eastAsia="Arial" w:hAnsi="Arial"/>
                <w:sz w:val="17"/>
                <w:szCs w:val="17"/>
                <w:color w:val="auto"/>
                <w:w w:val="97"/>
              </w:rPr>
              <w:t>1,455,391</w:t>
            </w:r>
          </w:p>
        </w:tc>
        <w:tc>
          <w:tcPr>
            <w:tcW w:w="240" w:type="dxa"/>
            <w:vAlign w:val="bottom"/>
            <w:shd w:val="clear" w:color="auto" w:fill="E9E9E9"/>
          </w:tcPr>
          <w:p>
            <w:pPr>
              <w:ind w:left="14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E9E9E9"/>
          </w:tcPr>
          <w:p>
            <w:pPr>
              <w:jc w:val="right"/>
              <w:ind w:right="57"/>
              <w:spacing w:after="0"/>
              <w:rPr>
                <w:sz w:val="20"/>
                <w:szCs w:val="20"/>
                <w:color w:val="auto"/>
              </w:rPr>
            </w:pPr>
            <w:r>
              <w:rPr>
                <w:rFonts w:ascii="Arial" w:cs="Arial" w:eastAsia="Arial" w:hAnsi="Arial"/>
                <w:sz w:val="17"/>
                <w:szCs w:val="17"/>
                <w:color w:val="auto"/>
              </w:rPr>
              <w:t>851,645</w:t>
            </w:r>
          </w:p>
        </w:tc>
        <w:tc>
          <w:tcPr>
            <w:tcW w:w="240" w:type="dxa"/>
            <w:vAlign w:val="bottom"/>
            <w:shd w:val="clear" w:color="auto" w:fill="E9E9E9"/>
          </w:tcPr>
          <w:p>
            <w:pPr>
              <w:ind w:left="14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E9E9E9"/>
          </w:tcPr>
          <w:p>
            <w:pPr>
              <w:jc w:val="right"/>
              <w:ind w:right="60"/>
              <w:spacing w:after="0"/>
              <w:rPr>
                <w:sz w:val="20"/>
                <w:szCs w:val="20"/>
                <w:color w:val="auto"/>
              </w:rPr>
            </w:pPr>
            <w:r>
              <w:rPr>
                <w:rFonts w:ascii="Arial" w:cs="Arial" w:eastAsia="Arial" w:hAnsi="Arial"/>
                <w:sz w:val="17"/>
                <w:szCs w:val="17"/>
                <w:color w:val="auto"/>
              </w:rPr>
              <w:t>990,491</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right"/>
              <w:ind w:right="117"/>
              <w:spacing w:after="0"/>
              <w:rPr>
                <w:sz w:val="20"/>
                <w:szCs w:val="20"/>
                <w:color w:val="auto"/>
              </w:rPr>
            </w:pPr>
            <w:r>
              <w:rPr>
                <w:rFonts w:ascii="Arial" w:cs="Arial" w:eastAsia="Arial" w:hAnsi="Arial"/>
                <w:sz w:val="17"/>
                <w:szCs w:val="17"/>
                <w:color w:val="auto"/>
              </w:rPr>
              <w:t>23,282</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7,156,622</w:t>
            </w:r>
          </w:p>
        </w:tc>
      </w:tr>
      <w:tr>
        <w:trPr>
          <w:trHeight w:val="247"/>
        </w:trPr>
        <w:tc>
          <w:tcPr>
            <w:tcW w:w="2700" w:type="dxa"/>
            <w:vAlign w:val="bottom"/>
            <w:shd w:val="clear" w:color="auto" w:fill="E9E9E9"/>
          </w:tcPr>
          <w:p>
            <w:pPr>
              <w:ind w:left="240"/>
              <w:spacing w:after="0"/>
              <w:rPr>
                <w:sz w:val="20"/>
                <w:szCs w:val="20"/>
                <w:color w:val="auto"/>
              </w:rPr>
            </w:pPr>
            <w:r>
              <w:rPr>
                <w:rFonts w:ascii="Arial" w:cs="Arial" w:eastAsia="Arial" w:hAnsi="Arial"/>
                <w:sz w:val="17"/>
                <w:szCs w:val="17"/>
                <w:color w:val="auto"/>
              </w:rPr>
              <w:t>Senior Vice President</w:t>
            </w:r>
          </w:p>
        </w:tc>
        <w:tc>
          <w:tcPr>
            <w:tcW w:w="620" w:type="dxa"/>
            <w:vAlign w:val="bottom"/>
            <w:shd w:val="clear" w:color="auto" w:fill="E9E9E9"/>
          </w:tcPr>
          <w:p>
            <w:pPr>
              <w:spacing w:after="0"/>
              <w:rPr>
                <w:sz w:val="21"/>
                <w:szCs w:val="21"/>
                <w:color w:val="auto"/>
              </w:rPr>
            </w:pPr>
          </w:p>
        </w:tc>
        <w:tc>
          <w:tcPr>
            <w:tcW w:w="180" w:type="dxa"/>
            <w:vAlign w:val="bottom"/>
            <w:shd w:val="clear" w:color="auto" w:fill="E9E9E9"/>
          </w:tcPr>
          <w:p>
            <w:pPr>
              <w:spacing w:after="0"/>
              <w:rPr>
                <w:sz w:val="21"/>
                <w:szCs w:val="21"/>
                <w:color w:val="auto"/>
              </w:rPr>
            </w:pPr>
          </w:p>
        </w:tc>
        <w:tc>
          <w:tcPr>
            <w:tcW w:w="840" w:type="dxa"/>
            <w:vAlign w:val="bottom"/>
            <w:shd w:val="clear" w:color="auto" w:fill="E9E9E9"/>
          </w:tcPr>
          <w:p>
            <w:pPr>
              <w:spacing w:after="0"/>
              <w:rPr>
                <w:sz w:val="21"/>
                <w:szCs w:val="21"/>
                <w:color w:val="auto"/>
              </w:rPr>
            </w:pPr>
          </w:p>
        </w:tc>
        <w:tc>
          <w:tcPr>
            <w:tcW w:w="56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18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0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0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8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40" w:type="dxa"/>
            <w:vAlign w:val="bottom"/>
            <w:shd w:val="clear" w:color="auto" w:fill="E9E9E9"/>
          </w:tcPr>
          <w:p>
            <w:pPr>
              <w:spacing w:after="0"/>
              <w:rPr>
                <w:sz w:val="21"/>
                <w:szCs w:val="21"/>
                <w:color w:val="auto"/>
              </w:rPr>
            </w:pPr>
          </w:p>
        </w:tc>
      </w:tr>
      <w:tr>
        <w:trPr>
          <w:trHeight w:val="233"/>
        </w:trPr>
        <w:tc>
          <w:tcPr>
            <w:tcW w:w="2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8"/>
        </w:trPr>
        <w:tc>
          <w:tcPr>
            <w:tcW w:w="2700" w:type="dxa"/>
            <w:vAlign w:val="bottom"/>
            <w:shd w:val="clear" w:color="auto" w:fill="E9E9E9"/>
          </w:tcPr>
          <w:p>
            <w:pPr>
              <w:spacing w:after="0"/>
              <w:rPr>
                <w:sz w:val="20"/>
                <w:szCs w:val="20"/>
                <w:color w:val="auto"/>
              </w:rPr>
            </w:pPr>
            <w:r>
              <w:rPr>
                <w:rFonts w:ascii="Arial" w:cs="Arial" w:eastAsia="Arial" w:hAnsi="Arial"/>
                <w:sz w:val="17"/>
                <w:szCs w:val="17"/>
                <w:color w:val="auto"/>
              </w:rPr>
              <w:t>Kevin J. Ritchie</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2012</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595,835</w:t>
            </w:r>
          </w:p>
        </w:tc>
        <w:tc>
          <w:tcPr>
            <w:tcW w:w="5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$1,887,688</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20"/>
              <w:spacing w:after="0"/>
              <w:rPr>
                <w:sz w:val="20"/>
                <w:szCs w:val="20"/>
                <w:color w:val="auto"/>
              </w:rPr>
            </w:pPr>
            <w:r>
              <w:rPr>
                <w:rFonts w:ascii="Arial" w:cs="Arial" w:eastAsia="Arial" w:hAnsi="Arial"/>
                <w:sz w:val="17"/>
                <w:szCs w:val="17"/>
                <w:color w:val="auto"/>
                <w:w w:val="97"/>
              </w:rPr>
              <w:t>1,455,391</w:t>
            </w:r>
          </w:p>
        </w:tc>
        <w:tc>
          <w:tcPr>
            <w:tcW w:w="240" w:type="dxa"/>
            <w:vAlign w:val="bottom"/>
            <w:shd w:val="clear" w:color="auto" w:fill="E9E9E9"/>
          </w:tcPr>
          <w:p>
            <w:pPr>
              <w:ind w:left="14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E9E9E9"/>
          </w:tcPr>
          <w:p>
            <w:pPr>
              <w:jc w:val="right"/>
              <w:ind w:right="57"/>
              <w:spacing w:after="0"/>
              <w:rPr>
                <w:sz w:val="20"/>
                <w:szCs w:val="20"/>
                <w:color w:val="auto"/>
              </w:rPr>
            </w:pPr>
            <w:r>
              <w:rPr>
                <w:rFonts w:ascii="Arial" w:cs="Arial" w:eastAsia="Arial" w:hAnsi="Arial"/>
                <w:sz w:val="17"/>
                <w:szCs w:val="17"/>
                <w:color w:val="auto"/>
                <w:w w:val="97"/>
              </w:rPr>
              <w:t>1,027,945</w:t>
            </w:r>
          </w:p>
        </w:tc>
        <w:tc>
          <w:tcPr>
            <w:tcW w:w="1140" w:type="dxa"/>
            <w:vAlign w:val="bottom"/>
            <w:gridSpan w:val="2"/>
            <w:shd w:val="clear" w:color="auto" w:fill="E9E9E9"/>
          </w:tcPr>
          <w:p>
            <w:pPr>
              <w:jc w:val="right"/>
              <w:ind w:right="60"/>
              <w:spacing w:after="0"/>
              <w:rPr>
                <w:sz w:val="20"/>
                <w:szCs w:val="20"/>
                <w:color w:val="auto"/>
              </w:rPr>
            </w:pPr>
            <w:r>
              <w:rPr>
                <w:rFonts w:ascii="Arial" w:cs="Arial" w:eastAsia="Arial" w:hAnsi="Arial"/>
                <w:sz w:val="17"/>
                <w:szCs w:val="17"/>
                <w:color w:val="auto"/>
              </w:rPr>
              <w:t>$1,371,918</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right"/>
              <w:ind w:right="117"/>
              <w:spacing w:after="0"/>
              <w:rPr>
                <w:sz w:val="20"/>
                <w:szCs w:val="20"/>
                <w:color w:val="auto"/>
              </w:rPr>
            </w:pPr>
            <w:r>
              <w:rPr>
                <w:rFonts w:ascii="Arial" w:cs="Arial" w:eastAsia="Arial" w:hAnsi="Arial"/>
                <w:sz w:val="17"/>
                <w:szCs w:val="17"/>
                <w:color w:val="auto"/>
              </w:rPr>
              <w:t>19,847</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6,358,624</w:t>
            </w:r>
          </w:p>
        </w:tc>
      </w:tr>
      <w:tr>
        <w:trPr>
          <w:trHeight w:val="233"/>
        </w:trPr>
        <w:tc>
          <w:tcPr>
            <w:tcW w:w="2700" w:type="dxa"/>
            <w:vAlign w:val="bottom"/>
            <w:shd w:val="clear" w:color="auto" w:fill="E9E9E9"/>
          </w:tcPr>
          <w:p>
            <w:pPr>
              <w:ind w:left="240"/>
              <w:spacing w:after="0"/>
              <w:rPr>
                <w:sz w:val="20"/>
                <w:szCs w:val="20"/>
                <w:color w:val="auto"/>
              </w:rPr>
            </w:pPr>
            <w:r>
              <w:rPr>
                <w:rFonts w:ascii="Arial" w:cs="Arial" w:eastAsia="Arial" w:hAnsi="Arial"/>
                <w:sz w:val="17"/>
                <w:szCs w:val="17"/>
                <w:color w:val="auto"/>
              </w:rPr>
              <w:t>Senior Vice President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2011</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543,385</w:t>
            </w:r>
          </w:p>
        </w:tc>
        <w:tc>
          <w:tcPr>
            <w:tcW w:w="5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$1,875,803</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20"/>
              <w:spacing w:after="0"/>
              <w:rPr>
                <w:sz w:val="20"/>
                <w:szCs w:val="20"/>
                <w:color w:val="auto"/>
              </w:rPr>
            </w:pPr>
            <w:r>
              <w:rPr>
                <w:rFonts w:ascii="Arial" w:cs="Arial" w:eastAsia="Arial" w:hAnsi="Arial"/>
                <w:sz w:val="17"/>
                <w:szCs w:val="17"/>
                <w:color w:val="auto"/>
                <w:w w:val="97"/>
              </w:rPr>
              <w:t>1,693,277</w:t>
            </w:r>
          </w:p>
        </w:tc>
        <w:tc>
          <w:tcPr>
            <w:tcW w:w="240" w:type="dxa"/>
            <w:vAlign w:val="bottom"/>
            <w:shd w:val="clear" w:color="auto" w:fill="E9E9E9"/>
          </w:tcPr>
          <w:p>
            <w:pPr>
              <w:ind w:left="14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E9E9E9"/>
          </w:tcPr>
          <w:p>
            <w:pPr>
              <w:jc w:val="right"/>
              <w:ind w:right="57"/>
              <w:spacing w:after="0"/>
              <w:rPr>
                <w:sz w:val="20"/>
                <w:szCs w:val="20"/>
                <w:color w:val="auto"/>
              </w:rPr>
            </w:pPr>
            <w:r>
              <w:rPr>
                <w:rFonts w:ascii="Arial" w:cs="Arial" w:eastAsia="Arial" w:hAnsi="Arial"/>
                <w:sz w:val="17"/>
                <w:szCs w:val="17"/>
                <w:color w:val="auto"/>
                <w:w w:val="97"/>
              </w:rPr>
              <w:t>1,042,873</w:t>
            </w:r>
          </w:p>
        </w:tc>
        <w:tc>
          <w:tcPr>
            <w:tcW w:w="1140" w:type="dxa"/>
            <w:vAlign w:val="bottom"/>
            <w:gridSpan w:val="2"/>
            <w:shd w:val="clear" w:color="auto" w:fill="E9E9E9"/>
          </w:tcPr>
          <w:p>
            <w:pPr>
              <w:jc w:val="right"/>
              <w:ind w:right="60"/>
              <w:spacing w:after="0"/>
              <w:rPr>
                <w:sz w:val="20"/>
                <w:szCs w:val="20"/>
                <w:color w:val="auto"/>
              </w:rPr>
            </w:pPr>
            <w:r>
              <w:rPr>
                <w:rFonts w:ascii="Arial" w:cs="Arial" w:eastAsia="Arial" w:hAnsi="Arial"/>
                <w:sz w:val="17"/>
                <w:szCs w:val="17"/>
                <w:color w:val="auto"/>
              </w:rPr>
              <w:t>$1,143,408</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right"/>
              <w:ind w:right="117"/>
              <w:spacing w:after="0"/>
              <w:rPr>
                <w:sz w:val="20"/>
                <w:szCs w:val="20"/>
                <w:color w:val="auto"/>
              </w:rPr>
            </w:pPr>
            <w:r>
              <w:rPr>
                <w:rFonts w:ascii="Arial" w:cs="Arial" w:eastAsia="Arial" w:hAnsi="Arial"/>
                <w:sz w:val="17"/>
                <w:szCs w:val="17"/>
                <w:color w:val="auto"/>
              </w:rPr>
              <w:t>13,855</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6,312,601</w:t>
            </w:r>
          </w:p>
        </w:tc>
      </w:tr>
      <w:tr>
        <w:trPr>
          <w:trHeight w:val="247"/>
        </w:trPr>
        <w:tc>
          <w:tcPr>
            <w:tcW w:w="2700" w:type="dxa"/>
            <w:vAlign w:val="bottom"/>
            <w:shd w:val="clear" w:color="auto" w:fill="E9E9E9"/>
          </w:tcPr>
          <w:p>
            <w:pPr>
              <w:spacing w:after="0"/>
              <w:rPr>
                <w:sz w:val="21"/>
                <w:szCs w:val="21"/>
                <w:color w:val="auto"/>
              </w:rPr>
            </w:pP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2010</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468,540</w:t>
            </w:r>
          </w:p>
        </w:tc>
        <w:tc>
          <w:tcPr>
            <w:tcW w:w="5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0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$1,440,648</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20"/>
              <w:spacing w:after="0"/>
              <w:rPr>
                <w:sz w:val="20"/>
                <w:szCs w:val="20"/>
                <w:color w:val="auto"/>
              </w:rPr>
            </w:pPr>
            <w:r>
              <w:rPr>
                <w:rFonts w:ascii="Arial" w:cs="Arial" w:eastAsia="Arial" w:hAnsi="Arial"/>
                <w:sz w:val="17"/>
                <w:szCs w:val="17"/>
                <w:color w:val="auto"/>
                <w:w w:val="97"/>
              </w:rPr>
              <w:t>1,238,217</w:t>
            </w:r>
          </w:p>
        </w:tc>
        <w:tc>
          <w:tcPr>
            <w:tcW w:w="240" w:type="dxa"/>
            <w:vAlign w:val="bottom"/>
            <w:shd w:val="clear" w:color="auto" w:fill="E9E9E9"/>
          </w:tcPr>
          <w:p>
            <w:pPr>
              <w:ind w:left="14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E9E9E9"/>
          </w:tcPr>
          <w:p>
            <w:pPr>
              <w:jc w:val="right"/>
              <w:ind w:right="57"/>
              <w:spacing w:after="0"/>
              <w:rPr>
                <w:sz w:val="20"/>
                <w:szCs w:val="20"/>
                <w:color w:val="auto"/>
              </w:rPr>
            </w:pPr>
            <w:r>
              <w:rPr>
                <w:rFonts w:ascii="Arial" w:cs="Arial" w:eastAsia="Arial" w:hAnsi="Arial"/>
                <w:sz w:val="17"/>
                <w:szCs w:val="17"/>
                <w:color w:val="auto"/>
                <w:w w:val="97"/>
              </w:rPr>
              <w:t>1,181,151</w:t>
            </w:r>
          </w:p>
        </w:tc>
        <w:tc>
          <w:tcPr>
            <w:tcW w:w="240" w:type="dxa"/>
            <w:vAlign w:val="bottom"/>
            <w:shd w:val="clear" w:color="auto" w:fill="E9E9E9"/>
          </w:tcPr>
          <w:p>
            <w:pPr>
              <w:ind w:left="14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E9E9E9"/>
          </w:tcPr>
          <w:p>
            <w:pPr>
              <w:jc w:val="right"/>
              <w:ind w:right="60"/>
              <w:spacing w:after="0"/>
              <w:rPr>
                <w:sz w:val="20"/>
                <w:szCs w:val="20"/>
                <w:color w:val="auto"/>
              </w:rPr>
            </w:pPr>
            <w:r>
              <w:rPr>
                <w:rFonts w:ascii="Arial" w:cs="Arial" w:eastAsia="Arial" w:hAnsi="Arial"/>
                <w:sz w:val="17"/>
                <w:szCs w:val="17"/>
                <w:color w:val="auto"/>
              </w:rPr>
              <w:t>630,532</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right"/>
              <w:ind w:right="117"/>
              <w:spacing w:after="0"/>
              <w:rPr>
                <w:sz w:val="20"/>
                <w:szCs w:val="20"/>
                <w:color w:val="auto"/>
              </w:rPr>
            </w:pPr>
            <w:r>
              <w:rPr>
                <w:rFonts w:ascii="Arial" w:cs="Arial" w:eastAsia="Arial" w:hAnsi="Arial"/>
                <w:sz w:val="17"/>
                <w:szCs w:val="17"/>
                <w:color w:val="auto"/>
              </w:rPr>
              <w:t>13,520</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4,972,608</w:t>
            </w:r>
          </w:p>
        </w:tc>
      </w:tr>
    </w:tbl>
    <w:p>
      <w:pPr>
        <w:spacing w:after="0" w:line="236" w:lineRule="exact"/>
        <w:rPr>
          <w:sz w:val="20"/>
          <w:szCs w:val="20"/>
          <w:color w:val="auto"/>
        </w:rPr>
      </w:pPr>
    </w:p>
    <w:p>
      <w:pPr>
        <w:ind w:left="460" w:right="60" w:hanging="457"/>
        <w:spacing w:after="0" w:line="245"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Performance bonuses for 2012 were paid under the Texas Instruments Executive Officer Performance Plan. In accordance with SEC requirements, these amounts are reported in the Non-Equity Incentive Plan Compensation column.</w:t>
      </w:r>
    </w:p>
    <w:p>
      <w:pPr>
        <w:spacing w:after="0" w:line="221" w:lineRule="exact"/>
        <w:rPr>
          <w:rFonts w:ascii="Arial" w:cs="Arial" w:eastAsia="Arial" w:hAnsi="Arial"/>
          <w:sz w:val="17"/>
          <w:szCs w:val="17"/>
          <w:color w:val="auto"/>
        </w:rPr>
      </w:pPr>
    </w:p>
    <w:p>
      <w:pPr>
        <w:ind w:left="460" w:hanging="457"/>
        <w:spacing w:after="0" w:line="239"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Shown is the aggregate grant date fair value of restricted stock unit (RSU) awards calculated in accordance with ASC 718. The discussion of the assumptions used for purposes of the valuation of the awards granted in 2012 appears in note 5 of Exhibit 13 to TI’s annual report on Form 10-K for the year ended December 31, 2012. For a description of the grant terms, please see page 85. The discussion of the assumptions used for purposes of the valuation of the awards granted in 2011 and 2010 appears in Exhibit 13 to, respectively, TI’s annual report on Form 10-K for the year ended December 31, 2011 (pages 14-16) and to TI’s annual report on Form 10-K for the year ended December 31, 2010 (pages 11-14).</w:t>
      </w:r>
    </w:p>
    <w:p>
      <w:pPr>
        <w:spacing w:after="0" w:line="228" w:lineRule="exact"/>
        <w:rPr>
          <w:rFonts w:ascii="Arial" w:cs="Arial" w:eastAsia="Arial" w:hAnsi="Arial"/>
          <w:sz w:val="17"/>
          <w:szCs w:val="17"/>
          <w:color w:val="auto"/>
        </w:rPr>
      </w:pPr>
    </w:p>
    <w:p>
      <w:pPr>
        <w:ind w:left="460" w:right="620" w:hanging="457"/>
        <w:spacing w:after="0" w:line="258"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Shown is the aggregate grant date fair value of options calculated in accordance with ASC 718. The discussion of the assumptions used for purposes of the valuation of options granted in 2012 appears in note 5 of Exhibit 13 to TI’s annual report on Form 10-K for the year ended December 31, 2012. For a description of the grant terms, please see page 85. The discussion of the assumptions used for purposes of the valuation of the awards granted in 2011 and 2010 appears in Exhibit 13 to, respectively, TI’s annual report on Form 10-K for the year ended December 31, 2011 (pages 14-16) and to TI’s annual report on Form 10-K for the year ended December 31, 2010 (pages 11-14).</w:t>
      </w:r>
    </w:p>
    <w:p>
      <w:pPr>
        <w:spacing w:after="0" w:line="232" w:lineRule="exact"/>
        <w:rPr>
          <w:sz w:val="20"/>
          <w:szCs w:val="20"/>
          <w:color w:val="auto"/>
        </w:rPr>
      </w:pPr>
    </w:p>
    <w:p>
      <w:pPr>
        <w:spacing w:after="0"/>
        <w:tabs>
          <w:tab w:leader="none" w:pos="10000" w:val="left"/>
        </w:tabs>
        <w:rPr>
          <w:sz w:val="20"/>
          <w:szCs w:val="20"/>
          <w:color w:val="auto"/>
        </w:rPr>
      </w:pPr>
      <w:r>
        <w:rPr>
          <w:rFonts w:ascii="Arial" w:cs="Arial" w:eastAsia="Arial" w:hAnsi="Arial"/>
          <w:sz w:val="13"/>
          <w:szCs w:val="13"/>
          <w:b w:val="1"/>
          <w:bCs w:val="1"/>
          <w:color w:val="808285"/>
        </w:rPr>
        <w:t>80 •  2013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27" w:name="page28"/>
    <w:bookmarkEnd w:id="27"/>
    <w:p>
      <w:pPr>
        <w:ind w:left="460" w:right="360" w:hanging="457"/>
        <w:spacing w:after="0" w:line="245"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Consists of performance bonus and profit sharing for 2012. Please see page 76 for the amounts of bonus and profit sharing paid to each of the named executive officers for 2012.</w:t>
      </w:r>
    </w:p>
    <w:p>
      <w:pPr>
        <w:spacing w:after="0" w:line="221" w:lineRule="exact"/>
        <w:rPr>
          <w:rFonts w:ascii="Arial" w:cs="Arial" w:eastAsia="Arial" w:hAnsi="Arial"/>
          <w:sz w:val="17"/>
          <w:szCs w:val="17"/>
          <w:color w:val="auto"/>
        </w:rPr>
      </w:pPr>
    </w:p>
    <w:p>
      <w:pPr>
        <w:ind w:left="460" w:right="60" w:hanging="457"/>
        <w:spacing w:after="0" w:line="239"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company does not pay above-market earnings on deferred compensation. Therefore, no amounts are reported in this column for deferred compensation. The amounts in this column represent the change in the actuarial value of the named executive officers’ benefits under the qualified defined benefit pension plan (TI Employees Pension Plan) and the non-qualified defined benefit pension plans (TI Employees Non-Qualified Pension Plan and TI Employees Non-Qualified Pension Plan II) from December 31, 2011, through December 31, 2012. This “change in the actuarial value” is the difference between the 2011 and 2012 present value of the pension benefit accumulated as of year-end by the named executive officer, assuming that benefit is not paid until age 65. Mr. Templeton’s and Mr. Crutcher’s benefits under the company’s pension plans were frozen as of December 31, 1997.</w:t>
      </w:r>
    </w:p>
    <w:p>
      <w:pPr>
        <w:spacing w:after="0" w:line="226" w:lineRule="exact"/>
        <w:rPr>
          <w:rFonts w:ascii="Arial" w:cs="Arial" w:eastAsia="Arial" w:hAnsi="Arial"/>
          <w:sz w:val="17"/>
          <w:szCs w:val="17"/>
          <w:color w:val="auto"/>
        </w:rPr>
      </w:pPr>
    </w:p>
    <w:p>
      <w:pPr>
        <w:ind w:left="460" w:right="80" w:hanging="457"/>
        <w:spacing w:after="0" w:line="245"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Consists of (i) the amounts in the table below and (ii) perquisites and personal benefits that meet the disclosure thresholds established by the SEC and are detailed in the paragraph below.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6"/>
              </w:rPr>
              <w:t>Defined</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33"/>
        </w:trPr>
        <w:tc>
          <w:tcPr>
            <w:tcW w:w="44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9"/>
              </w:rPr>
              <w:t>Contribution</w:t>
            </w:r>
          </w:p>
        </w:tc>
        <w:tc>
          <w:tcPr>
            <w:tcW w:w="760" w:type="dxa"/>
            <w:vAlign w:val="bottom"/>
            <w:gridSpan w:val="2"/>
          </w:tcPr>
          <w:p>
            <w:pPr>
              <w:jc w:val="center"/>
              <w:ind w:left="84"/>
              <w:spacing w:after="0"/>
              <w:rPr>
                <w:sz w:val="20"/>
                <w:szCs w:val="20"/>
                <w:color w:val="auto"/>
              </w:rPr>
            </w:pPr>
            <w:r>
              <w:rPr>
                <w:rFonts w:ascii="Arial" w:cs="Arial" w:eastAsia="Arial" w:hAnsi="Arial"/>
                <w:sz w:val="13"/>
                <w:szCs w:val="13"/>
                <w:b w:val="1"/>
                <w:bCs w:val="1"/>
                <w:color w:val="auto"/>
              </w:rPr>
              <w:t>Unused</w:t>
            </w:r>
          </w:p>
        </w:tc>
      </w:tr>
      <w:tr>
        <w:trPr>
          <w:trHeight w:val="233"/>
        </w:trPr>
        <w:tc>
          <w:tcPr>
            <w:tcW w:w="44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299"/>
              <w:spacing w:after="0"/>
              <w:rPr>
                <w:sz w:val="20"/>
                <w:szCs w:val="20"/>
                <w:color w:val="auto"/>
              </w:rPr>
            </w:pPr>
            <w:r>
              <w:rPr>
                <w:rFonts w:ascii="Arial" w:cs="Arial" w:eastAsia="Arial" w:hAnsi="Arial"/>
                <w:sz w:val="13"/>
                <w:szCs w:val="13"/>
                <w:b w:val="1"/>
                <w:bCs w:val="1"/>
                <w:color w:val="auto"/>
              </w:rPr>
              <w:t>401(k)</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rPr>
              <w:t>Retirement</w:t>
            </w:r>
          </w:p>
        </w:tc>
        <w:tc>
          <w:tcPr>
            <w:tcW w:w="760" w:type="dxa"/>
            <w:vAlign w:val="bottom"/>
            <w:gridSpan w:val="2"/>
          </w:tcPr>
          <w:p>
            <w:pPr>
              <w:jc w:val="center"/>
              <w:ind w:left="64"/>
              <w:spacing w:after="0"/>
              <w:rPr>
                <w:sz w:val="20"/>
                <w:szCs w:val="20"/>
                <w:color w:val="auto"/>
              </w:rPr>
            </w:pPr>
            <w:r>
              <w:rPr>
                <w:rFonts w:ascii="Arial" w:cs="Arial" w:eastAsia="Arial" w:hAnsi="Arial"/>
                <w:sz w:val="13"/>
                <w:szCs w:val="13"/>
                <w:b w:val="1"/>
                <w:bCs w:val="1"/>
                <w:color w:val="auto"/>
                <w:w w:val="99"/>
              </w:rPr>
              <w:t>Vacation</w:t>
            </w:r>
          </w:p>
        </w:tc>
      </w:tr>
      <w:tr>
        <w:trPr>
          <w:trHeight w:val="233"/>
        </w:trPr>
        <w:tc>
          <w:tcPr>
            <w:tcW w:w="442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4020" w:type="dxa"/>
            <w:vAlign w:val="bottom"/>
          </w:tcPr>
          <w:p>
            <w:pPr>
              <w:jc w:val="center"/>
              <w:ind w:left="2979"/>
              <w:spacing w:after="0"/>
              <w:rPr>
                <w:sz w:val="20"/>
                <w:szCs w:val="20"/>
                <w:color w:val="auto"/>
              </w:rPr>
            </w:pPr>
            <w:r>
              <w:rPr>
                <w:rFonts w:ascii="Arial" w:cs="Arial" w:eastAsia="Arial" w:hAnsi="Arial"/>
                <w:sz w:val="13"/>
                <w:szCs w:val="13"/>
                <w:b w:val="1"/>
                <w:bCs w:val="1"/>
                <w:color w:val="auto"/>
                <w:w w:val="97"/>
              </w:rPr>
              <w:t>Insurance</w:t>
            </w:r>
          </w:p>
        </w:tc>
        <w:tc>
          <w:tcPr>
            <w:tcW w:w="1120" w:type="dxa"/>
            <w:vAlign w:val="bottom"/>
            <w:gridSpan w:val="2"/>
          </w:tcPr>
          <w:p>
            <w:pPr>
              <w:jc w:val="right"/>
              <w:ind w:right="99"/>
              <w:spacing w:after="0"/>
              <w:rPr>
                <w:sz w:val="20"/>
                <w:szCs w:val="20"/>
                <w:color w:val="auto"/>
              </w:rPr>
            </w:pPr>
            <w:r>
              <w:rPr>
                <w:rFonts w:ascii="Arial" w:cs="Arial" w:eastAsia="Arial" w:hAnsi="Arial"/>
                <w:sz w:val="13"/>
                <w:szCs w:val="13"/>
                <w:b w:val="1"/>
                <w:bCs w:val="1"/>
                <w:color w:val="auto"/>
              </w:rPr>
              <w:t>Contribution</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7"/>
              </w:rPr>
              <w:t>Plan (a)</w:t>
            </w:r>
          </w:p>
        </w:tc>
        <w:tc>
          <w:tcPr>
            <w:tcW w:w="760" w:type="dxa"/>
            <w:vAlign w:val="bottom"/>
            <w:gridSpan w:val="2"/>
          </w:tcPr>
          <w:p>
            <w:pPr>
              <w:jc w:val="center"/>
              <w:ind w:left="64"/>
              <w:spacing w:after="0"/>
              <w:rPr>
                <w:sz w:val="20"/>
                <w:szCs w:val="20"/>
                <w:color w:val="auto"/>
              </w:rPr>
            </w:pPr>
            <w:r>
              <w:rPr>
                <w:rFonts w:ascii="Arial" w:cs="Arial" w:eastAsia="Arial" w:hAnsi="Arial"/>
                <w:sz w:val="13"/>
                <w:szCs w:val="13"/>
                <w:b w:val="1"/>
                <w:bCs w:val="1"/>
                <w:color w:val="auto"/>
                <w:w w:val="98"/>
              </w:rPr>
              <w:t>Time (b)</w:t>
            </w:r>
          </w:p>
        </w:tc>
      </w:tr>
      <w:tr>
        <w:trPr>
          <w:trHeight w:val="45"/>
        </w:trPr>
        <w:tc>
          <w:tcPr>
            <w:tcW w:w="4420" w:type="dxa"/>
            <w:vAlign w:val="bottom"/>
            <w:tcBorders>
              <w:bottom w:val="single" w:sz="8" w:color="808285"/>
            </w:tcBorders>
          </w:tcPr>
          <w:p>
            <w:pPr>
              <w:spacing w:after="0"/>
              <w:rPr>
                <w:sz w:val="3"/>
                <w:szCs w:val="3"/>
                <w:color w:val="auto"/>
              </w:rPr>
            </w:pPr>
          </w:p>
        </w:tc>
        <w:tc>
          <w:tcPr>
            <w:tcW w:w="4020" w:type="dxa"/>
            <w:vAlign w:val="bottom"/>
            <w:tcBorders>
              <w:bottom w:val="single" w:sz="8" w:color="808285"/>
            </w:tcBorders>
          </w:tcPr>
          <w:p>
            <w:pPr>
              <w:spacing w:after="0"/>
              <w:rPr>
                <w:sz w:val="3"/>
                <w:szCs w:val="3"/>
                <w:color w:val="auto"/>
              </w:rPr>
            </w:pPr>
          </w:p>
        </w:tc>
        <w:tc>
          <w:tcPr>
            <w:tcW w:w="340" w:type="dxa"/>
            <w:vAlign w:val="bottom"/>
            <w:tcBorders>
              <w:bottom w:val="single" w:sz="8" w:color="808285"/>
            </w:tcBorders>
          </w:tcPr>
          <w:p>
            <w:pPr>
              <w:spacing w:after="0"/>
              <w:rPr>
                <w:sz w:val="3"/>
                <w:szCs w:val="3"/>
                <w:color w:val="auto"/>
              </w:rPr>
            </w:pPr>
          </w:p>
        </w:tc>
        <w:tc>
          <w:tcPr>
            <w:tcW w:w="780" w:type="dxa"/>
            <w:vAlign w:val="bottom"/>
            <w:tcBorders>
              <w:bottom w:val="single" w:sz="8" w:color="808285"/>
            </w:tcBorders>
          </w:tcPr>
          <w:p>
            <w:pPr>
              <w:spacing w:after="0"/>
              <w:rPr>
                <w:sz w:val="3"/>
                <w:szCs w:val="3"/>
                <w:color w:val="auto"/>
              </w:rPr>
            </w:pPr>
          </w:p>
        </w:tc>
        <w:tc>
          <w:tcPr>
            <w:tcW w:w="1100" w:type="dxa"/>
            <w:vAlign w:val="bottom"/>
            <w:tcBorders>
              <w:bottom w:val="single" w:sz="8" w:color="808285"/>
            </w:tcBorders>
          </w:tcPr>
          <w:p>
            <w:pPr>
              <w:spacing w:after="0"/>
              <w:rPr>
                <w:sz w:val="3"/>
                <w:szCs w:val="3"/>
                <w:color w:val="auto"/>
              </w:rPr>
            </w:pPr>
          </w:p>
        </w:tc>
        <w:tc>
          <w:tcPr>
            <w:tcW w:w="240" w:type="dxa"/>
            <w:vAlign w:val="bottom"/>
            <w:tcBorders>
              <w:bottom w:val="single" w:sz="8" w:color="808285"/>
            </w:tcBorders>
          </w:tcPr>
          <w:p>
            <w:pPr>
              <w:spacing w:after="0"/>
              <w:rPr>
                <w:sz w:val="3"/>
                <w:szCs w:val="3"/>
                <w:color w:val="auto"/>
              </w:rPr>
            </w:pPr>
          </w:p>
        </w:tc>
        <w:tc>
          <w:tcPr>
            <w:tcW w:w="520" w:type="dxa"/>
            <w:vAlign w:val="bottom"/>
            <w:tcBorders>
              <w:bottom w:val="single" w:sz="8" w:color="808285"/>
            </w:tcBorders>
          </w:tcPr>
          <w:p>
            <w:pPr>
              <w:spacing w:after="0"/>
              <w:rPr>
                <w:sz w:val="3"/>
                <w:szCs w:val="3"/>
                <w:color w:val="auto"/>
              </w:rPr>
            </w:pPr>
          </w:p>
        </w:tc>
      </w:tr>
      <w:tr>
        <w:trPr>
          <w:trHeight w:val="233"/>
        </w:trPr>
        <w:tc>
          <w:tcPr>
            <w:tcW w:w="4420" w:type="dxa"/>
            <w:vAlign w:val="bottom"/>
            <w:shd w:val="clear" w:color="auto" w:fill="E9E9E9"/>
          </w:tcPr>
          <w:p>
            <w:pPr>
              <w:spacing w:after="0"/>
              <w:rPr>
                <w:sz w:val="20"/>
                <w:szCs w:val="20"/>
                <w:color w:val="auto"/>
              </w:rPr>
            </w:pPr>
            <w:r>
              <w:rPr>
                <w:rFonts w:ascii="Arial" w:cs="Arial" w:eastAsia="Arial" w:hAnsi="Arial"/>
                <w:sz w:val="17"/>
                <w:szCs w:val="17"/>
                <w:color w:val="auto"/>
              </w:rPr>
              <w:t>R. K. Templeton</w:t>
            </w:r>
          </w:p>
        </w:tc>
        <w:tc>
          <w:tcPr>
            <w:tcW w:w="4020" w:type="dxa"/>
            <w:vAlign w:val="bottom"/>
            <w:shd w:val="clear" w:color="auto" w:fill="E9E9E9"/>
          </w:tcPr>
          <w:p>
            <w:pPr>
              <w:jc w:val="center"/>
              <w:ind w:left="2979"/>
              <w:spacing w:after="0"/>
              <w:rPr>
                <w:sz w:val="20"/>
                <w:szCs w:val="20"/>
                <w:color w:val="auto"/>
              </w:rPr>
            </w:pPr>
            <w:r>
              <w:rPr>
                <w:rFonts w:ascii="Arial" w:cs="Arial" w:eastAsia="Arial" w:hAnsi="Arial"/>
                <w:sz w:val="17"/>
                <w:szCs w:val="17"/>
                <w:color w:val="auto"/>
                <w:w w:val="95"/>
              </w:rPr>
              <w:t>$250</w:t>
            </w:r>
          </w:p>
        </w:tc>
        <w:tc>
          <w:tcPr>
            <w:tcW w:w="3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E9E9E9"/>
          </w:tcPr>
          <w:p>
            <w:pPr>
              <w:jc w:val="right"/>
              <w:ind w:right="179"/>
              <w:spacing w:after="0"/>
              <w:rPr>
                <w:sz w:val="20"/>
                <w:szCs w:val="20"/>
                <w:color w:val="auto"/>
              </w:rPr>
            </w:pPr>
            <w:r>
              <w:rPr>
                <w:rFonts w:ascii="Arial" w:cs="Arial" w:eastAsia="Arial" w:hAnsi="Arial"/>
                <w:sz w:val="17"/>
                <w:szCs w:val="17"/>
                <w:color w:val="auto"/>
                <w:w w:val="96"/>
              </w:rPr>
              <w:t>10,000</w:t>
            </w:r>
          </w:p>
        </w:tc>
        <w:tc>
          <w:tcPr>
            <w:tcW w:w="11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$83,074</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10,567</w:t>
            </w:r>
          </w:p>
        </w:tc>
      </w:tr>
      <w:tr>
        <w:trPr>
          <w:trHeight w:val="225"/>
        </w:trPr>
        <w:tc>
          <w:tcPr>
            <w:tcW w:w="4420" w:type="dxa"/>
            <w:vAlign w:val="bottom"/>
          </w:tcPr>
          <w:p>
            <w:pPr>
              <w:spacing w:after="0"/>
              <w:rPr>
                <w:sz w:val="20"/>
                <w:szCs w:val="20"/>
                <w:color w:val="auto"/>
              </w:rPr>
            </w:pPr>
            <w:r>
              <w:rPr>
                <w:rFonts w:ascii="Arial" w:cs="Arial" w:eastAsia="Arial" w:hAnsi="Arial"/>
                <w:sz w:val="17"/>
                <w:szCs w:val="17"/>
                <w:color w:val="auto"/>
              </w:rPr>
              <w:t>K. P. March</w:t>
            </w:r>
          </w:p>
        </w:tc>
        <w:tc>
          <w:tcPr>
            <w:tcW w:w="4020" w:type="dxa"/>
            <w:vAlign w:val="bottom"/>
          </w:tcPr>
          <w:p>
            <w:pPr>
              <w:jc w:val="center"/>
              <w:ind w:left="2979"/>
              <w:spacing w:after="0"/>
              <w:rPr>
                <w:sz w:val="20"/>
                <w:szCs w:val="20"/>
                <w:color w:val="auto"/>
              </w:rPr>
            </w:pPr>
            <w:r>
              <w:rPr>
                <w:rFonts w:ascii="Arial" w:cs="Arial" w:eastAsia="Arial" w:hAnsi="Arial"/>
                <w:sz w:val="17"/>
                <w:szCs w:val="17"/>
                <w:color w:val="auto"/>
                <w:w w:val="95"/>
              </w:rPr>
              <w:t>$250</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79"/>
              <w:spacing w:after="0"/>
              <w:rPr>
                <w:sz w:val="20"/>
                <w:szCs w:val="20"/>
                <w:color w:val="auto"/>
              </w:rPr>
            </w:pPr>
            <w:r>
              <w:rPr>
                <w:rFonts w:ascii="Arial" w:cs="Arial" w:eastAsia="Arial" w:hAnsi="Arial"/>
                <w:sz w:val="17"/>
                <w:szCs w:val="17"/>
                <w:color w:val="auto"/>
              </w:rPr>
              <w:t>5,000</w:t>
            </w:r>
          </w:p>
        </w:tc>
        <w:tc>
          <w:tcPr>
            <w:tcW w:w="1100" w:type="dxa"/>
            <w:vAlign w:val="bottom"/>
          </w:tcPr>
          <w:p>
            <w:pPr>
              <w:ind w:left="600"/>
              <w:spacing w:after="0"/>
              <w:rPr>
                <w:sz w:val="20"/>
                <w:szCs w:val="20"/>
                <w:color w:val="auto"/>
              </w:rPr>
            </w:pPr>
            <w:r>
              <w:rPr>
                <w:rFonts w:ascii="Arial" w:cs="Arial" w:eastAsia="Arial" w:hAnsi="Arial"/>
                <w:sz w:val="17"/>
                <w:szCs w:val="17"/>
                <w:color w:val="auto"/>
              </w:rPr>
              <w:t>N/A</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14,994</w:t>
            </w:r>
          </w:p>
        </w:tc>
      </w:tr>
      <w:tr>
        <w:trPr>
          <w:trHeight w:val="240"/>
        </w:trPr>
        <w:tc>
          <w:tcPr>
            <w:tcW w:w="4420" w:type="dxa"/>
            <w:vAlign w:val="bottom"/>
            <w:shd w:val="clear" w:color="auto" w:fill="E9E9E9"/>
          </w:tcPr>
          <w:p>
            <w:pPr>
              <w:spacing w:after="0"/>
              <w:rPr>
                <w:sz w:val="20"/>
                <w:szCs w:val="20"/>
                <w:color w:val="auto"/>
              </w:rPr>
            </w:pPr>
            <w:r>
              <w:rPr>
                <w:rFonts w:ascii="Arial" w:cs="Arial" w:eastAsia="Arial" w:hAnsi="Arial"/>
                <w:sz w:val="17"/>
                <w:szCs w:val="17"/>
                <w:color w:val="auto"/>
              </w:rPr>
              <w:t>B. T. Crutcher</w:t>
            </w:r>
          </w:p>
        </w:tc>
        <w:tc>
          <w:tcPr>
            <w:tcW w:w="4020" w:type="dxa"/>
            <w:vAlign w:val="bottom"/>
            <w:shd w:val="clear" w:color="auto" w:fill="E9E9E9"/>
          </w:tcPr>
          <w:p>
            <w:pPr>
              <w:jc w:val="center"/>
              <w:ind w:left="2979"/>
              <w:spacing w:after="0"/>
              <w:rPr>
                <w:sz w:val="20"/>
                <w:szCs w:val="20"/>
                <w:color w:val="auto"/>
              </w:rPr>
            </w:pPr>
            <w:r>
              <w:rPr>
                <w:rFonts w:ascii="Arial" w:cs="Arial" w:eastAsia="Arial" w:hAnsi="Arial"/>
                <w:sz w:val="17"/>
                <w:szCs w:val="17"/>
                <w:color w:val="auto"/>
                <w:w w:val="95"/>
              </w:rPr>
              <w:t>$250</w:t>
            </w:r>
          </w:p>
        </w:tc>
        <w:tc>
          <w:tcPr>
            <w:tcW w:w="3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E9E9E9"/>
          </w:tcPr>
          <w:p>
            <w:pPr>
              <w:jc w:val="right"/>
              <w:ind w:right="179"/>
              <w:spacing w:after="0"/>
              <w:rPr>
                <w:sz w:val="20"/>
                <w:szCs w:val="20"/>
                <w:color w:val="auto"/>
              </w:rPr>
            </w:pPr>
            <w:r>
              <w:rPr>
                <w:rFonts w:ascii="Arial" w:cs="Arial" w:eastAsia="Arial" w:hAnsi="Arial"/>
                <w:sz w:val="17"/>
                <w:szCs w:val="17"/>
                <w:color w:val="auto"/>
                <w:w w:val="96"/>
              </w:rPr>
              <w:t>10,000</w:t>
            </w:r>
          </w:p>
        </w:tc>
        <w:tc>
          <w:tcPr>
            <w:tcW w:w="11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$57,241</w:t>
            </w:r>
          </w:p>
        </w:tc>
        <w:tc>
          <w:tcPr>
            <w:tcW w:w="240" w:type="dxa"/>
            <w:vAlign w:val="bottom"/>
            <w:shd w:val="clear" w:color="auto" w:fill="E9E9E9"/>
          </w:tcPr>
          <w:p>
            <w:pPr>
              <w:spacing w:after="0"/>
              <w:rPr>
                <w:sz w:val="20"/>
                <w:szCs w:val="20"/>
                <w:color w:val="auto"/>
              </w:rPr>
            </w:pPr>
          </w:p>
        </w:tc>
        <w:tc>
          <w:tcPr>
            <w:tcW w:w="5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r>
      <w:tr>
        <w:trPr>
          <w:trHeight w:val="225"/>
        </w:trPr>
        <w:tc>
          <w:tcPr>
            <w:tcW w:w="4420" w:type="dxa"/>
            <w:vAlign w:val="bottom"/>
          </w:tcPr>
          <w:p>
            <w:pPr>
              <w:spacing w:after="0"/>
              <w:rPr>
                <w:sz w:val="20"/>
                <w:szCs w:val="20"/>
                <w:color w:val="auto"/>
              </w:rPr>
            </w:pPr>
            <w:r>
              <w:rPr>
                <w:rFonts w:ascii="Arial" w:cs="Arial" w:eastAsia="Arial" w:hAnsi="Arial"/>
                <w:sz w:val="17"/>
                <w:szCs w:val="17"/>
                <w:color w:val="auto"/>
              </w:rPr>
              <w:t>R. G. Delagi</w:t>
            </w:r>
          </w:p>
        </w:tc>
        <w:tc>
          <w:tcPr>
            <w:tcW w:w="4020" w:type="dxa"/>
            <w:vAlign w:val="bottom"/>
          </w:tcPr>
          <w:p>
            <w:pPr>
              <w:jc w:val="center"/>
              <w:ind w:left="2979"/>
              <w:spacing w:after="0"/>
              <w:rPr>
                <w:sz w:val="20"/>
                <w:szCs w:val="20"/>
                <w:color w:val="auto"/>
              </w:rPr>
            </w:pPr>
            <w:r>
              <w:rPr>
                <w:rFonts w:ascii="Arial" w:cs="Arial" w:eastAsia="Arial" w:hAnsi="Arial"/>
                <w:sz w:val="17"/>
                <w:szCs w:val="17"/>
                <w:color w:val="auto"/>
                <w:w w:val="95"/>
              </w:rPr>
              <w:t>$250</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79"/>
              <w:spacing w:after="0"/>
              <w:rPr>
                <w:sz w:val="20"/>
                <w:szCs w:val="20"/>
                <w:color w:val="auto"/>
              </w:rPr>
            </w:pPr>
            <w:r>
              <w:rPr>
                <w:rFonts w:ascii="Arial" w:cs="Arial" w:eastAsia="Arial" w:hAnsi="Arial"/>
                <w:sz w:val="17"/>
                <w:szCs w:val="17"/>
                <w:color w:val="auto"/>
              </w:rPr>
              <w:t>5,000</w:t>
            </w:r>
          </w:p>
        </w:tc>
        <w:tc>
          <w:tcPr>
            <w:tcW w:w="1100" w:type="dxa"/>
            <w:vAlign w:val="bottom"/>
          </w:tcPr>
          <w:p>
            <w:pPr>
              <w:ind w:left="600"/>
              <w:spacing w:after="0"/>
              <w:rPr>
                <w:sz w:val="20"/>
                <w:szCs w:val="20"/>
                <w:color w:val="auto"/>
              </w:rPr>
            </w:pPr>
            <w:r>
              <w:rPr>
                <w:rFonts w:ascii="Arial" w:cs="Arial" w:eastAsia="Arial" w:hAnsi="Arial"/>
                <w:sz w:val="17"/>
                <w:szCs w:val="17"/>
                <w:color w:val="auto"/>
              </w:rPr>
              <w:t>N/A</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7,650</w:t>
            </w:r>
          </w:p>
        </w:tc>
      </w:tr>
      <w:tr>
        <w:trPr>
          <w:trHeight w:val="240"/>
        </w:trPr>
        <w:tc>
          <w:tcPr>
            <w:tcW w:w="4420" w:type="dxa"/>
            <w:vAlign w:val="bottom"/>
            <w:shd w:val="clear" w:color="auto" w:fill="E9E9E9"/>
          </w:tcPr>
          <w:p>
            <w:pPr>
              <w:spacing w:after="0"/>
              <w:rPr>
                <w:sz w:val="20"/>
                <w:szCs w:val="20"/>
                <w:color w:val="auto"/>
              </w:rPr>
            </w:pPr>
            <w:r>
              <w:rPr>
                <w:rFonts w:ascii="Arial" w:cs="Arial" w:eastAsia="Arial" w:hAnsi="Arial"/>
                <w:sz w:val="17"/>
                <w:szCs w:val="17"/>
                <w:color w:val="auto"/>
              </w:rPr>
              <w:t>K. J. Ritchie</w:t>
            </w:r>
          </w:p>
        </w:tc>
        <w:tc>
          <w:tcPr>
            <w:tcW w:w="4020" w:type="dxa"/>
            <w:vAlign w:val="bottom"/>
            <w:shd w:val="clear" w:color="auto" w:fill="E9E9E9"/>
          </w:tcPr>
          <w:p>
            <w:pPr>
              <w:jc w:val="center"/>
              <w:ind w:left="2979"/>
              <w:spacing w:after="0"/>
              <w:rPr>
                <w:sz w:val="20"/>
                <w:szCs w:val="20"/>
                <w:color w:val="auto"/>
              </w:rPr>
            </w:pPr>
            <w:r>
              <w:rPr>
                <w:rFonts w:ascii="Arial" w:cs="Arial" w:eastAsia="Arial" w:hAnsi="Arial"/>
                <w:sz w:val="17"/>
                <w:szCs w:val="17"/>
                <w:color w:val="auto"/>
                <w:w w:val="95"/>
              </w:rPr>
              <w:t>$250</w:t>
            </w:r>
          </w:p>
        </w:tc>
        <w:tc>
          <w:tcPr>
            <w:tcW w:w="3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E9E9E9"/>
          </w:tcPr>
          <w:p>
            <w:pPr>
              <w:jc w:val="right"/>
              <w:ind w:right="179"/>
              <w:spacing w:after="0"/>
              <w:rPr>
                <w:sz w:val="20"/>
                <w:szCs w:val="20"/>
                <w:color w:val="auto"/>
              </w:rPr>
            </w:pPr>
            <w:r>
              <w:rPr>
                <w:rFonts w:ascii="Arial" w:cs="Arial" w:eastAsia="Arial" w:hAnsi="Arial"/>
                <w:sz w:val="17"/>
                <w:szCs w:val="17"/>
                <w:color w:val="auto"/>
              </w:rPr>
              <w:t>5,000</w:t>
            </w:r>
          </w:p>
        </w:tc>
        <w:tc>
          <w:tcPr>
            <w:tcW w:w="1100" w:type="dxa"/>
            <w:vAlign w:val="bottom"/>
            <w:shd w:val="clear" w:color="auto" w:fill="E9E9E9"/>
          </w:tcPr>
          <w:p>
            <w:pPr>
              <w:ind w:left="600"/>
              <w:spacing w:after="0"/>
              <w:rPr>
                <w:sz w:val="20"/>
                <w:szCs w:val="20"/>
                <w:color w:val="auto"/>
              </w:rPr>
            </w:pPr>
            <w:r>
              <w:rPr>
                <w:rFonts w:ascii="Arial" w:cs="Arial" w:eastAsia="Arial" w:hAnsi="Arial"/>
                <w:sz w:val="17"/>
                <w:szCs w:val="17"/>
                <w:color w:val="auto"/>
              </w:rPr>
              <w:t>N/A</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14,597</w:t>
            </w:r>
          </w:p>
        </w:tc>
      </w:tr>
    </w:tbl>
    <w:p>
      <w:pPr>
        <w:spacing w:after="0" w:line="236" w:lineRule="exact"/>
        <w:rPr>
          <w:sz w:val="20"/>
          <w:szCs w:val="20"/>
          <w:color w:val="auto"/>
        </w:rPr>
      </w:pPr>
    </w:p>
    <w:p>
      <w:pPr>
        <w:ind w:left="460" w:right="60" w:hanging="457"/>
        <w:spacing w:after="0" w:line="241"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Consists of (i) contributions under the company’s enhanced defined contribution retirement plan of $5,000, and (ii) an additional amount of $78,074 for Mr. Templeton and $52,241 for Mr. Crutcher accrued by TI to offset IRC limitations on amounts that could be contributed to the enhanced defined contribution retirement plan, which amount is also shown in the Non-qualified Deferred Compensation table on page 88.</w:t>
      </w:r>
    </w:p>
    <w:p>
      <w:pPr>
        <w:spacing w:after="0" w:line="225" w:lineRule="exact"/>
        <w:rPr>
          <w:rFonts w:ascii="Arial" w:cs="Arial" w:eastAsia="Arial" w:hAnsi="Arial"/>
          <w:sz w:val="17"/>
          <w:szCs w:val="17"/>
          <w:color w:val="auto"/>
        </w:rPr>
      </w:pPr>
    </w:p>
    <w:p>
      <w:pPr>
        <w:ind w:left="460" w:hanging="457"/>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Represents payments for unused vacation time that could not be carried forward.</w:t>
      </w:r>
    </w:p>
    <w:p>
      <w:pPr>
        <w:spacing w:after="0" w:line="205"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The perquisites and personal benefits are as follows: $168,819 for Mr. Templeton, consisting of personal use of company aircraft ($157,753), financial counseling and an executive physical; $27,884 for Mr. Crutcher, consisting of personal use of company aircraft, financial counseling and an executive physical; and $10,382 for Mr. Delagi, consisting of financial counseling and an executive physical. Each amount shown for personal use of aircraft is the incremental cost, which we valued using a method that takes into account: landing, parking and flight planning services expenses; crew travel expenses; supplies and catering expenses; aircraft fuel and oil expenses per hour of flight; communications costs; a portion of ongoing maintenance; and any customs, foreign permit and similar fees. Because company aircraft are primarily used for business travel, this methodology excludes the fixed costs, which do not change based on usage, such as pilots’ salaries and the lease cost of the company aircraft.</w:t>
      </w:r>
    </w:p>
    <w:p>
      <w:pPr>
        <w:spacing w:after="0" w:line="220" w:lineRule="exact"/>
        <w:rPr>
          <w:sz w:val="20"/>
          <w:szCs w:val="20"/>
          <w:color w:val="auto"/>
        </w:rPr>
      </w:pPr>
    </w:p>
    <w:p>
      <w:pPr>
        <w:spacing w:after="0"/>
        <w:tabs>
          <w:tab w:leader="none" w:pos="95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2"/>
          <w:szCs w:val="12"/>
          <w:b w:val="1"/>
          <w:bCs w:val="1"/>
          <w:color w:val="808285"/>
        </w:rPr>
        <w:t>2013 PROXY STATEMENT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Grants of plan-based awards in 2012</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grants of plan-based awards to the named executive officers in 2012.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8"/>
              </w:rPr>
              <w:t>All Other</w:t>
            </w:r>
          </w:p>
        </w:tc>
        <w:tc>
          <w:tcPr>
            <w:tcW w:w="880" w:type="dxa"/>
            <w:vAlign w:val="bottom"/>
          </w:tcPr>
          <w:p>
            <w:pPr>
              <w:ind w:left="160"/>
              <w:spacing w:after="0"/>
              <w:rPr>
                <w:sz w:val="20"/>
                <w:szCs w:val="20"/>
                <w:color w:val="auto"/>
              </w:rPr>
            </w:pPr>
            <w:r>
              <w:rPr>
                <w:rFonts w:ascii="Arial" w:cs="Arial" w:eastAsia="Arial" w:hAnsi="Arial"/>
                <w:sz w:val="13"/>
                <w:szCs w:val="13"/>
                <w:b w:val="1"/>
                <w:bCs w:val="1"/>
                <w:color w:val="auto"/>
              </w:rPr>
              <w:t>All Other</w:t>
            </w: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3"/>
        </w:trPr>
        <w:tc>
          <w:tcPr>
            <w:tcW w:w="1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5"/>
              </w:rPr>
              <w:t>Stock</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7"/>
              </w:rPr>
              <w:t>Exercise</w:t>
            </w:r>
          </w:p>
        </w:tc>
        <w:tc>
          <w:tcPr>
            <w:tcW w:w="980" w:type="dxa"/>
            <w:vAlign w:val="bottom"/>
          </w:tcPr>
          <w:p>
            <w:pPr>
              <w:spacing w:after="0"/>
              <w:rPr>
                <w:sz w:val="20"/>
                <w:szCs w:val="20"/>
                <w:color w:val="auto"/>
              </w:rPr>
            </w:pPr>
          </w:p>
        </w:tc>
      </w:tr>
      <w:tr>
        <w:trPr>
          <w:trHeight w:val="233"/>
        </w:trPr>
        <w:tc>
          <w:tcPr>
            <w:tcW w:w="1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880" w:type="dxa"/>
            <w:vAlign w:val="bottom"/>
          </w:tcPr>
          <w:p>
            <w:pPr>
              <w:ind w:left="180"/>
              <w:spacing w:after="0"/>
              <w:rPr>
                <w:sz w:val="20"/>
                <w:szCs w:val="20"/>
                <w:color w:val="auto"/>
              </w:rPr>
            </w:pPr>
            <w:r>
              <w:rPr>
                <w:rFonts w:ascii="Arial" w:cs="Arial" w:eastAsia="Arial" w:hAnsi="Arial"/>
                <w:sz w:val="13"/>
                <w:szCs w:val="13"/>
                <w:b w:val="1"/>
                <w:bCs w:val="1"/>
                <w:color w:val="auto"/>
              </w:rPr>
              <w:t>Awards:</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or Base</w:t>
            </w:r>
          </w:p>
        </w:tc>
        <w:tc>
          <w:tcPr>
            <w:tcW w:w="980" w:type="dxa"/>
            <w:vAlign w:val="bottom"/>
          </w:tcPr>
          <w:p>
            <w:pPr>
              <w:spacing w:after="0"/>
              <w:rPr>
                <w:sz w:val="20"/>
                <w:szCs w:val="20"/>
                <w:color w:val="auto"/>
              </w:rPr>
            </w:pPr>
          </w:p>
        </w:tc>
      </w:tr>
      <w:tr>
        <w:trPr>
          <w:trHeight w:val="233"/>
        </w:trPr>
        <w:tc>
          <w:tcPr>
            <w:tcW w:w="1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1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rPr>
              <w:t>Estimated Possible Payouts</w:t>
            </w:r>
          </w:p>
        </w:tc>
        <w:tc>
          <w:tcPr>
            <w:tcW w:w="19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9"/>
              </w:rPr>
              <w:t>Estimated Future Payouts</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Price of</w:t>
            </w:r>
          </w:p>
        </w:tc>
        <w:tc>
          <w:tcPr>
            <w:tcW w:w="980" w:type="dxa"/>
            <w:vAlign w:val="bottom"/>
          </w:tcPr>
          <w:p>
            <w:pPr>
              <w:jc w:val="center"/>
              <w:ind w:left="42"/>
              <w:spacing w:after="0"/>
              <w:rPr>
                <w:sz w:val="20"/>
                <w:szCs w:val="20"/>
                <w:color w:val="auto"/>
              </w:rPr>
            </w:pPr>
            <w:r>
              <w:rPr>
                <w:rFonts w:ascii="Arial" w:cs="Arial" w:eastAsia="Arial" w:hAnsi="Arial"/>
                <w:sz w:val="13"/>
                <w:szCs w:val="13"/>
                <w:b w:val="1"/>
                <w:bCs w:val="1"/>
                <w:color w:val="auto"/>
                <w:w w:val="99"/>
              </w:rPr>
              <w:t>Grant Date</w:t>
            </w:r>
          </w:p>
        </w:tc>
      </w:tr>
      <w:tr>
        <w:trPr>
          <w:trHeight w:val="233"/>
        </w:trPr>
        <w:tc>
          <w:tcPr>
            <w:tcW w:w="1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10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9"/>
              </w:rPr>
              <w:t>under Non-Equity Incentive</w:t>
            </w:r>
          </w:p>
        </w:tc>
        <w:tc>
          <w:tcPr>
            <w:tcW w:w="1940" w:type="dxa"/>
            <w:vAlign w:val="bottom"/>
            <w:gridSpan w:val="3"/>
          </w:tcPr>
          <w:p>
            <w:pPr>
              <w:jc w:val="center"/>
              <w:spacing w:after="0"/>
              <w:rPr>
                <w:sz w:val="20"/>
                <w:szCs w:val="20"/>
                <w:color w:val="auto"/>
              </w:rPr>
            </w:pPr>
            <w:r>
              <w:rPr>
                <w:rFonts w:ascii="Arial" w:cs="Arial" w:eastAsia="Arial" w:hAnsi="Arial"/>
                <w:sz w:val="13"/>
                <w:szCs w:val="13"/>
                <w:b w:val="1"/>
                <w:bCs w:val="1"/>
                <w:color w:val="auto"/>
              </w:rPr>
              <w:t>under Equity Incentive</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Shares of</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9"/>
              </w:rPr>
              <w:t>Securities</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5"/>
              </w:rPr>
              <w:t>Option</w:t>
            </w:r>
          </w:p>
        </w:tc>
        <w:tc>
          <w:tcPr>
            <w:tcW w:w="980" w:type="dxa"/>
            <w:vAlign w:val="bottom"/>
          </w:tcPr>
          <w:p>
            <w:pPr>
              <w:jc w:val="center"/>
              <w:ind w:left="62"/>
              <w:spacing w:after="0"/>
              <w:rPr>
                <w:sz w:val="20"/>
                <w:szCs w:val="20"/>
                <w:color w:val="auto"/>
              </w:rPr>
            </w:pPr>
            <w:r>
              <w:rPr>
                <w:rFonts w:ascii="Arial" w:cs="Arial" w:eastAsia="Arial" w:hAnsi="Arial"/>
                <w:sz w:val="13"/>
                <w:szCs w:val="13"/>
                <w:b w:val="1"/>
                <w:bCs w:val="1"/>
                <w:color w:val="auto"/>
                <w:w w:val="96"/>
              </w:rPr>
              <w:t>Fair Value</w:t>
            </w:r>
          </w:p>
        </w:tc>
      </w:tr>
      <w:tr>
        <w:trPr>
          <w:trHeight w:val="233"/>
        </w:trPr>
        <w:tc>
          <w:tcPr>
            <w:tcW w:w="1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5"/>
              </w:rPr>
              <w:t>Date of</w:t>
            </w:r>
          </w:p>
        </w:tc>
        <w:tc>
          <w:tcPr>
            <w:tcW w:w="21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9"/>
              </w:rPr>
              <w:t>Plan Awards</w:t>
            </w:r>
          </w:p>
        </w:tc>
        <w:tc>
          <w:tcPr>
            <w:tcW w:w="1440" w:type="dxa"/>
            <w:vAlign w:val="bottom"/>
            <w:gridSpan w:val="2"/>
          </w:tcPr>
          <w:p>
            <w:pPr>
              <w:jc w:val="center"/>
              <w:ind w:left="406"/>
              <w:spacing w:after="0"/>
              <w:rPr>
                <w:sz w:val="20"/>
                <w:szCs w:val="20"/>
                <w:color w:val="auto"/>
              </w:rPr>
            </w:pPr>
            <w:r>
              <w:rPr>
                <w:rFonts w:ascii="Arial" w:cs="Arial" w:eastAsia="Arial" w:hAnsi="Arial"/>
                <w:sz w:val="13"/>
                <w:szCs w:val="13"/>
                <w:b w:val="1"/>
                <w:bCs w:val="1"/>
                <w:color w:val="auto"/>
                <w:w w:val="97"/>
              </w:rPr>
              <w:t>Plan Awards</w:t>
            </w:r>
          </w:p>
        </w:tc>
        <w:tc>
          <w:tcPr>
            <w:tcW w:w="5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6"/>
              </w:rPr>
              <w:t>Stock or</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Underlying</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980" w:type="dxa"/>
            <w:vAlign w:val="bottom"/>
          </w:tcPr>
          <w:p>
            <w:pPr>
              <w:jc w:val="center"/>
              <w:ind w:left="62"/>
              <w:spacing w:after="0"/>
              <w:rPr>
                <w:sz w:val="20"/>
                <w:szCs w:val="20"/>
                <w:color w:val="auto"/>
              </w:rPr>
            </w:pPr>
            <w:r>
              <w:rPr>
                <w:rFonts w:ascii="Arial" w:cs="Arial" w:eastAsia="Arial" w:hAnsi="Arial"/>
                <w:sz w:val="13"/>
                <w:szCs w:val="13"/>
                <w:b w:val="1"/>
                <w:bCs w:val="1"/>
                <w:color w:val="auto"/>
              </w:rPr>
              <w:t>of Stock</w:t>
            </w:r>
          </w:p>
        </w:tc>
      </w:tr>
      <w:tr>
        <w:trPr>
          <w:trHeight w:val="40"/>
        </w:trPr>
        <w:tc>
          <w:tcPr>
            <w:tcW w:w="1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00" w:type="dxa"/>
            <w:vAlign w:val="bottom"/>
            <w:tcBorders>
              <w:bottom w:val="single" w:sz="8" w:color="808285"/>
            </w:tcBorders>
          </w:tcPr>
          <w:p>
            <w:pPr>
              <w:spacing w:after="0"/>
              <w:rPr>
                <w:sz w:val="3"/>
                <w:szCs w:val="3"/>
                <w:color w:val="auto"/>
              </w:rPr>
            </w:pPr>
          </w:p>
        </w:tc>
        <w:tc>
          <w:tcPr>
            <w:tcW w:w="560" w:type="dxa"/>
            <w:vAlign w:val="bottom"/>
            <w:tcBorders>
              <w:bottom w:val="single" w:sz="8" w:color="808285"/>
            </w:tcBorders>
          </w:tcPr>
          <w:p>
            <w:pPr>
              <w:spacing w:after="0"/>
              <w:rPr>
                <w:sz w:val="3"/>
                <w:szCs w:val="3"/>
                <w:color w:val="auto"/>
              </w:rPr>
            </w:pPr>
          </w:p>
        </w:tc>
        <w:tc>
          <w:tcPr>
            <w:tcW w:w="680" w:type="dxa"/>
            <w:vAlign w:val="bottom"/>
            <w:tcBorders>
              <w:bottom w:val="single" w:sz="8" w:color="808285"/>
            </w:tcBorders>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Borders>
              <w:bottom w:val="single" w:sz="8" w:color="808285"/>
            </w:tcBorders>
          </w:tcPr>
          <w:p>
            <w:pPr>
              <w:spacing w:after="0"/>
              <w:rPr>
                <w:sz w:val="3"/>
                <w:szCs w:val="3"/>
                <w:color w:val="auto"/>
              </w:rPr>
            </w:pPr>
          </w:p>
        </w:tc>
        <w:tc>
          <w:tcPr>
            <w:tcW w:w="1240" w:type="dxa"/>
            <w:vAlign w:val="bottom"/>
            <w:tcBorders>
              <w:bottom w:val="single" w:sz="8" w:color="808285"/>
            </w:tcBorders>
            <w:gridSpan w:val="2"/>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186"/>
        </w:trPr>
        <w:tc>
          <w:tcPr>
            <w:tcW w:w="1200" w:type="dxa"/>
            <w:vAlign w:val="bottom"/>
          </w:tcPr>
          <w:p>
            <w:pPr>
              <w:spacing w:after="0"/>
              <w:rPr>
                <w:sz w:val="16"/>
                <w:szCs w:val="16"/>
                <w:color w:val="auto"/>
              </w:rPr>
            </w:pPr>
          </w:p>
        </w:tc>
        <w:tc>
          <w:tcPr>
            <w:tcW w:w="1700" w:type="dxa"/>
            <w:vAlign w:val="bottom"/>
          </w:tcPr>
          <w:p>
            <w:pPr>
              <w:ind w:left="940"/>
              <w:spacing w:after="0"/>
              <w:rPr>
                <w:sz w:val="20"/>
                <w:szCs w:val="20"/>
                <w:color w:val="auto"/>
              </w:rPr>
            </w:pPr>
            <w:r>
              <w:rPr>
                <w:rFonts w:ascii="Arial" w:cs="Arial" w:eastAsia="Arial" w:hAnsi="Arial"/>
                <w:sz w:val="13"/>
                <w:szCs w:val="13"/>
                <w:b w:val="1"/>
                <w:bCs w:val="1"/>
                <w:color w:val="auto"/>
              </w:rPr>
              <w:t>Grant</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8"/>
              </w:rPr>
              <w:t>Committee</w:t>
            </w:r>
          </w:p>
        </w:tc>
        <w:tc>
          <w:tcPr>
            <w:tcW w:w="700" w:type="dxa"/>
            <w:vAlign w:val="bottom"/>
          </w:tcPr>
          <w:p>
            <w:pPr>
              <w:spacing w:after="0"/>
              <w:rPr>
                <w:sz w:val="20"/>
                <w:szCs w:val="20"/>
                <w:color w:val="auto"/>
              </w:rPr>
            </w:pPr>
            <w:r>
              <w:rPr>
                <w:rFonts w:ascii="Arial" w:cs="Arial" w:eastAsia="Arial" w:hAnsi="Arial"/>
                <w:sz w:val="13"/>
                <w:szCs w:val="13"/>
                <w:b w:val="1"/>
                <w:bCs w:val="1"/>
                <w:color w:val="auto"/>
              </w:rPr>
              <w:t>Threshold</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rPr>
              <w:t>Target</w:t>
            </w:r>
          </w:p>
        </w:tc>
        <w:tc>
          <w:tcPr>
            <w:tcW w:w="840" w:type="dxa"/>
            <w:vAlign w:val="bottom"/>
            <w:gridSpan w:val="2"/>
          </w:tcPr>
          <w:p>
            <w:pPr>
              <w:ind w:left="80"/>
              <w:spacing w:after="0"/>
              <w:rPr>
                <w:sz w:val="20"/>
                <w:szCs w:val="20"/>
                <w:color w:val="auto"/>
              </w:rPr>
            </w:pPr>
            <w:r>
              <w:rPr>
                <w:rFonts w:ascii="Arial" w:cs="Arial" w:eastAsia="Arial" w:hAnsi="Arial"/>
                <w:sz w:val="13"/>
                <w:szCs w:val="13"/>
                <w:b w:val="1"/>
                <w:bCs w:val="1"/>
                <w:color w:val="auto"/>
              </w:rPr>
              <w:t>Maximum</w:t>
            </w:r>
          </w:p>
        </w:tc>
        <w:tc>
          <w:tcPr>
            <w:tcW w:w="700" w:type="dxa"/>
            <w:vAlign w:val="bottom"/>
          </w:tcPr>
          <w:p>
            <w:pPr>
              <w:jc w:val="center"/>
              <w:ind w:right="6"/>
              <w:spacing w:after="0"/>
              <w:rPr>
                <w:sz w:val="20"/>
                <w:szCs w:val="20"/>
                <w:color w:val="auto"/>
              </w:rPr>
            </w:pPr>
            <w:r>
              <w:rPr>
                <w:rFonts w:ascii="Arial" w:cs="Arial" w:eastAsia="Arial" w:hAnsi="Arial"/>
                <w:sz w:val="13"/>
                <w:szCs w:val="13"/>
                <w:b w:val="1"/>
                <w:bCs w:val="1"/>
                <w:color w:val="auto"/>
                <w:w w:val="98"/>
              </w:rPr>
              <w:t>Threshold</w:t>
            </w:r>
          </w:p>
        </w:tc>
        <w:tc>
          <w:tcPr>
            <w:tcW w:w="1240" w:type="dxa"/>
            <w:vAlign w:val="bottom"/>
            <w:gridSpan w:val="2"/>
          </w:tcPr>
          <w:p>
            <w:pPr>
              <w:jc w:val="right"/>
              <w:spacing w:after="0"/>
              <w:rPr>
                <w:sz w:val="20"/>
                <w:szCs w:val="20"/>
                <w:color w:val="auto"/>
              </w:rPr>
            </w:pPr>
            <w:r>
              <w:rPr>
                <w:rFonts w:ascii="Arial" w:cs="Arial" w:eastAsia="Arial" w:hAnsi="Arial"/>
                <w:sz w:val="13"/>
                <w:szCs w:val="13"/>
                <w:b w:val="1"/>
                <w:bCs w:val="1"/>
                <w:color w:val="auto"/>
              </w:rPr>
              <w:t>Target  Maximum</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Units</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Options</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9"/>
              </w:rPr>
              <w:t>($/Sh)</w:t>
            </w:r>
          </w:p>
        </w:tc>
        <w:tc>
          <w:tcPr>
            <w:tcW w:w="980" w:type="dxa"/>
            <w:vAlign w:val="bottom"/>
          </w:tcPr>
          <w:p>
            <w:pPr>
              <w:jc w:val="center"/>
              <w:ind w:left="62"/>
              <w:spacing w:after="0"/>
              <w:rPr>
                <w:sz w:val="20"/>
                <w:szCs w:val="20"/>
                <w:color w:val="auto"/>
              </w:rPr>
            </w:pPr>
            <w:r>
              <w:rPr>
                <w:rFonts w:ascii="Arial" w:cs="Arial" w:eastAsia="Arial" w:hAnsi="Arial"/>
                <w:sz w:val="13"/>
                <w:szCs w:val="13"/>
                <w:b w:val="1"/>
                <w:bCs w:val="1"/>
                <w:color w:val="auto"/>
                <w:w w:val="99"/>
              </w:rPr>
              <w:t>and Option</w:t>
            </w:r>
          </w:p>
        </w:tc>
      </w:tr>
      <w:tr>
        <w:trPr>
          <w:trHeight w:val="233"/>
        </w:trPr>
        <w:tc>
          <w:tcPr>
            <w:tcW w:w="12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700" w:type="dxa"/>
            <w:vAlign w:val="bottom"/>
          </w:tcPr>
          <w:p>
            <w:pPr>
              <w:ind w:left="980"/>
              <w:spacing w:after="0"/>
              <w:rPr>
                <w:sz w:val="20"/>
                <w:szCs w:val="20"/>
                <w:color w:val="auto"/>
              </w:rPr>
            </w:pPr>
            <w:r>
              <w:rPr>
                <w:rFonts w:ascii="Arial" w:cs="Arial" w:eastAsia="Arial" w:hAnsi="Arial"/>
                <w:sz w:val="13"/>
                <w:szCs w:val="13"/>
                <w:b w:val="1"/>
                <w:bCs w:val="1"/>
                <w:color w:val="auto"/>
              </w:rPr>
              <w:t>Date</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Action</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center"/>
              <w:ind w:left="2"/>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20"/>
                <w:szCs w:val="20"/>
                <w:color w:val="auto"/>
              </w:rPr>
            </w:pPr>
          </w:p>
        </w:tc>
        <w:tc>
          <w:tcPr>
            <w:tcW w:w="700" w:type="dxa"/>
            <w:vAlign w:val="bottom"/>
          </w:tcPr>
          <w:p>
            <w:pPr>
              <w:jc w:val="center"/>
              <w:ind w:right="6"/>
              <w:spacing w:after="0"/>
              <w:rPr>
                <w:sz w:val="20"/>
                <w:szCs w:val="20"/>
                <w:color w:val="auto"/>
              </w:rPr>
            </w:pPr>
            <w:r>
              <w:rPr>
                <w:rFonts w:ascii="Arial" w:cs="Arial" w:eastAsia="Arial" w:hAnsi="Arial"/>
                <w:sz w:val="13"/>
                <w:szCs w:val="13"/>
                <w:b w:val="1"/>
                <w:bCs w:val="1"/>
                <w:color w:val="auto"/>
                <w:w w:val="87"/>
              </w:rPr>
              <w:t>(#)</w:t>
            </w:r>
          </w:p>
        </w:tc>
        <w:tc>
          <w:tcPr>
            <w:tcW w:w="740" w:type="dxa"/>
            <w:vAlign w:val="bottom"/>
          </w:tcPr>
          <w:p>
            <w:pPr>
              <w:jc w:val="center"/>
              <w:ind w:right="102"/>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jc w:val="right"/>
              <w:ind w:right="159"/>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4"/>
              </w:rPr>
              <w:t>(#)(2)</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(#)(3)</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(4)</w:t>
            </w:r>
          </w:p>
        </w:tc>
        <w:tc>
          <w:tcPr>
            <w:tcW w:w="980" w:type="dxa"/>
            <w:vAlign w:val="bottom"/>
          </w:tcPr>
          <w:p>
            <w:pPr>
              <w:jc w:val="center"/>
              <w:ind w:left="42"/>
              <w:spacing w:after="0"/>
              <w:rPr>
                <w:sz w:val="20"/>
                <w:szCs w:val="20"/>
                <w:color w:val="auto"/>
              </w:rPr>
            </w:pPr>
            <w:r>
              <w:rPr>
                <w:rFonts w:ascii="Arial" w:cs="Arial" w:eastAsia="Arial" w:hAnsi="Arial"/>
                <w:sz w:val="13"/>
                <w:szCs w:val="13"/>
                <w:b w:val="1"/>
                <w:bCs w:val="1"/>
                <w:color w:val="auto"/>
                <w:w w:val="99"/>
              </w:rPr>
              <w:t>Awards (5)</w:t>
            </w:r>
          </w:p>
        </w:tc>
      </w:tr>
      <w:tr>
        <w:trPr>
          <w:trHeight w:val="45"/>
        </w:trPr>
        <w:tc>
          <w:tcPr>
            <w:tcW w:w="1200" w:type="dxa"/>
            <w:vAlign w:val="bottom"/>
            <w:tcBorders>
              <w:bottom w:val="single" w:sz="8" w:color="808285"/>
            </w:tcBorders>
          </w:tcPr>
          <w:p>
            <w:pPr>
              <w:spacing w:after="0"/>
              <w:rPr>
                <w:sz w:val="3"/>
                <w:szCs w:val="3"/>
                <w:color w:val="auto"/>
              </w:rPr>
            </w:pPr>
          </w:p>
        </w:tc>
        <w:tc>
          <w:tcPr>
            <w:tcW w:w="1700" w:type="dxa"/>
            <w:vAlign w:val="bottom"/>
            <w:tcBorders>
              <w:bottom w:val="single" w:sz="8" w:color="808285"/>
            </w:tcBorders>
          </w:tcPr>
          <w:p>
            <w:pPr>
              <w:spacing w:after="0"/>
              <w:rPr>
                <w:sz w:val="3"/>
                <w:szCs w:val="3"/>
                <w:color w:val="auto"/>
              </w:rPr>
            </w:pPr>
          </w:p>
        </w:tc>
        <w:tc>
          <w:tcPr>
            <w:tcW w:w="980" w:type="dxa"/>
            <w:vAlign w:val="bottom"/>
            <w:tcBorders>
              <w:bottom w:val="single" w:sz="8" w:color="808285"/>
            </w:tcBorders>
          </w:tcPr>
          <w:p>
            <w:pPr>
              <w:spacing w:after="0"/>
              <w:rPr>
                <w:sz w:val="3"/>
                <w:szCs w:val="3"/>
                <w:color w:val="auto"/>
              </w:rPr>
            </w:pPr>
          </w:p>
        </w:tc>
        <w:tc>
          <w:tcPr>
            <w:tcW w:w="700" w:type="dxa"/>
            <w:vAlign w:val="bottom"/>
            <w:tcBorders>
              <w:bottom w:val="single" w:sz="8" w:color="808285"/>
            </w:tcBorders>
          </w:tcPr>
          <w:p>
            <w:pPr>
              <w:spacing w:after="0"/>
              <w:rPr>
                <w:sz w:val="3"/>
                <w:szCs w:val="3"/>
                <w:color w:val="auto"/>
              </w:rPr>
            </w:pPr>
          </w:p>
        </w:tc>
        <w:tc>
          <w:tcPr>
            <w:tcW w:w="560" w:type="dxa"/>
            <w:vAlign w:val="bottom"/>
            <w:tcBorders>
              <w:bottom w:val="single" w:sz="8" w:color="808285"/>
            </w:tcBorders>
          </w:tcPr>
          <w:p>
            <w:pPr>
              <w:spacing w:after="0"/>
              <w:rPr>
                <w:sz w:val="3"/>
                <w:szCs w:val="3"/>
                <w:color w:val="auto"/>
              </w:rPr>
            </w:pPr>
          </w:p>
        </w:tc>
        <w:tc>
          <w:tcPr>
            <w:tcW w:w="680" w:type="dxa"/>
            <w:vAlign w:val="bottom"/>
            <w:tcBorders>
              <w:bottom w:val="single" w:sz="8" w:color="808285"/>
            </w:tcBorders>
          </w:tcPr>
          <w:p>
            <w:pPr>
              <w:spacing w:after="0"/>
              <w:rPr>
                <w:sz w:val="3"/>
                <w:szCs w:val="3"/>
                <w:color w:val="auto"/>
              </w:rPr>
            </w:pPr>
          </w:p>
        </w:tc>
        <w:tc>
          <w:tcPr>
            <w:tcW w:w="160" w:type="dxa"/>
            <w:vAlign w:val="bottom"/>
            <w:tcBorders>
              <w:bottom w:val="single" w:sz="8" w:color="808285"/>
            </w:tcBorders>
          </w:tcPr>
          <w:p>
            <w:pPr>
              <w:spacing w:after="0"/>
              <w:rPr>
                <w:sz w:val="3"/>
                <w:szCs w:val="3"/>
                <w:color w:val="auto"/>
              </w:rPr>
            </w:pPr>
          </w:p>
        </w:tc>
        <w:tc>
          <w:tcPr>
            <w:tcW w:w="700" w:type="dxa"/>
            <w:vAlign w:val="bottom"/>
            <w:tcBorders>
              <w:bottom w:val="single" w:sz="8" w:color="808285"/>
            </w:tcBorders>
          </w:tcPr>
          <w:p>
            <w:pPr>
              <w:spacing w:after="0"/>
              <w:rPr>
                <w:sz w:val="3"/>
                <w:szCs w:val="3"/>
                <w:color w:val="auto"/>
              </w:rPr>
            </w:pPr>
          </w:p>
        </w:tc>
        <w:tc>
          <w:tcPr>
            <w:tcW w:w="740" w:type="dxa"/>
            <w:vAlign w:val="bottom"/>
            <w:tcBorders>
              <w:bottom w:val="single" w:sz="8" w:color="808285"/>
            </w:tcBorders>
          </w:tcPr>
          <w:p>
            <w:pPr>
              <w:spacing w:after="0"/>
              <w:rPr>
                <w:sz w:val="3"/>
                <w:szCs w:val="3"/>
                <w:color w:val="auto"/>
              </w:rPr>
            </w:pPr>
          </w:p>
        </w:tc>
        <w:tc>
          <w:tcPr>
            <w:tcW w:w="500" w:type="dxa"/>
            <w:vAlign w:val="bottom"/>
            <w:tcBorders>
              <w:bottom w:val="single" w:sz="8" w:color="808285"/>
            </w:tcBorders>
          </w:tcPr>
          <w:p>
            <w:pPr>
              <w:spacing w:after="0"/>
              <w:rPr>
                <w:sz w:val="3"/>
                <w:szCs w:val="3"/>
                <w:color w:val="auto"/>
              </w:rPr>
            </w:pPr>
          </w:p>
        </w:tc>
        <w:tc>
          <w:tcPr>
            <w:tcW w:w="880" w:type="dxa"/>
            <w:vAlign w:val="bottom"/>
            <w:tcBorders>
              <w:bottom w:val="single" w:sz="8" w:color="808285"/>
            </w:tcBorders>
          </w:tcPr>
          <w:p>
            <w:pPr>
              <w:spacing w:after="0"/>
              <w:rPr>
                <w:sz w:val="3"/>
                <w:szCs w:val="3"/>
                <w:color w:val="auto"/>
              </w:rPr>
            </w:pPr>
          </w:p>
        </w:tc>
        <w:tc>
          <w:tcPr>
            <w:tcW w:w="880" w:type="dxa"/>
            <w:vAlign w:val="bottom"/>
            <w:tcBorders>
              <w:bottom w:val="single" w:sz="8" w:color="808285"/>
            </w:tcBorders>
          </w:tcPr>
          <w:p>
            <w:pPr>
              <w:spacing w:after="0"/>
              <w:rPr>
                <w:sz w:val="3"/>
                <w:szCs w:val="3"/>
                <w:color w:val="auto"/>
              </w:rPr>
            </w:pPr>
          </w:p>
        </w:tc>
        <w:tc>
          <w:tcPr>
            <w:tcW w:w="760" w:type="dxa"/>
            <w:vAlign w:val="bottom"/>
            <w:tcBorders>
              <w:bottom w:val="single" w:sz="8" w:color="808285"/>
            </w:tcBorders>
          </w:tcPr>
          <w:p>
            <w:pPr>
              <w:spacing w:after="0"/>
              <w:rPr>
                <w:sz w:val="3"/>
                <w:szCs w:val="3"/>
                <w:color w:val="auto"/>
              </w:rPr>
            </w:pPr>
          </w:p>
        </w:tc>
        <w:tc>
          <w:tcPr>
            <w:tcW w:w="980" w:type="dxa"/>
            <w:vAlign w:val="bottom"/>
            <w:tcBorders>
              <w:bottom w:val="single" w:sz="8" w:color="808285"/>
            </w:tcBorders>
          </w:tcPr>
          <w:p>
            <w:pPr>
              <w:spacing w:after="0"/>
              <w:rPr>
                <w:sz w:val="3"/>
                <w:szCs w:val="3"/>
                <w:color w:val="auto"/>
              </w:rPr>
            </w:pPr>
          </w:p>
        </w:tc>
      </w:tr>
      <w:tr>
        <w:trPr>
          <w:trHeight w:val="218"/>
        </w:trPr>
        <w:tc>
          <w:tcPr>
            <w:tcW w:w="1200" w:type="dxa"/>
            <w:vAlign w:val="bottom"/>
            <w:shd w:val="clear" w:color="auto" w:fill="E9E9E9"/>
          </w:tcPr>
          <w:p>
            <w:pPr>
              <w:spacing w:after="0"/>
              <w:rPr>
                <w:sz w:val="20"/>
                <w:szCs w:val="20"/>
                <w:color w:val="auto"/>
              </w:rPr>
            </w:pPr>
            <w:r>
              <w:rPr>
                <w:rFonts w:ascii="Arial" w:cs="Arial" w:eastAsia="Arial" w:hAnsi="Arial"/>
                <w:sz w:val="17"/>
                <w:szCs w:val="17"/>
                <w:color w:val="auto"/>
                <w:w w:val="96"/>
              </w:rPr>
              <w:t>R. K. Templeton</w:t>
            </w:r>
          </w:p>
        </w:tc>
        <w:tc>
          <w:tcPr>
            <w:tcW w:w="1700" w:type="dxa"/>
            <w:vAlign w:val="bottom"/>
            <w:shd w:val="clear" w:color="auto" w:fill="E9E9E9"/>
          </w:tcPr>
          <w:p>
            <w:pPr>
              <w:ind w:left="620"/>
              <w:spacing w:after="0"/>
              <w:rPr>
                <w:sz w:val="20"/>
                <w:szCs w:val="20"/>
                <w:color w:val="auto"/>
              </w:rPr>
            </w:pPr>
            <w:r>
              <w:rPr>
                <w:rFonts w:ascii="Arial" w:cs="Arial" w:eastAsia="Arial" w:hAnsi="Arial"/>
                <w:sz w:val="17"/>
                <w:szCs w:val="17"/>
                <w:color w:val="auto"/>
              </w:rPr>
              <w:t>1/26/2012 (1)</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7"/>
              </w:rPr>
              <w:t>1/19/2012</w:t>
            </w:r>
          </w:p>
        </w:tc>
        <w:tc>
          <w:tcPr>
            <w:tcW w:w="700" w:type="dxa"/>
            <w:vAlign w:val="bottom"/>
            <w:shd w:val="clear" w:color="auto" w:fill="E9E9E9"/>
          </w:tcPr>
          <w:p>
            <w:pPr>
              <w:jc w:val="center"/>
              <w:ind w:right="6"/>
              <w:spacing w:after="0"/>
              <w:rPr>
                <w:sz w:val="20"/>
                <w:szCs w:val="20"/>
                <w:color w:val="auto"/>
              </w:rPr>
            </w:pPr>
            <w:r>
              <w:rPr>
                <w:rFonts w:ascii="Arial" w:cs="Arial" w:eastAsia="Arial" w:hAnsi="Arial"/>
                <w:sz w:val="17"/>
                <w:szCs w:val="17"/>
                <w:color w:val="auto"/>
                <w:w w:val="89"/>
              </w:rPr>
              <w:t>*</w:t>
            </w:r>
          </w:p>
        </w:tc>
        <w:tc>
          <w:tcPr>
            <w:tcW w:w="5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6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89"/>
              </w:rPr>
              <w:t>*</w:t>
            </w:r>
          </w:p>
        </w:tc>
        <w:tc>
          <w:tcPr>
            <w:tcW w:w="160" w:type="dxa"/>
            <w:vAlign w:val="bottom"/>
            <w:shd w:val="clear" w:color="auto" w:fill="E9E9E9"/>
          </w:tcPr>
          <w:p>
            <w:pPr>
              <w:spacing w:after="0"/>
              <w:rPr>
                <w:sz w:val="18"/>
                <w:szCs w:val="18"/>
                <w:color w:val="auto"/>
              </w:rPr>
            </w:pPr>
          </w:p>
        </w:tc>
        <w:tc>
          <w:tcPr>
            <w:tcW w:w="700" w:type="dxa"/>
            <w:vAlign w:val="bottom"/>
            <w:shd w:val="clear" w:color="auto" w:fill="E9E9E9"/>
          </w:tcPr>
          <w:p>
            <w:pPr>
              <w:jc w:val="center"/>
              <w:ind w:right="6"/>
              <w:spacing w:after="0"/>
              <w:rPr>
                <w:sz w:val="20"/>
                <w:szCs w:val="20"/>
                <w:color w:val="auto"/>
              </w:rPr>
            </w:pPr>
            <w:r>
              <w:rPr>
                <w:rFonts w:ascii="Arial" w:cs="Arial" w:eastAsia="Arial" w:hAnsi="Arial"/>
                <w:sz w:val="17"/>
                <w:szCs w:val="17"/>
                <w:color w:val="auto"/>
              </w:rPr>
              <w:t>—</w:t>
            </w:r>
          </w:p>
        </w:tc>
        <w:tc>
          <w:tcPr>
            <w:tcW w:w="740" w:type="dxa"/>
            <w:vAlign w:val="bottom"/>
            <w:shd w:val="clear" w:color="auto" w:fill="E9E9E9"/>
          </w:tcPr>
          <w:p>
            <w:pPr>
              <w:jc w:val="center"/>
              <w:ind w:right="102"/>
              <w:spacing w:after="0"/>
              <w:rPr>
                <w:sz w:val="20"/>
                <w:szCs w:val="20"/>
                <w:color w:val="auto"/>
              </w:rPr>
            </w:pPr>
            <w:r>
              <w:rPr>
                <w:rFonts w:ascii="Arial" w:cs="Arial" w:eastAsia="Arial" w:hAnsi="Arial"/>
                <w:sz w:val="17"/>
                <w:szCs w:val="17"/>
                <w:color w:val="auto"/>
                <w:w w:val="93"/>
              </w:rPr>
              <w:t>—</w:t>
            </w:r>
          </w:p>
        </w:tc>
        <w:tc>
          <w:tcPr>
            <w:tcW w:w="50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spacing w:after="0"/>
              <w:rPr>
                <w:sz w:val="18"/>
                <w:szCs w:val="18"/>
                <w:color w:val="auto"/>
              </w:rPr>
            </w:pPr>
          </w:p>
        </w:tc>
        <w:tc>
          <w:tcPr>
            <w:tcW w:w="880" w:type="dxa"/>
            <w:vAlign w:val="bottom"/>
            <w:shd w:val="clear" w:color="auto" w:fill="E9E9E9"/>
          </w:tcPr>
          <w:p>
            <w:pPr>
              <w:ind w:left="180"/>
              <w:spacing w:after="0"/>
              <w:rPr>
                <w:sz w:val="20"/>
                <w:szCs w:val="20"/>
                <w:color w:val="auto"/>
              </w:rPr>
            </w:pPr>
            <w:r>
              <w:rPr>
                <w:rFonts w:ascii="Arial" w:cs="Arial" w:eastAsia="Arial" w:hAnsi="Arial"/>
                <w:sz w:val="17"/>
                <w:szCs w:val="17"/>
                <w:color w:val="auto"/>
              </w:rPr>
              <w:t>475,000</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$32.36</w:t>
            </w:r>
          </w:p>
        </w:tc>
        <w:tc>
          <w:tcPr>
            <w:tcW w:w="980" w:type="dxa"/>
            <w:vAlign w:val="bottom"/>
            <w:shd w:val="clear" w:color="auto" w:fill="E9E9E9"/>
          </w:tcPr>
          <w:p>
            <w:pPr>
              <w:jc w:val="center"/>
              <w:ind w:left="62"/>
              <w:spacing w:after="0"/>
              <w:rPr>
                <w:sz w:val="20"/>
                <w:szCs w:val="20"/>
                <w:color w:val="auto"/>
              </w:rPr>
            </w:pPr>
            <w:r>
              <w:rPr>
                <w:rFonts w:ascii="Arial" w:cs="Arial" w:eastAsia="Arial" w:hAnsi="Arial"/>
                <w:sz w:val="17"/>
                <w:szCs w:val="17"/>
                <w:color w:val="auto"/>
                <w:w w:val="98"/>
              </w:rPr>
              <w:t>$3,950,347</w:t>
            </w:r>
          </w:p>
        </w:tc>
      </w:tr>
      <w:tr>
        <w:trPr>
          <w:trHeight w:val="247"/>
        </w:trPr>
        <w:tc>
          <w:tcPr>
            <w:tcW w:w="1200" w:type="dxa"/>
            <w:vAlign w:val="bottom"/>
            <w:shd w:val="clear" w:color="auto" w:fill="E9E9E9"/>
          </w:tcPr>
          <w:p>
            <w:pPr>
              <w:spacing w:after="0"/>
              <w:rPr>
                <w:sz w:val="21"/>
                <w:szCs w:val="21"/>
                <w:color w:val="auto"/>
              </w:rPr>
            </w:pPr>
          </w:p>
        </w:tc>
        <w:tc>
          <w:tcPr>
            <w:tcW w:w="1700" w:type="dxa"/>
            <w:vAlign w:val="bottom"/>
            <w:shd w:val="clear" w:color="auto" w:fill="E9E9E9"/>
          </w:tcPr>
          <w:p>
            <w:pPr>
              <w:ind w:left="620"/>
              <w:spacing w:after="0"/>
              <w:rPr>
                <w:sz w:val="20"/>
                <w:szCs w:val="20"/>
                <w:color w:val="auto"/>
              </w:rPr>
            </w:pPr>
            <w:r>
              <w:rPr>
                <w:rFonts w:ascii="Arial" w:cs="Arial" w:eastAsia="Arial" w:hAnsi="Arial"/>
                <w:sz w:val="17"/>
                <w:szCs w:val="17"/>
                <w:color w:val="auto"/>
              </w:rPr>
              <w:t>1/26/2012 (1)</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7"/>
              </w:rPr>
              <w:t>1/19/2012</w:t>
            </w:r>
          </w:p>
        </w:tc>
        <w:tc>
          <w:tcPr>
            <w:tcW w:w="700" w:type="dxa"/>
            <w:vAlign w:val="bottom"/>
            <w:shd w:val="clear" w:color="auto" w:fill="E9E9E9"/>
          </w:tcPr>
          <w:p>
            <w:pPr>
              <w:spacing w:after="0"/>
              <w:rPr>
                <w:sz w:val="21"/>
                <w:szCs w:val="21"/>
                <w:color w:val="auto"/>
              </w:rPr>
            </w:pPr>
          </w:p>
        </w:tc>
        <w:tc>
          <w:tcPr>
            <w:tcW w:w="560" w:type="dxa"/>
            <w:vAlign w:val="bottom"/>
            <w:shd w:val="clear" w:color="auto" w:fill="E9E9E9"/>
          </w:tcPr>
          <w:p>
            <w:pPr>
              <w:spacing w:after="0"/>
              <w:rPr>
                <w:sz w:val="21"/>
                <w:szCs w:val="21"/>
                <w:color w:val="auto"/>
              </w:rPr>
            </w:pPr>
          </w:p>
        </w:tc>
        <w:tc>
          <w:tcPr>
            <w:tcW w:w="68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700" w:type="dxa"/>
            <w:vAlign w:val="bottom"/>
            <w:shd w:val="clear" w:color="auto" w:fill="E9E9E9"/>
          </w:tcPr>
          <w:p>
            <w:pPr>
              <w:spacing w:after="0"/>
              <w:rPr>
                <w:sz w:val="21"/>
                <w:szCs w:val="21"/>
                <w:color w:val="auto"/>
              </w:rPr>
            </w:pPr>
          </w:p>
        </w:tc>
        <w:tc>
          <w:tcPr>
            <w:tcW w:w="740" w:type="dxa"/>
            <w:vAlign w:val="bottom"/>
            <w:shd w:val="clear" w:color="auto" w:fill="E9E9E9"/>
          </w:tcPr>
          <w:p>
            <w:pPr>
              <w:spacing w:after="0"/>
              <w:rPr>
                <w:sz w:val="21"/>
                <w:szCs w:val="21"/>
                <w:color w:val="auto"/>
              </w:rPr>
            </w:pPr>
          </w:p>
        </w:tc>
        <w:tc>
          <w:tcPr>
            <w:tcW w:w="500" w:type="dxa"/>
            <w:vAlign w:val="bottom"/>
            <w:shd w:val="clear" w:color="auto" w:fill="E9E9E9"/>
          </w:tcPr>
          <w:p>
            <w:pPr>
              <w:spacing w:after="0"/>
              <w:rPr>
                <w:sz w:val="21"/>
                <w:szCs w:val="21"/>
                <w:color w:val="auto"/>
              </w:rPr>
            </w:pPr>
          </w:p>
        </w:tc>
        <w:tc>
          <w:tcPr>
            <w:tcW w:w="880" w:type="dxa"/>
            <w:vAlign w:val="bottom"/>
            <w:shd w:val="clear" w:color="auto" w:fill="E9E9E9"/>
          </w:tcPr>
          <w:p>
            <w:pPr>
              <w:jc w:val="right"/>
              <w:ind w:right="6"/>
              <w:spacing w:after="0"/>
              <w:rPr>
                <w:sz w:val="20"/>
                <w:szCs w:val="20"/>
                <w:color w:val="auto"/>
              </w:rPr>
            </w:pPr>
            <w:r>
              <w:rPr>
                <w:rFonts w:ascii="Arial" w:cs="Arial" w:eastAsia="Arial" w:hAnsi="Arial"/>
                <w:sz w:val="17"/>
                <w:szCs w:val="17"/>
                <w:color w:val="auto"/>
              </w:rPr>
              <w:t>158,334</w:t>
            </w:r>
          </w:p>
        </w:tc>
        <w:tc>
          <w:tcPr>
            <w:tcW w:w="88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980" w:type="dxa"/>
            <w:vAlign w:val="bottom"/>
            <w:shd w:val="clear" w:color="auto" w:fill="E9E9E9"/>
          </w:tcPr>
          <w:p>
            <w:pPr>
              <w:jc w:val="center"/>
              <w:ind w:left="62"/>
              <w:spacing w:after="0"/>
              <w:rPr>
                <w:sz w:val="20"/>
                <w:szCs w:val="20"/>
                <w:color w:val="auto"/>
              </w:rPr>
            </w:pPr>
            <w:r>
              <w:rPr>
                <w:rFonts w:ascii="Arial" w:cs="Arial" w:eastAsia="Arial" w:hAnsi="Arial"/>
                <w:sz w:val="17"/>
                <w:szCs w:val="17"/>
                <w:color w:val="auto"/>
                <w:w w:val="98"/>
              </w:rPr>
              <w:t>$5,123,688</w:t>
            </w:r>
          </w:p>
        </w:tc>
      </w:tr>
      <w:tr>
        <w:trPr>
          <w:trHeight w:val="218"/>
        </w:trPr>
        <w:tc>
          <w:tcPr>
            <w:tcW w:w="1200" w:type="dxa"/>
            <w:vAlign w:val="bottom"/>
          </w:tcPr>
          <w:p>
            <w:pPr>
              <w:spacing w:after="0"/>
              <w:rPr>
                <w:sz w:val="20"/>
                <w:szCs w:val="20"/>
                <w:color w:val="auto"/>
              </w:rPr>
            </w:pPr>
            <w:r>
              <w:rPr>
                <w:rFonts w:ascii="Arial" w:cs="Arial" w:eastAsia="Arial" w:hAnsi="Arial"/>
                <w:sz w:val="17"/>
                <w:szCs w:val="17"/>
                <w:color w:val="auto"/>
              </w:rPr>
              <w:t>K. P. March</w:t>
            </w:r>
          </w:p>
        </w:tc>
        <w:tc>
          <w:tcPr>
            <w:tcW w:w="1700" w:type="dxa"/>
            <w:vAlign w:val="bottom"/>
          </w:tcPr>
          <w:p>
            <w:pPr>
              <w:ind w:left="620"/>
              <w:spacing w:after="0"/>
              <w:rPr>
                <w:sz w:val="20"/>
                <w:szCs w:val="20"/>
                <w:color w:val="auto"/>
              </w:rPr>
            </w:pPr>
            <w:r>
              <w:rPr>
                <w:rFonts w:ascii="Arial" w:cs="Arial" w:eastAsia="Arial" w:hAnsi="Arial"/>
                <w:sz w:val="17"/>
                <w:szCs w:val="17"/>
                <w:color w:val="auto"/>
              </w:rPr>
              <w:t>1/26/2012 (1)</w:t>
            </w:r>
          </w:p>
        </w:tc>
        <w:tc>
          <w:tcPr>
            <w:tcW w:w="980" w:type="dxa"/>
            <w:vAlign w:val="bottom"/>
          </w:tcPr>
          <w:p>
            <w:pPr>
              <w:jc w:val="center"/>
              <w:spacing w:after="0"/>
              <w:rPr>
                <w:sz w:val="20"/>
                <w:szCs w:val="20"/>
                <w:color w:val="auto"/>
              </w:rPr>
            </w:pPr>
            <w:r>
              <w:rPr>
                <w:rFonts w:ascii="Arial" w:cs="Arial" w:eastAsia="Arial" w:hAnsi="Arial"/>
                <w:sz w:val="17"/>
                <w:szCs w:val="17"/>
                <w:color w:val="auto"/>
                <w:w w:val="97"/>
              </w:rPr>
              <w:t>1/19/2012</w:t>
            </w:r>
          </w:p>
        </w:tc>
        <w:tc>
          <w:tcPr>
            <w:tcW w:w="700" w:type="dxa"/>
            <w:vAlign w:val="bottom"/>
          </w:tcPr>
          <w:p>
            <w:pPr>
              <w:jc w:val="center"/>
              <w:ind w:right="6"/>
              <w:spacing w:after="0"/>
              <w:rPr>
                <w:sz w:val="20"/>
                <w:szCs w:val="20"/>
                <w:color w:val="auto"/>
              </w:rPr>
            </w:pPr>
            <w:r>
              <w:rPr>
                <w:rFonts w:ascii="Arial" w:cs="Arial" w:eastAsia="Arial" w:hAnsi="Arial"/>
                <w:sz w:val="17"/>
                <w:szCs w:val="17"/>
                <w:color w:val="auto"/>
                <w:w w:val="89"/>
              </w:rPr>
              <w:t>*</w:t>
            </w:r>
          </w:p>
        </w:tc>
        <w:tc>
          <w:tcPr>
            <w:tcW w:w="560" w:type="dxa"/>
            <w:vAlign w:val="bottom"/>
          </w:tcPr>
          <w:p>
            <w:pPr>
              <w:jc w:val="center"/>
              <w:spacing w:after="0"/>
              <w:rPr>
                <w:sz w:val="20"/>
                <w:szCs w:val="20"/>
                <w:color w:val="auto"/>
              </w:rPr>
            </w:pPr>
            <w:r>
              <w:rPr>
                <w:rFonts w:ascii="Arial" w:cs="Arial" w:eastAsia="Arial" w:hAnsi="Arial"/>
                <w:sz w:val="17"/>
                <w:szCs w:val="17"/>
                <w:color w:val="auto"/>
              </w:rPr>
              <w:t>*</w:t>
            </w:r>
          </w:p>
        </w:tc>
        <w:tc>
          <w:tcPr>
            <w:tcW w:w="68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60" w:type="dxa"/>
            <w:vAlign w:val="bottom"/>
          </w:tcPr>
          <w:p>
            <w:pPr>
              <w:spacing w:after="0"/>
              <w:rPr>
                <w:sz w:val="18"/>
                <w:szCs w:val="18"/>
                <w:color w:val="auto"/>
              </w:rPr>
            </w:pPr>
          </w:p>
        </w:tc>
        <w:tc>
          <w:tcPr>
            <w:tcW w:w="700" w:type="dxa"/>
            <w:vAlign w:val="bottom"/>
          </w:tcPr>
          <w:p>
            <w:pPr>
              <w:jc w:val="center"/>
              <w:ind w:right="6"/>
              <w:spacing w:after="0"/>
              <w:rPr>
                <w:sz w:val="20"/>
                <w:szCs w:val="20"/>
                <w:color w:val="auto"/>
              </w:rPr>
            </w:pPr>
            <w:r>
              <w:rPr>
                <w:rFonts w:ascii="Arial" w:cs="Arial" w:eastAsia="Arial" w:hAnsi="Arial"/>
                <w:sz w:val="17"/>
                <w:szCs w:val="17"/>
                <w:color w:val="auto"/>
              </w:rPr>
              <w:t>—</w:t>
            </w:r>
          </w:p>
        </w:tc>
        <w:tc>
          <w:tcPr>
            <w:tcW w:w="740" w:type="dxa"/>
            <w:vAlign w:val="bottom"/>
          </w:tcPr>
          <w:p>
            <w:pPr>
              <w:jc w:val="center"/>
              <w:ind w:right="102"/>
              <w:spacing w:after="0"/>
              <w:rPr>
                <w:sz w:val="20"/>
                <w:szCs w:val="20"/>
                <w:color w:val="auto"/>
              </w:rPr>
            </w:pPr>
            <w:r>
              <w:rPr>
                <w:rFonts w:ascii="Arial" w:cs="Arial" w:eastAsia="Arial" w:hAnsi="Arial"/>
                <w:sz w:val="17"/>
                <w:szCs w:val="17"/>
                <w:color w:val="auto"/>
                <w:w w:val="93"/>
              </w:rPr>
              <w:t>—</w:t>
            </w:r>
          </w:p>
        </w:tc>
        <w:tc>
          <w:tcPr>
            <w:tcW w:w="500" w:type="dxa"/>
            <w:vAlign w:val="bottom"/>
          </w:tcPr>
          <w:p>
            <w:pPr>
              <w:jc w:val="right"/>
              <w:ind w:right="139"/>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8"/>
                <w:szCs w:val="18"/>
                <w:color w:val="auto"/>
              </w:rPr>
            </w:pPr>
          </w:p>
        </w:tc>
        <w:tc>
          <w:tcPr>
            <w:tcW w:w="880" w:type="dxa"/>
            <w:vAlign w:val="bottom"/>
          </w:tcPr>
          <w:p>
            <w:pPr>
              <w:ind w:left="180"/>
              <w:spacing w:after="0"/>
              <w:rPr>
                <w:sz w:val="20"/>
                <w:szCs w:val="20"/>
                <w:color w:val="auto"/>
              </w:rPr>
            </w:pPr>
            <w:r>
              <w:rPr>
                <w:rFonts w:ascii="Arial" w:cs="Arial" w:eastAsia="Arial" w:hAnsi="Arial"/>
                <w:sz w:val="17"/>
                <w:szCs w:val="17"/>
                <w:color w:val="auto"/>
              </w:rPr>
              <w:t>150,000</w:t>
            </w:r>
          </w:p>
        </w:tc>
        <w:tc>
          <w:tcPr>
            <w:tcW w:w="760" w:type="dxa"/>
            <w:vAlign w:val="bottom"/>
          </w:tcPr>
          <w:p>
            <w:pPr>
              <w:jc w:val="center"/>
              <w:spacing w:after="0"/>
              <w:rPr>
                <w:sz w:val="20"/>
                <w:szCs w:val="20"/>
                <w:color w:val="auto"/>
              </w:rPr>
            </w:pPr>
            <w:r>
              <w:rPr>
                <w:rFonts w:ascii="Arial" w:cs="Arial" w:eastAsia="Arial" w:hAnsi="Arial"/>
                <w:sz w:val="17"/>
                <w:szCs w:val="17"/>
                <w:color w:val="auto"/>
                <w:w w:val="99"/>
              </w:rPr>
              <w:t>$32.36</w:t>
            </w:r>
          </w:p>
        </w:tc>
        <w:tc>
          <w:tcPr>
            <w:tcW w:w="980" w:type="dxa"/>
            <w:vAlign w:val="bottom"/>
          </w:tcPr>
          <w:p>
            <w:pPr>
              <w:jc w:val="center"/>
              <w:ind w:left="62"/>
              <w:spacing w:after="0"/>
              <w:rPr>
                <w:sz w:val="20"/>
                <w:szCs w:val="20"/>
                <w:color w:val="auto"/>
              </w:rPr>
            </w:pPr>
            <w:r>
              <w:rPr>
                <w:rFonts w:ascii="Arial" w:cs="Arial" w:eastAsia="Arial" w:hAnsi="Arial"/>
                <w:sz w:val="17"/>
                <w:szCs w:val="17"/>
                <w:color w:val="auto"/>
                <w:w w:val="98"/>
              </w:rPr>
              <w:t>$1,247,478</w:t>
            </w:r>
          </w:p>
        </w:tc>
      </w:tr>
      <w:tr>
        <w:trPr>
          <w:trHeight w:val="240"/>
        </w:trPr>
        <w:tc>
          <w:tcPr>
            <w:tcW w:w="1200" w:type="dxa"/>
            <w:vAlign w:val="bottom"/>
          </w:tcPr>
          <w:p>
            <w:pPr>
              <w:spacing w:after="0"/>
              <w:rPr>
                <w:sz w:val="20"/>
                <w:szCs w:val="20"/>
                <w:color w:val="auto"/>
              </w:rPr>
            </w:pPr>
          </w:p>
        </w:tc>
        <w:tc>
          <w:tcPr>
            <w:tcW w:w="1700" w:type="dxa"/>
            <w:vAlign w:val="bottom"/>
          </w:tcPr>
          <w:p>
            <w:pPr>
              <w:ind w:left="620"/>
              <w:spacing w:after="0"/>
              <w:rPr>
                <w:sz w:val="20"/>
                <w:szCs w:val="20"/>
                <w:color w:val="auto"/>
              </w:rPr>
            </w:pPr>
            <w:r>
              <w:rPr>
                <w:rFonts w:ascii="Arial" w:cs="Arial" w:eastAsia="Arial" w:hAnsi="Arial"/>
                <w:sz w:val="17"/>
                <w:szCs w:val="17"/>
                <w:color w:val="auto"/>
              </w:rPr>
              <w:t>1/26/2012 (1)</w:t>
            </w:r>
          </w:p>
        </w:tc>
        <w:tc>
          <w:tcPr>
            <w:tcW w:w="980" w:type="dxa"/>
            <w:vAlign w:val="bottom"/>
          </w:tcPr>
          <w:p>
            <w:pPr>
              <w:jc w:val="center"/>
              <w:spacing w:after="0"/>
              <w:rPr>
                <w:sz w:val="20"/>
                <w:szCs w:val="20"/>
                <w:color w:val="auto"/>
              </w:rPr>
            </w:pPr>
            <w:r>
              <w:rPr>
                <w:rFonts w:ascii="Arial" w:cs="Arial" w:eastAsia="Arial" w:hAnsi="Arial"/>
                <w:sz w:val="17"/>
                <w:szCs w:val="17"/>
                <w:color w:val="auto"/>
                <w:w w:val="97"/>
              </w:rPr>
              <w:t>1/19/2012</w:t>
            </w: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6"/>
              <w:spacing w:after="0"/>
              <w:rPr>
                <w:sz w:val="20"/>
                <w:szCs w:val="20"/>
                <w:color w:val="auto"/>
              </w:rPr>
            </w:pPr>
            <w:r>
              <w:rPr>
                <w:rFonts w:ascii="Arial" w:cs="Arial" w:eastAsia="Arial" w:hAnsi="Arial"/>
                <w:sz w:val="17"/>
                <w:szCs w:val="17"/>
                <w:color w:val="auto"/>
              </w:rPr>
              <w:t>50,000</w:t>
            </w: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jc w:val="center"/>
              <w:ind w:left="62"/>
              <w:spacing w:after="0"/>
              <w:rPr>
                <w:sz w:val="20"/>
                <w:szCs w:val="20"/>
                <w:color w:val="auto"/>
              </w:rPr>
            </w:pPr>
            <w:r>
              <w:rPr>
                <w:rFonts w:ascii="Arial" w:cs="Arial" w:eastAsia="Arial" w:hAnsi="Arial"/>
                <w:sz w:val="17"/>
                <w:szCs w:val="17"/>
                <w:color w:val="auto"/>
                <w:w w:val="98"/>
              </w:rPr>
              <w:t>$1,618,000</w:t>
            </w:r>
          </w:p>
        </w:tc>
      </w:tr>
      <w:tr>
        <w:trPr>
          <w:trHeight w:val="225"/>
        </w:trPr>
        <w:tc>
          <w:tcPr>
            <w:tcW w:w="1200" w:type="dxa"/>
            <w:vAlign w:val="bottom"/>
            <w:shd w:val="clear" w:color="auto" w:fill="E9E9E9"/>
          </w:tcPr>
          <w:p>
            <w:pPr>
              <w:spacing w:after="0"/>
              <w:rPr>
                <w:sz w:val="20"/>
                <w:szCs w:val="20"/>
                <w:color w:val="auto"/>
              </w:rPr>
            </w:pPr>
            <w:r>
              <w:rPr>
                <w:rFonts w:ascii="Arial" w:cs="Arial" w:eastAsia="Arial" w:hAnsi="Arial"/>
                <w:sz w:val="17"/>
                <w:szCs w:val="17"/>
                <w:color w:val="auto"/>
              </w:rPr>
              <w:t>B. T. Crutcher</w:t>
            </w:r>
          </w:p>
        </w:tc>
        <w:tc>
          <w:tcPr>
            <w:tcW w:w="1700" w:type="dxa"/>
            <w:vAlign w:val="bottom"/>
            <w:shd w:val="clear" w:color="auto" w:fill="E9E9E9"/>
          </w:tcPr>
          <w:p>
            <w:pPr>
              <w:ind w:left="620"/>
              <w:spacing w:after="0"/>
              <w:rPr>
                <w:sz w:val="20"/>
                <w:szCs w:val="20"/>
                <w:color w:val="auto"/>
              </w:rPr>
            </w:pPr>
            <w:r>
              <w:rPr>
                <w:rFonts w:ascii="Arial" w:cs="Arial" w:eastAsia="Arial" w:hAnsi="Arial"/>
                <w:sz w:val="17"/>
                <w:szCs w:val="17"/>
                <w:color w:val="auto"/>
              </w:rPr>
              <w:t>1/26/2012 (1)</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7"/>
              </w:rPr>
              <w:t>1/19/2012</w:t>
            </w:r>
          </w:p>
        </w:tc>
        <w:tc>
          <w:tcPr>
            <w:tcW w:w="700" w:type="dxa"/>
            <w:vAlign w:val="bottom"/>
            <w:shd w:val="clear" w:color="auto" w:fill="E9E9E9"/>
          </w:tcPr>
          <w:p>
            <w:pPr>
              <w:jc w:val="center"/>
              <w:ind w:right="6"/>
              <w:spacing w:after="0"/>
              <w:rPr>
                <w:sz w:val="20"/>
                <w:szCs w:val="20"/>
                <w:color w:val="auto"/>
              </w:rPr>
            </w:pPr>
            <w:r>
              <w:rPr>
                <w:rFonts w:ascii="Arial" w:cs="Arial" w:eastAsia="Arial" w:hAnsi="Arial"/>
                <w:sz w:val="17"/>
                <w:szCs w:val="17"/>
                <w:color w:val="auto"/>
                <w:w w:val="89"/>
              </w:rPr>
              <w:t>*</w:t>
            </w:r>
          </w:p>
        </w:tc>
        <w:tc>
          <w:tcPr>
            <w:tcW w:w="5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6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89"/>
              </w:rPr>
              <w:t>*</w:t>
            </w:r>
          </w:p>
        </w:tc>
        <w:tc>
          <w:tcPr>
            <w:tcW w:w="160" w:type="dxa"/>
            <w:vAlign w:val="bottom"/>
            <w:shd w:val="clear" w:color="auto" w:fill="E9E9E9"/>
          </w:tcPr>
          <w:p>
            <w:pPr>
              <w:spacing w:after="0"/>
              <w:rPr>
                <w:sz w:val="19"/>
                <w:szCs w:val="19"/>
                <w:color w:val="auto"/>
              </w:rPr>
            </w:pPr>
          </w:p>
        </w:tc>
        <w:tc>
          <w:tcPr>
            <w:tcW w:w="700" w:type="dxa"/>
            <w:vAlign w:val="bottom"/>
            <w:shd w:val="clear" w:color="auto" w:fill="E9E9E9"/>
          </w:tcPr>
          <w:p>
            <w:pPr>
              <w:jc w:val="center"/>
              <w:ind w:right="6"/>
              <w:spacing w:after="0"/>
              <w:rPr>
                <w:sz w:val="20"/>
                <w:szCs w:val="20"/>
                <w:color w:val="auto"/>
              </w:rPr>
            </w:pPr>
            <w:r>
              <w:rPr>
                <w:rFonts w:ascii="Arial" w:cs="Arial" w:eastAsia="Arial" w:hAnsi="Arial"/>
                <w:sz w:val="17"/>
                <w:szCs w:val="17"/>
                <w:color w:val="auto"/>
              </w:rPr>
              <w:t>—</w:t>
            </w:r>
          </w:p>
        </w:tc>
        <w:tc>
          <w:tcPr>
            <w:tcW w:w="740" w:type="dxa"/>
            <w:vAlign w:val="bottom"/>
            <w:shd w:val="clear" w:color="auto" w:fill="E9E9E9"/>
          </w:tcPr>
          <w:p>
            <w:pPr>
              <w:jc w:val="center"/>
              <w:ind w:right="102"/>
              <w:spacing w:after="0"/>
              <w:rPr>
                <w:sz w:val="20"/>
                <w:szCs w:val="20"/>
                <w:color w:val="auto"/>
              </w:rPr>
            </w:pPr>
            <w:r>
              <w:rPr>
                <w:rFonts w:ascii="Arial" w:cs="Arial" w:eastAsia="Arial" w:hAnsi="Arial"/>
                <w:sz w:val="17"/>
                <w:szCs w:val="17"/>
                <w:color w:val="auto"/>
                <w:w w:val="93"/>
              </w:rPr>
              <w:t>—</w:t>
            </w:r>
          </w:p>
        </w:tc>
        <w:tc>
          <w:tcPr>
            <w:tcW w:w="50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spacing w:after="0"/>
              <w:rPr>
                <w:sz w:val="19"/>
                <w:szCs w:val="19"/>
                <w:color w:val="auto"/>
              </w:rPr>
            </w:pPr>
          </w:p>
        </w:tc>
        <w:tc>
          <w:tcPr>
            <w:tcW w:w="880" w:type="dxa"/>
            <w:vAlign w:val="bottom"/>
            <w:shd w:val="clear" w:color="auto" w:fill="E9E9E9"/>
          </w:tcPr>
          <w:p>
            <w:pPr>
              <w:ind w:left="180"/>
              <w:spacing w:after="0"/>
              <w:rPr>
                <w:sz w:val="20"/>
                <w:szCs w:val="20"/>
                <w:color w:val="auto"/>
              </w:rPr>
            </w:pPr>
            <w:r>
              <w:rPr>
                <w:rFonts w:ascii="Arial" w:cs="Arial" w:eastAsia="Arial" w:hAnsi="Arial"/>
                <w:sz w:val="17"/>
                <w:szCs w:val="17"/>
                <w:color w:val="auto"/>
              </w:rPr>
              <w:t>187,500</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$32.36</w:t>
            </w:r>
          </w:p>
        </w:tc>
        <w:tc>
          <w:tcPr>
            <w:tcW w:w="980" w:type="dxa"/>
            <w:vAlign w:val="bottom"/>
            <w:shd w:val="clear" w:color="auto" w:fill="E9E9E9"/>
          </w:tcPr>
          <w:p>
            <w:pPr>
              <w:jc w:val="center"/>
              <w:ind w:left="62"/>
              <w:spacing w:after="0"/>
              <w:rPr>
                <w:sz w:val="20"/>
                <w:szCs w:val="20"/>
                <w:color w:val="auto"/>
              </w:rPr>
            </w:pPr>
            <w:r>
              <w:rPr>
                <w:rFonts w:ascii="Arial" w:cs="Arial" w:eastAsia="Arial" w:hAnsi="Arial"/>
                <w:sz w:val="17"/>
                <w:szCs w:val="17"/>
                <w:color w:val="auto"/>
                <w:w w:val="98"/>
              </w:rPr>
              <w:t>$1,559,348</w:t>
            </w:r>
          </w:p>
        </w:tc>
      </w:tr>
      <w:tr>
        <w:trPr>
          <w:trHeight w:val="233"/>
        </w:trPr>
        <w:tc>
          <w:tcPr>
            <w:tcW w:w="1200" w:type="dxa"/>
            <w:vAlign w:val="bottom"/>
            <w:shd w:val="clear" w:color="auto" w:fill="E9E9E9"/>
          </w:tcPr>
          <w:p>
            <w:pPr>
              <w:spacing w:after="0"/>
              <w:rPr>
                <w:sz w:val="20"/>
                <w:szCs w:val="20"/>
                <w:color w:val="auto"/>
              </w:rPr>
            </w:pPr>
          </w:p>
        </w:tc>
        <w:tc>
          <w:tcPr>
            <w:tcW w:w="1700" w:type="dxa"/>
            <w:vAlign w:val="bottom"/>
            <w:shd w:val="clear" w:color="auto" w:fill="E9E9E9"/>
          </w:tcPr>
          <w:p>
            <w:pPr>
              <w:ind w:left="620"/>
              <w:spacing w:after="0"/>
              <w:rPr>
                <w:sz w:val="20"/>
                <w:szCs w:val="20"/>
                <w:color w:val="auto"/>
              </w:rPr>
            </w:pPr>
            <w:r>
              <w:rPr>
                <w:rFonts w:ascii="Arial" w:cs="Arial" w:eastAsia="Arial" w:hAnsi="Arial"/>
                <w:sz w:val="17"/>
                <w:szCs w:val="17"/>
                <w:color w:val="auto"/>
              </w:rPr>
              <w:t>1/26/2012 (1)</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7"/>
              </w:rPr>
              <w:t>1/19/2012</w:t>
            </w:r>
          </w:p>
        </w:tc>
        <w:tc>
          <w:tcPr>
            <w:tcW w:w="700" w:type="dxa"/>
            <w:vAlign w:val="bottom"/>
            <w:shd w:val="clear" w:color="auto" w:fill="E9E9E9"/>
          </w:tcPr>
          <w:p>
            <w:pPr>
              <w:spacing w:after="0"/>
              <w:rPr>
                <w:sz w:val="20"/>
                <w:szCs w:val="20"/>
                <w:color w:val="auto"/>
              </w:rPr>
            </w:pPr>
          </w:p>
        </w:tc>
        <w:tc>
          <w:tcPr>
            <w:tcW w:w="560" w:type="dxa"/>
            <w:vAlign w:val="bottom"/>
            <w:shd w:val="clear" w:color="auto" w:fill="E9E9E9"/>
          </w:tcPr>
          <w:p>
            <w:pPr>
              <w:spacing w:after="0"/>
              <w:rPr>
                <w:sz w:val="20"/>
                <w:szCs w:val="20"/>
                <w:color w:val="auto"/>
              </w:rPr>
            </w:pPr>
          </w:p>
        </w:tc>
        <w:tc>
          <w:tcPr>
            <w:tcW w:w="680" w:type="dxa"/>
            <w:vAlign w:val="bottom"/>
            <w:shd w:val="clear" w:color="auto" w:fill="E9E9E9"/>
          </w:tcPr>
          <w:p>
            <w:pPr>
              <w:spacing w:after="0"/>
              <w:rPr>
                <w:sz w:val="20"/>
                <w:szCs w:val="20"/>
                <w:color w:val="auto"/>
              </w:rPr>
            </w:pPr>
          </w:p>
        </w:tc>
        <w:tc>
          <w:tcPr>
            <w:tcW w:w="160" w:type="dxa"/>
            <w:vAlign w:val="bottom"/>
            <w:shd w:val="clear" w:color="auto" w:fill="E9E9E9"/>
          </w:tcPr>
          <w:p>
            <w:pPr>
              <w:spacing w:after="0"/>
              <w:rPr>
                <w:sz w:val="20"/>
                <w:szCs w:val="20"/>
                <w:color w:val="auto"/>
              </w:rPr>
            </w:pPr>
          </w:p>
        </w:tc>
        <w:tc>
          <w:tcPr>
            <w:tcW w:w="700" w:type="dxa"/>
            <w:vAlign w:val="bottom"/>
            <w:shd w:val="clear" w:color="auto" w:fill="E9E9E9"/>
          </w:tcPr>
          <w:p>
            <w:pPr>
              <w:spacing w:after="0"/>
              <w:rPr>
                <w:sz w:val="20"/>
                <w:szCs w:val="20"/>
                <w:color w:val="auto"/>
              </w:rPr>
            </w:pPr>
          </w:p>
        </w:tc>
        <w:tc>
          <w:tcPr>
            <w:tcW w:w="740" w:type="dxa"/>
            <w:vAlign w:val="bottom"/>
            <w:shd w:val="clear" w:color="auto" w:fill="E9E9E9"/>
          </w:tcPr>
          <w:p>
            <w:pPr>
              <w:spacing w:after="0"/>
              <w:rPr>
                <w:sz w:val="20"/>
                <w:szCs w:val="20"/>
                <w:color w:val="auto"/>
              </w:rPr>
            </w:pPr>
          </w:p>
        </w:tc>
        <w:tc>
          <w:tcPr>
            <w:tcW w:w="500" w:type="dxa"/>
            <w:vAlign w:val="bottom"/>
            <w:shd w:val="clear" w:color="auto" w:fill="E9E9E9"/>
          </w:tcPr>
          <w:p>
            <w:pPr>
              <w:spacing w:after="0"/>
              <w:rPr>
                <w:sz w:val="20"/>
                <w:szCs w:val="20"/>
                <w:color w:val="auto"/>
              </w:rPr>
            </w:pPr>
          </w:p>
        </w:tc>
        <w:tc>
          <w:tcPr>
            <w:tcW w:w="880" w:type="dxa"/>
            <w:vAlign w:val="bottom"/>
            <w:shd w:val="clear" w:color="auto" w:fill="E9E9E9"/>
          </w:tcPr>
          <w:p>
            <w:pPr>
              <w:jc w:val="right"/>
              <w:ind w:right="6"/>
              <w:spacing w:after="0"/>
              <w:rPr>
                <w:sz w:val="20"/>
                <w:szCs w:val="20"/>
                <w:color w:val="auto"/>
              </w:rPr>
            </w:pPr>
            <w:r>
              <w:rPr>
                <w:rFonts w:ascii="Arial" w:cs="Arial" w:eastAsia="Arial" w:hAnsi="Arial"/>
                <w:sz w:val="17"/>
                <w:szCs w:val="17"/>
                <w:color w:val="auto"/>
              </w:rPr>
              <w:t>62,500</w:t>
            </w:r>
          </w:p>
        </w:tc>
        <w:tc>
          <w:tcPr>
            <w:tcW w:w="880" w:type="dxa"/>
            <w:vAlign w:val="bottom"/>
            <w:shd w:val="clear" w:color="auto" w:fill="E9E9E9"/>
          </w:tcPr>
          <w:p>
            <w:pPr>
              <w:spacing w:after="0"/>
              <w:rPr>
                <w:sz w:val="20"/>
                <w:szCs w:val="20"/>
                <w:color w:val="auto"/>
              </w:rPr>
            </w:pPr>
          </w:p>
        </w:tc>
        <w:tc>
          <w:tcPr>
            <w:tcW w:w="760" w:type="dxa"/>
            <w:vAlign w:val="bottom"/>
            <w:shd w:val="clear" w:color="auto" w:fill="E9E9E9"/>
          </w:tcPr>
          <w:p>
            <w:pPr>
              <w:spacing w:after="0"/>
              <w:rPr>
                <w:sz w:val="20"/>
                <w:szCs w:val="20"/>
                <w:color w:val="auto"/>
              </w:rPr>
            </w:pPr>
          </w:p>
        </w:tc>
        <w:tc>
          <w:tcPr>
            <w:tcW w:w="980" w:type="dxa"/>
            <w:vAlign w:val="bottom"/>
            <w:shd w:val="clear" w:color="auto" w:fill="E9E9E9"/>
          </w:tcPr>
          <w:p>
            <w:pPr>
              <w:jc w:val="center"/>
              <w:ind w:left="62"/>
              <w:spacing w:after="0"/>
              <w:rPr>
                <w:sz w:val="20"/>
                <w:szCs w:val="20"/>
                <w:color w:val="auto"/>
              </w:rPr>
            </w:pPr>
            <w:r>
              <w:rPr>
                <w:rFonts w:ascii="Arial" w:cs="Arial" w:eastAsia="Arial" w:hAnsi="Arial"/>
                <w:sz w:val="17"/>
                <w:szCs w:val="17"/>
                <w:color w:val="auto"/>
                <w:w w:val="98"/>
              </w:rPr>
              <w:t>$2,022,500</w:t>
            </w:r>
          </w:p>
        </w:tc>
      </w:tr>
      <w:tr>
        <w:trPr>
          <w:trHeight w:val="247"/>
        </w:trPr>
        <w:tc>
          <w:tcPr>
            <w:tcW w:w="1200" w:type="dxa"/>
            <w:vAlign w:val="bottom"/>
            <w:shd w:val="clear" w:color="auto" w:fill="E9E9E9"/>
          </w:tcPr>
          <w:p>
            <w:pPr>
              <w:spacing w:after="0"/>
              <w:rPr>
                <w:sz w:val="21"/>
                <w:szCs w:val="21"/>
                <w:color w:val="auto"/>
              </w:rPr>
            </w:pPr>
          </w:p>
        </w:tc>
        <w:tc>
          <w:tcPr>
            <w:tcW w:w="1700" w:type="dxa"/>
            <w:vAlign w:val="bottom"/>
            <w:shd w:val="clear" w:color="auto" w:fill="E9E9E9"/>
          </w:tcPr>
          <w:p>
            <w:pPr>
              <w:ind w:left="620"/>
              <w:spacing w:after="0"/>
              <w:rPr>
                <w:sz w:val="20"/>
                <w:szCs w:val="20"/>
                <w:color w:val="auto"/>
              </w:rPr>
            </w:pPr>
            <w:r>
              <w:rPr>
                <w:rFonts w:ascii="Arial" w:cs="Arial" w:eastAsia="Arial" w:hAnsi="Arial"/>
                <w:sz w:val="17"/>
                <w:szCs w:val="17"/>
                <w:color w:val="auto"/>
              </w:rPr>
              <w:t>6/21/2012</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7"/>
              </w:rPr>
              <w:t>6/21/2012</w:t>
            </w:r>
          </w:p>
        </w:tc>
        <w:tc>
          <w:tcPr>
            <w:tcW w:w="700" w:type="dxa"/>
            <w:vAlign w:val="bottom"/>
            <w:shd w:val="clear" w:color="auto" w:fill="E9E9E9"/>
          </w:tcPr>
          <w:p>
            <w:pPr>
              <w:spacing w:after="0"/>
              <w:rPr>
                <w:sz w:val="21"/>
                <w:szCs w:val="21"/>
                <w:color w:val="auto"/>
              </w:rPr>
            </w:pPr>
          </w:p>
        </w:tc>
        <w:tc>
          <w:tcPr>
            <w:tcW w:w="560" w:type="dxa"/>
            <w:vAlign w:val="bottom"/>
            <w:shd w:val="clear" w:color="auto" w:fill="E9E9E9"/>
          </w:tcPr>
          <w:p>
            <w:pPr>
              <w:spacing w:after="0"/>
              <w:rPr>
                <w:sz w:val="21"/>
                <w:szCs w:val="21"/>
                <w:color w:val="auto"/>
              </w:rPr>
            </w:pPr>
          </w:p>
        </w:tc>
        <w:tc>
          <w:tcPr>
            <w:tcW w:w="68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700" w:type="dxa"/>
            <w:vAlign w:val="bottom"/>
            <w:shd w:val="clear" w:color="auto" w:fill="E9E9E9"/>
          </w:tcPr>
          <w:p>
            <w:pPr>
              <w:spacing w:after="0"/>
              <w:rPr>
                <w:sz w:val="21"/>
                <w:szCs w:val="21"/>
                <w:color w:val="auto"/>
              </w:rPr>
            </w:pPr>
          </w:p>
        </w:tc>
        <w:tc>
          <w:tcPr>
            <w:tcW w:w="740" w:type="dxa"/>
            <w:vAlign w:val="bottom"/>
            <w:shd w:val="clear" w:color="auto" w:fill="E9E9E9"/>
          </w:tcPr>
          <w:p>
            <w:pPr>
              <w:spacing w:after="0"/>
              <w:rPr>
                <w:sz w:val="21"/>
                <w:szCs w:val="21"/>
                <w:color w:val="auto"/>
              </w:rPr>
            </w:pPr>
          </w:p>
        </w:tc>
        <w:tc>
          <w:tcPr>
            <w:tcW w:w="500" w:type="dxa"/>
            <w:vAlign w:val="bottom"/>
            <w:shd w:val="clear" w:color="auto" w:fill="E9E9E9"/>
          </w:tcPr>
          <w:p>
            <w:pPr>
              <w:spacing w:after="0"/>
              <w:rPr>
                <w:sz w:val="21"/>
                <w:szCs w:val="21"/>
                <w:color w:val="auto"/>
              </w:rPr>
            </w:pPr>
          </w:p>
        </w:tc>
        <w:tc>
          <w:tcPr>
            <w:tcW w:w="880" w:type="dxa"/>
            <w:vAlign w:val="bottom"/>
            <w:shd w:val="clear" w:color="auto" w:fill="E9E9E9"/>
          </w:tcPr>
          <w:p>
            <w:pPr>
              <w:jc w:val="right"/>
              <w:ind w:right="6"/>
              <w:spacing w:after="0"/>
              <w:rPr>
                <w:sz w:val="20"/>
                <w:szCs w:val="20"/>
                <w:color w:val="auto"/>
              </w:rPr>
            </w:pPr>
            <w:r>
              <w:rPr>
                <w:rFonts w:ascii="Arial" w:cs="Arial" w:eastAsia="Arial" w:hAnsi="Arial"/>
                <w:sz w:val="17"/>
                <w:szCs w:val="17"/>
                <w:color w:val="auto"/>
              </w:rPr>
              <w:t>100,000</w:t>
            </w:r>
          </w:p>
        </w:tc>
        <w:tc>
          <w:tcPr>
            <w:tcW w:w="88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980" w:type="dxa"/>
            <w:vAlign w:val="bottom"/>
            <w:shd w:val="clear" w:color="auto" w:fill="E9E9E9"/>
          </w:tcPr>
          <w:p>
            <w:pPr>
              <w:jc w:val="center"/>
              <w:ind w:left="62"/>
              <w:spacing w:after="0"/>
              <w:rPr>
                <w:sz w:val="20"/>
                <w:szCs w:val="20"/>
                <w:color w:val="auto"/>
              </w:rPr>
            </w:pPr>
            <w:r>
              <w:rPr>
                <w:rFonts w:ascii="Arial" w:cs="Arial" w:eastAsia="Arial" w:hAnsi="Arial"/>
                <w:sz w:val="17"/>
                <w:szCs w:val="17"/>
                <w:color w:val="auto"/>
                <w:w w:val="98"/>
              </w:rPr>
              <w:t>$2,760,000</w:t>
            </w:r>
          </w:p>
        </w:tc>
      </w:tr>
      <w:tr>
        <w:trPr>
          <w:trHeight w:val="218"/>
        </w:trPr>
        <w:tc>
          <w:tcPr>
            <w:tcW w:w="1200" w:type="dxa"/>
            <w:vAlign w:val="bottom"/>
          </w:tcPr>
          <w:p>
            <w:pPr>
              <w:spacing w:after="0"/>
              <w:rPr>
                <w:sz w:val="20"/>
                <w:szCs w:val="20"/>
                <w:color w:val="auto"/>
              </w:rPr>
            </w:pPr>
            <w:r>
              <w:rPr>
                <w:rFonts w:ascii="Arial" w:cs="Arial" w:eastAsia="Arial" w:hAnsi="Arial"/>
                <w:sz w:val="17"/>
                <w:szCs w:val="17"/>
                <w:color w:val="auto"/>
              </w:rPr>
              <w:t>R. G. Delagi</w:t>
            </w:r>
          </w:p>
        </w:tc>
        <w:tc>
          <w:tcPr>
            <w:tcW w:w="1700" w:type="dxa"/>
            <w:vAlign w:val="bottom"/>
          </w:tcPr>
          <w:p>
            <w:pPr>
              <w:ind w:left="620"/>
              <w:spacing w:after="0"/>
              <w:rPr>
                <w:sz w:val="20"/>
                <w:szCs w:val="20"/>
                <w:color w:val="auto"/>
              </w:rPr>
            </w:pPr>
            <w:r>
              <w:rPr>
                <w:rFonts w:ascii="Arial" w:cs="Arial" w:eastAsia="Arial" w:hAnsi="Arial"/>
                <w:sz w:val="17"/>
                <w:szCs w:val="17"/>
                <w:color w:val="auto"/>
              </w:rPr>
              <w:t>1/26/2012 (1)</w:t>
            </w:r>
          </w:p>
        </w:tc>
        <w:tc>
          <w:tcPr>
            <w:tcW w:w="980" w:type="dxa"/>
            <w:vAlign w:val="bottom"/>
          </w:tcPr>
          <w:p>
            <w:pPr>
              <w:jc w:val="center"/>
              <w:spacing w:after="0"/>
              <w:rPr>
                <w:sz w:val="20"/>
                <w:szCs w:val="20"/>
                <w:color w:val="auto"/>
              </w:rPr>
            </w:pPr>
            <w:r>
              <w:rPr>
                <w:rFonts w:ascii="Arial" w:cs="Arial" w:eastAsia="Arial" w:hAnsi="Arial"/>
                <w:sz w:val="17"/>
                <w:szCs w:val="17"/>
                <w:color w:val="auto"/>
                <w:w w:val="97"/>
              </w:rPr>
              <w:t>1/19/2012</w:t>
            </w:r>
          </w:p>
        </w:tc>
        <w:tc>
          <w:tcPr>
            <w:tcW w:w="700" w:type="dxa"/>
            <w:vAlign w:val="bottom"/>
          </w:tcPr>
          <w:p>
            <w:pPr>
              <w:jc w:val="center"/>
              <w:ind w:right="6"/>
              <w:spacing w:after="0"/>
              <w:rPr>
                <w:sz w:val="20"/>
                <w:szCs w:val="20"/>
                <w:color w:val="auto"/>
              </w:rPr>
            </w:pPr>
            <w:r>
              <w:rPr>
                <w:rFonts w:ascii="Arial" w:cs="Arial" w:eastAsia="Arial" w:hAnsi="Arial"/>
                <w:sz w:val="17"/>
                <w:szCs w:val="17"/>
                <w:color w:val="auto"/>
                <w:w w:val="89"/>
              </w:rPr>
              <w:t>*</w:t>
            </w:r>
          </w:p>
        </w:tc>
        <w:tc>
          <w:tcPr>
            <w:tcW w:w="560" w:type="dxa"/>
            <w:vAlign w:val="bottom"/>
          </w:tcPr>
          <w:p>
            <w:pPr>
              <w:jc w:val="center"/>
              <w:spacing w:after="0"/>
              <w:rPr>
                <w:sz w:val="20"/>
                <w:szCs w:val="20"/>
                <w:color w:val="auto"/>
              </w:rPr>
            </w:pPr>
            <w:r>
              <w:rPr>
                <w:rFonts w:ascii="Arial" w:cs="Arial" w:eastAsia="Arial" w:hAnsi="Arial"/>
                <w:sz w:val="17"/>
                <w:szCs w:val="17"/>
                <w:color w:val="auto"/>
              </w:rPr>
              <w:t>*</w:t>
            </w:r>
          </w:p>
        </w:tc>
        <w:tc>
          <w:tcPr>
            <w:tcW w:w="68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60" w:type="dxa"/>
            <w:vAlign w:val="bottom"/>
          </w:tcPr>
          <w:p>
            <w:pPr>
              <w:spacing w:after="0"/>
              <w:rPr>
                <w:sz w:val="18"/>
                <w:szCs w:val="18"/>
                <w:color w:val="auto"/>
              </w:rPr>
            </w:pPr>
          </w:p>
        </w:tc>
        <w:tc>
          <w:tcPr>
            <w:tcW w:w="700" w:type="dxa"/>
            <w:vAlign w:val="bottom"/>
          </w:tcPr>
          <w:p>
            <w:pPr>
              <w:jc w:val="center"/>
              <w:ind w:right="6"/>
              <w:spacing w:after="0"/>
              <w:rPr>
                <w:sz w:val="20"/>
                <w:szCs w:val="20"/>
                <w:color w:val="auto"/>
              </w:rPr>
            </w:pPr>
            <w:r>
              <w:rPr>
                <w:rFonts w:ascii="Arial" w:cs="Arial" w:eastAsia="Arial" w:hAnsi="Arial"/>
                <w:sz w:val="17"/>
                <w:szCs w:val="17"/>
                <w:color w:val="auto"/>
              </w:rPr>
              <w:t>—</w:t>
            </w:r>
          </w:p>
        </w:tc>
        <w:tc>
          <w:tcPr>
            <w:tcW w:w="740" w:type="dxa"/>
            <w:vAlign w:val="bottom"/>
          </w:tcPr>
          <w:p>
            <w:pPr>
              <w:jc w:val="center"/>
              <w:ind w:right="102"/>
              <w:spacing w:after="0"/>
              <w:rPr>
                <w:sz w:val="20"/>
                <w:szCs w:val="20"/>
                <w:color w:val="auto"/>
              </w:rPr>
            </w:pPr>
            <w:r>
              <w:rPr>
                <w:rFonts w:ascii="Arial" w:cs="Arial" w:eastAsia="Arial" w:hAnsi="Arial"/>
                <w:sz w:val="17"/>
                <w:szCs w:val="17"/>
                <w:color w:val="auto"/>
                <w:w w:val="93"/>
              </w:rPr>
              <w:t>—</w:t>
            </w:r>
          </w:p>
        </w:tc>
        <w:tc>
          <w:tcPr>
            <w:tcW w:w="500" w:type="dxa"/>
            <w:vAlign w:val="bottom"/>
          </w:tcPr>
          <w:p>
            <w:pPr>
              <w:jc w:val="right"/>
              <w:ind w:right="139"/>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8"/>
                <w:szCs w:val="18"/>
                <w:color w:val="auto"/>
              </w:rPr>
            </w:pPr>
          </w:p>
        </w:tc>
        <w:tc>
          <w:tcPr>
            <w:tcW w:w="880" w:type="dxa"/>
            <w:vAlign w:val="bottom"/>
          </w:tcPr>
          <w:p>
            <w:pPr>
              <w:ind w:left="180"/>
              <w:spacing w:after="0"/>
              <w:rPr>
                <w:sz w:val="20"/>
                <w:szCs w:val="20"/>
                <w:color w:val="auto"/>
              </w:rPr>
            </w:pPr>
            <w:r>
              <w:rPr>
                <w:rFonts w:ascii="Arial" w:cs="Arial" w:eastAsia="Arial" w:hAnsi="Arial"/>
                <w:sz w:val="17"/>
                <w:szCs w:val="17"/>
                <w:color w:val="auto"/>
              </w:rPr>
              <w:t>175,000</w:t>
            </w:r>
          </w:p>
        </w:tc>
        <w:tc>
          <w:tcPr>
            <w:tcW w:w="760" w:type="dxa"/>
            <w:vAlign w:val="bottom"/>
          </w:tcPr>
          <w:p>
            <w:pPr>
              <w:jc w:val="center"/>
              <w:spacing w:after="0"/>
              <w:rPr>
                <w:sz w:val="20"/>
                <w:szCs w:val="20"/>
                <w:color w:val="auto"/>
              </w:rPr>
            </w:pPr>
            <w:r>
              <w:rPr>
                <w:rFonts w:ascii="Arial" w:cs="Arial" w:eastAsia="Arial" w:hAnsi="Arial"/>
                <w:sz w:val="17"/>
                <w:szCs w:val="17"/>
                <w:color w:val="auto"/>
                <w:w w:val="99"/>
              </w:rPr>
              <w:t>$32.36</w:t>
            </w:r>
          </w:p>
        </w:tc>
        <w:tc>
          <w:tcPr>
            <w:tcW w:w="980" w:type="dxa"/>
            <w:vAlign w:val="bottom"/>
          </w:tcPr>
          <w:p>
            <w:pPr>
              <w:jc w:val="center"/>
              <w:ind w:left="62"/>
              <w:spacing w:after="0"/>
              <w:rPr>
                <w:sz w:val="20"/>
                <w:szCs w:val="20"/>
                <w:color w:val="auto"/>
              </w:rPr>
            </w:pPr>
            <w:r>
              <w:rPr>
                <w:rFonts w:ascii="Arial" w:cs="Arial" w:eastAsia="Arial" w:hAnsi="Arial"/>
                <w:sz w:val="17"/>
                <w:szCs w:val="17"/>
                <w:color w:val="auto"/>
                <w:w w:val="98"/>
              </w:rPr>
              <w:t>$1,455,391</w:t>
            </w:r>
          </w:p>
        </w:tc>
      </w:tr>
      <w:tr>
        <w:trPr>
          <w:trHeight w:val="233"/>
        </w:trPr>
        <w:tc>
          <w:tcPr>
            <w:tcW w:w="1200" w:type="dxa"/>
            <w:vAlign w:val="bottom"/>
          </w:tcPr>
          <w:p>
            <w:pPr>
              <w:spacing w:after="0"/>
              <w:rPr>
                <w:sz w:val="20"/>
                <w:szCs w:val="20"/>
                <w:color w:val="auto"/>
              </w:rPr>
            </w:pPr>
          </w:p>
        </w:tc>
        <w:tc>
          <w:tcPr>
            <w:tcW w:w="1700" w:type="dxa"/>
            <w:vAlign w:val="bottom"/>
          </w:tcPr>
          <w:p>
            <w:pPr>
              <w:ind w:left="620"/>
              <w:spacing w:after="0"/>
              <w:rPr>
                <w:sz w:val="20"/>
                <w:szCs w:val="20"/>
                <w:color w:val="auto"/>
              </w:rPr>
            </w:pPr>
            <w:r>
              <w:rPr>
                <w:rFonts w:ascii="Arial" w:cs="Arial" w:eastAsia="Arial" w:hAnsi="Arial"/>
                <w:sz w:val="17"/>
                <w:szCs w:val="17"/>
                <w:color w:val="auto"/>
              </w:rPr>
              <w:t>1/26/2012 (1)</w:t>
            </w:r>
          </w:p>
        </w:tc>
        <w:tc>
          <w:tcPr>
            <w:tcW w:w="980" w:type="dxa"/>
            <w:vAlign w:val="bottom"/>
          </w:tcPr>
          <w:p>
            <w:pPr>
              <w:jc w:val="center"/>
              <w:spacing w:after="0"/>
              <w:rPr>
                <w:sz w:val="20"/>
                <w:szCs w:val="20"/>
                <w:color w:val="auto"/>
              </w:rPr>
            </w:pPr>
            <w:r>
              <w:rPr>
                <w:rFonts w:ascii="Arial" w:cs="Arial" w:eastAsia="Arial" w:hAnsi="Arial"/>
                <w:sz w:val="17"/>
                <w:szCs w:val="17"/>
                <w:color w:val="auto"/>
                <w:w w:val="97"/>
              </w:rPr>
              <w:t>1/19/2012</w:t>
            </w: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6"/>
              <w:spacing w:after="0"/>
              <w:rPr>
                <w:sz w:val="20"/>
                <w:szCs w:val="20"/>
                <w:color w:val="auto"/>
              </w:rPr>
            </w:pPr>
            <w:r>
              <w:rPr>
                <w:rFonts w:ascii="Arial" w:cs="Arial" w:eastAsia="Arial" w:hAnsi="Arial"/>
                <w:sz w:val="17"/>
                <w:szCs w:val="17"/>
                <w:color w:val="auto"/>
              </w:rPr>
              <w:t>58,334</w:t>
            </w: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jc w:val="center"/>
              <w:ind w:left="62"/>
              <w:spacing w:after="0"/>
              <w:rPr>
                <w:sz w:val="20"/>
                <w:szCs w:val="20"/>
                <w:color w:val="auto"/>
              </w:rPr>
            </w:pPr>
            <w:r>
              <w:rPr>
                <w:rFonts w:ascii="Arial" w:cs="Arial" w:eastAsia="Arial" w:hAnsi="Arial"/>
                <w:sz w:val="17"/>
                <w:szCs w:val="17"/>
                <w:color w:val="auto"/>
                <w:w w:val="98"/>
              </w:rPr>
              <w:t>$1,887,688</w:t>
            </w:r>
          </w:p>
        </w:tc>
      </w:tr>
      <w:tr>
        <w:trPr>
          <w:trHeight w:val="240"/>
        </w:trPr>
        <w:tc>
          <w:tcPr>
            <w:tcW w:w="1200" w:type="dxa"/>
            <w:vAlign w:val="bottom"/>
          </w:tcPr>
          <w:p>
            <w:pPr>
              <w:spacing w:after="0"/>
              <w:rPr>
                <w:sz w:val="20"/>
                <w:szCs w:val="20"/>
                <w:color w:val="auto"/>
              </w:rPr>
            </w:pPr>
          </w:p>
        </w:tc>
        <w:tc>
          <w:tcPr>
            <w:tcW w:w="1700" w:type="dxa"/>
            <w:vAlign w:val="bottom"/>
          </w:tcPr>
          <w:p>
            <w:pPr>
              <w:ind w:left="620"/>
              <w:spacing w:after="0"/>
              <w:rPr>
                <w:sz w:val="20"/>
                <w:szCs w:val="20"/>
                <w:color w:val="auto"/>
              </w:rPr>
            </w:pPr>
            <w:r>
              <w:rPr>
                <w:rFonts w:ascii="Arial" w:cs="Arial" w:eastAsia="Arial" w:hAnsi="Arial"/>
                <w:sz w:val="17"/>
                <w:szCs w:val="17"/>
                <w:color w:val="auto"/>
              </w:rPr>
              <w:t>6/21/2012</w:t>
            </w:r>
          </w:p>
        </w:tc>
        <w:tc>
          <w:tcPr>
            <w:tcW w:w="980" w:type="dxa"/>
            <w:vAlign w:val="bottom"/>
          </w:tcPr>
          <w:p>
            <w:pPr>
              <w:jc w:val="center"/>
              <w:spacing w:after="0"/>
              <w:rPr>
                <w:sz w:val="20"/>
                <w:szCs w:val="20"/>
                <w:color w:val="auto"/>
              </w:rPr>
            </w:pPr>
            <w:r>
              <w:rPr>
                <w:rFonts w:ascii="Arial" w:cs="Arial" w:eastAsia="Arial" w:hAnsi="Arial"/>
                <w:sz w:val="17"/>
                <w:szCs w:val="17"/>
                <w:color w:val="auto"/>
                <w:w w:val="97"/>
              </w:rPr>
              <w:t>6/21/2012</w:t>
            </w: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6"/>
              <w:spacing w:after="0"/>
              <w:rPr>
                <w:sz w:val="20"/>
                <w:szCs w:val="20"/>
                <w:color w:val="auto"/>
              </w:rPr>
            </w:pPr>
            <w:r>
              <w:rPr>
                <w:rFonts w:ascii="Arial" w:cs="Arial" w:eastAsia="Arial" w:hAnsi="Arial"/>
                <w:sz w:val="17"/>
                <w:szCs w:val="17"/>
                <w:color w:val="auto"/>
              </w:rPr>
              <w:t>50,000</w:t>
            </w: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jc w:val="center"/>
              <w:ind w:left="62"/>
              <w:spacing w:after="0"/>
              <w:rPr>
                <w:sz w:val="20"/>
                <w:szCs w:val="20"/>
                <w:color w:val="auto"/>
              </w:rPr>
            </w:pPr>
            <w:r>
              <w:rPr>
                <w:rFonts w:ascii="Arial" w:cs="Arial" w:eastAsia="Arial" w:hAnsi="Arial"/>
                <w:sz w:val="17"/>
                <w:szCs w:val="17"/>
                <w:color w:val="auto"/>
                <w:w w:val="98"/>
              </w:rPr>
              <w:t>$1,380,000</w:t>
            </w:r>
          </w:p>
        </w:tc>
      </w:tr>
      <w:tr>
        <w:trPr>
          <w:trHeight w:val="225"/>
        </w:trPr>
        <w:tc>
          <w:tcPr>
            <w:tcW w:w="1200" w:type="dxa"/>
            <w:vAlign w:val="bottom"/>
            <w:shd w:val="clear" w:color="auto" w:fill="E9E9E9"/>
          </w:tcPr>
          <w:p>
            <w:pPr>
              <w:spacing w:after="0"/>
              <w:rPr>
                <w:sz w:val="20"/>
                <w:szCs w:val="20"/>
                <w:color w:val="auto"/>
              </w:rPr>
            </w:pPr>
            <w:r>
              <w:rPr>
                <w:rFonts w:ascii="Arial" w:cs="Arial" w:eastAsia="Arial" w:hAnsi="Arial"/>
                <w:sz w:val="17"/>
                <w:szCs w:val="17"/>
                <w:color w:val="auto"/>
              </w:rPr>
              <w:t>K. J. Ritchie</w:t>
            </w:r>
          </w:p>
        </w:tc>
        <w:tc>
          <w:tcPr>
            <w:tcW w:w="1700" w:type="dxa"/>
            <w:vAlign w:val="bottom"/>
            <w:shd w:val="clear" w:color="auto" w:fill="E9E9E9"/>
          </w:tcPr>
          <w:p>
            <w:pPr>
              <w:ind w:left="620"/>
              <w:spacing w:after="0"/>
              <w:rPr>
                <w:sz w:val="20"/>
                <w:szCs w:val="20"/>
                <w:color w:val="auto"/>
              </w:rPr>
            </w:pPr>
            <w:r>
              <w:rPr>
                <w:rFonts w:ascii="Arial" w:cs="Arial" w:eastAsia="Arial" w:hAnsi="Arial"/>
                <w:sz w:val="17"/>
                <w:szCs w:val="17"/>
                <w:color w:val="auto"/>
              </w:rPr>
              <w:t>1/26/2012 (1)</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7"/>
              </w:rPr>
              <w:t>1/19/2012</w:t>
            </w:r>
          </w:p>
        </w:tc>
        <w:tc>
          <w:tcPr>
            <w:tcW w:w="700" w:type="dxa"/>
            <w:vAlign w:val="bottom"/>
            <w:shd w:val="clear" w:color="auto" w:fill="E9E9E9"/>
          </w:tcPr>
          <w:p>
            <w:pPr>
              <w:jc w:val="center"/>
              <w:ind w:right="6"/>
              <w:spacing w:after="0"/>
              <w:rPr>
                <w:sz w:val="20"/>
                <w:szCs w:val="20"/>
                <w:color w:val="auto"/>
              </w:rPr>
            </w:pPr>
            <w:r>
              <w:rPr>
                <w:rFonts w:ascii="Arial" w:cs="Arial" w:eastAsia="Arial" w:hAnsi="Arial"/>
                <w:sz w:val="17"/>
                <w:szCs w:val="17"/>
                <w:color w:val="auto"/>
                <w:w w:val="89"/>
              </w:rPr>
              <w:t>*</w:t>
            </w:r>
          </w:p>
        </w:tc>
        <w:tc>
          <w:tcPr>
            <w:tcW w:w="5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6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89"/>
              </w:rPr>
              <w:t>*</w:t>
            </w:r>
          </w:p>
        </w:tc>
        <w:tc>
          <w:tcPr>
            <w:tcW w:w="160" w:type="dxa"/>
            <w:vAlign w:val="bottom"/>
            <w:shd w:val="clear" w:color="auto" w:fill="E9E9E9"/>
          </w:tcPr>
          <w:p>
            <w:pPr>
              <w:spacing w:after="0"/>
              <w:rPr>
                <w:sz w:val="19"/>
                <w:szCs w:val="19"/>
                <w:color w:val="auto"/>
              </w:rPr>
            </w:pPr>
          </w:p>
        </w:tc>
        <w:tc>
          <w:tcPr>
            <w:tcW w:w="700" w:type="dxa"/>
            <w:vAlign w:val="bottom"/>
            <w:shd w:val="clear" w:color="auto" w:fill="E9E9E9"/>
          </w:tcPr>
          <w:p>
            <w:pPr>
              <w:jc w:val="center"/>
              <w:ind w:right="6"/>
              <w:spacing w:after="0"/>
              <w:rPr>
                <w:sz w:val="20"/>
                <w:szCs w:val="20"/>
                <w:color w:val="auto"/>
              </w:rPr>
            </w:pPr>
            <w:r>
              <w:rPr>
                <w:rFonts w:ascii="Arial" w:cs="Arial" w:eastAsia="Arial" w:hAnsi="Arial"/>
                <w:sz w:val="17"/>
                <w:szCs w:val="17"/>
                <w:color w:val="auto"/>
              </w:rPr>
              <w:t>—</w:t>
            </w:r>
          </w:p>
        </w:tc>
        <w:tc>
          <w:tcPr>
            <w:tcW w:w="740" w:type="dxa"/>
            <w:vAlign w:val="bottom"/>
            <w:shd w:val="clear" w:color="auto" w:fill="E9E9E9"/>
          </w:tcPr>
          <w:p>
            <w:pPr>
              <w:jc w:val="center"/>
              <w:ind w:right="102"/>
              <w:spacing w:after="0"/>
              <w:rPr>
                <w:sz w:val="20"/>
                <w:szCs w:val="20"/>
                <w:color w:val="auto"/>
              </w:rPr>
            </w:pPr>
            <w:r>
              <w:rPr>
                <w:rFonts w:ascii="Arial" w:cs="Arial" w:eastAsia="Arial" w:hAnsi="Arial"/>
                <w:sz w:val="17"/>
                <w:szCs w:val="17"/>
                <w:color w:val="auto"/>
                <w:w w:val="93"/>
              </w:rPr>
              <w:t>—</w:t>
            </w:r>
          </w:p>
        </w:tc>
        <w:tc>
          <w:tcPr>
            <w:tcW w:w="500" w:type="dxa"/>
            <w:vAlign w:val="bottom"/>
            <w:shd w:val="clear" w:color="auto" w:fill="E9E9E9"/>
          </w:tcPr>
          <w:p>
            <w:pPr>
              <w:jc w:val="right"/>
              <w:ind w:right="139"/>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spacing w:after="0"/>
              <w:rPr>
                <w:sz w:val="19"/>
                <w:szCs w:val="19"/>
                <w:color w:val="auto"/>
              </w:rPr>
            </w:pPr>
          </w:p>
        </w:tc>
        <w:tc>
          <w:tcPr>
            <w:tcW w:w="880" w:type="dxa"/>
            <w:vAlign w:val="bottom"/>
            <w:shd w:val="clear" w:color="auto" w:fill="E9E9E9"/>
          </w:tcPr>
          <w:p>
            <w:pPr>
              <w:ind w:left="180"/>
              <w:spacing w:after="0"/>
              <w:rPr>
                <w:sz w:val="20"/>
                <w:szCs w:val="20"/>
                <w:color w:val="auto"/>
              </w:rPr>
            </w:pPr>
            <w:r>
              <w:rPr>
                <w:rFonts w:ascii="Arial" w:cs="Arial" w:eastAsia="Arial" w:hAnsi="Arial"/>
                <w:sz w:val="17"/>
                <w:szCs w:val="17"/>
                <w:color w:val="auto"/>
              </w:rPr>
              <w:t>175,000</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$32.36</w:t>
            </w:r>
          </w:p>
        </w:tc>
        <w:tc>
          <w:tcPr>
            <w:tcW w:w="980" w:type="dxa"/>
            <w:vAlign w:val="bottom"/>
            <w:shd w:val="clear" w:color="auto" w:fill="E9E9E9"/>
          </w:tcPr>
          <w:p>
            <w:pPr>
              <w:jc w:val="center"/>
              <w:ind w:left="62"/>
              <w:spacing w:after="0"/>
              <w:rPr>
                <w:sz w:val="20"/>
                <w:szCs w:val="20"/>
                <w:color w:val="auto"/>
              </w:rPr>
            </w:pPr>
            <w:r>
              <w:rPr>
                <w:rFonts w:ascii="Arial" w:cs="Arial" w:eastAsia="Arial" w:hAnsi="Arial"/>
                <w:sz w:val="17"/>
                <w:szCs w:val="17"/>
                <w:color w:val="auto"/>
                <w:w w:val="98"/>
              </w:rPr>
              <w:t>$1,455,391</w:t>
            </w:r>
          </w:p>
        </w:tc>
      </w:tr>
      <w:tr>
        <w:trPr>
          <w:trHeight w:val="247"/>
        </w:trPr>
        <w:tc>
          <w:tcPr>
            <w:tcW w:w="1200" w:type="dxa"/>
            <w:vAlign w:val="bottom"/>
            <w:shd w:val="clear" w:color="auto" w:fill="E9E9E9"/>
          </w:tcPr>
          <w:p>
            <w:pPr>
              <w:spacing w:after="0"/>
              <w:rPr>
                <w:sz w:val="21"/>
                <w:szCs w:val="21"/>
                <w:color w:val="auto"/>
              </w:rPr>
            </w:pPr>
          </w:p>
        </w:tc>
        <w:tc>
          <w:tcPr>
            <w:tcW w:w="1700" w:type="dxa"/>
            <w:vAlign w:val="bottom"/>
            <w:shd w:val="clear" w:color="auto" w:fill="E9E9E9"/>
          </w:tcPr>
          <w:p>
            <w:pPr>
              <w:ind w:left="620"/>
              <w:spacing w:after="0"/>
              <w:rPr>
                <w:sz w:val="20"/>
                <w:szCs w:val="20"/>
                <w:color w:val="auto"/>
              </w:rPr>
            </w:pPr>
            <w:r>
              <w:rPr>
                <w:rFonts w:ascii="Arial" w:cs="Arial" w:eastAsia="Arial" w:hAnsi="Arial"/>
                <w:sz w:val="17"/>
                <w:szCs w:val="17"/>
                <w:color w:val="auto"/>
              </w:rPr>
              <w:t>1/26/2012 (1)</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7"/>
              </w:rPr>
              <w:t>1/19/2012</w:t>
            </w:r>
          </w:p>
        </w:tc>
        <w:tc>
          <w:tcPr>
            <w:tcW w:w="700" w:type="dxa"/>
            <w:vAlign w:val="bottom"/>
            <w:shd w:val="clear" w:color="auto" w:fill="E9E9E9"/>
          </w:tcPr>
          <w:p>
            <w:pPr>
              <w:spacing w:after="0"/>
              <w:rPr>
                <w:sz w:val="21"/>
                <w:szCs w:val="21"/>
                <w:color w:val="auto"/>
              </w:rPr>
            </w:pPr>
          </w:p>
        </w:tc>
        <w:tc>
          <w:tcPr>
            <w:tcW w:w="560" w:type="dxa"/>
            <w:vAlign w:val="bottom"/>
            <w:shd w:val="clear" w:color="auto" w:fill="E9E9E9"/>
          </w:tcPr>
          <w:p>
            <w:pPr>
              <w:spacing w:after="0"/>
              <w:rPr>
                <w:sz w:val="21"/>
                <w:szCs w:val="21"/>
                <w:color w:val="auto"/>
              </w:rPr>
            </w:pPr>
          </w:p>
        </w:tc>
        <w:tc>
          <w:tcPr>
            <w:tcW w:w="68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700" w:type="dxa"/>
            <w:vAlign w:val="bottom"/>
            <w:shd w:val="clear" w:color="auto" w:fill="E9E9E9"/>
          </w:tcPr>
          <w:p>
            <w:pPr>
              <w:spacing w:after="0"/>
              <w:rPr>
                <w:sz w:val="21"/>
                <w:szCs w:val="21"/>
                <w:color w:val="auto"/>
              </w:rPr>
            </w:pPr>
          </w:p>
        </w:tc>
        <w:tc>
          <w:tcPr>
            <w:tcW w:w="740" w:type="dxa"/>
            <w:vAlign w:val="bottom"/>
            <w:shd w:val="clear" w:color="auto" w:fill="E9E9E9"/>
          </w:tcPr>
          <w:p>
            <w:pPr>
              <w:spacing w:after="0"/>
              <w:rPr>
                <w:sz w:val="21"/>
                <w:szCs w:val="21"/>
                <w:color w:val="auto"/>
              </w:rPr>
            </w:pPr>
          </w:p>
        </w:tc>
        <w:tc>
          <w:tcPr>
            <w:tcW w:w="500" w:type="dxa"/>
            <w:vAlign w:val="bottom"/>
            <w:shd w:val="clear" w:color="auto" w:fill="E9E9E9"/>
          </w:tcPr>
          <w:p>
            <w:pPr>
              <w:spacing w:after="0"/>
              <w:rPr>
                <w:sz w:val="21"/>
                <w:szCs w:val="21"/>
                <w:color w:val="auto"/>
              </w:rPr>
            </w:pPr>
          </w:p>
        </w:tc>
        <w:tc>
          <w:tcPr>
            <w:tcW w:w="880" w:type="dxa"/>
            <w:vAlign w:val="bottom"/>
            <w:shd w:val="clear" w:color="auto" w:fill="E9E9E9"/>
          </w:tcPr>
          <w:p>
            <w:pPr>
              <w:jc w:val="right"/>
              <w:ind w:right="6"/>
              <w:spacing w:after="0"/>
              <w:rPr>
                <w:sz w:val="20"/>
                <w:szCs w:val="20"/>
                <w:color w:val="auto"/>
              </w:rPr>
            </w:pPr>
            <w:r>
              <w:rPr>
                <w:rFonts w:ascii="Arial" w:cs="Arial" w:eastAsia="Arial" w:hAnsi="Arial"/>
                <w:sz w:val="17"/>
                <w:szCs w:val="17"/>
                <w:color w:val="auto"/>
              </w:rPr>
              <w:t>58,334</w:t>
            </w:r>
          </w:p>
        </w:tc>
        <w:tc>
          <w:tcPr>
            <w:tcW w:w="88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980" w:type="dxa"/>
            <w:vAlign w:val="bottom"/>
            <w:shd w:val="clear" w:color="auto" w:fill="E9E9E9"/>
          </w:tcPr>
          <w:p>
            <w:pPr>
              <w:jc w:val="center"/>
              <w:ind w:left="62"/>
              <w:spacing w:after="0"/>
              <w:rPr>
                <w:sz w:val="20"/>
                <w:szCs w:val="20"/>
                <w:color w:val="auto"/>
              </w:rPr>
            </w:pPr>
            <w:r>
              <w:rPr>
                <w:rFonts w:ascii="Arial" w:cs="Arial" w:eastAsia="Arial" w:hAnsi="Arial"/>
                <w:sz w:val="17"/>
                <w:szCs w:val="17"/>
                <w:color w:val="auto"/>
                <w:w w:val="98"/>
              </w:rPr>
              <w:t>$1,887,688</w:t>
            </w:r>
          </w:p>
        </w:tc>
      </w:tr>
    </w:tbl>
    <w:p>
      <w:pPr>
        <w:spacing w:after="0" w:line="236" w:lineRule="exact"/>
        <w:rPr>
          <w:sz w:val="20"/>
          <w:szCs w:val="20"/>
          <w:color w:val="auto"/>
        </w:rPr>
      </w:pPr>
    </w:p>
    <w:p>
      <w:pPr>
        <w:ind w:left="460" w:right="40" w:hanging="457"/>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TI did not use formulas or pre-set thresholds or multiples to determine incentive awards. Under the terms of the Executive Officer Performance Plan, each named executive officer is eligible to receive a cash bonus equal to 0.5 percent of the company’s consolidated income (as defined in the plan). However, the Compensation Committee has the discretion to set bonuses at a lower level if it decides it is appropriate to do so. The committee decided to do so for 2012.</w:t>
      </w:r>
    </w:p>
    <w:p>
      <w:pPr>
        <w:spacing w:after="0" w:line="226" w:lineRule="exact"/>
        <w:rPr>
          <w:sz w:val="20"/>
          <w:szCs w:val="20"/>
          <w:color w:val="auto"/>
        </w:rPr>
      </w:pPr>
    </w:p>
    <w:p>
      <w:pPr>
        <w:ind w:left="460" w:right="160" w:hanging="457"/>
        <w:spacing w:after="0" w:line="241"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accordance with the grant policy of the Compensation Committee of the board (described on page 77), the grants became effective on the third trading day after the company released its financial results for the fourth quarter and year 2011. The company released these results on January 23, 2012.</w:t>
      </w:r>
    </w:p>
    <w:p>
      <w:pPr>
        <w:spacing w:after="0" w:line="225" w:lineRule="exact"/>
        <w:rPr>
          <w:rFonts w:ascii="Arial" w:cs="Arial" w:eastAsia="Arial" w:hAnsi="Arial"/>
          <w:sz w:val="17"/>
          <w:szCs w:val="17"/>
          <w:color w:val="auto"/>
        </w:rPr>
      </w:pPr>
    </w:p>
    <w:p>
      <w:pPr>
        <w:ind w:left="460" w:right="140" w:hanging="457"/>
        <w:spacing w:after="0" w:line="245"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stock awards granted to the named executive officers in 2012 were RSU awards. These awards were made under the company’s 2009 Long-Term Incentive Plan. For information on the terms and conditions of these RSU awards, please see the discussion on page 85.</w:t>
      </w:r>
    </w:p>
    <w:p>
      <w:pPr>
        <w:spacing w:after="0" w:line="221" w:lineRule="exact"/>
        <w:rPr>
          <w:rFonts w:ascii="Arial" w:cs="Arial" w:eastAsia="Arial" w:hAnsi="Arial"/>
          <w:sz w:val="17"/>
          <w:szCs w:val="17"/>
          <w:color w:val="auto"/>
        </w:rPr>
      </w:pPr>
    </w:p>
    <w:p>
      <w:pPr>
        <w:ind w:left="460" w:right="480" w:hanging="457"/>
        <w:spacing w:after="0" w:line="245"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options were granted under the company’s 2009 Long-Term Incentive Plan. For information on the terms and conditions of these options, please see the discussion on page 85.</w:t>
      </w:r>
    </w:p>
    <w:p>
      <w:pPr>
        <w:spacing w:after="0" w:line="221" w:lineRule="exact"/>
        <w:rPr>
          <w:rFonts w:ascii="Arial" w:cs="Arial" w:eastAsia="Arial" w:hAnsi="Arial"/>
          <w:sz w:val="17"/>
          <w:szCs w:val="17"/>
          <w:color w:val="auto"/>
        </w:rPr>
      </w:pPr>
    </w:p>
    <w:p>
      <w:pPr>
        <w:ind w:left="460" w:hanging="457"/>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exercise price of the options is the closing price of TI common stock on January 26, 2012.</w:t>
      </w:r>
    </w:p>
    <w:p>
      <w:pPr>
        <w:spacing w:after="0" w:line="230" w:lineRule="exact"/>
        <w:rPr>
          <w:rFonts w:ascii="Arial" w:cs="Arial" w:eastAsia="Arial" w:hAnsi="Arial"/>
          <w:sz w:val="17"/>
          <w:szCs w:val="17"/>
          <w:color w:val="auto"/>
        </w:rPr>
      </w:pPr>
    </w:p>
    <w:p>
      <w:pPr>
        <w:ind w:left="460" w:hanging="457"/>
        <w:spacing w:after="0" w:line="241"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Shown is the aggregate grant date fair value computed in accordance with ASC 718 for stock and option awards in 2012. The discussion of the assumptions used for purposes of the valuation appears in note 5 of Exhibit 13 to TI’s annual report on Form 10-K for the year ended December 31, 2012.</w:t>
      </w:r>
    </w:p>
    <w:p>
      <w:pPr>
        <w:spacing w:after="0" w:line="225" w:lineRule="exact"/>
        <w:rPr>
          <w:rFonts w:ascii="Arial" w:cs="Arial" w:eastAsia="Arial" w:hAnsi="Arial"/>
          <w:sz w:val="17"/>
          <w:szCs w:val="17"/>
          <w:color w:val="auto"/>
        </w:rPr>
      </w:pPr>
    </w:p>
    <w:p>
      <w:pPr>
        <w:ind w:left="460" w:right="1680"/>
        <w:spacing w:after="0" w:line="568" w:lineRule="auto"/>
        <w:rPr>
          <w:rFonts w:ascii="Arial" w:cs="Arial" w:eastAsia="Arial" w:hAnsi="Arial"/>
          <w:sz w:val="17"/>
          <w:szCs w:val="17"/>
          <w:color w:val="auto"/>
        </w:rPr>
      </w:pPr>
      <w:r>
        <w:rPr>
          <w:rFonts w:ascii="Arial" w:cs="Arial" w:eastAsia="Arial" w:hAnsi="Arial"/>
          <w:sz w:val="16"/>
          <w:szCs w:val="16"/>
          <w:color w:val="auto"/>
        </w:rPr>
        <w:t>None of the options or other equity awards granted to the named executive officers was repriced or modified by the company. For additional information regarding TI’s equity compensation grant practices, please see pages 70, 72-73, 77 and 85.</w:t>
      </w:r>
    </w:p>
    <w:p>
      <w:pPr>
        <w:spacing w:after="0" w:line="1" w:lineRule="exact"/>
        <w:rPr>
          <w:sz w:val="20"/>
          <w:szCs w:val="20"/>
          <w:color w:val="auto"/>
        </w:rPr>
      </w:pPr>
    </w:p>
    <w:p>
      <w:pPr>
        <w:spacing w:after="0"/>
        <w:tabs>
          <w:tab w:leader="none" w:pos="10000" w:val="left"/>
        </w:tabs>
        <w:rPr>
          <w:sz w:val="20"/>
          <w:szCs w:val="20"/>
          <w:color w:val="auto"/>
        </w:rPr>
      </w:pPr>
      <w:r>
        <w:rPr>
          <w:rFonts w:ascii="Arial" w:cs="Arial" w:eastAsia="Arial" w:hAnsi="Arial"/>
          <w:sz w:val="13"/>
          <w:szCs w:val="13"/>
          <w:b w:val="1"/>
          <w:bCs w:val="1"/>
          <w:color w:val="808285"/>
        </w:rPr>
        <w:t>82 •  2013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Outstanding equity awards at fiscal year-end 2012</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outstanding equity awards for each of the named executive officers as of December 31, 2012.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b w:val="1"/>
                <w:bCs w:val="1"/>
                <w:color w:val="auto"/>
              </w:rPr>
              <w:t>Option Awards</w:t>
            </w: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40" w:type="dxa"/>
            <w:vAlign w:val="bottom"/>
            <w:gridSpan w:val="2"/>
          </w:tcPr>
          <w:p>
            <w:pPr>
              <w:ind w:left="420"/>
              <w:spacing w:after="0"/>
              <w:rPr>
                <w:sz w:val="20"/>
                <w:szCs w:val="20"/>
                <w:color w:val="auto"/>
              </w:rPr>
            </w:pPr>
            <w:r>
              <w:rPr>
                <w:rFonts w:ascii="Arial" w:cs="Arial" w:eastAsia="Arial" w:hAnsi="Arial"/>
                <w:sz w:val="13"/>
                <w:szCs w:val="13"/>
                <w:b w:val="1"/>
                <w:bCs w:val="1"/>
                <w:color w:val="auto"/>
              </w:rPr>
              <w:t>Stock Awards</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40"/>
        </w:trPr>
        <w:tc>
          <w:tcPr>
            <w:tcW w:w="3360" w:type="dxa"/>
            <w:vAlign w:val="bottom"/>
          </w:tcPr>
          <w:p>
            <w:pPr>
              <w:spacing w:after="0"/>
              <w:rPr>
                <w:sz w:val="3"/>
                <w:szCs w:val="3"/>
                <w:color w:val="auto"/>
              </w:rPr>
            </w:pPr>
          </w:p>
        </w:tc>
        <w:tc>
          <w:tcPr>
            <w:tcW w:w="860" w:type="dxa"/>
            <w:vAlign w:val="bottom"/>
            <w:tcBorders>
              <w:bottom w:val="single" w:sz="8" w:color="808285"/>
            </w:tcBorders>
          </w:tcPr>
          <w:p>
            <w:pPr>
              <w:spacing w:after="0"/>
              <w:rPr>
                <w:sz w:val="3"/>
                <w:szCs w:val="3"/>
                <w:color w:val="auto"/>
              </w:rPr>
            </w:pPr>
          </w:p>
        </w:tc>
        <w:tc>
          <w:tcPr>
            <w:tcW w:w="720" w:type="dxa"/>
            <w:vAlign w:val="bottom"/>
            <w:tcBorders>
              <w:bottom w:val="single" w:sz="8" w:color="808285"/>
            </w:tcBorders>
          </w:tcPr>
          <w:p>
            <w:pPr>
              <w:spacing w:after="0"/>
              <w:rPr>
                <w:sz w:val="3"/>
                <w:szCs w:val="3"/>
                <w:color w:val="auto"/>
              </w:rPr>
            </w:pPr>
          </w:p>
        </w:tc>
        <w:tc>
          <w:tcPr>
            <w:tcW w:w="270" w:type="dxa"/>
            <w:vAlign w:val="bottom"/>
            <w:tcBorders>
              <w:bottom w:val="single" w:sz="8" w:color="808285"/>
            </w:tcBorders>
          </w:tcPr>
          <w:p>
            <w:pPr>
              <w:spacing w:after="0"/>
              <w:rPr>
                <w:sz w:val="3"/>
                <w:szCs w:val="3"/>
                <w:color w:val="auto"/>
              </w:rPr>
            </w:pPr>
          </w:p>
        </w:tc>
        <w:tc>
          <w:tcPr>
            <w:tcW w:w="810" w:type="dxa"/>
            <w:vAlign w:val="bottom"/>
            <w:tcBorders>
              <w:bottom w:val="single" w:sz="8" w:color="808285"/>
            </w:tcBorders>
          </w:tcPr>
          <w:p>
            <w:pPr>
              <w:spacing w:after="0"/>
              <w:rPr>
                <w:sz w:val="3"/>
                <w:szCs w:val="3"/>
                <w:color w:val="auto"/>
              </w:rPr>
            </w:pPr>
          </w:p>
        </w:tc>
        <w:tc>
          <w:tcPr>
            <w:tcW w:w="760" w:type="dxa"/>
            <w:vAlign w:val="bottom"/>
            <w:tcBorders>
              <w:bottom w:val="single" w:sz="8" w:color="808285"/>
            </w:tcBorders>
          </w:tcPr>
          <w:p>
            <w:pPr>
              <w:spacing w:after="0"/>
              <w:rPr>
                <w:sz w:val="3"/>
                <w:szCs w:val="3"/>
                <w:color w:val="auto"/>
              </w:rPr>
            </w:pPr>
          </w:p>
        </w:tc>
        <w:tc>
          <w:tcPr>
            <w:tcW w:w="840" w:type="dxa"/>
            <w:vAlign w:val="bottom"/>
            <w:tcBorders>
              <w:bottom w:val="single" w:sz="8" w:color="808285"/>
            </w:tcBorders>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808285"/>
            </w:tcBorders>
          </w:tcPr>
          <w:p>
            <w:pPr>
              <w:spacing w:after="0"/>
              <w:rPr>
                <w:sz w:val="3"/>
                <w:szCs w:val="3"/>
                <w:color w:val="auto"/>
              </w:rPr>
            </w:pPr>
          </w:p>
        </w:tc>
        <w:tc>
          <w:tcPr>
            <w:tcW w:w="400" w:type="dxa"/>
            <w:vAlign w:val="bottom"/>
            <w:tcBorders>
              <w:bottom w:val="single" w:sz="8" w:color="808285"/>
            </w:tcBorders>
          </w:tcPr>
          <w:p>
            <w:pPr>
              <w:spacing w:after="0"/>
              <w:rPr>
                <w:sz w:val="3"/>
                <w:szCs w:val="3"/>
                <w:color w:val="auto"/>
              </w:rPr>
            </w:pPr>
          </w:p>
        </w:tc>
        <w:tc>
          <w:tcPr>
            <w:tcW w:w="1020" w:type="dxa"/>
            <w:vAlign w:val="bottom"/>
            <w:tcBorders>
              <w:bottom w:val="single" w:sz="8" w:color="808285"/>
            </w:tcBorders>
          </w:tcPr>
          <w:p>
            <w:pPr>
              <w:spacing w:after="0"/>
              <w:rPr>
                <w:sz w:val="3"/>
                <w:szCs w:val="3"/>
                <w:color w:val="auto"/>
              </w:rPr>
            </w:pPr>
          </w:p>
        </w:tc>
        <w:tc>
          <w:tcPr>
            <w:tcW w:w="820" w:type="dxa"/>
            <w:vAlign w:val="bottom"/>
            <w:tcBorders>
              <w:bottom w:val="single" w:sz="8" w:color="808285"/>
            </w:tcBorders>
          </w:tcPr>
          <w:p>
            <w:pPr>
              <w:spacing w:after="0"/>
              <w:rPr>
                <w:sz w:val="3"/>
                <w:szCs w:val="3"/>
                <w:color w:val="auto"/>
              </w:rPr>
            </w:pPr>
          </w:p>
        </w:tc>
        <w:tc>
          <w:tcPr>
            <w:tcW w:w="860" w:type="dxa"/>
            <w:vAlign w:val="bottom"/>
            <w:tcBorders>
              <w:bottom w:val="single" w:sz="8" w:color="808285"/>
            </w:tcBorders>
          </w:tcPr>
          <w:p>
            <w:pPr>
              <w:spacing w:after="0"/>
              <w:rPr>
                <w:sz w:val="3"/>
                <w:szCs w:val="3"/>
                <w:color w:val="auto"/>
              </w:rPr>
            </w:pPr>
          </w:p>
        </w:tc>
        <w:tc>
          <w:tcPr>
            <w:tcW w:w="40" w:type="dxa"/>
            <w:vAlign w:val="bottom"/>
          </w:tcPr>
          <w:p>
            <w:pPr>
              <w:spacing w:after="0"/>
              <w:rPr>
                <w:sz w:val="3"/>
                <w:szCs w:val="3"/>
                <w:color w:val="auto"/>
              </w:rPr>
            </w:pPr>
          </w:p>
        </w:tc>
      </w:tr>
      <w:tr>
        <w:trPr>
          <w:trHeight w:val="186"/>
        </w:trPr>
        <w:tc>
          <w:tcPr>
            <w:tcW w:w="3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70" w:type="dxa"/>
            <w:vAlign w:val="bottom"/>
          </w:tcPr>
          <w:p>
            <w:pPr>
              <w:spacing w:after="0"/>
              <w:rPr>
                <w:sz w:val="16"/>
                <w:szCs w:val="16"/>
                <w:color w:val="auto"/>
              </w:rPr>
            </w:pPr>
          </w:p>
        </w:tc>
        <w:tc>
          <w:tcPr>
            <w:tcW w:w="81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3"/>
        </w:trPr>
        <w:tc>
          <w:tcPr>
            <w:tcW w:w="3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70" w:type="dxa"/>
            <w:vAlign w:val="bottom"/>
          </w:tcPr>
          <w:p>
            <w:pPr>
              <w:spacing w:after="0"/>
              <w:rPr>
                <w:sz w:val="20"/>
                <w:szCs w:val="20"/>
                <w:color w:val="auto"/>
              </w:rPr>
            </w:pPr>
          </w:p>
        </w:tc>
        <w:tc>
          <w:tcPr>
            <w:tcW w:w="81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9"/>
              </w:rPr>
              <w:t>Incentive</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Equity</w:t>
            </w:r>
          </w:p>
        </w:tc>
      </w:tr>
      <w:tr>
        <w:trPr>
          <w:trHeight w:val="233"/>
        </w:trPr>
        <w:tc>
          <w:tcPr>
            <w:tcW w:w="3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70" w:type="dxa"/>
            <w:vAlign w:val="bottom"/>
          </w:tcPr>
          <w:p>
            <w:pPr>
              <w:spacing w:after="0"/>
              <w:rPr>
                <w:sz w:val="20"/>
                <w:szCs w:val="20"/>
                <w:color w:val="auto"/>
              </w:rPr>
            </w:pPr>
          </w:p>
        </w:tc>
        <w:tc>
          <w:tcPr>
            <w:tcW w:w="81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Plan</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Incentive</w:t>
            </w:r>
          </w:p>
        </w:tc>
      </w:tr>
      <w:tr>
        <w:trPr>
          <w:trHeight w:val="233"/>
        </w:trPr>
        <w:tc>
          <w:tcPr>
            <w:tcW w:w="3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70" w:type="dxa"/>
            <w:vAlign w:val="bottom"/>
          </w:tcPr>
          <w:p>
            <w:pPr>
              <w:spacing w:after="0"/>
              <w:rPr>
                <w:sz w:val="20"/>
                <w:szCs w:val="20"/>
                <w:color w:val="auto"/>
              </w:rPr>
            </w:pPr>
          </w:p>
        </w:tc>
        <w:tc>
          <w:tcPr>
            <w:tcW w:w="810" w:type="dxa"/>
            <w:vAlign w:val="bottom"/>
          </w:tcPr>
          <w:p>
            <w:pPr>
              <w:jc w:val="center"/>
              <w:spacing w:after="0"/>
              <w:rPr>
                <w:sz w:val="20"/>
                <w:szCs w:val="20"/>
                <w:color w:val="auto"/>
              </w:rPr>
            </w:pPr>
            <w:r>
              <w:rPr>
                <w:rFonts w:ascii="Arial" w:cs="Arial" w:eastAsia="Arial" w:hAnsi="Arial"/>
                <w:sz w:val="13"/>
                <w:szCs w:val="13"/>
                <w:b w:val="1"/>
                <w:bCs w:val="1"/>
                <w:color w:val="auto"/>
                <w:w w:val="99"/>
              </w:rPr>
              <w:t>Incentive</w:t>
            </w: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Plan Awards:</w:t>
            </w:r>
          </w:p>
        </w:tc>
      </w:tr>
      <w:tr>
        <w:trPr>
          <w:trHeight w:val="233"/>
        </w:trPr>
        <w:tc>
          <w:tcPr>
            <w:tcW w:w="3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70" w:type="dxa"/>
            <w:vAlign w:val="bottom"/>
          </w:tcPr>
          <w:p>
            <w:pPr>
              <w:spacing w:after="0"/>
              <w:rPr>
                <w:sz w:val="20"/>
                <w:szCs w:val="20"/>
                <w:color w:val="auto"/>
              </w:rPr>
            </w:pPr>
          </w:p>
        </w:tc>
        <w:tc>
          <w:tcPr>
            <w:tcW w:w="810" w:type="dxa"/>
            <w:vAlign w:val="bottom"/>
          </w:tcPr>
          <w:p>
            <w:pPr>
              <w:jc w:val="center"/>
              <w:spacing w:after="0"/>
              <w:rPr>
                <w:sz w:val="20"/>
                <w:szCs w:val="20"/>
                <w:color w:val="auto"/>
              </w:rPr>
            </w:pPr>
            <w:r>
              <w:rPr>
                <w:rFonts w:ascii="Arial" w:cs="Arial" w:eastAsia="Arial" w:hAnsi="Arial"/>
                <w:sz w:val="13"/>
                <w:szCs w:val="13"/>
                <w:b w:val="1"/>
                <w:bCs w:val="1"/>
                <w:color w:val="auto"/>
              </w:rPr>
              <w:t>Plan</w:t>
            </w: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Market or</w:t>
            </w:r>
          </w:p>
        </w:tc>
      </w:tr>
      <w:tr>
        <w:trPr>
          <w:trHeight w:val="233"/>
        </w:trPr>
        <w:tc>
          <w:tcPr>
            <w:tcW w:w="3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70" w:type="dxa"/>
            <w:vAlign w:val="bottom"/>
          </w:tcPr>
          <w:p>
            <w:pPr>
              <w:spacing w:after="0"/>
              <w:rPr>
                <w:sz w:val="20"/>
                <w:szCs w:val="20"/>
                <w:color w:val="auto"/>
              </w:rPr>
            </w:pPr>
          </w:p>
        </w:tc>
        <w:tc>
          <w:tcPr>
            <w:tcW w:w="81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9"/>
              </w:rPr>
              <w:t>Unearned</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rPr>
              <w:t>Payout Value</w:t>
            </w:r>
          </w:p>
        </w:tc>
      </w:tr>
      <w:tr>
        <w:trPr>
          <w:trHeight w:val="233"/>
        </w:trPr>
        <w:tc>
          <w:tcPr>
            <w:tcW w:w="33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99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810" w:type="dxa"/>
            <w:vAlign w:val="bottom"/>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7"/>
              </w:rPr>
              <w:t>Market Value</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7"/>
              </w:rPr>
              <w:t>Shares,</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of Unearned</w:t>
            </w:r>
          </w:p>
        </w:tc>
      </w:tr>
      <w:tr>
        <w:trPr>
          <w:trHeight w:val="233"/>
        </w:trPr>
        <w:tc>
          <w:tcPr>
            <w:tcW w:w="33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9"/>
              </w:rPr>
              <w:t>Securities</w:t>
            </w:r>
          </w:p>
        </w:tc>
        <w:tc>
          <w:tcPr>
            <w:tcW w:w="99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Securities</w:t>
            </w:r>
          </w:p>
        </w:tc>
        <w:tc>
          <w:tcPr>
            <w:tcW w:w="810" w:type="dxa"/>
            <w:vAlign w:val="bottom"/>
          </w:tcPr>
          <w:p>
            <w:pPr>
              <w:jc w:val="center"/>
              <w:spacing w:after="0"/>
              <w:rPr>
                <w:sz w:val="20"/>
                <w:szCs w:val="20"/>
                <w:color w:val="auto"/>
              </w:rPr>
            </w:pPr>
            <w:r>
              <w:rPr>
                <w:rFonts w:ascii="Arial" w:cs="Arial" w:eastAsia="Arial" w:hAnsi="Arial"/>
                <w:sz w:val="13"/>
                <w:szCs w:val="13"/>
                <w:b w:val="1"/>
                <w:bCs w:val="1"/>
                <w:color w:val="auto"/>
                <w:w w:val="99"/>
              </w:rPr>
              <w:t>Securities</w:t>
            </w: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rPr>
              <w:t>Number of</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7"/>
              </w:rPr>
              <w:t>of Shares or</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7"/>
              </w:rPr>
              <w:t>Units or</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Shares, Units</w:t>
            </w:r>
          </w:p>
        </w:tc>
      </w:tr>
      <w:tr>
        <w:trPr>
          <w:trHeight w:val="233"/>
        </w:trPr>
        <w:tc>
          <w:tcPr>
            <w:tcW w:w="33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990" w:type="dxa"/>
            <w:vAlign w:val="bottom"/>
            <w:gridSpan w:val="2"/>
          </w:tcPr>
          <w:p>
            <w:pPr>
              <w:jc w:val="center"/>
              <w:spacing w:after="0"/>
              <w:rPr>
                <w:sz w:val="20"/>
                <w:szCs w:val="20"/>
                <w:color w:val="auto"/>
              </w:rPr>
            </w:pPr>
            <w:r>
              <w:rPr>
                <w:rFonts w:ascii="Arial" w:cs="Arial" w:eastAsia="Arial" w:hAnsi="Arial"/>
                <w:sz w:val="13"/>
                <w:szCs w:val="13"/>
                <w:b w:val="1"/>
                <w:bCs w:val="1"/>
                <w:color w:val="auto"/>
              </w:rPr>
              <w:t>Underlying</w:t>
            </w:r>
          </w:p>
        </w:tc>
        <w:tc>
          <w:tcPr>
            <w:tcW w:w="810" w:type="dxa"/>
            <w:vAlign w:val="bottom"/>
          </w:tcPr>
          <w:p>
            <w:pPr>
              <w:jc w:val="center"/>
              <w:spacing w:after="0"/>
              <w:rPr>
                <w:sz w:val="20"/>
                <w:szCs w:val="20"/>
                <w:color w:val="auto"/>
              </w:rPr>
            </w:pPr>
            <w:r>
              <w:rPr>
                <w:rFonts w:ascii="Arial" w:cs="Arial" w:eastAsia="Arial" w:hAnsi="Arial"/>
                <w:sz w:val="13"/>
                <w:szCs w:val="13"/>
                <w:b w:val="1"/>
                <w:bCs w:val="1"/>
                <w:color w:val="auto"/>
              </w:rPr>
              <w:t>Underlying</w:t>
            </w: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Shares or</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8"/>
              </w:rPr>
              <w:t>Units of Stock</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7"/>
              </w:rPr>
              <w:t>Other</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or Other</w:t>
            </w:r>
          </w:p>
        </w:tc>
      </w:tr>
      <w:tr>
        <w:trPr>
          <w:trHeight w:val="233"/>
        </w:trPr>
        <w:tc>
          <w:tcPr>
            <w:tcW w:w="33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Unexercised</w:t>
            </w:r>
          </w:p>
        </w:tc>
        <w:tc>
          <w:tcPr>
            <w:tcW w:w="990" w:type="dxa"/>
            <w:vAlign w:val="bottom"/>
            <w:gridSpan w:val="2"/>
          </w:tcPr>
          <w:p>
            <w:pPr>
              <w:jc w:val="center"/>
              <w:spacing w:after="0"/>
              <w:rPr>
                <w:sz w:val="20"/>
                <w:szCs w:val="20"/>
                <w:color w:val="auto"/>
              </w:rPr>
            </w:pPr>
            <w:r>
              <w:rPr>
                <w:rFonts w:ascii="Arial" w:cs="Arial" w:eastAsia="Arial" w:hAnsi="Arial"/>
                <w:sz w:val="13"/>
                <w:szCs w:val="13"/>
                <w:b w:val="1"/>
                <w:bCs w:val="1"/>
                <w:color w:val="auto"/>
              </w:rPr>
              <w:t>Unexercised</w:t>
            </w:r>
          </w:p>
        </w:tc>
        <w:tc>
          <w:tcPr>
            <w:tcW w:w="810" w:type="dxa"/>
            <w:vAlign w:val="bottom"/>
          </w:tcPr>
          <w:p>
            <w:pPr>
              <w:jc w:val="center"/>
              <w:spacing w:after="0"/>
              <w:rPr>
                <w:sz w:val="20"/>
                <w:szCs w:val="20"/>
                <w:color w:val="auto"/>
              </w:rPr>
            </w:pPr>
            <w:r>
              <w:rPr>
                <w:rFonts w:ascii="Arial" w:cs="Arial" w:eastAsia="Arial" w:hAnsi="Arial"/>
                <w:sz w:val="13"/>
                <w:szCs w:val="13"/>
                <w:b w:val="1"/>
                <w:bCs w:val="1"/>
                <w:color w:val="auto"/>
                <w:w w:val="98"/>
              </w:rPr>
              <w:t>Unexercised</w:t>
            </w:r>
          </w:p>
        </w:tc>
        <w:tc>
          <w:tcPr>
            <w:tcW w:w="760" w:type="dxa"/>
            <w:vAlign w:val="bottom"/>
          </w:tcPr>
          <w:p>
            <w:pPr>
              <w:jc w:val="center"/>
              <w:ind w:left="18"/>
              <w:spacing w:after="0"/>
              <w:rPr>
                <w:sz w:val="20"/>
                <w:szCs w:val="20"/>
                <w:color w:val="auto"/>
              </w:rPr>
            </w:pPr>
            <w:r>
              <w:rPr>
                <w:rFonts w:ascii="Arial" w:cs="Arial" w:eastAsia="Arial" w:hAnsi="Arial"/>
                <w:sz w:val="13"/>
                <w:szCs w:val="13"/>
                <w:b w:val="1"/>
                <w:bCs w:val="1"/>
                <w:color w:val="auto"/>
              </w:rPr>
              <w:t>Option</w:t>
            </w: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Option</w:t>
            </w: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Units of Stock</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8"/>
              </w:rPr>
              <w:t>That Have Not</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Rights That</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Rights That</w:t>
            </w:r>
          </w:p>
        </w:tc>
      </w:tr>
      <w:tr>
        <w:trPr>
          <w:trHeight w:val="233"/>
        </w:trPr>
        <w:tc>
          <w:tcPr>
            <w:tcW w:w="33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Options (#)</w:t>
            </w:r>
          </w:p>
        </w:tc>
        <w:tc>
          <w:tcPr>
            <w:tcW w:w="99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Options (#)</w:t>
            </w:r>
          </w:p>
        </w:tc>
        <w:tc>
          <w:tcPr>
            <w:tcW w:w="810" w:type="dxa"/>
            <w:vAlign w:val="bottom"/>
          </w:tcPr>
          <w:p>
            <w:pPr>
              <w:jc w:val="center"/>
              <w:spacing w:after="0"/>
              <w:rPr>
                <w:sz w:val="20"/>
                <w:szCs w:val="20"/>
                <w:color w:val="auto"/>
              </w:rPr>
            </w:pPr>
            <w:r>
              <w:rPr>
                <w:rFonts w:ascii="Arial" w:cs="Arial" w:eastAsia="Arial" w:hAnsi="Arial"/>
                <w:sz w:val="13"/>
                <w:szCs w:val="13"/>
                <w:b w:val="1"/>
                <w:bCs w:val="1"/>
                <w:color w:val="auto"/>
                <w:w w:val="99"/>
              </w:rPr>
              <w:t>Unearned</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7"/>
              </w:rPr>
              <w:t>Exercise</w:t>
            </w: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rPr>
              <w:t>Expiration</w:t>
            </w: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That Have Not</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8"/>
              </w:rPr>
              <w:t>Vested</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9"/>
              </w:rPr>
              <w:t>Have Not</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Have Not</w:t>
            </w:r>
          </w:p>
        </w:tc>
      </w:tr>
      <w:tr>
        <w:trPr>
          <w:trHeight w:val="233"/>
        </w:trPr>
        <w:tc>
          <w:tcPr>
            <w:tcW w:w="33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6"/>
              </w:rPr>
              <w:t>Exercisable</w:t>
            </w:r>
          </w:p>
        </w:tc>
        <w:tc>
          <w:tcPr>
            <w:tcW w:w="99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Unexercisable</w:t>
            </w:r>
          </w:p>
        </w:tc>
        <w:tc>
          <w:tcPr>
            <w:tcW w:w="810" w:type="dxa"/>
            <w:vAlign w:val="bottom"/>
          </w:tcPr>
          <w:p>
            <w:pPr>
              <w:jc w:val="center"/>
              <w:spacing w:after="0"/>
              <w:rPr>
                <w:sz w:val="20"/>
                <w:szCs w:val="20"/>
                <w:color w:val="auto"/>
              </w:rPr>
            </w:pPr>
            <w:r>
              <w:rPr>
                <w:rFonts w:ascii="Arial" w:cs="Arial" w:eastAsia="Arial" w:hAnsi="Arial"/>
                <w:sz w:val="13"/>
                <w:szCs w:val="13"/>
                <w:b w:val="1"/>
                <w:bCs w:val="1"/>
                <w:color w:val="auto"/>
                <w:w w:val="99"/>
              </w:rPr>
              <w:t>Options (#)</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Price ($)</w:t>
            </w: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Date</w:t>
            </w: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Vested (#)</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4"/>
              </w:rPr>
              <w:t>($)(1)</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9"/>
              </w:rPr>
              <w:t>Vested (#)</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Vested ($)</w:t>
            </w:r>
          </w:p>
        </w:tc>
      </w:tr>
      <w:tr>
        <w:trPr>
          <w:trHeight w:val="45"/>
        </w:trPr>
        <w:tc>
          <w:tcPr>
            <w:tcW w:w="3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70" w:type="dxa"/>
            <w:vAlign w:val="bottom"/>
          </w:tcPr>
          <w:p>
            <w:pPr>
              <w:spacing w:after="0"/>
              <w:rPr>
                <w:sz w:val="3"/>
                <w:szCs w:val="3"/>
                <w:color w:val="auto"/>
              </w:rPr>
            </w:pPr>
          </w:p>
        </w:tc>
        <w:tc>
          <w:tcPr>
            <w:tcW w:w="81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00" w:type="dxa"/>
            <w:vAlign w:val="bottom"/>
            <w:gridSpan w:val="2"/>
          </w:tcPr>
          <w:p>
            <w:pPr>
              <w:spacing w:after="0"/>
              <w:rPr>
                <w:sz w:val="3"/>
                <w:szCs w:val="3"/>
                <w:color w:val="auto"/>
              </w:rPr>
            </w:pPr>
          </w:p>
        </w:tc>
      </w:tr>
      <w:tr>
        <w:trPr>
          <w:trHeight w:val="218"/>
        </w:trPr>
        <w:tc>
          <w:tcPr>
            <w:tcW w:w="3360" w:type="dxa"/>
            <w:vAlign w:val="bottom"/>
            <w:tcBorders>
              <w:top w:val="single" w:sz="8" w:color="808285"/>
            </w:tcBorders>
            <w:shd w:val="clear" w:color="auto" w:fill="E9E9E9"/>
          </w:tcPr>
          <w:p>
            <w:pPr>
              <w:spacing w:after="0"/>
              <w:rPr>
                <w:sz w:val="20"/>
                <w:szCs w:val="20"/>
                <w:color w:val="auto"/>
              </w:rPr>
            </w:pPr>
            <w:r>
              <w:rPr>
                <w:rFonts w:ascii="Arial" w:cs="Arial" w:eastAsia="Arial" w:hAnsi="Arial"/>
                <w:sz w:val="17"/>
                <w:szCs w:val="17"/>
                <w:color w:val="auto"/>
              </w:rPr>
              <w:t>R. K. Templeton</w:t>
            </w:r>
          </w:p>
        </w:tc>
        <w:tc>
          <w:tcPr>
            <w:tcW w:w="860" w:type="dxa"/>
            <w:vAlign w:val="bottom"/>
            <w:tcBorders>
              <w:top w:val="single" w:sz="8" w:color="808285"/>
            </w:tcBorders>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808285"/>
            </w:tcBorders>
            <w:shd w:val="clear" w:color="auto" w:fill="E9E9E9"/>
          </w:tcPr>
          <w:p>
            <w:pPr>
              <w:jc w:val="right"/>
              <w:spacing w:after="0"/>
              <w:rPr>
                <w:sz w:val="20"/>
                <w:szCs w:val="20"/>
                <w:color w:val="auto"/>
              </w:rPr>
            </w:pPr>
            <w:r>
              <w:rPr>
                <w:rFonts w:ascii="Arial" w:cs="Arial" w:eastAsia="Arial" w:hAnsi="Arial"/>
                <w:sz w:val="17"/>
                <w:szCs w:val="17"/>
                <w:color w:val="auto"/>
              </w:rPr>
              <w:t>475,000</w:t>
            </w:r>
          </w:p>
        </w:tc>
        <w:tc>
          <w:tcPr>
            <w:tcW w:w="270" w:type="dxa"/>
            <w:vAlign w:val="bottom"/>
            <w:tcBorders>
              <w:top w:val="single" w:sz="8" w:color="808285"/>
            </w:tcBorders>
            <w:shd w:val="clear" w:color="auto" w:fill="E9E9E9"/>
          </w:tcPr>
          <w:p>
            <w:pPr>
              <w:jc w:val="right"/>
              <w:spacing w:after="0"/>
              <w:rPr>
                <w:sz w:val="20"/>
                <w:szCs w:val="20"/>
                <w:color w:val="auto"/>
              </w:rPr>
            </w:pPr>
            <w:r>
              <w:rPr>
                <w:rFonts w:ascii="Arial" w:cs="Arial" w:eastAsia="Arial" w:hAnsi="Arial"/>
                <w:sz w:val="17"/>
                <w:szCs w:val="17"/>
                <w:color w:val="auto"/>
                <w:w w:val="96"/>
              </w:rPr>
              <w:t>(2)</w:t>
            </w:r>
          </w:p>
        </w:tc>
        <w:tc>
          <w:tcPr>
            <w:tcW w:w="810" w:type="dxa"/>
            <w:vAlign w:val="bottom"/>
            <w:tcBorders>
              <w:top w:val="single" w:sz="8" w:color="808285"/>
            </w:tcBorders>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tcBorders>
              <w:top w:val="single" w:sz="8" w:color="808285"/>
            </w:tcBorders>
            <w:shd w:val="clear" w:color="auto" w:fill="E9E9E9"/>
          </w:tcPr>
          <w:p>
            <w:pPr>
              <w:jc w:val="center"/>
              <w:spacing w:after="0"/>
              <w:rPr>
                <w:sz w:val="20"/>
                <w:szCs w:val="20"/>
                <w:color w:val="auto"/>
              </w:rPr>
            </w:pPr>
            <w:r>
              <w:rPr>
                <w:rFonts w:ascii="Arial" w:cs="Arial" w:eastAsia="Arial" w:hAnsi="Arial"/>
                <w:sz w:val="17"/>
                <w:szCs w:val="17"/>
                <w:color w:val="auto"/>
                <w:w w:val="99"/>
              </w:rPr>
              <w:t>$32.36</w:t>
            </w:r>
          </w:p>
        </w:tc>
        <w:tc>
          <w:tcPr>
            <w:tcW w:w="1540" w:type="dxa"/>
            <w:vAlign w:val="bottom"/>
            <w:tcBorders>
              <w:top w:val="single" w:sz="8" w:color="808285"/>
            </w:tcBorders>
            <w:gridSpan w:val="3"/>
            <w:shd w:val="clear" w:color="auto" w:fill="E9E9E9"/>
          </w:tcPr>
          <w:p>
            <w:pPr>
              <w:jc w:val="right"/>
              <w:spacing w:after="0"/>
              <w:rPr>
                <w:sz w:val="20"/>
                <w:szCs w:val="20"/>
                <w:color w:val="auto"/>
              </w:rPr>
            </w:pPr>
            <w:r>
              <w:rPr>
                <w:rFonts w:ascii="Arial" w:cs="Arial" w:eastAsia="Arial" w:hAnsi="Arial"/>
                <w:sz w:val="17"/>
                <w:szCs w:val="17"/>
                <w:color w:val="auto"/>
              </w:rPr>
              <w:t>1/26/2022 158,334</w:t>
            </w:r>
          </w:p>
        </w:tc>
        <w:tc>
          <w:tcPr>
            <w:tcW w:w="400" w:type="dxa"/>
            <w:vAlign w:val="bottom"/>
            <w:tcBorders>
              <w:top w:val="single" w:sz="8" w:color="808285"/>
            </w:tcBorders>
            <w:shd w:val="clear" w:color="auto" w:fill="E9E9E9"/>
          </w:tcPr>
          <w:p>
            <w:pPr>
              <w:ind w:left="20"/>
              <w:spacing w:after="0"/>
              <w:rPr>
                <w:sz w:val="20"/>
                <w:szCs w:val="20"/>
                <w:color w:val="auto"/>
              </w:rPr>
            </w:pPr>
            <w:r>
              <w:rPr>
                <w:rFonts w:ascii="Arial" w:cs="Arial" w:eastAsia="Arial" w:hAnsi="Arial"/>
                <w:sz w:val="17"/>
                <w:szCs w:val="17"/>
                <w:color w:val="auto"/>
              </w:rPr>
              <w:t>(6)</w:t>
            </w:r>
          </w:p>
        </w:tc>
        <w:tc>
          <w:tcPr>
            <w:tcW w:w="1020" w:type="dxa"/>
            <w:vAlign w:val="bottom"/>
            <w:tcBorders>
              <w:top w:val="single" w:sz="8" w:color="808285"/>
            </w:tcBorders>
            <w:shd w:val="clear" w:color="auto" w:fill="E9E9E9"/>
          </w:tcPr>
          <w:p>
            <w:pPr>
              <w:jc w:val="right"/>
              <w:spacing w:after="0"/>
              <w:rPr>
                <w:sz w:val="20"/>
                <w:szCs w:val="20"/>
                <w:color w:val="auto"/>
              </w:rPr>
            </w:pPr>
            <w:r>
              <w:rPr>
                <w:rFonts w:ascii="Arial" w:cs="Arial" w:eastAsia="Arial" w:hAnsi="Arial"/>
                <w:sz w:val="17"/>
                <w:szCs w:val="17"/>
                <w:color w:val="auto"/>
              </w:rPr>
              <w:t>$4,890,937</w:t>
            </w:r>
          </w:p>
        </w:tc>
        <w:tc>
          <w:tcPr>
            <w:tcW w:w="820" w:type="dxa"/>
            <w:vAlign w:val="bottom"/>
            <w:tcBorders>
              <w:top w:val="single" w:sz="8" w:color="808285"/>
            </w:tcBorders>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60" w:type="dxa"/>
            <w:vAlign w:val="bottom"/>
            <w:tcBorders>
              <w:top w:val="single" w:sz="8" w:color="808285"/>
            </w:tcBorders>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33"/>
        </w:trPr>
        <w:tc>
          <w:tcPr>
            <w:tcW w:w="3360" w:type="dxa"/>
            <w:vAlign w:val="bottom"/>
            <w:shd w:val="clear" w:color="auto" w:fill="E9E9E9"/>
          </w:tcPr>
          <w:p>
            <w:pPr>
              <w:spacing w:after="0"/>
              <w:rPr>
                <w:sz w:val="20"/>
                <w:szCs w:val="20"/>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112,500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337,500</w:t>
            </w:r>
          </w:p>
        </w:tc>
        <w:tc>
          <w:tcPr>
            <w:tcW w:w="27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(3)</w:t>
            </w:r>
          </w:p>
        </w:tc>
        <w:tc>
          <w:tcPr>
            <w:tcW w:w="81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$34.63</w:t>
            </w:r>
          </w:p>
        </w:tc>
        <w:tc>
          <w:tcPr>
            <w:tcW w:w="1540" w:type="dxa"/>
            <w:vAlign w:val="bottom"/>
            <w:gridSpan w:val="3"/>
            <w:shd w:val="clear" w:color="auto" w:fill="E9E9E9"/>
          </w:tcPr>
          <w:p>
            <w:pPr>
              <w:jc w:val="right"/>
              <w:spacing w:after="0"/>
              <w:rPr>
                <w:sz w:val="20"/>
                <w:szCs w:val="20"/>
                <w:color w:val="auto"/>
              </w:rPr>
            </w:pPr>
            <w:r>
              <w:rPr>
                <w:rFonts w:ascii="Arial" w:cs="Arial" w:eastAsia="Arial" w:hAnsi="Arial"/>
                <w:sz w:val="17"/>
                <w:szCs w:val="17"/>
                <w:color w:val="auto"/>
              </w:rPr>
              <w:t>1/27/2021 150,000</w:t>
            </w:r>
          </w:p>
        </w:tc>
        <w:tc>
          <w:tcPr>
            <w:tcW w:w="400" w:type="dxa"/>
            <w:vAlign w:val="bottom"/>
            <w:shd w:val="clear" w:color="auto" w:fill="E9E9E9"/>
          </w:tcPr>
          <w:p>
            <w:pPr>
              <w:ind w:left="20"/>
              <w:spacing w:after="0"/>
              <w:rPr>
                <w:sz w:val="20"/>
                <w:szCs w:val="20"/>
                <w:color w:val="auto"/>
              </w:rPr>
            </w:pPr>
            <w:r>
              <w:rPr>
                <w:rFonts w:ascii="Arial" w:cs="Arial" w:eastAsia="Arial" w:hAnsi="Arial"/>
                <w:sz w:val="17"/>
                <w:szCs w:val="17"/>
                <w:color w:val="auto"/>
              </w:rPr>
              <w:t>(7)</w:t>
            </w:r>
          </w:p>
        </w:tc>
        <w:tc>
          <w:tcPr>
            <w:tcW w:w="10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$4,633,500</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3360" w:type="dxa"/>
            <w:vAlign w:val="bottom"/>
            <w:shd w:val="clear" w:color="auto" w:fill="E9E9E9"/>
          </w:tcPr>
          <w:p>
            <w:pPr>
              <w:spacing w:after="0"/>
              <w:rPr>
                <w:sz w:val="20"/>
                <w:szCs w:val="20"/>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270,000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270,000</w:t>
            </w:r>
          </w:p>
        </w:tc>
        <w:tc>
          <w:tcPr>
            <w:tcW w:w="27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(4)</w:t>
            </w:r>
          </w:p>
        </w:tc>
        <w:tc>
          <w:tcPr>
            <w:tcW w:w="81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$23.05</w:t>
            </w:r>
          </w:p>
        </w:tc>
        <w:tc>
          <w:tcPr>
            <w:tcW w:w="1540" w:type="dxa"/>
            <w:vAlign w:val="bottom"/>
            <w:gridSpan w:val="3"/>
            <w:shd w:val="clear" w:color="auto" w:fill="E9E9E9"/>
          </w:tcPr>
          <w:p>
            <w:pPr>
              <w:jc w:val="right"/>
              <w:spacing w:after="0"/>
              <w:rPr>
                <w:sz w:val="20"/>
                <w:szCs w:val="20"/>
                <w:color w:val="auto"/>
              </w:rPr>
            </w:pPr>
            <w:r>
              <w:rPr>
                <w:rFonts w:ascii="Arial" w:cs="Arial" w:eastAsia="Arial" w:hAnsi="Arial"/>
                <w:sz w:val="17"/>
                <w:szCs w:val="17"/>
                <w:color w:val="auto"/>
              </w:rPr>
              <w:t>1/28/2020 180,000</w:t>
            </w:r>
          </w:p>
        </w:tc>
        <w:tc>
          <w:tcPr>
            <w:tcW w:w="400" w:type="dxa"/>
            <w:vAlign w:val="bottom"/>
            <w:shd w:val="clear" w:color="auto" w:fill="E9E9E9"/>
          </w:tcPr>
          <w:p>
            <w:pPr>
              <w:ind w:left="20"/>
              <w:spacing w:after="0"/>
              <w:rPr>
                <w:sz w:val="20"/>
                <w:szCs w:val="20"/>
                <w:color w:val="auto"/>
              </w:rPr>
            </w:pPr>
            <w:r>
              <w:rPr>
                <w:rFonts w:ascii="Arial" w:cs="Arial" w:eastAsia="Arial" w:hAnsi="Arial"/>
                <w:sz w:val="17"/>
                <w:szCs w:val="17"/>
                <w:color w:val="auto"/>
              </w:rPr>
              <w:t>(8)</w:t>
            </w:r>
          </w:p>
        </w:tc>
        <w:tc>
          <w:tcPr>
            <w:tcW w:w="10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$5,560,200</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3360" w:type="dxa"/>
            <w:vAlign w:val="bottom"/>
            <w:shd w:val="clear" w:color="auto" w:fill="E9E9E9"/>
          </w:tcPr>
          <w:p>
            <w:pPr>
              <w:spacing w:after="0"/>
              <w:rPr>
                <w:sz w:val="20"/>
                <w:szCs w:val="20"/>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498,345</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166,116</w:t>
            </w:r>
          </w:p>
        </w:tc>
        <w:tc>
          <w:tcPr>
            <w:tcW w:w="27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(5)</w:t>
            </w:r>
          </w:p>
        </w:tc>
        <w:tc>
          <w:tcPr>
            <w:tcW w:w="81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$14.95</w:t>
            </w:r>
          </w:p>
        </w:tc>
        <w:tc>
          <w:tcPr>
            <w:tcW w:w="1540" w:type="dxa"/>
            <w:vAlign w:val="bottom"/>
            <w:gridSpan w:val="3"/>
            <w:shd w:val="clear" w:color="auto" w:fill="E9E9E9"/>
          </w:tcPr>
          <w:p>
            <w:pPr>
              <w:jc w:val="right"/>
              <w:spacing w:after="0"/>
              <w:rPr>
                <w:sz w:val="20"/>
                <w:szCs w:val="20"/>
                <w:color w:val="auto"/>
              </w:rPr>
            </w:pPr>
            <w:r>
              <w:rPr>
                <w:rFonts w:ascii="Arial" w:cs="Arial" w:eastAsia="Arial" w:hAnsi="Arial"/>
                <w:sz w:val="17"/>
                <w:szCs w:val="17"/>
                <w:color w:val="auto"/>
              </w:rPr>
              <w:t>1/29/2019 221,487</w:t>
            </w:r>
          </w:p>
        </w:tc>
        <w:tc>
          <w:tcPr>
            <w:tcW w:w="400" w:type="dxa"/>
            <w:vAlign w:val="bottom"/>
            <w:shd w:val="clear" w:color="auto" w:fill="E9E9E9"/>
          </w:tcPr>
          <w:p>
            <w:pPr>
              <w:ind w:left="20"/>
              <w:spacing w:after="0"/>
              <w:rPr>
                <w:sz w:val="20"/>
                <w:szCs w:val="20"/>
                <w:color w:val="auto"/>
              </w:rPr>
            </w:pPr>
            <w:r>
              <w:rPr>
                <w:rFonts w:ascii="Arial" w:cs="Arial" w:eastAsia="Arial" w:hAnsi="Arial"/>
                <w:sz w:val="17"/>
                <w:szCs w:val="17"/>
                <w:color w:val="auto"/>
              </w:rPr>
              <w:t>(9)</w:t>
            </w:r>
          </w:p>
        </w:tc>
        <w:tc>
          <w:tcPr>
            <w:tcW w:w="10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$6,841,733</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3360" w:type="dxa"/>
            <w:vAlign w:val="bottom"/>
            <w:shd w:val="clear" w:color="auto" w:fill="E9E9E9"/>
          </w:tcPr>
          <w:p>
            <w:pPr>
              <w:spacing w:after="0"/>
              <w:rPr>
                <w:sz w:val="20"/>
                <w:szCs w:val="20"/>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270,000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270" w:type="dxa"/>
            <w:vAlign w:val="bottom"/>
            <w:shd w:val="clear" w:color="auto" w:fill="E9E9E9"/>
          </w:tcPr>
          <w:p>
            <w:pPr>
              <w:spacing w:after="0"/>
              <w:rPr>
                <w:sz w:val="20"/>
                <w:szCs w:val="20"/>
                <w:color w:val="auto"/>
              </w:rPr>
            </w:pPr>
          </w:p>
        </w:tc>
        <w:tc>
          <w:tcPr>
            <w:tcW w:w="81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$29.79</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1/25/2018</w:t>
            </w:r>
          </w:p>
        </w:tc>
        <w:tc>
          <w:tcPr>
            <w:tcW w:w="80" w:type="dxa"/>
            <w:vAlign w:val="bottom"/>
            <w:shd w:val="clear" w:color="auto" w:fill="E9E9E9"/>
          </w:tcPr>
          <w:p>
            <w:pPr>
              <w:spacing w:after="0"/>
              <w:rPr>
                <w:sz w:val="20"/>
                <w:szCs w:val="20"/>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E9E9E9"/>
          </w:tcPr>
          <w:p>
            <w:pPr>
              <w:spacing w:after="0"/>
              <w:rPr>
                <w:sz w:val="20"/>
                <w:szCs w:val="20"/>
                <w:color w:val="auto"/>
              </w:rPr>
            </w:pPr>
          </w:p>
        </w:tc>
        <w:tc>
          <w:tcPr>
            <w:tcW w:w="10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3360" w:type="dxa"/>
            <w:vAlign w:val="bottom"/>
            <w:shd w:val="clear" w:color="auto" w:fill="E9E9E9"/>
          </w:tcPr>
          <w:p>
            <w:pPr>
              <w:spacing w:after="0"/>
              <w:rPr>
                <w:sz w:val="20"/>
                <w:szCs w:val="20"/>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270,000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270" w:type="dxa"/>
            <w:vAlign w:val="bottom"/>
            <w:shd w:val="clear" w:color="auto" w:fill="E9E9E9"/>
          </w:tcPr>
          <w:p>
            <w:pPr>
              <w:spacing w:after="0"/>
              <w:rPr>
                <w:sz w:val="20"/>
                <w:szCs w:val="20"/>
                <w:color w:val="auto"/>
              </w:rPr>
            </w:pPr>
          </w:p>
        </w:tc>
        <w:tc>
          <w:tcPr>
            <w:tcW w:w="81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$28.32</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1/18/2017</w:t>
            </w:r>
          </w:p>
        </w:tc>
        <w:tc>
          <w:tcPr>
            <w:tcW w:w="80" w:type="dxa"/>
            <w:vAlign w:val="bottom"/>
            <w:shd w:val="clear" w:color="auto" w:fill="E9E9E9"/>
          </w:tcPr>
          <w:p>
            <w:pPr>
              <w:spacing w:after="0"/>
              <w:rPr>
                <w:sz w:val="20"/>
                <w:szCs w:val="20"/>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E9E9E9"/>
          </w:tcPr>
          <w:p>
            <w:pPr>
              <w:spacing w:after="0"/>
              <w:rPr>
                <w:sz w:val="20"/>
                <w:szCs w:val="20"/>
                <w:color w:val="auto"/>
              </w:rPr>
            </w:pPr>
          </w:p>
        </w:tc>
        <w:tc>
          <w:tcPr>
            <w:tcW w:w="10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3360" w:type="dxa"/>
            <w:vAlign w:val="bottom"/>
            <w:shd w:val="clear" w:color="auto" w:fill="E9E9E9"/>
          </w:tcPr>
          <w:p>
            <w:pPr>
              <w:spacing w:after="0"/>
              <w:rPr>
                <w:sz w:val="20"/>
                <w:szCs w:val="20"/>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350,000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270" w:type="dxa"/>
            <w:vAlign w:val="bottom"/>
            <w:shd w:val="clear" w:color="auto" w:fill="E9E9E9"/>
          </w:tcPr>
          <w:p>
            <w:pPr>
              <w:spacing w:after="0"/>
              <w:rPr>
                <w:sz w:val="20"/>
                <w:szCs w:val="20"/>
                <w:color w:val="auto"/>
              </w:rPr>
            </w:pPr>
          </w:p>
        </w:tc>
        <w:tc>
          <w:tcPr>
            <w:tcW w:w="81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$32.55</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1/19/2016</w:t>
            </w:r>
          </w:p>
        </w:tc>
        <w:tc>
          <w:tcPr>
            <w:tcW w:w="80" w:type="dxa"/>
            <w:vAlign w:val="bottom"/>
            <w:shd w:val="clear" w:color="auto" w:fill="E9E9E9"/>
          </w:tcPr>
          <w:p>
            <w:pPr>
              <w:spacing w:after="0"/>
              <w:rPr>
                <w:sz w:val="20"/>
                <w:szCs w:val="20"/>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E9E9E9"/>
          </w:tcPr>
          <w:p>
            <w:pPr>
              <w:spacing w:after="0"/>
              <w:rPr>
                <w:sz w:val="20"/>
                <w:szCs w:val="20"/>
                <w:color w:val="auto"/>
              </w:rPr>
            </w:pPr>
          </w:p>
        </w:tc>
        <w:tc>
          <w:tcPr>
            <w:tcW w:w="10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3360" w:type="dxa"/>
            <w:vAlign w:val="bottom"/>
            <w:shd w:val="clear" w:color="auto" w:fill="E9E9E9"/>
          </w:tcPr>
          <w:p>
            <w:pPr>
              <w:spacing w:after="0"/>
              <w:rPr>
                <w:sz w:val="20"/>
                <w:szCs w:val="20"/>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500,000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270" w:type="dxa"/>
            <w:vAlign w:val="bottom"/>
            <w:shd w:val="clear" w:color="auto" w:fill="E9E9E9"/>
          </w:tcPr>
          <w:p>
            <w:pPr>
              <w:spacing w:after="0"/>
              <w:rPr>
                <w:sz w:val="20"/>
                <w:szCs w:val="20"/>
                <w:color w:val="auto"/>
              </w:rPr>
            </w:pPr>
          </w:p>
        </w:tc>
        <w:tc>
          <w:tcPr>
            <w:tcW w:w="81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$21.55</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1/20/2015</w:t>
            </w:r>
          </w:p>
        </w:tc>
        <w:tc>
          <w:tcPr>
            <w:tcW w:w="80" w:type="dxa"/>
            <w:vAlign w:val="bottom"/>
            <w:shd w:val="clear" w:color="auto" w:fill="E9E9E9"/>
          </w:tcPr>
          <w:p>
            <w:pPr>
              <w:spacing w:after="0"/>
              <w:rPr>
                <w:sz w:val="20"/>
                <w:szCs w:val="20"/>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E9E9E9"/>
          </w:tcPr>
          <w:p>
            <w:pPr>
              <w:spacing w:after="0"/>
              <w:rPr>
                <w:sz w:val="20"/>
                <w:szCs w:val="20"/>
                <w:color w:val="auto"/>
              </w:rPr>
            </w:pPr>
          </w:p>
        </w:tc>
        <w:tc>
          <w:tcPr>
            <w:tcW w:w="10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47"/>
        </w:trPr>
        <w:tc>
          <w:tcPr>
            <w:tcW w:w="3360" w:type="dxa"/>
            <w:vAlign w:val="bottom"/>
            <w:shd w:val="clear" w:color="auto" w:fill="E9E9E9"/>
          </w:tcPr>
          <w:p>
            <w:pPr>
              <w:spacing w:after="0"/>
              <w:rPr>
                <w:sz w:val="21"/>
                <w:szCs w:val="21"/>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700,000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270" w:type="dxa"/>
            <w:vAlign w:val="bottom"/>
            <w:shd w:val="clear" w:color="auto" w:fill="E9E9E9"/>
          </w:tcPr>
          <w:p>
            <w:pPr>
              <w:spacing w:after="0"/>
              <w:rPr>
                <w:sz w:val="21"/>
                <w:szCs w:val="21"/>
                <w:color w:val="auto"/>
              </w:rPr>
            </w:pPr>
          </w:p>
        </w:tc>
        <w:tc>
          <w:tcPr>
            <w:tcW w:w="81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$32.39</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1/14/2014</w:t>
            </w:r>
          </w:p>
        </w:tc>
        <w:tc>
          <w:tcPr>
            <w:tcW w:w="80" w:type="dxa"/>
            <w:vAlign w:val="bottom"/>
            <w:shd w:val="clear" w:color="auto" w:fill="E9E9E9"/>
          </w:tcPr>
          <w:p>
            <w:pPr>
              <w:spacing w:after="0"/>
              <w:rPr>
                <w:sz w:val="21"/>
                <w:szCs w:val="21"/>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E9E9E9"/>
          </w:tcPr>
          <w:p>
            <w:pPr>
              <w:spacing w:after="0"/>
              <w:rPr>
                <w:sz w:val="21"/>
                <w:szCs w:val="21"/>
                <w:color w:val="auto"/>
              </w:rPr>
            </w:pPr>
          </w:p>
        </w:tc>
        <w:tc>
          <w:tcPr>
            <w:tcW w:w="10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1"/>
                <w:szCs w:val="21"/>
                <w:color w:val="auto"/>
              </w:rPr>
            </w:pPr>
          </w:p>
        </w:tc>
      </w:tr>
      <w:tr>
        <w:trPr>
          <w:trHeight w:val="233"/>
        </w:trPr>
        <w:tc>
          <w:tcPr>
            <w:tcW w:w="3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70" w:type="dxa"/>
            <w:vAlign w:val="bottom"/>
          </w:tcPr>
          <w:p>
            <w:pPr>
              <w:spacing w:after="0"/>
              <w:rPr>
                <w:sz w:val="20"/>
                <w:szCs w:val="20"/>
                <w:color w:val="auto"/>
              </w:rPr>
            </w:pPr>
          </w:p>
        </w:tc>
        <w:tc>
          <w:tcPr>
            <w:tcW w:w="81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gridSpan w:val="2"/>
          </w:tcPr>
          <w:p>
            <w:pPr>
              <w:spacing w:after="0"/>
              <w:rPr>
                <w:sz w:val="20"/>
                <w:szCs w:val="20"/>
                <w:color w:val="auto"/>
              </w:rPr>
            </w:pPr>
          </w:p>
        </w:tc>
      </w:tr>
      <w:tr>
        <w:trPr>
          <w:trHeight w:val="218"/>
        </w:trPr>
        <w:tc>
          <w:tcPr>
            <w:tcW w:w="3360" w:type="dxa"/>
            <w:vAlign w:val="bottom"/>
            <w:shd w:val="clear" w:color="auto" w:fill="E9E9E9"/>
          </w:tcPr>
          <w:p>
            <w:pPr>
              <w:spacing w:after="0"/>
              <w:rPr>
                <w:sz w:val="20"/>
                <w:szCs w:val="20"/>
                <w:color w:val="auto"/>
              </w:rPr>
            </w:pPr>
            <w:r>
              <w:rPr>
                <w:rFonts w:ascii="Arial" w:cs="Arial" w:eastAsia="Arial" w:hAnsi="Arial"/>
                <w:sz w:val="17"/>
                <w:szCs w:val="17"/>
                <w:color w:val="auto"/>
              </w:rPr>
              <w:t>K. P. March</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150,000</w:t>
            </w:r>
          </w:p>
        </w:tc>
        <w:tc>
          <w:tcPr>
            <w:tcW w:w="27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(2)</w:t>
            </w:r>
          </w:p>
        </w:tc>
        <w:tc>
          <w:tcPr>
            <w:tcW w:w="81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$32.36</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1/26/2022</w:t>
            </w:r>
          </w:p>
        </w:tc>
        <w:tc>
          <w:tcPr>
            <w:tcW w:w="80" w:type="dxa"/>
            <w:vAlign w:val="bottom"/>
            <w:shd w:val="clear" w:color="auto" w:fill="E9E9E9"/>
          </w:tcPr>
          <w:p>
            <w:pPr>
              <w:spacing w:after="0"/>
              <w:rPr>
                <w:sz w:val="18"/>
                <w:szCs w:val="18"/>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50,000</w:t>
            </w:r>
          </w:p>
        </w:tc>
        <w:tc>
          <w:tcPr>
            <w:tcW w:w="400" w:type="dxa"/>
            <w:vAlign w:val="bottom"/>
            <w:shd w:val="clear" w:color="auto" w:fill="E9E9E9"/>
          </w:tcPr>
          <w:p>
            <w:pPr>
              <w:ind w:left="20"/>
              <w:spacing w:after="0"/>
              <w:rPr>
                <w:sz w:val="20"/>
                <w:szCs w:val="20"/>
                <w:color w:val="auto"/>
              </w:rPr>
            </w:pPr>
            <w:r>
              <w:rPr>
                <w:rFonts w:ascii="Arial" w:cs="Arial" w:eastAsia="Arial" w:hAnsi="Arial"/>
                <w:sz w:val="17"/>
                <w:szCs w:val="17"/>
                <w:color w:val="auto"/>
              </w:rPr>
              <w:t>(6)</w:t>
            </w:r>
          </w:p>
        </w:tc>
        <w:tc>
          <w:tcPr>
            <w:tcW w:w="10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$1,544,500</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33"/>
        </w:trPr>
        <w:tc>
          <w:tcPr>
            <w:tcW w:w="3360" w:type="dxa"/>
            <w:vAlign w:val="bottom"/>
            <w:shd w:val="clear" w:color="auto" w:fill="E9E9E9"/>
          </w:tcPr>
          <w:p>
            <w:pPr>
              <w:spacing w:after="0"/>
              <w:rPr>
                <w:sz w:val="20"/>
                <w:szCs w:val="20"/>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34,375</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103,125</w:t>
            </w:r>
          </w:p>
        </w:tc>
        <w:tc>
          <w:tcPr>
            <w:tcW w:w="27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(3)</w:t>
            </w:r>
          </w:p>
        </w:tc>
        <w:tc>
          <w:tcPr>
            <w:tcW w:w="81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$34.63</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1/27/2021</w:t>
            </w:r>
          </w:p>
        </w:tc>
        <w:tc>
          <w:tcPr>
            <w:tcW w:w="80" w:type="dxa"/>
            <w:vAlign w:val="bottom"/>
            <w:shd w:val="clear" w:color="auto" w:fill="E9E9E9"/>
          </w:tcPr>
          <w:p>
            <w:pPr>
              <w:spacing w:after="0"/>
              <w:rPr>
                <w:sz w:val="20"/>
                <w:szCs w:val="20"/>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45,834</w:t>
            </w:r>
          </w:p>
        </w:tc>
        <w:tc>
          <w:tcPr>
            <w:tcW w:w="400" w:type="dxa"/>
            <w:vAlign w:val="bottom"/>
            <w:shd w:val="clear" w:color="auto" w:fill="E9E9E9"/>
          </w:tcPr>
          <w:p>
            <w:pPr>
              <w:ind w:left="20"/>
              <w:spacing w:after="0"/>
              <w:rPr>
                <w:sz w:val="20"/>
                <w:szCs w:val="20"/>
                <w:color w:val="auto"/>
              </w:rPr>
            </w:pPr>
            <w:r>
              <w:rPr>
                <w:rFonts w:ascii="Arial" w:cs="Arial" w:eastAsia="Arial" w:hAnsi="Arial"/>
                <w:sz w:val="17"/>
                <w:szCs w:val="17"/>
                <w:color w:val="auto"/>
              </w:rPr>
              <w:t>(7)</w:t>
            </w:r>
          </w:p>
        </w:tc>
        <w:tc>
          <w:tcPr>
            <w:tcW w:w="10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$1,415,812</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3360" w:type="dxa"/>
            <w:vAlign w:val="bottom"/>
            <w:shd w:val="clear" w:color="auto" w:fill="E9E9E9"/>
          </w:tcPr>
          <w:p>
            <w:pPr>
              <w:spacing w:after="0"/>
              <w:rPr>
                <w:sz w:val="20"/>
                <w:szCs w:val="20"/>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80,625</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80,625</w:t>
            </w:r>
          </w:p>
        </w:tc>
        <w:tc>
          <w:tcPr>
            <w:tcW w:w="27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(4)</w:t>
            </w:r>
          </w:p>
        </w:tc>
        <w:tc>
          <w:tcPr>
            <w:tcW w:w="81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$23.05</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1/28/2020</w:t>
            </w:r>
          </w:p>
        </w:tc>
        <w:tc>
          <w:tcPr>
            <w:tcW w:w="80" w:type="dxa"/>
            <w:vAlign w:val="bottom"/>
            <w:shd w:val="clear" w:color="auto" w:fill="E9E9E9"/>
          </w:tcPr>
          <w:p>
            <w:pPr>
              <w:spacing w:after="0"/>
              <w:rPr>
                <w:sz w:val="20"/>
                <w:szCs w:val="20"/>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53,751</w:t>
            </w:r>
          </w:p>
        </w:tc>
        <w:tc>
          <w:tcPr>
            <w:tcW w:w="400" w:type="dxa"/>
            <w:vAlign w:val="bottom"/>
            <w:shd w:val="clear" w:color="auto" w:fill="E9E9E9"/>
          </w:tcPr>
          <w:p>
            <w:pPr>
              <w:ind w:left="20"/>
              <w:spacing w:after="0"/>
              <w:rPr>
                <w:sz w:val="20"/>
                <w:szCs w:val="20"/>
                <w:color w:val="auto"/>
              </w:rPr>
            </w:pPr>
            <w:r>
              <w:rPr>
                <w:rFonts w:ascii="Arial" w:cs="Arial" w:eastAsia="Arial" w:hAnsi="Arial"/>
                <w:sz w:val="17"/>
                <w:szCs w:val="17"/>
                <w:color w:val="auto"/>
              </w:rPr>
              <w:t>(8)</w:t>
            </w:r>
          </w:p>
        </w:tc>
        <w:tc>
          <w:tcPr>
            <w:tcW w:w="10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$1,660,368</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3360" w:type="dxa"/>
            <w:vAlign w:val="bottom"/>
            <w:shd w:val="clear" w:color="auto" w:fill="E9E9E9"/>
          </w:tcPr>
          <w:p>
            <w:pPr>
              <w:spacing w:after="0"/>
              <w:rPr>
                <w:sz w:val="20"/>
                <w:szCs w:val="20"/>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142,500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47,500</w:t>
            </w:r>
          </w:p>
        </w:tc>
        <w:tc>
          <w:tcPr>
            <w:tcW w:w="27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(5)</w:t>
            </w:r>
          </w:p>
        </w:tc>
        <w:tc>
          <w:tcPr>
            <w:tcW w:w="81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$14.95</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1/29/2019</w:t>
            </w:r>
          </w:p>
        </w:tc>
        <w:tc>
          <w:tcPr>
            <w:tcW w:w="80" w:type="dxa"/>
            <w:vAlign w:val="bottom"/>
            <w:shd w:val="clear" w:color="auto" w:fill="E9E9E9"/>
          </w:tcPr>
          <w:p>
            <w:pPr>
              <w:spacing w:after="0"/>
              <w:rPr>
                <w:sz w:val="20"/>
                <w:szCs w:val="20"/>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63,334</w:t>
            </w:r>
          </w:p>
        </w:tc>
        <w:tc>
          <w:tcPr>
            <w:tcW w:w="400" w:type="dxa"/>
            <w:vAlign w:val="bottom"/>
            <w:shd w:val="clear" w:color="auto" w:fill="E9E9E9"/>
          </w:tcPr>
          <w:p>
            <w:pPr>
              <w:ind w:left="20"/>
              <w:spacing w:after="0"/>
              <w:rPr>
                <w:sz w:val="20"/>
                <w:szCs w:val="20"/>
                <w:color w:val="auto"/>
              </w:rPr>
            </w:pPr>
            <w:r>
              <w:rPr>
                <w:rFonts w:ascii="Arial" w:cs="Arial" w:eastAsia="Arial" w:hAnsi="Arial"/>
                <w:sz w:val="17"/>
                <w:szCs w:val="17"/>
                <w:color w:val="auto"/>
              </w:rPr>
              <w:t>(9)</w:t>
            </w:r>
          </w:p>
        </w:tc>
        <w:tc>
          <w:tcPr>
            <w:tcW w:w="10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$1,956,387</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3360" w:type="dxa"/>
            <w:vAlign w:val="bottom"/>
            <w:shd w:val="clear" w:color="auto" w:fill="E9E9E9"/>
          </w:tcPr>
          <w:p>
            <w:pPr>
              <w:spacing w:after="0"/>
              <w:rPr>
                <w:sz w:val="20"/>
                <w:szCs w:val="20"/>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85,000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270" w:type="dxa"/>
            <w:vAlign w:val="bottom"/>
            <w:shd w:val="clear" w:color="auto" w:fill="E9E9E9"/>
          </w:tcPr>
          <w:p>
            <w:pPr>
              <w:spacing w:after="0"/>
              <w:rPr>
                <w:sz w:val="20"/>
                <w:szCs w:val="20"/>
                <w:color w:val="auto"/>
              </w:rPr>
            </w:pPr>
          </w:p>
        </w:tc>
        <w:tc>
          <w:tcPr>
            <w:tcW w:w="81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$29.79</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1/25/2018</w:t>
            </w:r>
          </w:p>
        </w:tc>
        <w:tc>
          <w:tcPr>
            <w:tcW w:w="80" w:type="dxa"/>
            <w:vAlign w:val="bottom"/>
            <w:shd w:val="clear" w:color="auto" w:fill="E9E9E9"/>
          </w:tcPr>
          <w:p>
            <w:pPr>
              <w:spacing w:after="0"/>
              <w:rPr>
                <w:sz w:val="20"/>
                <w:szCs w:val="20"/>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E9E9E9"/>
          </w:tcPr>
          <w:p>
            <w:pPr>
              <w:spacing w:after="0"/>
              <w:rPr>
                <w:sz w:val="20"/>
                <w:szCs w:val="20"/>
                <w:color w:val="auto"/>
              </w:rPr>
            </w:pPr>
          </w:p>
        </w:tc>
        <w:tc>
          <w:tcPr>
            <w:tcW w:w="10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3360" w:type="dxa"/>
            <w:vAlign w:val="bottom"/>
            <w:shd w:val="clear" w:color="auto" w:fill="E9E9E9"/>
          </w:tcPr>
          <w:p>
            <w:pPr>
              <w:spacing w:after="0"/>
              <w:rPr>
                <w:sz w:val="20"/>
                <w:szCs w:val="20"/>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85,000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270" w:type="dxa"/>
            <w:vAlign w:val="bottom"/>
            <w:shd w:val="clear" w:color="auto" w:fill="E9E9E9"/>
          </w:tcPr>
          <w:p>
            <w:pPr>
              <w:spacing w:after="0"/>
              <w:rPr>
                <w:sz w:val="20"/>
                <w:szCs w:val="20"/>
                <w:color w:val="auto"/>
              </w:rPr>
            </w:pPr>
          </w:p>
        </w:tc>
        <w:tc>
          <w:tcPr>
            <w:tcW w:w="81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$28.32</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1/18/2017</w:t>
            </w:r>
          </w:p>
        </w:tc>
        <w:tc>
          <w:tcPr>
            <w:tcW w:w="80" w:type="dxa"/>
            <w:vAlign w:val="bottom"/>
            <w:shd w:val="clear" w:color="auto" w:fill="E9E9E9"/>
          </w:tcPr>
          <w:p>
            <w:pPr>
              <w:spacing w:after="0"/>
              <w:rPr>
                <w:sz w:val="20"/>
                <w:szCs w:val="20"/>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E9E9E9"/>
          </w:tcPr>
          <w:p>
            <w:pPr>
              <w:spacing w:after="0"/>
              <w:rPr>
                <w:sz w:val="20"/>
                <w:szCs w:val="20"/>
                <w:color w:val="auto"/>
              </w:rPr>
            </w:pPr>
          </w:p>
        </w:tc>
        <w:tc>
          <w:tcPr>
            <w:tcW w:w="10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3360" w:type="dxa"/>
            <w:vAlign w:val="bottom"/>
            <w:shd w:val="clear" w:color="auto" w:fill="E9E9E9"/>
          </w:tcPr>
          <w:p>
            <w:pPr>
              <w:spacing w:after="0"/>
              <w:rPr>
                <w:sz w:val="20"/>
                <w:szCs w:val="20"/>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85,000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270" w:type="dxa"/>
            <w:vAlign w:val="bottom"/>
            <w:shd w:val="clear" w:color="auto" w:fill="E9E9E9"/>
          </w:tcPr>
          <w:p>
            <w:pPr>
              <w:spacing w:after="0"/>
              <w:rPr>
                <w:sz w:val="20"/>
                <w:szCs w:val="20"/>
                <w:color w:val="auto"/>
              </w:rPr>
            </w:pPr>
          </w:p>
        </w:tc>
        <w:tc>
          <w:tcPr>
            <w:tcW w:w="81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$32.55</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1/19/2016</w:t>
            </w:r>
          </w:p>
        </w:tc>
        <w:tc>
          <w:tcPr>
            <w:tcW w:w="80" w:type="dxa"/>
            <w:vAlign w:val="bottom"/>
            <w:shd w:val="clear" w:color="auto" w:fill="E9E9E9"/>
          </w:tcPr>
          <w:p>
            <w:pPr>
              <w:spacing w:after="0"/>
              <w:rPr>
                <w:sz w:val="20"/>
                <w:szCs w:val="20"/>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E9E9E9"/>
          </w:tcPr>
          <w:p>
            <w:pPr>
              <w:spacing w:after="0"/>
              <w:rPr>
                <w:sz w:val="20"/>
                <w:szCs w:val="20"/>
                <w:color w:val="auto"/>
              </w:rPr>
            </w:pPr>
          </w:p>
        </w:tc>
        <w:tc>
          <w:tcPr>
            <w:tcW w:w="10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3360" w:type="dxa"/>
            <w:vAlign w:val="bottom"/>
            <w:shd w:val="clear" w:color="auto" w:fill="E9E9E9"/>
          </w:tcPr>
          <w:p>
            <w:pPr>
              <w:spacing w:after="0"/>
              <w:rPr>
                <w:sz w:val="20"/>
                <w:szCs w:val="20"/>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80,000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270" w:type="dxa"/>
            <w:vAlign w:val="bottom"/>
            <w:shd w:val="clear" w:color="auto" w:fill="E9E9E9"/>
          </w:tcPr>
          <w:p>
            <w:pPr>
              <w:spacing w:after="0"/>
              <w:rPr>
                <w:sz w:val="20"/>
                <w:szCs w:val="20"/>
                <w:color w:val="auto"/>
              </w:rPr>
            </w:pPr>
          </w:p>
        </w:tc>
        <w:tc>
          <w:tcPr>
            <w:tcW w:w="81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$21.55</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1/20/2015</w:t>
            </w:r>
          </w:p>
        </w:tc>
        <w:tc>
          <w:tcPr>
            <w:tcW w:w="80" w:type="dxa"/>
            <w:vAlign w:val="bottom"/>
            <w:shd w:val="clear" w:color="auto" w:fill="E9E9E9"/>
          </w:tcPr>
          <w:p>
            <w:pPr>
              <w:spacing w:after="0"/>
              <w:rPr>
                <w:sz w:val="20"/>
                <w:szCs w:val="20"/>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E9E9E9"/>
          </w:tcPr>
          <w:p>
            <w:pPr>
              <w:spacing w:after="0"/>
              <w:rPr>
                <w:sz w:val="20"/>
                <w:szCs w:val="20"/>
                <w:color w:val="auto"/>
              </w:rPr>
            </w:pPr>
          </w:p>
        </w:tc>
        <w:tc>
          <w:tcPr>
            <w:tcW w:w="10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47"/>
        </w:trPr>
        <w:tc>
          <w:tcPr>
            <w:tcW w:w="3360" w:type="dxa"/>
            <w:vAlign w:val="bottom"/>
            <w:shd w:val="clear" w:color="auto" w:fill="E9E9E9"/>
          </w:tcPr>
          <w:p>
            <w:pPr>
              <w:spacing w:after="0"/>
              <w:rPr>
                <w:sz w:val="21"/>
                <w:szCs w:val="21"/>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120,000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270" w:type="dxa"/>
            <w:vAlign w:val="bottom"/>
            <w:shd w:val="clear" w:color="auto" w:fill="E9E9E9"/>
          </w:tcPr>
          <w:p>
            <w:pPr>
              <w:spacing w:after="0"/>
              <w:rPr>
                <w:sz w:val="21"/>
                <w:szCs w:val="21"/>
                <w:color w:val="auto"/>
              </w:rPr>
            </w:pPr>
          </w:p>
        </w:tc>
        <w:tc>
          <w:tcPr>
            <w:tcW w:w="81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$32.39</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1/14/2014</w:t>
            </w:r>
          </w:p>
        </w:tc>
        <w:tc>
          <w:tcPr>
            <w:tcW w:w="80" w:type="dxa"/>
            <w:vAlign w:val="bottom"/>
            <w:shd w:val="clear" w:color="auto" w:fill="E9E9E9"/>
          </w:tcPr>
          <w:p>
            <w:pPr>
              <w:spacing w:after="0"/>
              <w:rPr>
                <w:sz w:val="21"/>
                <w:szCs w:val="21"/>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E9E9E9"/>
          </w:tcPr>
          <w:p>
            <w:pPr>
              <w:spacing w:after="0"/>
              <w:rPr>
                <w:sz w:val="21"/>
                <w:szCs w:val="21"/>
                <w:color w:val="auto"/>
              </w:rPr>
            </w:pPr>
          </w:p>
        </w:tc>
        <w:tc>
          <w:tcPr>
            <w:tcW w:w="10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1"/>
                <w:szCs w:val="21"/>
                <w:color w:val="auto"/>
              </w:rPr>
            </w:pPr>
          </w:p>
        </w:tc>
      </w:tr>
      <w:tr>
        <w:trPr>
          <w:trHeight w:val="233"/>
        </w:trPr>
        <w:tc>
          <w:tcPr>
            <w:tcW w:w="3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70" w:type="dxa"/>
            <w:vAlign w:val="bottom"/>
          </w:tcPr>
          <w:p>
            <w:pPr>
              <w:spacing w:after="0"/>
              <w:rPr>
                <w:sz w:val="20"/>
                <w:szCs w:val="20"/>
                <w:color w:val="auto"/>
              </w:rPr>
            </w:pPr>
          </w:p>
        </w:tc>
        <w:tc>
          <w:tcPr>
            <w:tcW w:w="81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gridSpan w:val="2"/>
          </w:tcPr>
          <w:p>
            <w:pPr>
              <w:spacing w:after="0"/>
              <w:rPr>
                <w:sz w:val="20"/>
                <w:szCs w:val="20"/>
                <w:color w:val="auto"/>
              </w:rPr>
            </w:pPr>
          </w:p>
        </w:tc>
      </w:tr>
      <w:tr>
        <w:trPr>
          <w:trHeight w:val="218"/>
        </w:trPr>
        <w:tc>
          <w:tcPr>
            <w:tcW w:w="3360" w:type="dxa"/>
            <w:vAlign w:val="bottom"/>
            <w:shd w:val="clear" w:color="auto" w:fill="E9E9E9"/>
          </w:tcPr>
          <w:p>
            <w:pPr>
              <w:spacing w:after="0"/>
              <w:rPr>
                <w:sz w:val="20"/>
                <w:szCs w:val="20"/>
                <w:color w:val="auto"/>
              </w:rPr>
            </w:pPr>
            <w:r>
              <w:rPr>
                <w:rFonts w:ascii="Arial" w:cs="Arial" w:eastAsia="Arial" w:hAnsi="Arial"/>
                <w:sz w:val="17"/>
                <w:szCs w:val="17"/>
                <w:color w:val="auto"/>
              </w:rPr>
              <w:t>B. T. Crutcher</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187,500</w:t>
            </w:r>
          </w:p>
        </w:tc>
        <w:tc>
          <w:tcPr>
            <w:tcW w:w="27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(2)</w:t>
            </w:r>
          </w:p>
        </w:tc>
        <w:tc>
          <w:tcPr>
            <w:tcW w:w="81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$32.36</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1/26/2022</w:t>
            </w:r>
          </w:p>
        </w:tc>
        <w:tc>
          <w:tcPr>
            <w:tcW w:w="80" w:type="dxa"/>
            <w:vAlign w:val="bottom"/>
            <w:shd w:val="clear" w:color="auto" w:fill="E9E9E9"/>
          </w:tcPr>
          <w:p>
            <w:pPr>
              <w:spacing w:after="0"/>
              <w:rPr>
                <w:sz w:val="18"/>
                <w:szCs w:val="18"/>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62,500</w:t>
            </w:r>
          </w:p>
        </w:tc>
        <w:tc>
          <w:tcPr>
            <w:tcW w:w="400" w:type="dxa"/>
            <w:vAlign w:val="bottom"/>
            <w:shd w:val="clear" w:color="auto" w:fill="E9E9E9"/>
          </w:tcPr>
          <w:p>
            <w:pPr>
              <w:ind w:left="20"/>
              <w:spacing w:after="0"/>
              <w:rPr>
                <w:sz w:val="20"/>
                <w:szCs w:val="20"/>
                <w:color w:val="auto"/>
              </w:rPr>
            </w:pPr>
            <w:r>
              <w:rPr>
                <w:rFonts w:ascii="Arial" w:cs="Arial" w:eastAsia="Arial" w:hAnsi="Arial"/>
                <w:sz w:val="17"/>
                <w:szCs w:val="17"/>
                <w:color w:val="auto"/>
              </w:rPr>
              <w:t>(6)</w:t>
            </w:r>
          </w:p>
        </w:tc>
        <w:tc>
          <w:tcPr>
            <w:tcW w:w="10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$1,930,625</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33"/>
        </w:trPr>
        <w:tc>
          <w:tcPr>
            <w:tcW w:w="3360" w:type="dxa"/>
            <w:vAlign w:val="bottom"/>
            <w:shd w:val="clear" w:color="auto" w:fill="E9E9E9"/>
          </w:tcPr>
          <w:p>
            <w:pPr>
              <w:spacing w:after="0"/>
              <w:rPr>
                <w:sz w:val="20"/>
                <w:szCs w:val="20"/>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40,625</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121,875</w:t>
            </w:r>
          </w:p>
        </w:tc>
        <w:tc>
          <w:tcPr>
            <w:tcW w:w="27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(3)</w:t>
            </w:r>
          </w:p>
        </w:tc>
        <w:tc>
          <w:tcPr>
            <w:tcW w:w="81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$34.63</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1/27/2021</w:t>
            </w:r>
          </w:p>
        </w:tc>
        <w:tc>
          <w:tcPr>
            <w:tcW w:w="80" w:type="dxa"/>
            <w:vAlign w:val="bottom"/>
            <w:shd w:val="clear" w:color="auto" w:fill="E9E9E9"/>
          </w:tcPr>
          <w:p>
            <w:pPr>
              <w:spacing w:after="0"/>
              <w:rPr>
                <w:sz w:val="20"/>
                <w:szCs w:val="20"/>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54,167</w:t>
            </w:r>
          </w:p>
        </w:tc>
        <w:tc>
          <w:tcPr>
            <w:tcW w:w="400" w:type="dxa"/>
            <w:vAlign w:val="bottom"/>
            <w:shd w:val="clear" w:color="auto" w:fill="E9E9E9"/>
          </w:tcPr>
          <w:p>
            <w:pPr>
              <w:ind w:left="20"/>
              <w:spacing w:after="0"/>
              <w:rPr>
                <w:sz w:val="20"/>
                <w:szCs w:val="20"/>
                <w:color w:val="auto"/>
              </w:rPr>
            </w:pPr>
            <w:r>
              <w:rPr>
                <w:rFonts w:ascii="Arial" w:cs="Arial" w:eastAsia="Arial" w:hAnsi="Arial"/>
                <w:sz w:val="17"/>
                <w:szCs w:val="17"/>
                <w:color w:val="auto"/>
              </w:rPr>
              <w:t>(7)</w:t>
            </w:r>
          </w:p>
        </w:tc>
        <w:tc>
          <w:tcPr>
            <w:tcW w:w="10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$1,673,219</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3360" w:type="dxa"/>
            <w:vAlign w:val="bottom"/>
            <w:shd w:val="clear" w:color="auto" w:fill="E9E9E9"/>
          </w:tcPr>
          <w:p>
            <w:pPr>
              <w:spacing w:after="0"/>
              <w:rPr>
                <w:sz w:val="20"/>
                <w:szCs w:val="20"/>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75,000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75,000</w:t>
            </w:r>
          </w:p>
        </w:tc>
        <w:tc>
          <w:tcPr>
            <w:tcW w:w="27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(4)</w:t>
            </w:r>
          </w:p>
        </w:tc>
        <w:tc>
          <w:tcPr>
            <w:tcW w:w="81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$23.05</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1/28/2020</w:t>
            </w:r>
          </w:p>
        </w:tc>
        <w:tc>
          <w:tcPr>
            <w:tcW w:w="80" w:type="dxa"/>
            <w:vAlign w:val="bottom"/>
            <w:shd w:val="clear" w:color="auto" w:fill="E9E9E9"/>
          </w:tcPr>
          <w:p>
            <w:pPr>
              <w:spacing w:after="0"/>
              <w:rPr>
                <w:sz w:val="20"/>
                <w:szCs w:val="20"/>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50,000</w:t>
            </w:r>
          </w:p>
        </w:tc>
        <w:tc>
          <w:tcPr>
            <w:tcW w:w="400" w:type="dxa"/>
            <w:vAlign w:val="bottom"/>
            <w:shd w:val="clear" w:color="auto" w:fill="E9E9E9"/>
          </w:tcPr>
          <w:p>
            <w:pPr>
              <w:ind w:left="20"/>
              <w:spacing w:after="0"/>
              <w:rPr>
                <w:sz w:val="20"/>
                <w:szCs w:val="20"/>
                <w:color w:val="auto"/>
              </w:rPr>
            </w:pPr>
            <w:r>
              <w:rPr>
                <w:rFonts w:ascii="Arial" w:cs="Arial" w:eastAsia="Arial" w:hAnsi="Arial"/>
                <w:sz w:val="17"/>
                <w:szCs w:val="17"/>
                <w:color w:val="auto"/>
              </w:rPr>
              <w:t>(8)</w:t>
            </w:r>
          </w:p>
        </w:tc>
        <w:tc>
          <w:tcPr>
            <w:tcW w:w="10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$1,544,500</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3360" w:type="dxa"/>
            <w:vAlign w:val="bottom"/>
            <w:shd w:val="clear" w:color="auto" w:fill="E9E9E9"/>
          </w:tcPr>
          <w:p>
            <w:pPr>
              <w:spacing w:after="0"/>
              <w:rPr>
                <w:sz w:val="20"/>
                <w:szCs w:val="20"/>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25,000</w:t>
            </w:r>
          </w:p>
        </w:tc>
        <w:tc>
          <w:tcPr>
            <w:tcW w:w="27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(5)</w:t>
            </w:r>
          </w:p>
        </w:tc>
        <w:tc>
          <w:tcPr>
            <w:tcW w:w="81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$14.95</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1/29/2019</w:t>
            </w:r>
          </w:p>
        </w:tc>
        <w:tc>
          <w:tcPr>
            <w:tcW w:w="80" w:type="dxa"/>
            <w:vAlign w:val="bottom"/>
            <w:shd w:val="clear" w:color="auto" w:fill="E9E9E9"/>
          </w:tcPr>
          <w:p>
            <w:pPr>
              <w:spacing w:after="0"/>
              <w:rPr>
                <w:sz w:val="20"/>
                <w:szCs w:val="20"/>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33,334</w:t>
            </w:r>
          </w:p>
        </w:tc>
        <w:tc>
          <w:tcPr>
            <w:tcW w:w="400" w:type="dxa"/>
            <w:vAlign w:val="bottom"/>
            <w:shd w:val="clear" w:color="auto" w:fill="E9E9E9"/>
          </w:tcPr>
          <w:p>
            <w:pPr>
              <w:ind w:left="20"/>
              <w:spacing w:after="0"/>
              <w:rPr>
                <w:sz w:val="20"/>
                <w:szCs w:val="20"/>
                <w:color w:val="auto"/>
              </w:rPr>
            </w:pPr>
            <w:r>
              <w:rPr>
                <w:rFonts w:ascii="Arial" w:cs="Arial" w:eastAsia="Arial" w:hAnsi="Arial"/>
                <w:sz w:val="17"/>
                <w:szCs w:val="17"/>
                <w:color w:val="auto"/>
              </w:rPr>
              <w:t>(9)</w:t>
            </w:r>
          </w:p>
        </w:tc>
        <w:tc>
          <w:tcPr>
            <w:tcW w:w="10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$1,029,687</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3360" w:type="dxa"/>
            <w:vAlign w:val="bottom"/>
            <w:shd w:val="clear" w:color="auto" w:fill="E9E9E9"/>
          </w:tcPr>
          <w:p>
            <w:pPr>
              <w:spacing w:after="0"/>
              <w:rPr>
                <w:sz w:val="20"/>
                <w:szCs w:val="20"/>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30,000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270" w:type="dxa"/>
            <w:vAlign w:val="bottom"/>
            <w:shd w:val="clear" w:color="auto" w:fill="E9E9E9"/>
          </w:tcPr>
          <w:p>
            <w:pPr>
              <w:spacing w:after="0"/>
              <w:rPr>
                <w:sz w:val="20"/>
                <w:szCs w:val="20"/>
                <w:color w:val="auto"/>
              </w:rPr>
            </w:pPr>
          </w:p>
        </w:tc>
        <w:tc>
          <w:tcPr>
            <w:tcW w:w="81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$29.79</w:t>
            </w:r>
          </w:p>
        </w:tc>
        <w:tc>
          <w:tcPr>
            <w:tcW w:w="1540" w:type="dxa"/>
            <w:vAlign w:val="bottom"/>
            <w:gridSpan w:val="3"/>
            <w:shd w:val="clear" w:color="auto" w:fill="E9E9E9"/>
          </w:tcPr>
          <w:p>
            <w:pPr>
              <w:jc w:val="right"/>
              <w:spacing w:after="0"/>
              <w:rPr>
                <w:sz w:val="20"/>
                <w:szCs w:val="20"/>
                <w:color w:val="auto"/>
              </w:rPr>
            </w:pPr>
            <w:r>
              <w:rPr>
                <w:rFonts w:ascii="Arial" w:cs="Arial" w:eastAsia="Arial" w:hAnsi="Arial"/>
                <w:sz w:val="17"/>
                <w:szCs w:val="17"/>
                <w:color w:val="auto"/>
              </w:rPr>
              <w:t>1/25/2018 100,000</w:t>
            </w:r>
          </w:p>
        </w:tc>
        <w:tc>
          <w:tcPr>
            <w:tcW w:w="400" w:type="dxa"/>
            <w:vAlign w:val="bottom"/>
            <w:shd w:val="clear" w:color="auto" w:fill="E9E9E9"/>
          </w:tcPr>
          <w:p>
            <w:pPr>
              <w:ind w:left="20"/>
              <w:spacing w:after="0"/>
              <w:rPr>
                <w:sz w:val="20"/>
                <w:szCs w:val="20"/>
                <w:color w:val="auto"/>
              </w:rPr>
            </w:pPr>
            <w:r>
              <w:rPr>
                <w:rFonts w:ascii="Arial" w:cs="Arial" w:eastAsia="Arial" w:hAnsi="Arial"/>
                <w:sz w:val="17"/>
                <w:szCs w:val="17"/>
                <w:color w:val="auto"/>
              </w:rPr>
              <w:t>(10)</w:t>
            </w:r>
          </w:p>
        </w:tc>
        <w:tc>
          <w:tcPr>
            <w:tcW w:w="10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$3,089,000</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3360" w:type="dxa"/>
            <w:vAlign w:val="bottom"/>
            <w:shd w:val="clear" w:color="auto" w:fill="E9E9E9"/>
          </w:tcPr>
          <w:p>
            <w:pPr>
              <w:spacing w:after="0"/>
              <w:rPr>
                <w:sz w:val="20"/>
                <w:szCs w:val="20"/>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30,000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270" w:type="dxa"/>
            <w:vAlign w:val="bottom"/>
            <w:shd w:val="clear" w:color="auto" w:fill="E9E9E9"/>
          </w:tcPr>
          <w:p>
            <w:pPr>
              <w:spacing w:after="0"/>
              <w:rPr>
                <w:sz w:val="20"/>
                <w:szCs w:val="20"/>
                <w:color w:val="auto"/>
              </w:rPr>
            </w:pPr>
          </w:p>
        </w:tc>
        <w:tc>
          <w:tcPr>
            <w:tcW w:w="81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$28.32</w:t>
            </w:r>
          </w:p>
        </w:tc>
        <w:tc>
          <w:tcPr>
            <w:tcW w:w="1540" w:type="dxa"/>
            <w:vAlign w:val="bottom"/>
            <w:gridSpan w:val="3"/>
            <w:shd w:val="clear" w:color="auto" w:fill="E9E9E9"/>
          </w:tcPr>
          <w:p>
            <w:pPr>
              <w:jc w:val="right"/>
              <w:spacing w:after="0"/>
              <w:rPr>
                <w:sz w:val="20"/>
                <w:szCs w:val="20"/>
                <w:color w:val="auto"/>
              </w:rPr>
            </w:pPr>
            <w:r>
              <w:rPr>
                <w:rFonts w:ascii="Arial" w:cs="Arial" w:eastAsia="Arial" w:hAnsi="Arial"/>
                <w:sz w:val="17"/>
                <w:szCs w:val="17"/>
                <w:color w:val="auto"/>
              </w:rPr>
              <w:t>1/18/2017 100,000</w:t>
            </w:r>
          </w:p>
        </w:tc>
        <w:tc>
          <w:tcPr>
            <w:tcW w:w="400" w:type="dxa"/>
            <w:vAlign w:val="bottom"/>
            <w:shd w:val="clear" w:color="auto" w:fill="E9E9E9"/>
          </w:tcPr>
          <w:p>
            <w:pPr>
              <w:ind w:left="20"/>
              <w:spacing w:after="0"/>
              <w:rPr>
                <w:sz w:val="20"/>
                <w:szCs w:val="20"/>
                <w:color w:val="auto"/>
              </w:rPr>
            </w:pPr>
            <w:r>
              <w:rPr>
                <w:rFonts w:ascii="Arial" w:cs="Arial" w:eastAsia="Arial" w:hAnsi="Arial"/>
                <w:sz w:val="17"/>
                <w:szCs w:val="17"/>
                <w:color w:val="auto"/>
              </w:rPr>
              <w:t>(11)</w:t>
            </w:r>
          </w:p>
        </w:tc>
        <w:tc>
          <w:tcPr>
            <w:tcW w:w="10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$3,089,000</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47"/>
        </w:trPr>
        <w:tc>
          <w:tcPr>
            <w:tcW w:w="3360" w:type="dxa"/>
            <w:vAlign w:val="bottom"/>
            <w:shd w:val="clear" w:color="auto" w:fill="E9E9E9"/>
          </w:tcPr>
          <w:p>
            <w:pPr>
              <w:spacing w:after="0"/>
              <w:rPr>
                <w:sz w:val="21"/>
                <w:szCs w:val="21"/>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270" w:type="dxa"/>
            <w:vAlign w:val="bottom"/>
            <w:shd w:val="clear" w:color="auto" w:fill="E9E9E9"/>
          </w:tcPr>
          <w:p>
            <w:pPr>
              <w:spacing w:after="0"/>
              <w:rPr>
                <w:sz w:val="21"/>
                <w:szCs w:val="21"/>
                <w:color w:val="auto"/>
              </w:rPr>
            </w:pPr>
          </w:p>
        </w:tc>
        <w:tc>
          <w:tcPr>
            <w:tcW w:w="81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$32.55</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1/19/2016</w:t>
            </w:r>
          </w:p>
        </w:tc>
        <w:tc>
          <w:tcPr>
            <w:tcW w:w="80" w:type="dxa"/>
            <w:vAlign w:val="bottom"/>
            <w:shd w:val="clear" w:color="auto" w:fill="E9E9E9"/>
          </w:tcPr>
          <w:p>
            <w:pPr>
              <w:spacing w:after="0"/>
              <w:rPr>
                <w:sz w:val="21"/>
                <w:szCs w:val="21"/>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E9E9E9"/>
          </w:tcPr>
          <w:p>
            <w:pPr>
              <w:spacing w:after="0"/>
              <w:rPr>
                <w:sz w:val="21"/>
                <w:szCs w:val="21"/>
                <w:color w:val="auto"/>
              </w:rPr>
            </w:pPr>
          </w:p>
        </w:tc>
        <w:tc>
          <w:tcPr>
            <w:tcW w:w="10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1"/>
                <w:szCs w:val="21"/>
                <w:color w:val="auto"/>
              </w:rPr>
            </w:pPr>
          </w:p>
        </w:tc>
      </w:tr>
      <w:tr>
        <w:trPr>
          <w:trHeight w:val="233"/>
        </w:trPr>
        <w:tc>
          <w:tcPr>
            <w:tcW w:w="3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70" w:type="dxa"/>
            <w:vAlign w:val="bottom"/>
          </w:tcPr>
          <w:p>
            <w:pPr>
              <w:spacing w:after="0"/>
              <w:rPr>
                <w:sz w:val="20"/>
                <w:szCs w:val="20"/>
                <w:color w:val="auto"/>
              </w:rPr>
            </w:pPr>
          </w:p>
        </w:tc>
        <w:tc>
          <w:tcPr>
            <w:tcW w:w="81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gridSpan w:val="2"/>
          </w:tcPr>
          <w:p>
            <w:pPr>
              <w:spacing w:after="0"/>
              <w:rPr>
                <w:sz w:val="20"/>
                <w:szCs w:val="20"/>
                <w:color w:val="auto"/>
              </w:rPr>
            </w:pPr>
          </w:p>
        </w:tc>
      </w:tr>
      <w:tr>
        <w:trPr>
          <w:trHeight w:val="218"/>
        </w:trPr>
        <w:tc>
          <w:tcPr>
            <w:tcW w:w="3360" w:type="dxa"/>
            <w:vAlign w:val="bottom"/>
            <w:shd w:val="clear" w:color="auto" w:fill="E9E9E9"/>
          </w:tcPr>
          <w:p>
            <w:pPr>
              <w:spacing w:after="0"/>
              <w:rPr>
                <w:sz w:val="20"/>
                <w:szCs w:val="20"/>
                <w:color w:val="auto"/>
              </w:rPr>
            </w:pPr>
            <w:r>
              <w:rPr>
                <w:rFonts w:ascii="Arial" w:cs="Arial" w:eastAsia="Arial" w:hAnsi="Arial"/>
                <w:sz w:val="17"/>
                <w:szCs w:val="17"/>
                <w:color w:val="auto"/>
              </w:rPr>
              <w:t>R. G. Delagi</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175,000</w:t>
            </w:r>
          </w:p>
        </w:tc>
        <w:tc>
          <w:tcPr>
            <w:tcW w:w="27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(2)</w:t>
            </w:r>
          </w:p>
        </w:tc>
        <w:tc>
          <w:tcPr>
            <w:tcW w:w="81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$32.36</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1/26/2022</w:t>
            </w:r>
          </w:p>
        </w:tc>
        <w:tc>
          <w:tcPr>
            <w:tcW w:w="80" w:type="dxa"/>
            <w:vAlign w:val="bottom"/>
            <w:shd w:val="clear" w:color="auto" w:fill="E9E9E9"/>
          </w:tcPr>
          <w:p>
            <w:pPr>
              <w:spacing w:after="0"/>
              <w:rPr>
                <w:sz w:val="18"/>
                <w:szCs w:val="18"/>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58,334</w:t>
            </w:r>
          </w:p>
        </w:tc>
        <w:tc>
          <w:tcPr>
            <w:tcW w:w="400" w:type="dxa"/>
            <w:vAlign w:val="bottom"/>
            <w:shd w:val="clear" w:color="auto" w:fill="E9E9E9"/>
          </w:tcPr>
          <w:p>
            <w:pPr>
              <w:ind w:left="20"/>
              <w:spacing w:after="0"/>
              <w:rPr>
                <w:sz w:val="20"/>
                <w:szCs w:val="20"/>
                <w:color w:val="auto"/>
              </w:rPr>
            </w:pPr>
            <w:r>
              <w:rPr>
                <w:rFonts w:ascii="Arial" w:cs="Arial" w:eastAsia="Arial" w:hAnsi="Arial"/>
                <w:sz w:val="17"/>
                <w:szCs w:val="17"/>
                <w:color w:val="auto"/>
              </w:rPr>
              <w:t>(6)</w:t>
            </w:r>
          </w:p>
        </w:tc>
        <w:tc>
          <w:tcPr>
            <w:tcW w:w="10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$1,801,937</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33"/>
        </w:trPr>
        <w:tc>
          <w:tcPr>
            <w:tcW w:w="3360" w:type="dxa"/>
            <w:vAlign w:val="bottom"/>
            <w:shd w:val="clear" w:color="auto" w:fill="E9E9E9"/>
          </w:tcPr>
          <w:p>
            <w:pPr>
              <w:spacing w:after="0"/>
              <w:rPr>
                <w:sz w:val="20"/>
                <w:szCs w:val="20"/>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40,625</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121,875</w:t>
            </w:r>
          </w:p>
        </w:tc>
        <w:tc>
          <w:tcPr>
            <w:tcW w:w="27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(3)</w:t>
            </w:r>
          </w:p>
        </w:tc>
        <w:tc>
          <w:tcPr>
            <w:tcW w:w="81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$34.63</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1/27/2021</w:t>
            </w:r>
          </w:p>
        </w:tc>
        <w:tc>
          <w:tcPr>
            <w:tcW w:w="80" w:type="dxa"/>
            <w:vAlign w:val="bottom"/>
            <w:shd w:val="clear" w:color="auto" w:fill="E9E9E9"/>
          </w:tcPr>
          <w:p>
            <w:pPr>
              <w:spacing w:after="0"/>
              <w:rPr>
                <w:sz w:val="20"/>
                <w:szCs w:val="20"/>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54,167</w:t>
            </w:r>
          </w:p>
        </w:tc>
        <w:tc>
          <w:tcPr>
            <w:tcW w:w="400" w:type="dxa"/>
            <w:vAlign w:val="bottom"/>
            <w:shd w:val="clear" w:color="auto" w:fill="E9E9E9"/>
          </w:tcPr>
          <w:p>
            <w:pPr>
              <w:ind w:left="20"/>
              <w:spacing w:after="0"/>
              <w:rPr>
                <w:sz w:val="20"/>
                <w:szCs w:val="20"/>
                <w:color w:val="auto"/>
              </w:rPr>
            </w:pPr>
            <w:r>
              <w:rPr>
                <w:rFonts w:ascii="Arial" w:cs="Arial" w:eastAsia="Arial" w:hAnsi="Arial"/>
                <w:sz w:val="17"/>
                <w:szCs w:val="17"/>
                <w:color w:val="auto"/>
              </w:rPr>
              <w:t>(7)</w:t>
            </w:r>
          </w:p>
        </w:tc>
        <w:tc>
          <w:tcPr>
            <w:tcW w:w="10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$1,673,219</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3360" w:type="dxa"/>
            <w:vAlign w:val="bottom"/>
            <w:shd w:val="clear" w:color="auto" w:fill="E9E9E9"/>
          </w:tcPr>
          <w:p>
            <w:pPr>
              <w:spacing w:after="0"/>
              <w:rPr>
                <w:sz w:val="20"/>
                <w:szCs w:val="20"/>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91,875</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91,875</w:t>
            </w:r>
          </w:p>
        </w:tc>
        <w:tc>
          <w:tcPr>
            <w:tcW w:w="27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(4)</w:t>
            </w:r>
          </w:p>
        </w:tc>
        <w:tc>
          <w:tcPr>
            <w:tcW w:w="81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$23.05</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1/28/2020</w:t>
            </w:r>
          </w:p>
        </w:tc>
        <w:tc>
          <w:tcPr>
            <w:tcW w:w="80" w:type="dxa"/>
            <w:vAlign w:val="bottom"/>
            <w:shd w:val="clear" w:color="auto" w:fill="E9E9E9"/>
          </w:tcPr>
          <w:p>
            <w:pPr>
              <w:spacing w:after="0"/>
              <w:rPr>
                <w:sz w:val="20"/>
                <w:szCs w:val="20"/>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61,251</w:t>
            </w:r>
          </w:p>
        </w:tc>
        <w:tc>
          <w:tcPr>
            <w:tcW w:w="400" w:type="dxa"/>
            <w:vAlign w:val="bottom"/>
            <w:shd w:val="clear" w:color="auto" w:fill="E9E9E9"/>
          </w:tcPr>
          <w:p>
            <w:pPr>
              <w:ind w:left="20"/>
              <w:spacing w:after="0"/>
              <w:rPr>
                <w:sz w:val="20"/>
                <w:szCs w:val="20"/>
                <w:color w:val="auto"/>
              </w:rPr>
            </w:pPr>
            <w:r>
              <w:rPr>
                <w:rFonts w:ascii="Arial" w:cs="Arial" w:eastAsia="Arial" w:hAnsi="Arial"/>
                <w:sz w:val="17"/>
                <w:szCs w:val="17"/>
                <w:color w:val="auto"/>
              </w:rPr>
              <w:t>(8)</w:t>
            </w:r>
          </w:p>
        </w:tc>
        <w:tc>
          <w:tcPr>
            <w:tcW w:w="10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$1,892,043</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33"/>
        </w:trPr>
        <w:tc>
          <w:tcPr>
            <w:tcW w:w="3360" w:type="dxa"/>
            <w:vAlign w:val="bottom"/>
            <w:shd w:val="clear" w:color="auto" w:fill="E9E9E9"/>
          </w:tcPr>
          <w:p>
            <w:pPr>
              <w:spacing w:after="0"/>
              <w:rPr>
                <w:sz w:val="20"/>
                <w:szCs w:val="20"/>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80,000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55,000</w:t>
            </w:r>
          </w:p>
        </w:tc>
        <w:tc>
          <w:tcPr>
            <w:tcW w:w="27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(5)</w:t>
            </w:r>
          </w:p>
        </w:tc>
        <w:tc>
          <w:tcPr>
            <w:tcW w:w="81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$14.95</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1/29/2019</w:t>
            </w:r>
          </w:p>
        </w:tc>
        <w:tc>
          <w:tcPr>
            <w:tcW w:w="80" w:type="dxa"/>
            <w:vAlign w:val="bottom"/>
            <w:shd w:val="clear" w:color="auto" w:fill="E9E9E9"/>
          </w:tcPr>
          <w:p>
            <w:pPr>
              <w:spacing w:after="0"/>
              <w:rPr>
                <w:sz w:val="20"/>
                <w:szCs w:val="20"/>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73,334</w:t>
            </w:r>
          </w:p>
        </w:tc>
        <w:tc>
          <w:tcPr>
            <w:tcW w:w="400" w:type="dxa"/>
            <w:vAlign w:val="bottom"/>
            <w:shd w:val="clear" w:color="auto" w:fill="E9E9E9"/>
          </w:tcPr>
          <w:p>
            <w:pPr>
              <w:ind w:left="20"/>
              <w:spacing w:after="0"/>
              <w:rPr>
                <w:sz w:val="20"/>
                <w:szCs w:val="20"/>
                <w:color w:val="auto"/>
              </w:rPr>
            </w:pPr>
            <w:r>
              <w:rPr>
                <w:rFonts w:ascii="Arial" w:cs="Arial" w:eastAsia="Arial" w:hAnsi="Arial"/>
                <w:sz w:val="17"/>
                <w:szCs w:val="17"/>
                <w:color w:val="auto"/>
              </w:rPr>
              <w:t>(9)</w:t>
            </w:r>
          </w:p>
        </w:tc>
        <w:tc>
          <w:tcPr>
            <w:tcW w:w="10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$2,265,287</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47"/>
        </w:trPr>
        <w:tc>
          <w:tcPr>
            <w:tcW w:w="3360" w:type="dxa"/>
            <w:vAlign w:val="bottom"/>
            <w:shd w:val="clear" w:color="auto" w:fill="E9E9E9"/>
          </w:tcPr>
          <w:p>
            <w:pPr>
              <w:spacing w:after="0"/>
              <w:rPr>
                <w:sz w:val="21"/>
                <w:szCs w:val="21"/>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20,000</w:t>
            </w:r>
          </w:p>
        </w:tc>
        <w:tc>
          <w:tcPr>
            <w:tcW w:w="7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270" w:type="dxa"/>
            <w:vAlign w:val="bottom"/>
            <w:shd w:val="clear" w:color="auto" w:fill="E9E9E9"/>
          </w:tcPr>
          <w:p>
            <w:pPr>
              <w:spacing w:after="0"/>
              <w:rPr>
                <w:sz w:val="21"/>
                <w:szCs w:val="21"/>
                <w:color w:val="auto"/>
              </w:rPr>
            </w:pPr>
          </w:p>
        </w:tc>
        <w:tc>
          <w:tcPr>
            <w:tcW w:w="81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$29.79</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1/25/2018</w:t>
            </w:r>
          </w:p>
        </w:tc>
        <w:tc>
          <w:tcPr>
            <w:tcW w:w="80" w:type="dxa"/>
            <w:vAlign w:val="bottom"/>
            <w:shd w:val="clear" w:color="auto" w:fill="E9E9E9"/>
          </w:tcPr>
          <w:p>
            <w:pPr>
              <w:spacing w:after="0"/>
              <w:rPr>
                <w:sz w:val="21"/>
                <w:szCs w:val="21"/>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50,000</w:t>
            </w:r>
          </w:p>
        </w:tc>
        <w:tc>
          <w:tcPr>
            <w:tcW w:w="400" w:type="dxa"/>
            <w:vAlign w:val="bottom"/>
            <w:shd w:val="clear" w:color="auto" w:fill="E9E9E9"/>
          </w:tcPr>
          <w:p>
            <w:pPr>
              <w:ind w:left="20"/>
              <w:spacing w:after="0"/>
              <w:rPr>
                <w:sz w:val="20"/>
                <w:szCs w:val="20"/>
                <w:color w:val="auto"/>
              </w:rPr>
            </w:pPr>
            <w:r>
              <w:rPr>
                <w:rFonts w:ascii="Arial" w:cs="Arial" w:eastAsia="Arial" w:hAnsi="Arial"/>
                <w:sz w:val="17"/>
                <w:szCs w:val="17"/>
                <w:color w:val="auto"/>
              </w:rPr>
              <w:t>(10)</w:t>
            </w:r>
          </w:p>
        </w:tc>
        <w:tc>
          <w:tcPr>
            <w:tcW w:w="10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$1,544,500</w:t>
            </w:r>
          </w:p>
        </w:tc>
        <w:tc>
          <w:tcPr>
            <w:tcW w:w="8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1"/>
                <w:szCs w:val="21"/>
                <w:color w:val="auto"/>
              </w:rPr>
            </w:pPr>
          </w:p>
        </w:tc>
      </w:tr>
      <w:tr>
        <w:trPr>
          <w:trHeight w:val="426"/>
        </w:trPr>
        <w:tc>
          <w:tcPr>
            <w:tcW w:w="3360" w:type="dxa"/>
            <w:vAlign w:val="bottom"/>
          </w:tcPr>
          <w:p>
            <w:pPr>
              <w:spacing w:after="0"/>
              <w:rPr>
                <w:sz w:val="20"/>
                <w:szCs w:val="20"/>
                <w:color w:val="auto"/>
              </w:rPr>
            </w:pPr>
            <w:r>
              <w:rPr>
                <w:rFonts w:ascii="Arial" w:cs="Arial" w:eastAsia="Arial" w:hAnsi="Arial"/>
                <w:sz w:val="13"/>
                <w:szCs w:val="13"/>
                <w:b w:val="1"/>
                <w:bCs w:val="1"/>
                <w:color w:val="808285"/>
              </w:rPr>
              <w:t>TEXAS INSTRUMENTS</w:t>
            </w: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0" w:type="dxa"/>
            <w:vAlign w:val="bottom"/>
          </w:tcPr>
          <w:p>
            <w:pPr>
              <w:spacing w:after="0"/>
              <w:rPr>
                <w:sz w:val="24"/>
                <w:szCs w:val="24"/>
                <w:color w:val="auto"/>
              </w:rPr>
            </w:pPr>
          </w:p>
        </w:tc>
        <w:tc>
          <w:tcPr>
            <w:tcW w:w="81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40" w:type="dxa"/>
            <w:vAlign w:val="bottom"/>
            <w:gridSpan w:val="4"/>
          </w:tcPr>
          <w:p>
            <w:pPr>
              <w:ind w:left="800"/>
              <w:spacing w:after="0"/>
              <w:rPr>
                <w:sz w:val="20"/>
                <w:szCs w:val="20"/>
                <w:color w:val="auto"/>
              </w:rPr>
            </w:pPr>
            <w:r>
              <w:rPr>
                <w:rFonts w:ascii="Arial" w:cs="Arial" w:eastAsia="Arial" w:hAnsi="Arial"/>
                <w:sz w:val="13"/>
                <w:szCs w:val="13"/>
                <w:b w:val="1"/>
                <w:bCs w:val="1"/>
                <w:color w:val="808285"/>
              </w:rPr>
              <w:t>2013 PROXY STATEMENT •  83</w:t>
            </w:r>
          </w:p>
        </w:tc>
      </w:tr>
      <w:tr>
        <w:trPr>
          <w:trHeight w:val="385"/>
        </w:trPr>
        <w:tc>
          <w:tcPr>
            <w:tcW w:w="33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70" w:type="dxa"/>
            <w:vAlign w:val="bottom"/>
            <w:tcBorders>
              <w:bottom w:val="single" w:sz="8" w:color="808080"/>
            </w:tcBorders>
          </w:tcPr>
          <w:p>
            <w:pPr>
              <w:spacing w:after="0"/>
              <w:rPr>
                <w:sz w:val="24"/>
                <w:szCs w:val="24"/>
                <w:color w:val="auto"/>
              </w:rPr>
            </w:pPr>
          </w:p>
        </w:tc>
        <w:tc>
          <w:tcPr>
            <w:tcW w:w="81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562" w:right="19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Outstanding equity awards at fiscal year-end 2012 (continued)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Option Awards</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gridSpan w:val="2"/>
          </w:tcPr>
          <w:p>
            <w:pPr>
              <w:ind w:left="420"/>
              <w:spacing w:after="0"/>
              <w:rPr>
                <w:sz w:val="20"/>
                <w:szCs w:val="20"/>
                <w:color w:val="auto"/>
              </w:rPr>
            </w:pPr>
            <w:r>
              <w:rPr>
                <w:rFonts w:ascii="Arial" w:cs="Arial" w:eastAsia="Arial" w:hAnsi="Arial"/>
                <w:sz w:val="13"/>
                <w:szCs w:val="13"/>
                <w:b w:val="1"/>
                <w:bCs w:val="1"/>
                <w:color w:val="auto"/>
              </w:rPr>
              <w:t>Stock Awards</w:t>
            </w:r>
          </w:p>
        </w:tc>
        <w:tc>
          <w:tcPr>
            <w:tcW w:w="880" w:type="dxa"/>
            <w:vAlign w:val="bottom"/>
          </w:tcPr>
          <w:p>
            <w:pPr>
              <w:spacing w:after="0"/>
              <w:rPr>
                <w:sz w:val="14"/>
                <w:szCs w:val="14"/>
                <w:color w:val="auto"/>
              </w:rPr>
            </w:pPr>
          </w:p>
        </w:tc>
      </w:tr>
      <w:tr>
        <w:trPr>
          <w:trHeight w:val="40"/>
        </w:trPr>
        <w:tc>
          <w:tcPr>
            <w:tcW w:w="3280" w:type="dxa"/>
            <w:vAlign w:val="bottom"/>
          </w:tcPr>
          <w:p>
            <w:pPr>
              <w:spacing w:after="0"/>
              <w:rPr>
                <w:sz w:val="3"/>
                <w:szCs w:val="3"/>
                <w:color w:val="auto"/>
              </w:rPr>
            </w:pPr>
          </w:p>
        </w:tc>
        <w:tc>
          <w:tcPr>
            <w:tcW w:w="880" w:type="dxa"/>
            <w:vAlign w:val="bottom"/>
            <w:tcBorders>
              <w:bottom w:val="single" w:sz="8" w:color="808285"/>
            </w:tcBorders>
          </w:tcPr>
          <w:p>
            <w:pPr>
              <w:spacing w:after="0"/>
              <w:rPr>
                <w:sz w:val="3"/>
                <w:szCs w:val="3"/>
                <w:color w:val="auto"/>
              </w:rPr>
            </w:pPr>
          </w:p>
        </w:tc>
        <w:tc>
          <w:tcPr>
            <w:tcW w:w="740" w:type="dxa"/>
            <w:vAlign w:val="bottom"/>
            <w:tcBorders>
              <w:bottom w:val="single" w:sz="8" w:color="808285"/>
            </w:tcBorders>
          </w:tcPr>
          <w:p>
            <w:pPr>
              <w:spacing w:after="0"/>
              <w:rPr>
                <w:sz w:val="3"/>
                <w:szCs w:val="3"/>
                <w:color w:val="auto"/>
              </w:rPr>
            </w:pPr>
          </w:p>
        </w:tc>
        <w:tc>
          <w:tcPr>
            <w:tcW w:w="290" w:type="dxa"/>
            <w:vAlign w:val="bottom"/>
            <w:tcBorders>
              <w:bottom w:val="single" w:sz="8" w:color="808285"/>
            </w:tcBorders>
          </w:tcPr>
          <w:p>
            <w:pPr>
              <w:spacing w:after="0"/>
              <w:rPr>
                <w:sz w:val="3"/>
                <w:szCs w:val="3"/>
                <w:color w:val="auto"/>
              </w:rPr>
            </w:pPr>
          </w:p>
        </w:tc>
        <w:tc>
          <w:tcPr>
            <w:tcW w:w="830" w:type="dxa"/>
            <w:vAlign w:val="bottom"/>
            <w:tcBorders>
              <w:bottom w:val="single" w:sz="8" w:color="808285"/>
            </w:tcBorders>
          </w:tcPr>
          <w:p>
            <w:pPr>
              <w:spacing w:after="0"/>
              <w:rPr>
                <w:sz w:val="3"/>
                <w:szCs w:val="3"/>
                <w:color w:val="auto"/>
              </w:rPr>
            </w:pPr>
          </w:p>
        </w:tc>
        <w:tc>
          <w:tcPr>
            <w:tcW w:w="720" w:type="dxa"/>
            <w:vAlign w:val="bottom"/>
            <w:tcBorders>
              <w:bottom w:val="single" w:sz="8" w:color="808285"/>
            </w:tcBorders>
          </w:tcPr>
          <w:p>
            <w:pPr>
              <w:spacing w:after="0"/>
              <w:rPr>
                <w:sz w:val="3"/>
                <w:szCs w:val="3"/>
                <w:color w:val="auto"/>
              </w:rPr>
            </w:pPr>
          </w:p>
        </w:tc>
        <w:tc>
          <w:tcPr>
            <w:tcW w:w="840" w:type="dxa"/>
            <w:vAlign w:val="bottom"/>
            <w:tcBorders>
              <w:bottom w:val="single" w:sz="8" w:color="808285"/>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808285"/>
            </w:tcBorders>
          </w:tcPr>
          <w:p>
            <w:pPr>
              <w:spacing w:after="0"/>
              <w:rPr>
                <w:sz w:val="3"/>
                <w:szCs w:val="3"/>
                <w:color w:val="auto"/>
              </w:rPr>
            </w:pPr>
          </w:p>
        </w:tc>
        <w:tc>
          <w:tcPr>
            <w:tcW w:w="340" w:type="dxa"/>
            <w:vAlign w:val="bottom"/>
            <w:tcBorders>
              <w:bottom w:val="single" w:sz="8" w:color="808285"/>
            </w:tcBorders>
          </w:tcPr>
          <w:p>
            <w:pPr>
              <w:spacing w:after="0"/>
              <w:rPr>
                <w:sz w:val="3"/>
                <w:szCs w:val="3"/>
                <w:color w:val="auto"/>
              </w:rPr>
            </w:pPr>
          </w:p>
        </w:tc>
        <w:tc>
          <w:tcPr>
            <w:tcW w:w="1040" w:type="dxa"/>
            <w:vAlign w:val="bottom"/>
            <w:tcBorders>
              <w:bottom w:val="single" w:sz="8" w:color="808285"/>
            </w:tcBorders>
          </w:tcPr>
          <w:p>
            <w:pPr>
              <w:spacing w:after="0"/>
              <w:rPr>
                <w:sz w:val="3"/>
                <w:szCs w:val="3"/>
                <w:color w:val="auto"/>
              </w:rPr>
            </w:pPr>
          </w:p>
        </w:tc>
        <w:tc>
          <w:tcPr>
            <w:tcW w:w="800" w:type="dxa"/>
            <w:vAlign w:val="bottom"/>
            <w:tcBorders>
              <w:bottom w:val="single" w:sz="8" w:color="808285"/>
            </w:tcBorders>
          </w:tcPr>
          <w:p>
            <w:pPr>
              <w:spacing w:after="0"/>
              <w:rPr>
                <w:sz w:val="3"/>
                <w:szCs w:val="3"/>
                <w:color w:val="auto"/>
              </w:rPr>
            </w:pPr>
          </w:p>
        </w:tc>
        <w:tc>
          <w:tcPr>
            <w:tcW w:w="880" w:type="dxa"/>
            <w:vAlign w:val="bottom"/>
            <w:tcBorders>
              <w:bottom w:val="single" w:sz="8" w:color="808285"/>
            </w:tcBorders>
          </w:tcPr>
          <w:p>
            <w:pPr>
              <w:spacing w:after="0"/>
              <w:rPr>
                <w:sz w:val="3"/>
                <w:szCs w:val="3"/>
                <w:color w:val="auto"/>
              </w:rPr>
            </w:pPr>
          </w:p>
        </w:tc>
      </w:tr>
      <w:tr>
        <w:trPr>
          <w:trHeight w:val="186"/>
        </w:trPr>
        <w:tc>
          <w:tcPr>
            <w:tcW w:w="3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90" w:type="dxa"/>
            <w:vAlign w:val="bottom"/>
          </w:tcPr>
          <w:p>
            <w:pPr>
              <w:spacing w:after="0"/>
              <w:rPr>
                <w:sz w:val="16"/>
                <w:szCs w:val="16"/>
                <w:color w:val="auto"/>
              </w:rPr>
            </w:pPr>
          </w:p>
        </w:tc>
        <w:tc>
          <w:tcPr>
            <w:tcW w:w="83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880" w:type="dxa"/>
            <w:vAlign w:val="bottom"/>
          </w:tcPr>
          <w:p>
            <w:pPr>
              <w:spacing w:after="0"/>
              <w:rPr>
                <w:sz w:val="16"/>
                <w:szCs w:val="16"/>
                <w:color w:val="auto"/>
              </w:rPr>
            </w:pPr>
          </w:p>
        </w:tc>
      </w:tr>
      <w:tr>
        <w:trPr>
          <w:trHeight w:val="233"/>
        </w:trPr>
        <w:tc>
          <w:tcPr>
            <w:tcW w:w="3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90" w:type="dxa"/>
            <w:vAlign w:val="bottom"/>
          </w:tcPr>
          <w:p>
            <w:pPr>
              <w:spacing w:after="0"/>
              <w:rPr>
                <w:sz w:val="20"/>
                <w:szCs w:val="20"/>
                <w:color w:val="auto"/>
              </w:rPr>
            </w:pPr>
          </w:p>
        </w:tc>
        <w:tc>
          <w:tcPr>
            <w:tcW w:w="83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Incentive</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r>
      <w:tr>
        <w:trPr>
          <w:trHeight w:val="233"/>
        </w:trPr>
        <w:tc>
          <w:tcPr>
            <w:tcW w:w="3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90" w:type="dxa"/>
            <w:vAlign w:val="bottom"/>
          </w:tcPr>
          <w:p>
            <w:pPr>
              <w:spacing w:after="0"/>
              <w:rPr>
                <w:sz w:val="20"/>
                <w:szCs w:val="20"/>
                <w:color w:val="auto"/>
              </w:rPr>
            </w:pPr>
          </w:p>
        </w:tc>
        <w:tc>
          <w:tcPr>
            <w:tcW w:w="83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Plan</w:t>
            </w:r>
          </w:p>
        </w:tc>
        <w:tc>
          <w:tcPr>
            <w:tcW w:w="880" w:type="dxa"/>
            <w:vAlign w:val="bottom"/>
          </w:tcPr>
          <w:p>
            <w:pPr>
              <w:jc w:val="center"/>
              <w:ind w:left="7"/>
              <w:spacing w:after="0"/>
              <w:rPr>
                <w:sz w:val="20"/>
                <w:szCs w:val="20"/>
                <w:color w:val="auto"/>
              </w:rPr>
            </w:pPr>
            <w:r>
              <w:rPr>
                <w:rFonts w:ascii="Arial" w:cs="Arial" w:eastAsia="Arial" w:hAnsi="Arial"/>
                <w:sz w:val="13"/>
                <w:szCs w:val="13"/>
                <w:b w:val="1"/>
                <w:bCs w:val="1"/>
                <w:color w:val="auto"/>
                <w:w w:val="99"/>
              </w:rPr>
              <w:t>Incentive</w:t>
            </w:r>
          </w:p>
        </w:tc>
      </w:tr>
      <w:tr>
        <w:trPr>
          <w:trHeight w:val="233"/>
        </w:trPr>
        <w:tc>
          <w:tcPr>
            <w:tcW w:w="3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90" w:type="dxa"/>
            <w:vAlign w:val="bottom"/>
          </w:tcPr>
          <w:p>
            <w:pPr>
              <w:spacing w:after="0"/>
              <w:rPr>
                <w:sz w:val="20"/>
                <w:szCs w:val="20"/>
                <w:color w:val="auto"/>
              </w:rPr>
            </w:pPr>
          </w:p>
        </w:tc>
        <w:tc>
          <w:tcPr>
            <w:tcW w:w="830" w:type="dxa"/>
            <w:vAlign w:val="bottom"/>
          </w:tcPr>
          <w:p>
            <w:pPr>
              <w:jc w:val="center"/>
              <w:spacing w:after="0"/>
              <w:rPr>
                <w:sz w:val="20"/>
                <w:szCs w:val="20"/>
                <w:color w:val="auto"/>
              </w:rPr>
            </w:pPr>
            <w:r>
              <w:rPr>
                <w:rFonts w:ascii="Arial" w:cs="Arial" w:eastAsia="Arial" w:hAnsi="Arial"/>
                <w:sz w:val="13"/>
                <w:szCs w:val="13"/>
                <w:b w:val="1"/>
                <w:bCs w:val="1"/>
                <w:color w:val="auto"/>
                <w:w w:val="99"/>
              </w:rPr>
              <w:t>Incentive</w:t>
            </w: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9"/>
              </w:rPr>
              <w:t>Plan Awards:</w:t>
            </w:r>
          </w:p>
        </w:tc>
      </w:tr>
      <w:tr>
        <w:trPr>
          <w:trHeight w:val="233"/>
        </w:trPr>
        <w:tc>
          <w:tcPr>
            <w:tcW w:w="3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90" w:type="dxa"/>
            <w:vAlign w:val="bottom"/>
          </w:tcPr>
          <w:p>
            <w:pPr>
              <w:spacing w:after="0"/>
              <w:rPr>
                <w:sz w:val="20"/>
                <w:szCs w:val="20"/>
                <w:color w:val="auto"/>
              </w:rPr>
            </w:pPr>
          </w:p>
        </w:tc>
        <w:tc>
          <w:tcPr>
            <w:tcW w:w="830" w:type="dxa"/>
            <w:vAlign w:val="bottom"/>
          </w:tcPr>
          <w:p>
            <w:pPr>
              <w:jc w:val="center"/>
              <w:spacing w:after="0"/>
              <w:rPr>
                <w:sz w:val="20"/>
                <w:szCs w:val="20"/>
                <w:color w:val="auto"/>
              </w:rPr>
            </w:pPr>
            <w:r>
              <w:rPr>
                <w:rFonts w:ascii="Arial" w:cs="Arial" w:eastAsia="Arial" w:hAnsi="Arial"/>
                <w:sz w:val="13"/>
                <w:szCs w:val="13"/>
                <w:b w:val="1"/>
                <w:bCs w:val="1"/>
                <w:color w:val="auto"/>
              </w:rPr>
              <w:t>Plan</w:t>
            </w: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9"/>
              </w:rPr>
              <w:t>Market or</w:t>
            </w:r>
          </w:p>
        </w:tc>
      </w:tr>
      <w:tr>
        <w:trPr>
          <w:trHeight w:val="233"/>
        </w:trPr>
        <w:tc>
          <w:tcPr>
            <w:tcW w:w="3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90" w:type="dxa"/>
            <w:vAlign w:val="bottom"/>
          </w:tcPr>
          <w:p>
            <w:pPr>
              <w:spacing w:after="0"/>
              <w:rPr>
                <w:sz w:val="20"/>
                <w:szCs w:val="20"/>
                <w:color w:val="auto"/>
              </w:rPr>
            </w:pPr>
          </w:p>
        </w:tc>
        <w:tc>
          <w:tcPr>
            <w:tcW w:w="83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Unearned</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Payout Value</w:t>
            </w:r>
          </w:p>
        </w:tc>
      </w:tr>
      <w:tr>
        <w:trPr>
          <w:trHeight w:val="233"/>
        </w:trPr>
        <w:tc>
          <w:tcPr>
            <w:tcW w:w="3280" w:type="dxa"/>
            <w:vAlign w:val="bottom"/>
          </w:tcPr>
          <w:p>
            <w:pPr>
              <w:spacing w:after="0"/>
              <w:rPr>
                <w:sz w:val="20"/>
                <w:szCs w:val="20"/>
                <w:color w:val="auto"/>
              </w:rPr>
            </w:pPr>
          </w:p>
        </w:tc>
        <w:tc>
          <w:tcPr>
            <w:tcW w:w="880" w:type="dxa"/>
            <w:vAlign w:val="bottom"/>
          </w:tcPr>
          <w:p>
            <w:pPr>
              <w:jc w:val="center"/>
              <w:ind w:right="44"/>
              <w:spacing w:after="0"/>
              <w:rPr>
                <w:sz w:val="20"/>
                <w:szCs w:val="20"/>
                <w:color w:val="auto"/>
              </w:rPr>
            </w:pPr>
            <w:r>
              <w:rPr>
                <w:rFonts w:ascii="Arial" w:cs="Arial" w:eastAsia="Arial" w:hAnsi="Arial"/>
                <w:sz w:val="13"/>
                <w:szCs w:val="13"/>
                <w:b w:val="1"/>
                <w:bCs w:val="1"/>
                <w:color w:val="auto"/>
                <w:w w:val="98"/>
              </w:rPr>
              <w:t>Number of</w:t>
            </w:r>
          </w:p>
        </w:tc>
        <w:tc>
          <w:tcPr>
            <w:tcW w:w="103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830" w:type="dxa"/>
            <w:vAlign w:val="bottom"/>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7"/>
              </w:rPr>
              <w:t>Market Value</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Shares,</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of Unearned</w:t>
            </w:r>
          </w:p>
        </w:tc>
      </w:tr>
      <w:tr>
        <w:trPr>
          <w:trHeight w:val="233"/>
        </w:trPr>
        <w:tc>
          <w:tcPr>
            <w:tcW w:w="3280" w:type="dxa"/>
            <w:vAlign w:val="bottom"/>
          </w:tcPr>
          <w:p>
            <w:pPr>
              <w:spacing w:after="0"/>
              <w:rPr>
                <w:sz w:val="20"/>
                <w:szCs w:val="20"/>
                <w:color w:val="auto"/>
              </w:rPr>
            </w:pPr>
          </w:p>
        </w:tc>
        <w:tc>
          <w:tcPr>
            <w:tcW w:w="880" w:type="dxa"/>
            <w:vAlign w:val="bottom"/>
          </w:tcPr>
          <w:p>
            <w:pPr>
              <w:jc w:val="center"/>
              <w:ind w:right="44"/>
              <w:spacing w:after="0"/>
              <w:rPr>
                <w:sz w:val="20"/>
                <w:szCs w:val="20"/>
                <w:color w:val="auto"/>
              </w:rPr>
            </w:pPr>
            <w:r>
              <w:rPr>
                <w:rFonts w:ascii="Arial" w:cs="Arial" w:eastAsia="Arial" w:hAnsi="Arial"/>
                <w:sz w:val="13"/>
                <w:szCs w:val="13"/>
                <w:b w:val="1"/>
                <w:bCs w:val="1"/>
                <w:color w:val="auto"/>
                <w:w w:val="96"/>
              </w:rPr>
              <w:t>Securities</w:t>
            </w:r>
          </w:p>
        </w:tc>
        <w:tc>
          <w:tcPr>
            <w:tcW w:w="103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Securities</w:t>
            </w:r>
          </w:p>
        </w:tc>
        <w:tc>
          <w:tcPr>
            <w:tcW w:w="830" w:type="dxa"/>
            <w:vAlign w:val="bottom"/>
          </w:tcPr>
          <w:p>
            <w:pPr>
              <w:jc w:val="center"/>
              <w:spacing w:after="0"/>
              <w:rPr>
                <w:sz w:val="20"/>
                <w:szCs w:val="20"/>
                <w:color w:val="auto"/>
              </w:rPr>
            </w:pPr>
            <w:r>
              <w:rPr>
                <w:rFonts w:ascii="Arial" w:cs="Arial" w:eastAsia="Arial" w:hAnsi="Arial"/>
                <w:sz w:val="13"/>
                <w:szCs w:val="13"/>
                <w:b w:val="1"/>
                <w:bCs w:val="1"/>
                <w:color w:val="auto"/>
                <w:w w:val="99"/>
              </w:rPr>
              <w:t>Securities</w:t>
            </w: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rPr>
              <w:t>of Shares or</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7"/>
              </w:rPr>
              <w:t>Units or</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8"/>
              </w:rPr>
              <w:t>Shares, Units</w:t>
            </w:r>
          </w:p>
        </w:tc>
      </w:tr>
      <w:tr>
        <w:trPr>
          <w:trHeight w:val="233"/>
        </w:trPr>
        <w:tc>
          <w:tcPr>
            <w:tcW w:w="3280" w:type="dxa"/>
            <w:vAlign w:val="bottom"/>
          </w:tcPr>
          <w:p>
            <w:pPr>
              <w:spacing w:after="0"/>
              <w:rPr>
                <w:sz w:val="20"/>
                <w:szCs w:val="20"/>
                <w:color w:val="auto"/>
              </w:rPr>
            </w:pPr>
          </w:p>
        </w:tc>
        <w:tc>
          <w:tcPr>
            <w:tcW w:w="880" w:type="dxa"/>
            <w:vAlign w:val="bottom"/>
          </w:tcPr>
          <w:p>
            <w:pPr>
              <w:jc w:val="center"/>
              <w:ind w:right="44"/>
              <w:spacing w:after="0"/>
              <w:rPr>
                <w:sz w:val="20"/>
                <w:szCs w:val="20"/>
                <w:color w:val="auto"/>
              </w:rPr>
            </w:pPr>
            <w:r>
              <w:rPr>
                <w:rFonts w:ascii="Arial" w:cs="Arial" w:eastAsia="Arial" w:hAnsi="Arial"/>
                <w:sz w:val="13"/>
                <w:szCs w:val="13"/>
                <w:b w:val="1"/>
                <w:bCs w:val="1"/>
                <w:color w:val="auto"/>
              </w:rPr>
              <w:t>Underlying</w:t>
            </w:r>
          </w:p>
        </w:tc>
        <w:tc>
          <w:tcPr>
            <w:tcW w:w="1030" w:type="dxa"/>
            <w:vAlign w:val="bottom"/>
            <w:gridSpan w:val="2"/>
          </w:tcPr>
          <w:p>
            <w:pPr>
              <w:jc w:val="center"/>
              <w:spacing w:after="0"/>
              <w:rPr>
                <w:sz w:val="20"/>
                <w:szCs w:val="20"/>
                <w:color w:val="auto"/>
              </w:rPr>
            </w:pPr>
            <w:r>
              <w:rPr>
                <w:rFonts w:ascii="Arial" w:cs="Arial" w:eastAsia="Arial" w:hAnsi="Arial"/>
                <w:sz w:val="13"/>
                <w:szCs w:val="13"/>
                <w:b w:val="1"/>
                <w:bCs w:val="1"/>
                <w:color w:val="auto"/>
              </w:rPr>
              <w:t>Underlying</w:t>
            </w:r>
          </w:p>
        </w:tc>
        <w:tc>
          <w:tcPr>
            <w:tcW w:w="830" w:type="dxa"/>
            <w:vAlign w:val="bottom"/>
          </w:tcPr>
          <w:p>
            <w:pPr>
              <w:jc w:val="center"/>
              <w:spacing w:after="0"/>
              <w:rPr>
                <w:sz w:val="20"/>
                <w:szCs w:val="20"/>
                <w:color w:val="auto"/>
              </w:rPr>
            </w:pPr>
            <w:r>
              <w:rPr>
                <w:rFonts w:ascii="Arial" w:cs="Arial" w:eastAsia="Arial" w:hAnsi="Arial"/>
                <w:sz w:val="13"/>
                <w:szCs w:val="13"/>
                <w:b w:val="1"/>
                <w:bCs w:val="1"/>
                <w:color w:val="auto"/>
              </w:rPr>
              <w:t>Underlying</w:t>
            </w: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Shares or</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8"/>
              </w:rPr>
              <w:t>Units of Stock</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Other</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or Other</w:t>
            </w:r>
          </w:p>
        </w:tc>
      </w:tr>
      <w:tr>
        <w:trPr>
          <w:trHeight w:val="233"/>
        </w:trPr>
        <w:tc>
          <w:tcPr>
            <w:tcW w:w="3280" w:type="dxa"/>
            <w:vAlign w:val="bottom"/>
          </w:tcPr>
          <w:p>
            <w:pPr>
              <w:spacing w:after="0"/>
              <w:rPr>
                <w:sz w:val="20"/>
                <w:szCs w:val="20"/>
                <w:color w:val="auto"/>
              </w:rPr>
            </w:pPr>
          </w:p>
        </w:tc>
        <w:tc>
          <w:tcPr>
            <w:tcW w:w="880" w:type="dxa"/>
            <w:vAlign w:val="bottom"/>
          </w:tcPr>
          <w:p>
            <w:pPr>
              <w:jc w:val="center"/>
              <w:ind w:right="44"/>
              <w:spacing w:after="0"/>
              <w:rPr>
                <w:sz w:val="20"/>
                <w:szCs w:val="20"/>
                <w:color w:val="auto"/>
              </w:rPr>
            </w:pPr>
            <w:r>
              <w:rPr>
                <w:rFonts w:ascii="Arial" w:cs="Arial" w:eastAsia="Arial" w:hAnsi="Arial"/>
                <w:sz w:val="13"/>
                <w:szCs w:val="13"/>
                <w:b w:val="1"/>
                <w:bCs w:val="1"/>
                <w:color w:val="auto"/>
                <w:w w:val="98"/>
              </w:rPr>
              <w:t>Unexercised</w:t>
            </w:r>
          </w:p>
        </w:tc>
        <w:tc>
          <w:tcPr>
            <w:tcW w:w="103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Unexercised</w:t>
            </w:r>
          </w:p>
        </w:tc>
        <w:tc>
          <w:tcPr>
            <w:tcW w:w="830" w:type="dxa"/>
            <w:vAlign w:val="bottom"/>
          </w:tcPr>
          <w:p>
            <w:pPr>
              <w:jc w:val="center"/>
              <w:spacing w:after="0"/>
              <w:rPr>
                <w:sz w:val="20"/>
                <w:szCs w:val="20"/>
                <w:color w:val="auto"/>
              </w:rPr>
            </w:pPr>
            <w:r>
              <w:rPr>
                <w:rFonts w:ascii="Arial" w:cs="Arial" w:eastAsia="Arial" w:hAnsi="Arial"/>
                <w:sz w:val="13"/>
                <w:szCs w:val="13"/>
                <w:b w:val="1"/>
                <w:bCs w:val="1"/>
                <w:color w:val="auto"/>
                <w:w w:val="98"/>
              </w:rPr>
              <w:t>Unexercised</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9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5"/>
              </w:rPr>
              <w:t>Option</w:t>
            </w: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rPr>
              <w:t>Units of Stock</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8"/>
              </w:rPr>
              <w:t>That Have Not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Rights That</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Rights That</w:t>
            </w:r>
          </w:p>
        </w:tc>
      </w:tr>
      <w:tr>
        <w:trPr>
          <w:trHeight w:val="233"/>
        </w:trPr>
        <w:tc>
          <w:tcPr>
            <w:tcW w:w="3280" w:type="dxa"/>
            <w:vAlign w:val="bottom"/>
          </w:tcPr>
          <w:p>
            <w:pPr>
              <w:spacing w:after="0"/>
              <w:rPr>
                <w:sz w:val="20"/>
                <w:szCs w:val="20"/>
                <w:color w:val="auto"/>
              </w:rPr>
            </w:pPr>
          </w:p>
        </w:tc>
        <w:tc>
          <w:tcPr>
            <w:tcW w:w="880" w:type="dxa"/>
            <w:vAlign w:val="bottom"/>
          </w:tcPr>
          <w:p>
            <w:pPr>
              <w:jc w:val="center"/>
              <w:ind w:right="44"/>
              <w:spacing w:after="0"/>
              <w:rPr>
                <w:sz w:val="20"/>
                <w:szCs w:val="20"/>
                <w:color w:val="auto"/>
              </w:rPr>
            </w:pPr>
            <w:r>
              <w:rPr>
                <w:rFonts w:ascii="Arial" w:cs="Arial" w:eastAsia="Arial" w:hAnsi="Arial"/>
                <w:sz w:val="13"/>
                <w:szCs w:val="13"/>
                <w:b w:val="1"/>
                <w:bCs w:val="1"/>
                <w:color w:val="auto"/>
                <w:w w:val="99"/>
              </w:rPr>
              <w:t>Options (#)</w:t>
            </w:r>
          </w:p>
        </w:tc>
        <w:tc>
          <w:tcPr>
            <w:tcW w:w="103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Options (#)</w:t>
            </w:r>
          </w:p>
        </w:tc>
        <w:tc>
          <w:tcPr>
            <w:tcW w:w="830" w:type="dxa"/>
            <w:vAlign w:val="bottom"/>
          </w:tcPr>
          <w:p>
            <w:pPr>
              <w:jc w:val="center"/>
              <w:spacing w:after="0"/>
              <w:rPr>
                <w:sz w:val="20"/>
                <w:szCs w:val="20"/>
                <w:color w:val="auto"/>
              </w:rPr>
            </w:pPr>
            <w:r>
              <w:rPr>
                <w:rFonts w:ascii="Arial" w:cs="Arial" w:eastAsia="Arial" w:hAnsi="Arial"/>
                <w:sz w:val="13"/>
                <w:szCs w:val="13"/>
                <w:b w:val="1"/>
                <w:bCs w:val="1"/>
                <w:color w:val="auto"/>
                <w:w w:val="99"/>
              </w:rPr>
              <w:t>Unearned</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Exercise</w:t>
            </w:r>
          </w:p>
        </w:tc>
        <w:tc>
          <w:tcPr>
            <w:tcW w:w="9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Expiration</w:t>
            </w: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rPr>
              <w:t>That Have Not</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8"/>
              </w:rPr>
              <w:t>Vested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Have Not</w:t>
            </w:r>
          </w:p>
        </w:tc>
        <w:tc>
          <w:tcPr>
            <w:tcW w:w="880" w:type="dxa"/>
            <w:vAlign w:val="bottom"/>
          </w:tcPr>
          <w:p>
            <w:pPr>
              <w:jc w:val="center"/>
              <w:ind w:left="7"/>
              <w:spacing w:after="0"/>
              <w:rPr>
                <w:sz w:val="20"/>
                <w:szCs w:val="20"/>
                <w:color w:val="auto"/>
              </w:rPr>
            </w:pPr>
            <w:r>
              <w:rPr>
                <w:rFonts w:ascii="Arial" w:cs="Arial" w:eastAsia="Arial" w:hAnsi="Arial"/>
                <w:sz w:val="13"/>
                <w:szCs w:val="13"/>
                <w:b w:val="1"/>
                <w:bCs w:val="1"/>
                <w:color w:val="auto"/>
                <w:w w:val="99"/>
              </w:rPr>
              <w:t>Have Not</w:t>
            </w:r>
          </w:p>
        </w:tc>
      </w:tr>
      <w:tr>
        <w:trPr>
          <w:trHeight w:val="233"/>
        </w:trPr>
        <w:tc>
          <w:tcPr>
            <w:tcW w:w="328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880" w:type="dxa"/>
            <w:vAlign w:val="bottom"/>
          </w:tcPr>
          <w:p>
            <w:pPr>
              <w:jc w:val="center"/>
              <w:ind w:right="44"/>
              <w:spacing w:after="0"/>
              <w:rPr>
                <w:sz w:val="20"/>
                <w:szCs w:val="20"/>
                <w:color w:val="auto"/>
              </w:rPr>
            </w:pPr>
            <w:r>
              <w:rPr>
                <w:rFonts w:ascii="Arial" w:cs="Arial" w:eastAsia="Arial" w:hAnsi="Arial"/>
                <w:sz w:val="13"/>
                <w:szCs w:val="13"/>
                <w:b w:val="1"/>
                <w:bCs w:val="1"/>
                <w:color w:val="auto"/>
                <w:w w:val="99"/>
              </w:rPr>
              <w:t>Exercisable</w:t>
            </w:r>
          </w:p>
        </w:tc>
        <w:tc>
          <w:tcPr>
            <w:tcW w:w="103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Unexercisable</w:t>
            </w:r>
          </w:p>
        </w:tc>
        <w:tc>
          <w:tcPr>
            <w:tcW w:w="830" w:type="dxa"/>
            <w:vAlign w:val="bottom"/>
          </w:tcPr>
          <w:p>
            <w:pPr>
              <w:jc w:val="center"/>
              <w:spacing w:after="0"/>
              <w:rPr>
                <w:sz w:val="20"/>
                <w:szCs w:val="20"/>
                <w:color w:val="auto"/>
              </w:rPr>
            </w:pPr>
            <w:r>
              <w:rPr>
                <w:rFonts w:ascii="Arial" w:cs="Arial" w:eastAsia="Arial" w:hAnsi="Arial"/>
                <w:sz w:val="13"/>
                <w:szCs w:val="13"/>
                <w:b w:val="1"/>
                <w:bCs w:val="1"/>
                <w:color w:val="auto"/>
                <w:w w:val="99"/>
              </w:rPr>
              <w:t>Options (#)</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7"/>
              </w:rPr>
              <w:t>Price ($)</w:t>
            </w:r>
          </w:p>
        </w:tc>
        <w:tc>
          <w:tcPr>
            <w:tcW w:w="9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9"/>
              </w:rPr>
              <w:t>Date</w:t>
            </w: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Vested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6"/>
              </w:rPr>
              <w:t>Vested (#)</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9"/>
              </w:rPr>
              <w:t>Vested ($)</w:t>
            </w:r>
          </w:p>
        </w:tc>
      </w:tr>
      <w:tr>
        <w:trPr>
          <w:trHeight w:val="45"/>
        </w:trPr>
        <w:tc>
          <w:tcPr>
            <w:tcW w:w="3280" w:type="dxa"/>
            <w:vAlign w:val="bottom"/>
            <w:tcBorders>
              <w:bottom w:val="single" w:sz="8" w:color="808285"/>
            </w:tcBorders>
          </w:tcPr>
          <w:p>
            <w:pPr>
              <w:spacing w:after="0"/>
              <w:rPr>
                <w:sz w:val="3"/>
                <w:szCs w:val="3"/>
                <w:color w:val="auto"/>
              </w:rPr>
            </w:pPr>
          </w:p>
        </w:tc>
        <w:tc>
          <w:tcPr>
            <w:tcW w:w="880" w:type="dxa"/>
            <w:vAlign w:val="bottom"/>
            <w:tcBorders>
              <w:bottom w:val="single" w:sz="8" w:color="808285"/>
            </w:tcBorders>
          </w:tcPr>
          <w:p>
            <w:pPr>
              <w:spacing w:after="0"/>
              <w:rPr>
                <w:sz w:val="3"/>
                <w:szCs w:val="3"/>
                <w:color w:val="auto"/>
              </w:rPr>
            </w:pPr>
          </w:p>
        </w:tc>
        <w:tc>
          <w:tcPr>
            <w:tcW w:w="740" w:type="dxa"/>
            <w:vAlign w:val="bottom"/>
            <w:tcBorders>
              <w:bottom w:val="single" w:sz="8" w:color="808285"/>
            </w:tcBorders>
          </w:tcPr>
          <w:p>
            <w:pPr>
              <w:spacing w:after="0"/>
              <w:rPr>
                <w:sz w:val="3"/>
                <w:szCs w:val="3"/>
                <w:color w:val="auto"/>
              </w:rPr>
            </w:pPr>
          </w:p>
        </w:tc>
        <w:tc>
          <w:tcPr>
            <w:tcW w:w="290" w:type="dxa"/>
            <w:vAlign w:val="bottom"/>
            <w:tcBorders>
              <w:bottom w:val="single" w:sz="8" w:color="808285"/>
            </w:tcBorders>
          </w:tcPr>
          <w:p>
            <w:pPr>
              <w:spacing w:after="0"/>
              <w:rPr>
                <w:sz w:val="3"/>
                <w:szCs w:val="3"/>
                <w:color w:val="auto"/>
              </w:rPr>
            </w:pPr>
          </w:p>
        </w:tc>
        <w:tc>
          <w:tcPr>
            <w:tcW w:w="830" w:type="dxa"/>
            <w:vAlign w:val="bottom"/>
            <w:tcBorders>
              <w:bottom w:val="single" w:sz="8" w:color="808285"/>
            </w:tcBorders>
          </w:tcPr>
          <w:p>
            <w:pPr>
              <w:spacing w:after="0"/>
              <w:rPr>
                <w:sz w:val="3"/>
                <w:szCs w:val="3"/>
                <w:color w:val="auto"/>
              </w:rPr>
            </w:pPr>
          </w:p>
        </w:tc>
        <w:tc>
          <w:tcPr>
            <w:tcW w:w="720" w:type="dxa"/>
            <w:vAlign w:val="bottom"/>
            <w:tcBorders>
              <w:bottom w:val="single" w:sz="8" w:color="808285"/>
            </w:tcBorders>
          </w:tcPr>
          <w:p>
            <w:pPr>
              <w:spacing w:after="0"/>
              <w:rPr>
                <w:sz w:val="3"/>
                <w:szCs w:val="3"/>
                <w:color w:val="auto"/>
              </w:rPr>
            </w:pPr>
          </w:p>
        </w:tc>
        <w:tc>
          <w:tcPr>
            <w:tcW w:w="840" w:type="dxa"/>
            <w:vAlign w:val="bottom"/>
            <w:tcBorders>
              <w:bottom w:val="single" w:sz="8" w:color="808285"/>
            </w:tcBorders>
          </w:tcPr>
          <w:p>
            <w:pPr>
              <w:spacing w:after="0"/>
              <w:rPr>
                <w:sz w:val="3"/>
                <w:szCs w:val="3"/>
                <w:color w:val="auto"/>
              </w:rPr>
            </w:pPr>
          </w:p>
        </w:tc>
        <w:tc>
          <w:tcPr>
            <w:tcW w:w="100" w:type="dxa"/>
            <w:vAlign w:val="bottom"/>
            <w:tcBorders>
              <w:bottom w:val="single" w:sz="8" w:color="808285"/>
            </w:tcBorders>
          </w:tcPr>
          <w:p>
            <w:pPr>
              <w:spacing w:after="0"/>
              <w:rPr>
                <w:sz w:val="3"/>
                <w:szCs w:val="3"/>
                <w:color w:val="auto"/>
              </w:rPr>
            </w:pPr>
          </w:p>
        </w:tc>
        <w:tc>
          <w:tcPr>
            <w:tcW w:w="680" w:type="dxa"/>
            <w:vAlign w:val="bottom"/>
            <w:tcBorders>
              <w:bottom w:val="single" w:sz="8" w:color="808285"/>
            </w:tcBorders>
          </w:tcPr>
          <w:p>
            <w:pPr>
              <w:spacing w:after="0"/>
              <w:rPr>
                <w:sz w:val="3"/>
                <w:szCs w:val="3"/>
                <w:color w:val="auto"/>
              </w:rPr>
            </w:pPr>
          </w:p>
        </w:tc>
        <w:tc>
          <w:tcPr>
            <w:tcW w:w="340" w:type="dxa"/>
            <w:vAlign w:val="bottom"/>
            <w:tcBorders>
              <w:bottom w:val="single" w:sz="8" w:color="808285"/>
            </w:tcBorders>
          </w:tcPr>
          <w:p>
            <w:pPr>
              <w:spacing w:after="0"/>
              <w:rPr>
                <w:sz w:val="3"/>
                <w:szCs w:val="3"/>
                <w:color w:val="auto"/>
              </w:rPr>
            </w:pPr>
          </w:p>
        </w:tc>
        <w:tc>
          <w:tcPr>
            <w:tcW w:w="1040" w:type="dxa"/>
            <w:vAlign w:val="bottom"/>
            <w:tcBorders>
              <w:bottom w:val="single" w:sz="8" w:color="808285"/>
            </w:tcBorders>
          </w:tcPr>
          <w:p>
            <w:pPr>
              <w:spacing w:after="0"/>
              <w:rPr>
                <w:sz w:val="3"/>
                <w:szCs w:val="3"/>
                <w:color w:val="auto"/>
              </w:rPr>
            </w:pPr>
          </w:p>
        </w:tc>
        <w:tc>
          <w:tcPr>
            <w:tcW w:w="800" w:type="dxa"/>
            <w:vAlign w:val="bottom"/>
            <w:tcBorders>
              <w:bottom w:val="single" w:sz="8" w:color="808285"/>
            </w:tcBorders>
          </w:tcPr>
          <w:p>
            <w:pPr>
              <w:spacing w:after="0"/>
              <w:rPr>
                <w:sz w:val="3"/>
                <w:szCs w:val="3"/>
                <w:color w:val="auto"/>
              </w:rPr>
            </w:pPr>
          </w:p>
        </w:tc>
        <w:tc>
          <w:tcPr>
            <w:tcW w:w="880" w:type="dxa"/>
            <w:vAlign w:val="bottom"/>
            <w:tcBorders>
              <w:bottom w:val="single" w:sz="8" w:color="808285"/>
            </w:tcBorders>
          </w:tcPr>
          <w:p>
            <w:pPr>
              <w:spacing w:after="0"/>
              <w:rPr>
                <w:sz w:val="3"/>
                <w:szCs w:val="3"/>
                <w:color w:val="auto"/>
              </w:rPr>
            </w:pPr>
          </w:p>
        </w:tc>
      </w:tr>
      <w:tr>
        <w:trPr>
          <w:trHeight w:val="218"/>
        </w:trPr>
        <w:tc>
          <w:tcPr>
            <w:tcW w:w="3280" w:type="dxa"/>
            <w:vAlign w:val="bottom"/>
            <w:shd w:val="clear" w:color="auto" w:fill="E9E9E9"/>
          </w:tcPr>
          <w:p>
            <w:pPr>
              <w:spacing w:after="0"/>
              <w:rPr>
                <w:sz w:val="20"/>
                <w:szCs w:val="20"/>
                <w:color w:val="auto"/>
              </w:rPr>
            </w:pPr>
            <w:r>
              <w:rPr>
                <w:rFonts w:ascii="Arial" w:cs="Arial" w:eastAsia="Arial" w:hAnsi="Arial"/>
                <w:sz w:val="17"/>
                <w:szCs w:val="17"/>
                <w:color w:val="auto"/>
              </w:rPr>
              <w:t>K. J. Ritchie</w:t>
            </w:r>
          </w:p>
        </w:tc>
        <w:tc>
          <w:tcPr>
            <w:tcW w:w="880" w:type="dxa"/>
            <w:vAlign w:val="bottom"/>
            <w:shd w:val="clear" w:color="auto" w:fill="E9E9E9"/>
          </w:tcPr>
          <w:p>
            <w:pPr>
              <w:jc w:val="right"/>
              <w:ind w:right="44"/>
              <w:spacing w:after="0"/>
              <w:rPr>
                <w:sz w:val="20"/>
                <w:szCs w:val="20"/>
                <w:color w:val="auto"/>
              </w:rPr>
            </w:pPr>
            <w:r>
              <w:rPr>
                <w:rFonts w:ascii="Arial" w:cs="Arial" w:eastAsia="Arial" w:hAnsi="Arial"/>
                <w:sz w:val="17"/>
                <w:szCs w:val="17"/>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175,000</w:t>
            </w:r>
          </w:p>
        </w:tc>
        <w:tc>
          <w:tcPr>
            <w:tcW w:w="29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(2)</w:t>
            </w:r>
          </w:p>
        </w:tc>
        <w:tc>
          <w:tcPr>
            <w:tcW w:w="83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20" w:type="dxa"/>
            <w:vAlign w:val="bottom"/>
            <w:shd w:val="clear" w:color="auto" w:fill="E9E9E9"/>
          </w:tcPr>
          <w:p>
            <w:pPr>
              <w:jc w:val="center"/>
              <w:ind w:left="1"/>
              <w:spacing w:after="0"/>
              <w:rPr>
                <w:sz w:val="20"/>
                <w:szCs w:val="20"/>
                <w:color w:val="auto"/>
              </w:rPr>
            </w:pPr>
            <w:r>
              <w:rPr>
                <w:rFonts w:ascii="Arial" w:cs="Arial" w:eastAsia="Arial" w:hAnsi="Arial"/>
                <w:sz w:val="17"/>
                <w:szCs w:val="17"/>
                <w:color w:val="auto"/>
                <w:w w:val="99"/>
              </w:rPr>
              <w:t>$32.36</w:t>
            </w:r>
          </w:p>
        </w:tc>
        <w:tc>
          <w:tcPr>
            <w:tcW w:w="840" w:type="dxa"/>
            <w:vAlign w:val="bottom"/>
            <w:shd w:val="clear" w:color="auto" w:fill="E9E9E9"/>
          </w:tcPr>
          <w:p>
            <w:pPr>
              <w:jc w:val="center"/>
              <w:ind w:left="1"/>
              <w:spacing w:after="0"/>
              <w:rPr>
                <w:sz w:val="20"/>
                <w:szCs w:val="20"/>
                <w:color w:val="auto"/>
              </w:rPr>
            </w:pPr>
            <w:r>
              <w:rPr>
                <w:rFonts w:ascii="Arial" w:cs="Arial" w:eastAsia="Arial" w:hAnsi="Arial"/>
                <w:sz w:val="17"/>
                <w:szCs w:val="17"/>
                <w:color w:val="auto"/>
              </w:rPr>
              <w:t>1/26/2022</w:t>
            </w:r>
          </w:p>
        </w:tc>
        <w:tc>
          <w:tcPr>
            <w:tcW w:w="100" w:type="dxa"/>
            <w:vAlign w:val="bottom"/>
            <w:shd w:val="clear" w:color="auto" w:fill="E9E9E9"/>
          </w:tcPr>
          <w:p>
            <w:pPr>
              <w:spacing w:after="0"/>
              <w:rPr>
                <w:sz w:val="18"/>
                <w:szCs w:val="18"/>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58,334</w:t>
            </w:r>
          </w:p>
        </w:tc>
        <w:tc>
          <w:tcPr>
            <w:tcW w:w="340" w:type="dxa"/>
            <w:vAlign w:val="bottom"/>
            <w:shd w:val="clear" w:color="auto" w:fill="E9E9E9"/>
          </w:tcPr>
          <w:p>
            <w:pPr>
              <w:jc w:val="right"/>
              <w:ind w:right="36"/>
              <w:spacing w:after="0"/>
              <w:rPr>
                <w:sz w:val="20"/>
                <w:szCs w:val="20"/>
                <w:color w:val="auto"/>
              </w:rPr>
            </w:pPr>
            <w:r>
              <w:rPr>
                <w:rFonts w:ascii="Arial" w:cs="Arial" w:eastAsia="Arial" w:hAnsi="Arial"/>
                <w:sz w:val="17"/>
                <w:szCs w:val="17"/>
                <w:color w:val="auto"/>
                <w:w w:val="96"/>
              </w:rPr>
              <w:t>(6)</w:t>
            </w:r>
          </w:p>
        </w:tc>
        <w:tc>
          <w:tcPr>
            <w:tcW w:w="10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$1,801,937</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3280" w:type="dxa"/>
            <w:vAlign w:val="bottom"/>
            <w:shd w:val="clear" w:color="auto" w:fill="E9E9E9"/>
          </w:tcPr>
          <w:p>
            <w:pPr>
              <w:spacing w:after="0"/>
              <w:rPr>
                <w:sz w:val="20"/>
                <w:szCs w:val="20"/>
                <w:color w:val="auto"/>
              </w:rPr>
            </w:pPr>
          </w:p>
        </w:tc>
        <w:tc>
          <w:tcPr>
            <w:tcW w:w="880" w:type="dxa"/>
            <w:vAlign w:val="bottom"/>
            <w:shd w:val="clear" w:color="auto" w:fill="E9E9E9"/>
          </w:tcPr>
          <w:p>
            <w:pPr>
              <w:jc w:val="right"/>
              <w:ind w:right="44"/>
              <w:spacing w:after="0"/>
              <w:rPr>
                <w:sz w:val="20"/>
                <w:szCs w:val="20"/>
                <w:color w:val="auto"/>
              </w:rPr>
            </w:pPr>
            <w:r>
              <w:rPr>
                <w:rFonts w:ascii="Arial" w:cs="Arial" w:eastAsia="Arial" w:hAnsi="Arial"/>
                <w:sz w:val="17"/>
                <w:szCs w:val="17"/>
                <w:color w:val="auto"/>
              </w:rPr>
              <w:t>40,625</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121,875</w:t>
            </w:r>
          </w:p>
        </w:tc>
        <w:tc>
          <w:tcPr>
            <w:tcW w:w="29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(3)</w:t>
            </w:r>
          </w:p>
        </w:tc>
        <w:tc>
          <w:tcPr>
            <w:tcW w:w="83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20" w:type="dxa"/>
            <w:vAlign w:val="bottom"/>
            <w:shd w:val="clear" w:color="auto" w:fill="E9E9E9"/>
          </w:tcPr>
          <w:p>
            <w:pPr>
              <w:jc w:val="center"/>
              <w:ind w:left="1"/>
              <w:spacing w:after="0"/>
              <w:rPr>
                <w:sz w:val="20"/>
                <w:szCs w:val="20"/>
                <w:color w:val="auto"/>
              </w:rPr>
            </w:pPr>
            <w:r>
              <w:rPr>
                <w:rFonts w:ascii="Arial" w:cs="Arial" w:eastAsia="Arial" w:hAnsi="Arial"/>
                <w:sz w:val="17"/>
                <w:szCs w:val="17"/>
                <w:color w:val="auto"/>
                <w:w w:val="99"/>
              </w:rPr>
              <w:t>$34.63</w:t>
            </w:r>
          </w:p>
        </w:tc>
        <w:tc>
          <w:tcPr>
            <w:tcW w:w="840" w:type="dxa"/>
            <w:vAlign w:val="bottom"/>
            <w:shd w:val="clear" w:color="auto" w:fill="E9E9E9"/>
          </w:tcPr>
          <w:p>
            <w:pPr>
              <w:jc w:val="center"/>
              <w:ind w:left="1"/>
              <w:spacing w:after="0"/>
              <w:rPr>
                <w:sz w:val="20"/>
                <w:szCs w:val="20"/>
                <w:color w:val="auto"/>
              </w:rPr>
            </w:pPr>
            <w:r>
              <w:rPr>
                <w:rFonts w:ascii="Arial" w:cs="Arial" w:eastAsia="Arial" w:hAnsi="Arial"/>
                <w:sz w:val="17"/>
                <w:szCs w:val="17"/>
                <w:color w:val="auto"/>
              </w:rPr>
              <w:t>1/27/2021</w:t>
            </w:r>
          </w:p>
        </w:tc>
        <w:tc>
          <w:tcPr>
            <w:tcW w:w="100" w:type="dxa"/>
            <w:vAlign w:val="bottom"/>
            <w:shd w:val="clear" w:color="auto" w:fill="E9E9E9"/>
          </w:tcPr>
          <w:p>
            <w:pPr>
              <w:spacing w:after="0"/>
              <w:rPr>
                <w:sz w:val="20"/>
                <w:szCs w:val="20"/>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54,167</w:t>
            </w:r>
          </w:p>
        </w:tc>
        <w:tc>
          <w:tcPr>
            <w:tcW w:w="340" w:type="dxa"/>
            <w:vAlign w:val="bottom"/>
            <w:shd w:val="clear" w:color="auto" w:fill="E9E9E9"/>
          </w:tcPr>
          <w:p>
            <w:pPr>
              <w:jc w:val="right"/>
              <w:ind w:right="36"/>
              <w:spacing w:after="0"/>
              <w:rPr>
                <w:sz w:val="20"/>
                <w:szCs w:val="20"/>
                <w:color w:val="auto"/>
              </w:rPr>
            </w:pPr>
            <w:r>
              <w:rPr>
                <w:rFonts w:ascii="Arial" w:cs="Arial" w:eastAsia="Arial" w:hAnsi="Arial"/>
                <w:sz w:val="17"/>
                <w:szCs w:val="17"/>
                <w:color w:val="auto"/>
                <w:w w:val="96"/>
              </w:rPr>
              <w:t>(7)</w:t>
            </w:r>
          </w:p>
        </w:tc>
        <w:tc>
          <w:tcPr>
            <w:tcW w:w="10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$1,673,219</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3280" w:type="dxa"/>
            <w:vAlign w:val="bottom"/>
            <w:shd w:val="clear" w:color="auto" w:fill="E9E9E9"/>
          </w:tcPr>
          <w:p>
            <w:pPr>
              <w:spacing w:after="0"/>
              <w:rPr>
                <w:sz w:val="20"/>
                <w:szCs w:val="20"/>
                <w:color w:val="auto"/>
              </w:rPr>
            </w:pPr>
          </w:p>
        </w:tc>
        <w:tc>
          <w:tcPr>
            <w:tcW w:w="880" w:type="dxa"/>
            <w:vAlign w:val="bottom"/>
            <w:shd w:val="clear" w:color="auto" w:fill="E9E9E9"/>
          </w:tcPr>
          <w:p>
            <w:pPr>
              <w:jc w:val="right"/>
              <w:ind w:right="44"/>
              <w:spacing w:after="0"/>
              <w:rPr>
                <w:sz w:val="20"/>
                <w:szCs w:val="20"/>
                <w:color w:val="auto"/>
              </w:rPr>
            </w:pPr>
            <w:r>
              <w:rPr>
                <w:rFonts w:ascii="Arial" w:cs="Arial" w:eastAsia="Arial" w:hAnsi="Arial"/>
                <w:sz w:val="17"/>
                <w:szCs w:val="17"/>
                <w:color w:val="auto"/>
              </w:rPr>
              <w:t>93,750</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93,750</w:t>
            </w:r>
          </w:p>
        </w:tc>
        <w:tc>
          <w:tcPr>
            <w:tcW w:w="29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(4)</w:t>
            </w:r>
          </w:p>
        </w:tc>
        <w:tc>
          <w:tcPr>
            <w:tcW w:w="83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20" w:type="dxa"/>
            <w:vAlign w:val="bottom"/>
            <w:shd w:val="clear" w:color="auto" w:fill="E9E9E9"/>
          </w:tcPr>
          <w:p>
            <w:pPr>
              <w:jc w:val="center"/>
              <w:ind w:left="1"/>
              <w:spacing w:after="0"/>
              <w:rPr>
                <w:sz w:val="20"/>
                <w:szCs w:val="20"/>
                <w:color w:val="auto"/>
              </w:rPr>
            </w:pPr>
            <w:r>
              <w:rPr>
                <w:rFonts w:ascii="Arial" w:cs="Arial" w:eastAsia="Arial" w:hAnsi="Arial"/>
                <w:sz w:val="17"/>
                <w:szCs w:val="17"/>
                <w:color w:val="auto"/>
                <w:w w:val="99"/>
              </w:rPr>
              <w:t>$23.05</w:t>
            </w:r>
          </w:p>
        </w:tc>
        <w:tc>
          <w:tcPr>
            <w:tcW w:w="840" w:type="dxa"/>
            <w:vAlign w:val="bottom"/>
            <w:shd w:val="clear" w:color="auto" w:fill="E9E9E9"/>
          </w:tcPr>
          <w:p>
            <w:pPr>
              <w:jc w:val="center"/>
              <w:ind w:left="1"/>
              <w:spacing w:after="0"/>
              <w:rPr>
                <w:sz w:val="20"/>
                <w:szCs w:val="20"/>
                <w:color w:val="auto"/>
              </w:rPr>
            </w:pPr>
            <w:r>
              <w:rPr>
                <w:rFonts w:ascii="Arial" w:cs="Arial" w:eastAsia="Arial" w:hAnsi="Arial"/>
                <w:sz w:val="17"/>
                <w:szCs w:val="17"/>
                <w:color w:val="auto"/>
              </w:rPr>
              <w:t>1/28/2020</w:t>
            </w:r>
          </w:p>
        </w:tc>
        <w:tc>
          <w:tcPr>
            <w:tcW w:w="100" w:type="dxa"/>
            <w:vAlign w:val="bottom"/>
            <w:shd w:val="clear" w:color="auto" w:fill="E9E9E9"/>
          </w:tcPr>
          <w:p>
            <w:pPr>
              <w:spacing w:after="0"/>
              <w:rPr>
                <w:sz w:val="20"/>
                <w:szCs w:val="20"/>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62,501</w:t>
            </w:r>
          </w:p>
        </w:tc>
        <w:tc>
          <w:tcPr>
            <w:tcW w:w="340" w:type="dxa"/>
            <w:vAlign w:val="bottom"/>
            <w:shd w:val="clear" w:color="auto" w:fill="E9E9E9"/>
          </w:tcPr>
          <w:p>
            <w:pPr>
              <w:jc w:val="right"/>
              <w:ind w:right="36"/>
              <w:spacing w:after="0"/>
              <w:rPr>
                <w:sz w:val="20"/>
                <w:szCs w:val="20"/>
                <w:color w:val="auto"/>
              </w:rPr>
            </w:pPr>
            <w:r>
              <w:rPr>
                <w:rFonts w:ascii="Arial" w:cs="Arial" w:eastAsia="Arial" w:hAnsi="Arial"/>
                <w:sz w:val="17"/>
                <w:szCs w:val="17"/>
                <w:color w:val="auto"/>
                <w:w w:val="96"/>
              </w:rPr>
              <w:t>(8)</w:t>
            </w:r>
          </w:p>
        </w:tc>
        <w:tc>
          <w:tcPr>
            <w:tcW w:w="10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$1,930,656</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3280" w:type="dxa"/>
            <w:vAlign w:val="bottom"/>
            <w:shd w:val="clear" w:color="auto" w:fill="E9E9E9"/>
          </w:tcPr>
          <w:p>
            <w:pPr>
              <w:spacing w:after="0"/>
              <w:rPr>
                <w:sz w:val="20"/>
                <w:szCs w:val="20"/>
                <w:color w:val="auto"/>
              </w:rPr>
            </w:pPr>
          </w:p>
        </w:tc>
        <w:tc>
          <w:tcPr>
            <w:tcW w:w="880" w:type="dxa"/>
            <w:vAlign w:val="bottom"/>
            <w:shd w:val="clear" w:color="auto" w:fill="E9E9E9"/>
          </w:tcPr>
          <w:p>
            <w:pPr>
              <w:jc w:val="right"/>
              <w:ind w:right="44"/>
              <w:spacing w:after="0"/>
              <w:rPr>
                <w:sz w:val="20"/>
                <w:szCs w:val="20"/>
                <w:color w:val="auto"/>
              </w:rPr>
            </w:pPr>
            <w:r>
              <w:rPr>
                <w:rFonts w:ascii="Arial" w:cs="Arial" w:eastAsia="Arial" w:hAnsi="Arial"/>
                <w:sz w:val="17"/>
                <w:szCs w:val="17"/>
                <w:color w:val="auto"/>
              </w:rPr>
              <w:t>187,500</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62,500</w:t>
            </w:r>
          </w:p>
        </w:tc>
        <w:tc>
          <w:tcPr>
            <w:tcW w:w="29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(5)</w:t>
            </w:r>
          </w:p>
        </w:tc>
        <w:tc>
          <w:tcPr>
            <w:tcW w:w="83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20" w:type="dxa"/>
            <w:vAlign w:val="bottom"/>
            <w:shd w:val="clear" w:color="auto" w:fill="E9E9E9"/>
          </w:tcPr>
          <w:p>
            <w:pPr>
              <w:jc w:val="center"/>
              <w:ind w:left="1"/>
              <w:spacing w:after="0"/>
              <w:rPr>
                <w:sz w:val="20"/>
                <w:szCs w:val="20"/>
                <w:color w:val="auto"/>
              </w:rPr>
            </w:pPr>
            <w:r>
              <w:rPr>
                <w:rFonts w:ascii="Arial" w:cs="Arial" w:eastAsia="Arial" w:hAnsi="Arial"/>
                <w:sz w:val="17"/>
                <w:szCs w:val="17"/>
                <w:color w:val="auto"/>
                <w:w w:val="99"/>
              </w:rPr>
              <w:t>$14.95</w:t>
            </w:r>
          </w:p>
        </w:tc>
        <w:tc>
          <w:tcPr>
            <w:tcW w:w="840" w:type="dxa"/>
            <w:vAlign w:val="bottom"/>
            <w:shd w:val="clear" w:color="auto" w:fill="E9E9E9"/>
          </w:tcPr>
          <w:p>
            <w:pPr>
              <w:jc w:val="center"/>
              <w:ind w:left="1"/>
              <w:spacing w:after="0"/>
              <w:rPr>
                <w:sz w:val="20"/>
                <w:szCs w:val="20"/>
                <w:color w:val="auto"/>
              </w:rPr>
            </w:pPr>
            <w:r>
              <w:rPr>
                <w:rFonts w:ascii="Arial" w:cs="Arial" w:eastAsia="Arial" w:hAnsi="Arial"/>
                <w:sz w:val="17"/>
                <w:szCs w:val="17"/>
                <w:color w:val="auto"/>
              </w:rPr>
              <w:t>1/29/2019</w:t>
            </w:r>
          </w:p>
        </w:tc>
        <w:tc>
          <w:tcPr>
            <w:tcW w:w="100" w:type="dxa"/>
            <w:vAlign w:val="bottom"/>
            <w:shd w:val="clear" w:color="auto" w:fill="E9E9E9"/>
          </w:tcPr>
          <w:p>
            <w:pPr>
              <w:spacing w:after="0"/>
              <w:rPr>
                <w:sz w:val="20"/>
                <w:szCs w:val="20"/>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83,334</w:t>
            </w:r>
          </w:p>
        </w:tc>
        <w:tc>
          <w:tcPr>
            <w:tcW w:w="340" w:type="dxa"/>
            <w:vAlign w:val="bottom"/>
            <w:shd w:val="clear" w:color="auto" w:fill="E9E9E9"/>
          </w:tcPr>
          <w:p>
            <w:pPr>
              <w:jc w:val="right"/>
              <w:ind w:right="36"/>
              <w:spacing w:after="0"/>
              <w:rPr>
                <w:sz w:val="20"/>
                <w:szCs w:val="20"/>
                <w:color w:val="auto"/>
              </w:rPr>
            </w:pPr>
            <w:r>
              <w:rPr>
                <w:rFonts w:ascii="Arial" w:cs="Arial" w:eastAsia="Arial" w:hAnsi="Arial"/>
                <w:sz w:val="17"/>
                <w:szCs w:val="17"/>
                <w:color w:val="auto"/>
                <w:w w:val="96"/>
              </w:rPr>
              <w:t>(9)</w:t>
            </w:r>
          </w:p>
        </w:tc>
        <w:tc>
          <w:tcPr>
            <w:tcW w:w="10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$2,574,187</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3280" w:type="dxa"/>
            <w:vAlign w:val="bottom"/>
            <w:shd w:val="clear" w:color="auto" w:fill="E9E9E9"/>
          </w:tcPr>
          <w:p>
            <w:pPr>
              <w:spacing w:after="0"/>
              <w:rPr>
                <w:sz w:val="20"/>
                <w:szCs w:val="20"/>
                <w:color w:val="auto"/>
              </w:rPr>
            </w:pPr>
          </w:p>
        </w:tc>
        <w:tc>
          <w:tcPr>
            <w:tcW w:w="880" w:type="dxa"/>
            <w:vAlign w:val="bottom"/>
            <w:shd w:val="clear" w:color="auto" w:fill="E9E9E9"/>
          </w:tcPr>
          <w:p>
            <w:pPr>
              <w:jc w:val="right"/>
              <w:ind w:right="44"/>
              <w:spacing w:after="0"/>
              <w:rPr>
                <w:sz w:val="20"/>
                <w:szCs w:val="20"/>
                <w:color w:val="auto"/>
              </w:rPr>
            </w:pPr>
            <w:r>
              <w:rPr>
                <w:rFonts w:ascii="Arial" w:cs="Arial" w:eastAsia="Arial" w:hAnsi="Arial"/>
                <w:sz w:val="17"/>
                <w:szCs w:val="17"/>
                <w:color w:val="auto"/>
              </w:rPr>
              <w:t>100,000</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290" w:type="dxa"/>
            <w:vAlign w:val="bottom"/>
            <w:shd w:val="clear" w:color="auto" w:fill="E9E9E9"/>
          </w:tcPr>
          <w:p>
            <w:pPr>
              <w:spacing w:after="0"/>
              <w:rPr>
                <w:sz w:val="20"/>
                <w:szCs w:val="20"/>
                <w:color w:val="auto"/>
              </w:rPr>
            </w:pPr>
          </w:p>
        </w:tc>
        <w:tc>
          <w:tcPr>
            <w:tcW w:w="83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20" w:type="dxa"/>
            <w:vAlign w:val="bottom"/>
            <w:shd w:val="clear" w:color="auto" w:fill="E9E9E9"/>
          </w:tcPr>
          <w:p>
            <w:pPr>
              <w:jc w:val="center"/>
              <w:ind w:left="1"/>
              <w:spacing w:after="0"/>
              <w:rPr>
                <w:sz w:val="20"/>
                <w:szCs w:val="20"/>
                <w:color w:val="auto"/>
              </w:rPr>
            </w:pPr>
            <w:r>
              <w:rPr>
                <w:rFonts w:ascii="Arial" w:cs="Arial" w:eastAsia="Arial" w:hAnsi="Arial"/>
                <w:sz w:val="17"/>
                <w:szCs w:val="17"/>
                <w:color w:val="auto"/>
                <w:w w:val="99"/>
              </w:rPr>
              <w:t>$29.79</w:t>
            </w:r>
          </w:p>
        </w:tc>
        <w:tc>
          <w:tcPr>
            <w:tcW w:w="840" w:type="dxa"/>
            <w:vAlign w:val="bottom"/>
            <w:shd w:val="clear" w:color="auto" w:fill="E9E9E9"/>
          </w:tcPr>
          <w:p>
            <w:pPr>
              <w:jc w:val="center"/>
              <w:ind w:left="1"/>
              <w:spacing w:after="0"/>
              <w:rPr>
                <w:sz w:val="20"/>
                <w:szCs w:val="20"/>
                <w:color w:val="auto"/>
              </w:rPr>
            </w:pPr>
            <w:r>
              <w:rPr>
                <w:rFonts w:ascii="Arial" w:cs="Arial" w:eastAsia="Arial" w:hAnsi="Arial"/>
                <w:sz w:val="17"/>
                <w:szCs w:val="17"/>
                <w:color w:val="auto"/>
              </w:rPr>
              <w:t>1/25/2018</w:t>
            </w:r>
          </w:p>
        </w:tc>
        <w:tc>
          <w:tcPr>
            <w:tcW w:w="100" w:type="dxa"/>
            <w:vAlign w:val="bottom"/>
            <w:shd w:val="clear" w:color="auto" w:fill="E9E9E9"/>
          </w:tcPr>
          <w:p>
            <w:pPr>
              <w:spacing w:after="0"/>
              <w:rPr>
                <w:sz w:val="20"/>
                <w:szCs w:val="20"/>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10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3280" w:type="dxa"/>
            <w:vAlign w:val="bottom"/>
            <w:shd w:val="clear" w:color="auto" w:fill="E9E9E9"/>
          </w:tcPr>
          <w:p>
            <w:pPr>
              <w:spacing w:after="0"/>
              <w:rPr>
                <w:sz w:val="20"/>
                <w:szCs w:val="20"/>
                <w:color w:val="auto"/>
              </w:rPr>
            </w:pPr>
          </w:p>
        </w:tc>
        <w:tc>
          <w:tcPr>
            <w:tcW w:w="880" w:type="dxa"/>
            <w:vAlign w:val="bottom"/>
            <w:shd w:val="clear" w:color="auto" w:fill="E9E9E9"/>
          </w:tcPr>
          <w:p>
            <w:pPr>
              <w:jc w:val="right"/>
              <w:ind w:right="44"/>
              <w:spacing w:after="0"/>
              <w:rPr>
                <w:sz w:val="20"/>
                <w:szCs w:val="20"/>
                <w:color w:val="auto"/>
              </w:rPr>
            </w:pPr>
            <w:r>
              <w:rPr>
                <w:rFonts w:ascii="Arial" w:cs="Arial" w:eastAsia="Arial" w:hAnsi="Arial"/>
                <w:sz w:val="17"/>
                <w:szCs w:val="17"/>
                <w:color w:val="auto"/>
              </w:rPr>
              <w:t>100,000</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290" w:type="dxa"/>
            <w:vAlign w:val="bottom"/>
            <w:shd w:val="clear" w:color="auto" w:fill="E9E9E9"/>
          </w:tcPr>
          <w:p>
            <w:pPr>
              <w:spacing w:after="0"/>
              <w:rPr>
                <w:sz w:val="20"/>
                <w:szCs w:val="20"/>
                <w:color w:val="auto"/>
              </w:rPr>
            </w:pPr>
          </w:p>
        </w:tc>
        <w:tc>
          <w:tcPr>
            <w:tcW w:w="83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20" w:type="dxa"/>
            <w:vAlign w:val="bottom"/>
            <w:shd w:val="clear" w:color="auto" w:fill="E9E9E9"/>
          </w:tcPr>
          <w:p>
            <w:pPr>
              <w:jc w:val="center"/>
              <w:ind w:left="1"/>
              <w:spacing w:after="0"/>
              <w:rPr>
                <w:sz w:val="20"/>
                <w:szCs w:val="20"/>
                <w:color w:val="auto"/>
              </w:rPr>
            </w:pPr>
            <w:r>
              <w:rPr>
                <w:rFonts w:ascii="Arial" w:cs="Arial" w:eastAsia="Arial" w:hAnsi="Arial"/>
                <w:sz w:val="17"/>
                <w:szCs w:val="17"/>
                <w:color w:val="auto"/>
                <w:w w:val="99"/>
              </w:rPr>
              <w:t>$28.32</w:t>
            </w:r>
          </w:p>
        </w:tc>
        <w:tc>
          <w:tcPr>
            <w:tcW w:w="840" w:type="dxa"/>
            <w:vAlign w:val="bottom"/>
            <w:shd w:val="clear" w:color="auto" w:fill="E9E9E9"/>
          </w:tcPr>
          <w:p>
            <w:pPr>
              <w:jc w:val="center"/>
              <w:ind w:left="1"/>
              <w:spacing w:after="0"/>
              <w:rPr>
                <w:sz w:val="20"/>
                <w:szCs w:val="20"/>
                <w:color w:val="auto"/>
              </w:rPr>
            </w:pPr>
            <w:r>
              <w:rPr>
                <w:rFonts w:ascii="Arial" w:cs="Arial" w:eastAsia="Arial" w:hAnsi="Arial"/>
                <w:sz w:val="17"/>
                <w:szCs w:val="17"/>
                <w:color w:val="auto"/>
              </w:rPr>
              <w:t>1/18/2017</w:t>
            </w:r>
          </w:p>
        </w:tc>
        <w:tc>
          <w:tcPr>
            <w:tcW w:w="100" w:type="dxa"/>
            <w:vAlign w:val="bottom"/>
            <w:shd w:val="clear" w:color="auto" w:fill="E9E9E9"/>
          </w:tcPr>
          <w:p>
            <w:pPr>
              <w:spacing w:after="0"/>
              <w:rPr>
                <w:sz w:val="20"/>
                <w:szCs w:val="20"/>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10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3280" w:type="dxa"/>
            <w:vAlign w:val="bottom"/>
            <w:shd w:val="clear" w:color="auto" w:fill="E9E9E9"/>
          </w:tcPr>
          <w:p>
            <w:pPr>
              <w:spacing w:after="0"/>
              <w:rPr>
                <w:sz w:val="20"/>
                <w:szCs w:val="20"/>
                <w:color w:val="auto"/>
              </w:rPr>
            </w:pPr>
          </w:p>
        </w:tc>
        <w:tc>
          <w:tcPr>
            <w:tcW w:w="880" w:type="dxa"/>
            <w:vAlign w:val="bottom"/>
            <w:shd w:val="clear" w:color="auto" w:fill="E9E9E9"/>
          </w:tcPr>
          <w:p>
            <w:pPr>
              <w:jc w:val="right"/>
              <w:ind w:right="44"/>
              <w:spacing w:after="0"/>
              <w:rPr>
                <w:sz w:val="20"/>
                <w:szCs w:val="20"/>
                <w:color w:val="auto"/>
              </w:rPr>
            </w:pPr>
            <w:r>
              <w:rPr>
                <w:rFonts w:ascii="Arial" w:cs="Arial" w:eastAsia="Arial" w:hAnsi="Arial"/>
                <w:sz w:val="17"/>
                <w:szCs w:val="17"/>
                <w:color w:val="auto"/>
              </w:rPr>
              <w:t>100,000</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290" w:type="dxa"/>
            <w:vAlign w:val="bottom"/>
            <w:shd w:val="clear" w:color="auto" w:fill="E9E9E9"/>
          </w:tcPr>
          <w:p>
            <w:pPr>
              <w:spacing w:after="0"/>
              <w:rPr>
                <w:sz w:val="20"/>
                <w:szCs w:val="20"/>
                <w:color w:val="auto"/>
              </w:rPr>
            </w:pPr>
          </w:p>
        </w:tc>
        <w:tc>
          <w:tcPr>
            <w:tcW w:w="83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20" w:type="dxa"/>
            <w:vAlign w:val="bottom"/>
            <w:shd w:val="clear" w:color="auto" w:fill="E9E9E9"/>
          </w:tcPr>
          <w:p>
            <w:pPr>
              <w:jc w:val="center"/>
              <w:ind w:left="1"/>
              <w:spacing w:after="0"/>
              <w:rPr>
                <w:sz w:val="20"/>
                <w:szCs w:val="20"/>
                <w:color w:val="auto"/>
              </w:rPr>
            </w:pPr>
            <w:r>
              <w:rPr>
                <w:rFonts w:ascii="Arial" w:cs="Arial" w:eastAsia="Arial" w:hAnsi="Arial"/>
                <w:sz w:val="17"/>
                <w:szCs w:val="17"/>
                <w:color w:val="auto"/>
                <w:w w:val="99"/>
              </w:rPr>
              <w:t>$32.55</w:t>
            </w:r>
          </w:p>
        </w:tc>
        <w:tc>
          <w:tcPr>
            <w:tcW w:w="840" w:type="dxa"/>
            <w:vAlign w:val="bottom"/>
            <w:shd w:val="clear" w:color="auto" w:fill="E9E9E9"/>
          </w:tcPr>
          <w:p>
            <w:pPr>
              <w:jc w:val="center"/>
              <w:ind w:left="1"/>
              <w:spacing w:after="0"/>
              <w:rPr>
                <w:sz w:val="20"/>
                <w:szCs w:val="20"/>
                <w:color w:val="auto"/>
              </w:rPr>
            </w:pPr>
            <w:r>
              <w:rPr>
                <w:rFonts w:ascii="Arial" w:cs="Arial" w:eastAsia="Arial" w:hAnsi="Arial"/>
                <w:sz w:val="17"/>
                <w:szCs w:val="17"/>
                <w:color w:val="auto"/>
              </w:rPr>
              <w:t>1/19/2016</w:t>
            </w:r>
          </w:p>
        </w:tc>
        <w:tc>
          <w:tcPr>
            <w:tcW w:w="100" w:type="dxa"/>
            <w:vAlign w:val="bottom"/>
            <w:shd w:val="clear" w:color="auto" w:fill="E9E9E9"/>
          </w:tcPr>
          <w:p>
            <w:pPr>
              <w:spacing w:after="0"/>
              <w:rPr>
                <w:sz w:val="20"/>
                <w:szCs w:val="20"/>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10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3280" w:type="dxa"/>
            <w:vAlign w:val="bottom"/>
            <w:shd w:val="clear" w:color="auto" w:fill="E9E9E9"/>
          </w:tcPr>
          <w:p>
            <w:pPr>
              <w:spacing w:after="0"/>
              <w:rPr>
                <w:sz w:val="20"/>
                <w:szCs w:val="20"/>
                <w:color w:val="auto"/>
              </w:rPr>
            </w:pPr>
          </w:p>
        </w:tc>
        <w:tc>
          <w:tcPr>
            <w:tcW w:w="880" w:type="dxa"/>
            <w:vAlign w:val="bottom"/>
            <w:shd w:val="clear" w:color="auto" w:fill="E9E9E9"/>
          </w:tcPr>
          <w:p>
            <w:pPr>
              <w:jc w:val="right"/>
              <w:ind w:right="44"/>
              <w:spacing w:after="0"/>
              <w:rPr>
                <w:sz w:val="20"/>
                <w:szCs w:val="20"/>
                <w:color w:val="auto"/>
              </w:rPr>
            </w:pPr>
            <w:r>
              <w:rPr>
                <w:rFonts w:ascii="Arial" w:cs="Arial" w:eastAsia="Arial" w:hAnsi="Arial"/>
                <w:sz w:val="17"/>
                <w:szCs w:val="17"/>
                <w:color w:val="auto"/>
              </w:rPr>
              <w:t>100,000</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290" w:type="dxa"/>
            <w:vAlign w:val="bottom"/>
            <w:shd w:val="clear" w:color="auto" w:fill="E9E9E9"/>
          </w:tcPr>
          <w:p>
            <w:pPr>
              <w:spacing w:after="0"/>
              <w:rPr>
                <w:sz w:val="20"/>
                <w:szCs w:val="20"/>
                <w:color w:val="auto"/>
              </w:rPr>
            </w:pPr>
          </w:p>
        </w:tc>
        <w:tc>
          <w:tcPr>
            <w:tcW w:w="83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20" w:type="dxa"/>
            <w:vAlign w:val="bottom"/>
            <w:shd w:val="clear" w:color="auto" w:fill="E9E9E9"/>
          </w:tcPr>
          <w:p>
            <w:pPr>
              <w:jc w:val="center"/>
              <w:ind w:left="1"/>
              <w:spacing w:after="0"/>
              <w:rPr>
                <w:sz w:val="20"/>
                <w:szCs w:val="20"/>
                <w:color w:val="auto"/>
              </w:rPr>
            </w:pPr>
            <w:r>
              <w:rPr>
                <w:rFonts w:ascii="Arial" w:cs="Arial" w:eastAsia="Arial" w:hAnsi="Arial"/>
                <w:sz w:val="17"/>
                <w:szCs w:val="17"/>
                <w:color w:val="auto"/>
                <w:w w:val="99"/>
              </w:rPr>
              <w:t>$21.55</w:t>
            </w:r>
          </w:p>
        </w:tc>
        <w:tc>
          <w:tcPr>
            <w:tcW w:w="840" w:type="dxa"/>
            <w:vAlign w:val="bottom"/>
            <w:shd w:val="clear" w:color="auto" w:fill="E9E9E9"/>
          </w:tcPr>
          <w:p>
            <w:pPr>
              <w:jc w:val="center"/>
              <w:ind w:left="1"/>
              <w:spacing w:after="0"/>
              <w:rPr>
                <w:sz w:val="20"/>
                <w:szCs w:val="20"/>
                <w:color w:val="auto"/>
              </w:rPr>
            </w:pPr>
            <w:r>
              <w:rPr>
                <w:rFonts w:ascii="Arial" w:cs="Arial" w:eastAsia="Arial" w:hAnsi="Arial"/>
                <w:sz w:val="17"/>
                <w:szCs w:val="17"/>
                <w:color w:val="auto"/>
              </w:rPr>
              <w:t>1/20/2015</w:t>
            </w:r>
          </w:p>
        </w:tc>
        <w:tc>
          <w:tcPr>
            <w:tcW w:w="100" w:type="dxa"/>
            <w:vAlign w:val="bottom"/>
            <w:shd w:val="clear" w:color="auto" w:fill="E9E9E9"/>
          </w:tcPr>
          <w:p>
            <w:pPr>
              <w:spacing w:after="0"/>
              <w:rPr>
                <w:sz w:val="20"/>
                <w:szCs w:val="20"/>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0"/>
                <w:szCs w:val="20"/>
                <w:color w:val="auto"/>
              </w:rPr>
            </w:pPr>
          </w:p>
        </w:tc>
        <w:tc>
          <w:tcPr>
            <w:tcW w:w="10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r>
        <w:trPr>
          <w:trHeight w:val="247"/>
        </w:trPr>
        <w:tc>
          <w:tcPr>
            <w:tcW w:w="3280" w:type="dxa"/>
            <w:vAlign w:val="bottom"/>
            <w:shd w:val="clear" w:color="auto" w:fill="E9E9E9"/>
          </w:tcPr>
          <w:p>
            <w:pPr>
              <w:spacing w:after="0"/>
              <w:rPr>
                <w:sz w:val="21"/>
                <w:szCs w:val="21"/>
                <w:color w:val="auto"/>
              </w:rPr>
            </w:pPr>
          </w:p>
        </w:tc>
        <w:tc>
          <w:tcPr>
            <w:tcW w:w="880" w:type="dxa"/>
            <w:vAlign w:val="bottom"/>
            <w:shd w:val="clear" w:color="auto" w:fill="E9E9E9"/>
          </w:tcPr>
          <w:p>
            <w:pPr>
              <w:jc w:val="right"/>
              <w:ind w:right="44"/>
              <w:spacing w:after="0"/>
              <w:rPr>
                <w:sz w:val="20"/>
                <w:szCs w:val="20"/>
                <w:color w:val="auto"/>
              </w:rPr>
            </w:pPr>
            <w:r>
              <w:rPr>
                <w:rFonts w:ascii="Arial" w:cs="Arial" w:eastAsia="Arial" w:hAnsi="Arial"/>
                <w:sz w:val="17"/>
                <w:szCs w:val="17"/>
                <w:color w:val="auto"/>
              </w:rPr>
              <w:t>150,000</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290" w:type="dxa"/>
            <w:vAlign w:val="bottom"/>
            <w:shd w:val="clear" w:color="auto" w:fill="E9E9E9"/>
          </w:tcPr>
          <w:p>
            <w:pPr>
              <w:spacing w:after="0"/>
              <w:rPr>
                <w:sz w:val="21"/>
                <w:szCs w:val="21"/>
                <w:color w:val="auto"/>
              </w:rPr>
            </w:pPr>
          </w:p>
        </w:tc>
        <w:tc>
          <w:tcPr>
            <w:tcW w:w="83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720" w:type="dxa"/>
            <w:vAlign w:val="bottom"/>
            <w:shd w:val="clear" w:color="auto" w:fill="E9E9E9"/>
          </w:tcPr>
          <w:p>
            <w:pPr>
              <w:jc w:val="center"/>
              <w:ind w:left="1"/>
              <w:spacing w:after="0"/>
              <w:rPr>
                <w:sz w:val="20"/>
                <w:szCs w:val="20"/>
                <w:color w:val="auto"/>
              </w:rPr>
            </w:pPr>
            <w:r>
              <w:rPr>
                <w:rFonts w:ascii="Arial" w:cs="Arial" w:eastAsia="Arial" w:hAnsi="Arial"/>
                <w:sz w:val="17"/>
                <w:szCs w:val="17"/>
                <w:color w:val="auto"/>
                <w:w w:val="99"/>
              </w:rPr>
              <w:t>$32.39</w:t>
            </w:r>
          </w:p>
        </w:tc>
        <w:tc>
          <w:tcPr>
            <w:tcW w:w="840" w:type="dxa"/>
            <w:vAlign w:val="bottom"/>
            <w:shd w:val="clear" w:color="auto" w:fill="E9E9E9"/>
          </w:tcPr>
          <w:p>
            <w:pPr>
              <w:jc w:val="center"/>
              <w:ind w:left="1"/>
              <w:spacing w:after="0"/>
              <w:rPr>
                <w:sz w:val="20"/>
                <w:szCs w:val="20"/>
                <w:color w:val="auto"/>
              </w:rPr>
            </w:pPr>
            <w:r>
              <w:rPr>
                <w:rFonts w:ascii="Arial" w:cs="Arial" w:eastAsia="Arial" w:hAnsi="Arial"/>
                <w:sz w:val="17"/>
                <w:szCs w:val="17"/>
                <w:color w:val="auto"/>
              </w:rPr>
              <w:t>1/14/2014</w:t>
            </w:r>
          </w:p>
        </w:tc>
        <w:tc>
          <w:tcPr>
            <w:tcW w:w="100" w:type="dxa"/>
            <w:vAlign w:val="bottom"/>
            <w:shd w:val="clear" w:color="auto" w:fill="E9E9E9"/>
          </w:tcPr>
          <w:p>
            <w:pPr>
              <w:spacing w:after="0"/>
              <w:rPr>
                <w:sz w:val="21"/>
                <w:szCs w:val="21"/>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9E9E9"/>
          </w:tcPr>
          <w:p>
            <w:pPr>
              <w:spacing w:after="0"/>
              <w:rPr>
                <w:sz w:val="21"/>
                <w:szCs w:val="21"/>
                <w:color w:val="auto"/>
              </w:rPr>
            </w:pPr>
          </w:p>
        </w:tc>
        <w:tc>
          <w:tcPr>
            <w:tcW w:w="10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bl>
    <w:p>
      <w:pPr>
        <w:spacing w:after="0" w:line="236" w:lineRule="exact"/>
        <w:rPr>
          <w:sz w:val="20"/>
          <w:szCs w:val="20"/>
          <w:color w:val="auto"/>
        </w:rPr>
      </w:pPr>
    </w:p>
    <w:p>
      <w:pPr>
        <w:ind w:left="580" w:hanging="577"/>
        <w:spacing w:after="0"/>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Calculated by multiplying the number of RSUs by the closing price of TI common stock on December 31, 2012 ($30.89).</w:t>
      </w:r>
    </w:p>
    <w:p>
      <w:pPr>
        <w:spacing w:after="0" w:line="269" w:lineRule="exact"/>
        <w:rPr>
          <w:rFonts w:ascii="Arial" w:cs="Arial" w:eastAsia="Arial" w:hAnsi="Arial"/>
          <w:sz w:val="17"/>
          <w:szCs w:val="17"/>
          <w:color w:val="auto"/>
        </w:rPr>
      </w:pPr>
    </w:p>
    <w:p>
      <w:pPr>
        <w:ind w:left="580" w:right="560" w:hanging="577"/>
        <w:spacing w:after="0" w:line="245" w:lineRule="auto"/>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One-quarter of the shares became exercisable on January 26, 2013, and one-third of the remaining shares become exercisable on each of January 26, 2014, January 26, 2015, and January 26, 2016.</w:t>
      </w:r>
    </w:p>
    <w:p>
      <w:pPr>
        <w:spacing w:after="0" w:line="221" w:lineRule="exact"/>
        <w:rPr>
          <w:rFonts w:ascii="Arial" w:cs="Arial" w:eastAsia="Arial" w:hAnsi="Arial"/>
          <w:sz w:val="17"/>
          <w:szCs w:val="17"/>
          <w:color w:val="auto"/>
        </w:rPr>
      </w:pPr>
    </w:p>
    <w:p>
      <w:pPr>
        <w:ind w:left="580" w:right="160" w:hanging="577"/>
        <w:spacing w:after="0" w:line="245" w:lineRule="auto"/>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One-third of the shares became exercisable on January 27, 2013, and one-half of the remaining shares become exercisable on each of January 27, 2014, and January 27, 2015.</w:t>
      </w:r>
    </w:p>
    <w:p>
      <w:pPr>
        <w:spacing w:after="0" w:line="221" w:lineRule="exact"/>
        <w:rPr>
          <w:rFonts w:ascii="Arial" w:cs="Arial" w:eastAsia="Arial" w:hAnsi="Arial"/>
          <w:sz w:val="17"/>
          <w:szCs w:val="17"/>
          <w:color w:val="auto"/>
        </w:rPr>
      </w:pPr>
    </w:p>
    <w:p>
      <w:pPr>
        <w:ind w:left="580" w:hanging="577"/>
        <w:spacing w:after="0"/>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One-half of the shares became exercisable on January 28, 2013, and the remaining one-half become exercisable on January 28, 2014.</w:t>
      </w:r>
    </w:p>
    <w:p>
      <w:pPr>
        <w:spacing w:after="0" w:line="230" w:lineRule="exact"/>
        <w:rPr>
          <w:rFonts w:ascii="Arial" w:cs="Arial" w:eastAsia="Arial" w:hAnsi="Arial"/>
          <w:sz w:val="17"/>
          <w:szCs w:val="17"/>
          <w:color w:val="auto"/>
        </w:rPr>
      </w:pPr>
    </w:p>
    <w:p>
      <w:pPr>
        <w:ind w:left="580" w:hanging="577"/>
        <w:spacing w:after="0"/>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Became fully exercisable on January 29, 2013.</w:t>
      </w:r>
    </w:p>
    <w:p>
      <w:pPr>
        <w:spacing w:after="0" w:line="230" w:lineRule="exact"/>
        <w:rPr>
          <w:rFonts w:ascii="Arial" w:cs="Arial" w:eastAsia="Arial" w:hAnsi="Arial"/>
          <w:sz w:val="17"/>
          <w:szCs w:val="17"/>
          <w:color w:val="auto"/>
        </w:rPr>
      </w:pPr>
    </w:p>
    <w:p>
      <w:pPr>
        <w:ind w:left="580" w:hanging="577"/>
        <w:spacing w:after="0"/>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Vesting date is January 29, 2016.</w:t>
      </w:r>
    </w:p>
    <w:p>
      <w:pPr>
        <w:spacing w:after="0" w:line="230" w:lineRule="exact"/>
        <w:rPr>
          <w:rFonts w:ascii="Arial" w:cs="Arial" w:eastAsia="Arial" w:hAnsi="Arial"/>
          <w:sz w:val="17"/>
          <w:szCs w:val="17"/>
          <w:color w:val="auto"/>
        </w:rPr>
      </w:pPr>
    </w:p>
    <w:p>
      <w:pPr>
        <w:ind w:left="580" w:hanging="577"/>
        <w:spacing w:after="0"/>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Vesting date is January 30, 2015.</w:t>
      </w:r>
    </w:p>
    <w:p>
      <w:pPr>
        <w:spacing w:after="0" w:line="230" w:lineRule="exact"/>
        <w:rPr>
          <w:rFonts w:ascii="Arial" w:cs="Arial" w:eastAsia="Arial" w:hAnsi="Arial"/>
          <w:sz w:val="17"/>
          <w:szCs w:val="17"/>
          <w:color w:val="auto"/>
        </w:rPr>
      </w:pPr>
    </w:p>
    <w:p>
      <w:pPr>
        <w:ind w:left="580" w:hanging="577"/>
        <w:spacing w:after="0"/>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Vesting date is January 31, 2014.</w:t>
      </w:r>
    </w:p>
    <w:p>
      <w:pPr>
        <w:spacing w:after="0" w:line="230" w:lineRule="exact"/>
        <w:rPr>
          <w:rFonts w:ascii="Arial" w:cs="Arial" w:eastAsia="Arial" w:hAnsi="Arial"/>
          <w:sz w:val="17"/>
          <w:szCs w:val="17"/>
          <w:color w:val="auto"/>
        </w:rPr>
      </w:pPr>
    </w:p>
    <w:p>
      <w:pPr>
        <w:ind w:left="580" w:hanging="577"/>
        <w:spacing w:after="0"/>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Vested on January 31, 2013.</w:t>
      </w:r>
    </w:p>
    <w:p>
      <w:pPr>
        <w:spacing w:after="0" w:line="230" w:lineRule="exact"/>
        <w:rPr>
          <w:rFonts w:ascii="Arial" w:cs="Arial" w:eastAsia="Arial" w:hAnsi="Arial"/>
          <w:sz w:val="17"/>
          <w:szCs w:val="17"/>
          <w:color w:val="auto"/>
        </w:rPr>
      </w:pPr>
    </w:p>
    <w:p>
      <w:pPr>
        <w:ind w:left="580" w:hanging="577"/>
        <w:spacing w:after="0"/>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Vesting date is July 29, 2016.</w:t>
      </w:r>
    </w:p>
    <w:p>
      <w:pPr>
        <w:spacing w:after="0" w:line="230" w:lineRule="exact"/>
        <w:rPr>
          <w:rFonts w:ascii="Arial" w:cs="Arial" w:eastAsia="Arial" w:hAnsi="Arial"/>
          <w:sz w:val="17"/>
          <w:szCs w:val="17"/>
          <w:color w:val="auto"/>
        </w:rPr>
      </w:pPr>
    </w:p>
    <w:p>
      <w:pPr>
        <w:ind w:left="580" w:hanging="577"/>
        <w:spacing w:after="0"/>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Vesting date is October 31, 2014.</w:t>
      </w:r>
    </w:p>
    <w:p>
      <w:pPr>
        <w:spacing w:after="0" w:line="250" w:lineRule="exact"/>
        <w:rPr>
          <w:sz w:val="20"/>
          <w:szCs w:val="20"/>
          <w:color w:val="auto"/>
        </w:rPr>
      </w:pPr>
    </w:p>
    <w:p>
      <w:pPr>
        <w:spacing w:after="0"/>
        <w:tabs>
          <w:tab w:leader="none" w:pos="10000" w:val="left"/>
        </w:tabs>
        <w:rPr>
          <w:sz w:val="20"/>
          <w:szCs w:val="20"/>
          <w:color w:val="auto"/>
        </w:rPr>
      </w:pPr>
      <w:r>
        <w:rPr>
          <w:rFonts w:ascii="Arial" w:cs="Arial" w:eastAsia="Arial" w:hAnsi="Arial"/>
          <w:sz w:val="13"/>
          <w:szCs w:val="13"/>
          <w:b w:val="1"/>
          <w:bCs w:val="1"/>
          <w:color w:val="808285"/>
        </w:rPr>
        <w:t>84 •  2013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31" w:name="page32"/>
    <w:bookmarkEnd w:id="31"/>
    <w:p>
      <w:pPr>
        <w:ind w:right="40"/>
        <w:spacing w:after="0" w:line="242"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i w:val="1"/>
          <w:iCs w:val="1"/>
          <w:color w:val="auto"/>
        </w:rPr>
        <w:t>Option Awards</w:t>
      </w:r>
      <w:r>
        <w:rPr>
          <w:rFonts w:ascii="Arial" w:cs="Arial" w:eastAsia="Arial" w:hAnsi="Arial"/>
          <w:sz w:val="17"/>
          <w:szCs w:val="17"/>
          <w:color w:val="auto"/>
        </w:rPr>
        <w:t>” shown in the table above are non-qualified stock options, each of which represents the right to purchase shares of TI common stock at the stated exercise price. For grants before 2007, the exercise price is the average of the high and low price of TI common stock on the grant date. For grants after 2006, the exercise price is the closing price of TI common stock on the grant date. The term of each option is ten years unless the option is terminated earlier pursuant to provisions summarized in the chart below and in the paragraph following the chart. Options vest (become exercisable) in increments of 25 percent per year beginning on the first anniversary of the date of the grant. The chart below shows the termination provisions relating to stock options outstanding as of December 31, 2012. The Compensation Committee of the board of directors established these termination provisions to promote employee retention while offering competitive terms.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80" w:type="dxa"/>
            <w:vAlign w:val="bottom"/>
          </w:tcPr>
          <w:p>
            <w:pPr>
              <w:spacing w:after="0"/>
              <w:rPr>
                <w:sz w:val="14"/>
                <w:szCs w:val="14"/>
                <w:color w:val="auto"/>
              </w:rPr>
            </w:pPr>
          </w:p>
        </w:tc>
        <w:tc>
          <w:tcPr>
            <w:tcW w:w="2260" w:type="dxa"/>
            <w:vAlign w:val="bottom"/>
          </w:tcPr>
          <w:p>
            <w:pPr>
              <w:jc w:val="center"/>
              <w:ind w:left="188"/>
              <w:spacing w:after="0"/>
              <w:rPr>
                <w:sz w:val="20"/>
                <w:szCs w:val="20"/>
                <w:color w:val="auto"/>
              </w:rPr>
            </w:pPr>
            <w:r>
              <w:rPr>
                <w:rFonts w:ascii="Arial" w:cs="Arial" w:eastAsia="Arial" w:hAnsi="Arial"/>
                <w:sz w:val="13"/>
                <w:szCs w:val="13"/>
                <w:b w:val="1"/>
                <w:bCs w:val="1"/>
                <w:color w:val="auto"/>
                <w:w w:val="97"/>
              </w:rPr>
              <w:t>Employment</w:t>
            </w:r>
          </w:p>
        </w:tc>
        <w:tc>
          <w:tcPr>
            <w:tcW w:w="3860" w:type="dxa"/>
            <w:vAlign w:val="bottom"/>
          </w:tcPr>
          <w:p>
            <w:pPr>
              <w:jc w:val="center"/>
              <w:ind w:left="648"/>
              <w:spacing w:after="0"/>
              <w:rPr>
                <w:sz w:val="20"/>
                <w:szCs w:val="20"/>
                <w:color w:val="auto"/>
              </w:rPr>
            </w:pPr>
            <w:r>
              <w:rPr>
                <w:rFonts w:ascii="Arial" w:cs="Arial" w:eastAsia="Arial" w:hAnsi="Arial"/>
                <w:sz w:val="13"/>
                <w:szCs w:val="13"/>
                <w:b w:val="1"/>
                <w:bCs w:val="1"/>
                <w:color w:val="auto"/>
                <w:w w:val="98"/>
              </w:rPr>
              <w:t>Employment Termination</w:t>
            </w:r>
          </w:p>
        </w:tc>
        <w:tc>
          <w:tcPr>
            <w:tcW w:w="21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33"/>
        </w:trPr>
        <w:tc>
          <w:tcPr>
            <w:tcW w:w="1780" w:type="dxa"/>
            <w:vAlign w:val="bottom"/>
          </w:tcPr>
          <w:p>
            <w:pPr>
              <w:jc w:val="center"/>
              <w:ind w:right="7"/>
              <w:spacing w:after="0"/>
              <w:rPr>
                <w:sz w:val="20"/>
                <w:szCs w:val="20"/>
                <w:color w:val="auto"/>
              </w:rPr>
            </w:pPr>
            <w:r>
              <w:rPr>
                <w:rFonts w:ascii="Arial" w:cs="Arial" w:eastAsia="Arial" w:hAnsi="Arial"/>
                <w:sz w:val="13"/>
                <w:szCs w:val="13"/>
                <w:b w:val="1"/>
                <w:bCs w:val="1"/>
                <w:color w:val="auto"/>
                <w:w w:val="99"/>
              </w:rPr>
              <w:t>Employment</w:t>
            </w:r>
          </w:p>
        </w:tc>
        <w:tc>
          <w:tcPr>
            <w:tcW w:w="2260" w:type="dxa"/>
            <w:vAlign w:val="bottom"/>
          </w:tcPr>
          <w:p>
            <w:pPr>
              <w:jc w:val="center"/>
              <w:ind w:left="188"/>
              <w:spacing w:after="0"/>
              <w:rPr>
                <w:sz w:val="20"/>
                <w:szCs w:val="20"/>
                <w:color w:val="auto"/>
              </w:rPr>
            </w:pPr>
            <w:r>
              <w:rPr>
                <w:rFonts w:ascii="Arial" w:cs="Arial" w:eastAsia="Arial" w:hAnsi="Arial"/>
                <w:sz w:val="13"/>
                <w:szCs w:val="13"/>
                <w:b w:val="1"/>
                <w:bCs w:val="1"/>
                <w:color w:val="auto"/>
                <w:w w:val="97"/>
              </w:rPr>
              <w:t>Termination (at Least</w:t>
            </w:r>
          </w:p>
        </w:tc>
        <w:tc>
          <w:tcPr>
            <w:tcW w:w="3860" w:type="dxa"/>
            <w:vAlign w:val="bottom"/>
          </w:tcPr>
          <w:p>
            <w:pPr>
              <w:jc w:val="center"/>
              <w:ind w:left="628"/>
              <w:spacing w:after="0"/>
              <w:rPr>
                <w:sz w:val="20"/>
                <w:szCs w:val="20"/>
                <w:color w:val="auto"/>
              </w:rPr>
            </w:pPr>
            <w:r>
              <w:rPr>
                <w:rFonts w:ascii="Arial" w:cs="Arial" w:eastAsia="Arial" w:hAnsi="Arial"/>
                <w:sz w:val="13"/>
                <w:szCs w:val="13"/>
                <w:b w:val="1"/>
                <w:bCs w:val="1"/>
                <w:color w:val="auto"/>
                <w:w w:val="99"/>
              </w:rPr>
              <w:t>(at Least 6 Months after Grant)</w:t>
            </w:r>
          </w:p>
        </w:tc>
        <w:tc>
          <w:tcPr>
            <w:tcW w:w="2100" w:type="dxa"/>
            <w:vAlign w:val="bottom"/>
          </w:tcPr>
          <w:p>
            <w:pPr>
              <w:spacing w:after="0"/>
              <w:rPr>
                <w:sz w:val="20"/>
                <w:szCs w:val="20"/>
                <w:color w:val="auto"/>
              </w:rPr>
            </w:pPr>
          </w:p>
        </w:tc>
        <w:tc>
          <w:tcPr>
            <w:tcW w:w="1420" w:type="dxa"/>
            <w:vAlign w:val="bottom"/>
          </w:tcPr>
          <w:p>
            <w:pPr>
              <w:jc w:val="center"/>
              <w:ind w:left="207"/>
              <w:spacing w:after="0"/>
              <w:rPr>
                <w:sz w:val="20"/>
                <w:szCs w:val="20"/>
                <w:color w:val="auto"/>
              </w:rPr>
            </w:pPr>
            <w:r>
              <w:rPr>
                <w:rFonts w:ascii="Arial" w:cs="Arial" w:eastAsia="Arial" w:hAnsi="Arial"/>
                <w:sz w:val="13"/>
                <w:szCs w:val="13"/>
                <w:b w:val="1"/>
                <w:bCs w:val="1"/>
                <w:color w:val="auto"/>
                <w:w w:val="97"/>
              </w:rPr>
              <w:t>Other</w:t>
            </w:r>
          </w:p>
        </w:tc>
      </w:tr>
      <w:tr>
        <w:trPr>
          <w:trHeight w:val="233"/>
        </w:trPr>
        <w:tc>
          <w:tcPr>
            <w:tcW w:w="1780" w:type="dxa"/>
            <w:vAlign w:val="bottom"/>
          </w:tcPr>
          <w:p>
            <w:pPr>
              <w:jc w:val="center"/>
              <w:ind w:right="7"/>
              <w:spacing w:after="0"/>
              <w:rPr>
                <w:sz w:val="20"/>
                <w:szCs w:val="20"/>
                <w:color w:val="auto"/>
              </w:rPr>
            </w:pPr>
            <w:r>
              <w:rPr>
                <w:rFonts w:ascii="Arial" w:cs="Arial" w:eastAsia="Arial" w:hAnsi="Arial"/>
                <w:sz w:val="13"/>
                <w:szCs w:val="13"/>
                <w:b w:val="1"/>
                <w:bCs w:val="1"/>
                <w:color w:val="auto"/>
                <w:w w:val="99"/>
              </w:rPr>
              <w:t>Termination Due to</w:t>
            </w:r>
          </w:p>
        </w:tc>
        <w:tc>
          <w:tcPr>
            <w:tcW w:w="2260" w:type="dxa"/>
            <w:vAlign w:val="bottom"/>
          </w:tcPr>
          <w:p>
            <w:pPr>
              <w:jc w:val="center"/>
              <w:ind w:left="188"/>
              <w:spacing w:after="0"/>
              <w:rPr>
                <w:sz w:val="20"/>
                <w:szCs w:val="20"/>
                <w:color w:val="auto"/>
              </w:rPr>
            </w:pPr>
            <w:r>
              <w:rPr>
                <w:rFonts w:ascii="Arial" w:cs="Arial" w:eastAsia="Arial" w:hAnsi="Arial"/>
                <w:sz w:val="13"/>
                <w:szCs w:val="13"/>
                <w:b w:val="1"/>
                <w:bCs w:val="1"/>
                <w:color w:val="auto"/>
              </w:rPr>
              <w:t>6 Months after Grant)</w:t>
            </w:r>
          </w:p>
        </w:tc>
        <w:tc>
          <w:tcPr>
            <w:tcW w:w="3860" w:type="dxa"/>
            <w:vAlign w:val="bottom"/>
          </w:tcPr>
          <w:p>
            <w:pPr>
              <w:jc w:val="center"/>
              <w:ind w:left="628"/>
              <w:spacing w:after="0"/>
              <w:rPr>
                <w:sz w:val="20"/>
                <w:szCs w:val="20"/>
                <w:color w:val="auto"/>
              </w:rPr>
            </w:pPr>
            <w:r>
              <w:rPr>
                <w:rFonts w:ascii="Arial" w:cs="Arial" w:eastAsia="Arial" w:hAnsi="Arial"/>
                <w:sz w:val="13"/>
                <w:szCs w:val="13"/>
                <w:b w:val="1"/>
                <w:bCs w:val="1"/>
                <w:color w:val="auto"/>
                <w:w w:val="97"/>
              </w:rPr>
              <w:t>with 20 Years of Credited</w:t>
            </w:r>
          </w:p>
        </w:tc>
        <w:tc>
          <w:tcPr>
            <w:tcW w:w="2100" w:type="dxa"/>
            <w:vAlign w:val="bottom"/>
          </w:tcPr>
          <w:p>
            <w:pPr>
              <w:jc w:val="center"/>
              <w:ind w:left="571"/>
              <w:spacing w:after="0"/>
              <w:rPr>
                <w:sz w:val="20"/>
                <w:szCs w:val="20"/>
                <w:color w:val="auto"/>
              </w:rPr>
            </w:pPr>
            <w:r>
              <w:rPr>
                <w:rFonts w:ascii="Arial" w:cs="Arial" w:eastAsia="Arial" w:hAnsi="Arial"/>
                <w:sz w:val="13"/>
                <w:szCs w:val="13"/>
                <w:b w:val="1"/>
                <w:bCs w:val="1"/>
                <w:color w:val="auto"/>
                <w:w w:val="99"/>
              </w:rPr>
              <w:t>Employment</w:t>
            </w:r>
          </w:p>
        </w:tc>
        <w:tc>
          <w:tcPr>
            <w:tcW w:w="1420" w:type="dxa"/>
            <w:vAlign w:val="bottom"/>
          </w:tcPr>
          <w:p>
            <w:pPr>
              <w:jc w:val="center"/>
              <w:ind w:left="207"/>
              <w:spacing w:after="0"/>
              <w:rPr>
                <w:sz w:val="20"/>
                <w:szCs w:val="20"/>
                <w:color w:val="auto"/>
              </w:rPr>
            </w:pPr>
            <w:r>
              <w:rPr>
                <w:rFonts w:ascii="Arial" w:cs="Arial" w:eastAsia="Arial" w:hAnsi="Arial"/>
                <w:sz w:val="13"/>
                <w:szCs w:val="13"/>
                <w:b w:val="1"/>
                <w:bCs w:val="1"/>
                <w:color w:val="auto"/>
              </w:rPr>
              <w:t>Circumstances</w:t>
            </w:r>
          </w:p>
        </w:tc>
      </w:tr>
      <w:tr>
        <w:trPr>
          <w:trHeight w:val="233"/>
        </w:trPr>
        <w:tc>
          <w:tcPr>
            <w:tcW w:w="1780" w:type="dxa"/>
            <w:vAlign w:val="bottom"/>
          </w:tcPr>
          <w:p>
            <w:pPr>
              <w:jc w:val="center"/>
              <w:ind w:right="7"/>
              <w:spacing w:after="0"/>
              <w:rPr>
                <w:sz w:val="20"/>
                <w:szCs w:val="20"/>
                <w:color w:val="auto"/>
              </w:rPr>
            </w:pPr>
            <w:r>
              <w:rPr>
                <w:rFonts w:ascii="Arial" w:cs="Arial" w:eastAsia="Arial" w:hAnsi="Arial"/>
                <w:sz w:val="13"/>
                <w:szCs w:val="13"/>
                <w:b w:val="1"/>
                <w:bCs w:val="1"/>
                <w:color w:val="auto"/>
                <w:w w:val="98"/>
              </w:rPr>
              <w:t>Death or Permanent</w:t>
            </w:r>
          </w:p>
        </w:tc>
        <w:tc>
          <w:tcPr>
            <w:tcW w:w="2260" w:type="dxa"/>
            <w:vAlign w:val="bottom"/>
          </w:tcPr>
          <w:p>
            <w:pPr>
              <w:jc w:val="center"/>
              <w:ind w:left="188"/>
              <w:spacing w:after="0"/>
              <w:rPr>
                <w:sz w:val="20"/>
                <w:szCs w:val="20"/>
                <w:color w:val="auto"/>
              </w:rPr>
            </w:pPr>
            <w:r>
              <w:rPr>
                <w:rFonts w:ascii="Arial" w:cs="Arial" w:eastAsia="Arial" w:hAnsi="Arial"/>
                <w:sz w:val="13"/>
                <w:szCs w:val="13"/>
                <w:b w:val="1"/>
                <w:bCs w:val="1"/>
                <w:color w:val="auto"/>
              </w:rPr>
              <w:t>When Retirement</w:t>
            </w:r>
          </w:p>
        </w:tc>
        <w:tc>
          <w:tcPr>
            <w:tcW w:w="3860" w:type="dxa"/>
            <w:vAlign w:val="bottom"/>
          </w:tcPr>
          <w:p>
            <w:pPr>
              <w:jc w:val="center"/>
              <w:ind w:left="628"/>
              <w:spacing w:after="0"/>
              <w:rPr>
                <w:sz w:val="20"/>
                <w:szCs w:val="20"/>
                <w:color w:val="auto"/>
              </w:rPr>
            </w:pPr>
            <w:r>
              <w:rPr>
                <w:rFonts w:ascii="Arial" w:cs="Arial" w:eastAsia="Arial" w:hAnsi="Arial"/>
                <w:sz w:val="13"/>
                <w:szCs w:val="13"/>
                <w:b w:val="1"/>
                <w:bCs w:val="1"/>
                <w:color w:val="auto"/>
                <w:w w:val="98"/>
              </w:rPr>
              <w:t>Service, but Not Retirement</w:t>
            </w:r>
          </w:p>
        </w:tc>
        <w:tc>
          <w:tcPr>
            <w:tcW w:w="2100" w:type="dxa"/>
            <w:vAlign w:val="bottom"/>
          </w:tcPr>
          <w:p>
            <w:pPr>
              <w:jc w:val="center"/>
              <w:ind w:left="571"/>
              <w:spacing w:after="0"/>
              <w:rPr>
                <w:sz w:val="20"/>
                <w:szCs w:val="20"/>
                <w:color w:val="auto"/>
              </w:rPr>
            </w:pPr>
            <w:r>
              <w:rPr>
                <w:rFonts w:ascii="Arial" w:cs="Arial" w:eastAsia="Arial" w:hAnsi="Arial"/>
                <w:sz w:val="13"/>
                <w:szCs w:val="13"/>
                <w:b w:val="1"/>
                <w:bCs w:val="1"/>
                <w:color w:val="auto"/>
                <w:w w:val="98"/>
              </w:rPr>
              <w:t>Termination for</w:t>
            </w:r>
          </w:p>
        </w:tc>
        <w:tc>
          <w:tcPr>
            <w:tcW w:w="1420" w:type="dxa"/>
            <w:vAlign w:val="bottom"/>
          </w:tcPr>
          <w:p>
            <w:pPr>
              <w:jc w:val="center"/>
              <w:ind w:left="207"/>
              <w:spacing w:after="0"/>
              <w:rPr>
                <w:sz w:val="20"/>
                <w:szCs w:val="20"/>
                <w:color w:val="auto"/>
              </w:rPr>
            </w:pPr>
            <w:r>
              <w:rPr>
                <w:rFonts w:ascii="Arial" w:cs="Arial" w:eastAsia="Arial" w:hAnsi="Arial"/>
                <w:sz w:val="13"/>
                <w:szCs w:val="13"/>
                <w:b w:val="1"/>
                <w:bCs w:val="1"/>
                <w:color w:val="auto"/>
              </w:rPr>
              <w:t>of Employment</w:t>
            </w:r>
          </w:p>
        </w:tc>
      </w:tr>
      <w:tr>
        <w:trPr>
          <w:trHeight w:val="233"/>
        </w:trPr>
        <w:tc>
          <w:tcPr>
            <w:tcW w:w="1780" w:type="dxa"/>
            <w:vAlign w:val="bottom"/>
          </w:tcPr>
          <w:p>
            <w:pPr>
              <w:jc w:val="center"/>
              <w:ind w:right="7"/>
              <w:spacing w:after="0"/>
              <w:rPr>
                <w:sz w:val="20"/>
                <w:szCs w:val="20"/>
                <w:color w:val="auto"/>
              </w:rPr>
            </w:pPr>
            <w:r>
              <w:rPr>
                <w:rFonts w:ascii="Arial" w:cs="Arial" w:eastAsia="Arial" w:hAnsi="Arial"/>
                <w:sz w:val="13"/>
                <w:szCs w:val="13"/>
                <w:b w:val="1"/>
                <w:bCs w:val="1"/>
                <w:color w:val="auto"/>
              </w:rPr>
              <w:t>Disability</w:t>
            </w:r>
          </w:p>
        </w:tc>
        <w:tc>
          <w:tcPr>
            <w:tcW w:w="2260" w:type="dxa"/>
            <w:vAlign w:val="bottom"/>
          </w:tcPr>
          <w:p>
            <w:pPr>
              <w:jc w:val="center"/>
              <w:ind w:left="168"/>
              <w:spacing w:after="0"/>
              <w:rPr>
                <w:sz w:val="20"/>
                <w:szCs w:val="20"/>
                <w:color w:val="auto"/>
              </w:rPr>
            </w:pPr>
            <w:r>
              <w:rPr>
                <w:rFonts w:ascii="Arial" w:cs="Arial" w:eastAsia="Arial" w:hAnsi="Arial"/>
                <w:sz w:val="13"/>
                <w:szCs w:val="13"/>
                <w:b w:val="1"/>
                <w:bCs w:val="1"/>
                <w:color w:val="auto"/>
                <w:w w:val="99"/>
              </w:rPr>
              <w:t>Eligible</w:t>
            </w:r>
          </w:p>
        </w:tc>
        <w:tc>
          <w:tcPr>
            <w:tcW w:w="3860" w:type="dxa"/>
            <w:vAlign w:val="bottom"/>
          </w:tcPr>
          <w:p>
            <w:pPr>
              <w:jc w:val="center"/>
              <w:ind w:left="648"/>
              <w:spacing w:after="0"/>
              <w:rPr>
                <w:sz w:val="20"/>
                <w:szCs w:val="20"/>
                <w:color w:val="auto"/>
              </w:rPr>
            </w:pPr>
            <w:r>
              <w:rPr>
                <w:rFonts w:ascii="Arial" w:cs="Arial" w:eastAsia="Arial" w:hAnsi="Arial"/>
                <w:sz w:val="13"/>
                <w:szCs w:val="13"/>
                <w:b w:val="1"/>
                <w:bCs w:val="1"/>
                <w:color w:val="auto"/>
                <w:w w:val="99"/>
              </w:rPr>
              <w:t>Eligible</w:t>
            </w:r>
          </w:p>
        </w:tc>
        <w:tc>
          <w:tcPr>
            <w:tcW w:w="2100" w:type="dxa"/>
            <w:vAlign w:val="bottom"/>
          </w:tcPr>
          <w:p>
            <w:pPr>
              <w:jc w:val="center"/>
              <w:ind w:left="571"/>
              <w:spacing w:after="0"/>
              <w:rPr>
                <w:sz w:val="20"/>
                <w:szCs w:val="20"/>
                <w:color w:val="auto"/>
              </w:rPr>
            </w:pPr>
            <w:r>
              <w:rPr>
                <w:rFonts w:ascii="Arial" w:cs="Arial" w:eastAsia="Arial" w:hAnsi="Arial"/>
                <w:sz w:val="13"/>
                <w:szCs w:val="13"/>
                <w:b w:val="1"/>
                <w:bCs w:val="1"/>
                <w:color w:val="auto"/>
                <w:w w:val="97"/>
              </w:rPr>
              <w:t>Cause</w:t>
            </w:r>
          </w:p>
        </w:tc>
        <w:tc>
          <w:tcPr>
            <w:tcW w:w="1420" w:type="dxa"/>
            <w:vAlign w:val="bottom"/>
          </w:tcPr>
          <w:p>
            <w:pPr>
              <w:jc w:val="center"/>
              <w:ind w:left="207"/>
              <w:spacing w:after="0"/>
              <w:rPr>
                <w:sz w:val="20"/>
                <w:szCs w:val="20"/>
                <w:color w:val="auto"/>
              </w:rPr>
            </w:pPr>
            <w:r>
              <w:rPr>
                <w:rFonts w:ascii="Arial" w:cs="Arial" w:eastAsia="Arial" w:hAnsi="Arial"/>
                <w:sz w:val="13"/>
                <w:szCs w:val="13"/>
                <w:b w:val="1"/>
                <w:bCs w:val="1"/>
                <w:color w:val="auto"/>
                <w:w w:val="99"/>
              </w:rPr>
              <w:t>Termination</w:t>
            </w:r>
          </w:p>
        </w:tc>
      </w:tr>
      <w:tr>
        <w:trPr>
          <w:trHeight w:val="45"/>
        </w:trPr>
        <w:tc>
          <w:tcPr>
            <w:tcW w:w="1780" w:type="dxa"/>
            <w:vAlign w:val="bottom"/>
            <w:tcBorders>
              <w:bottom w:val="single" w:sz="8" w:color="808285"/>
            </w:tcBorders>
          </w:tcPr>
          <w:p>
            <w:pPr>
              <w:spacing w:after="0"/>
              <w:rPr>
                <w:sz w:val="3"/>
                <w:szCs w:val="3"/>
                <w:color w:val="auto"/>
              </w:rPr>
            </w:pPr>
          </w:p>
        </w:tc>
        <w:tc>
          <w:tcPr>
            <w:tcW w:w="2260" w:type="dxa"/>
            <w:vAlign w:val="bottom"/>
            <w:tcBorders>
              <w:bottom w:val="single" w:sz="8" w:color="808285"/>
            </w:tcBorders>
          </w:tcPr>
          <w:p>
            <w:pPr>
              <w:spacing w:after="0"/>
              <w:rPr>
                <w:sz w:val="3"/>
                <w:szCs w:val="3"/>
                <w:color w:val="auto"/>
              </w:rPr>
            </w:pPr>
          </w:p>
        </w:tc>
        <w:tc>
          <w:tcPr>
            <w:tcW w:w="3860" w:type="dxa"/>
            <w:vAlign w:val="bottom"/>
            <w:tcBorders>
              <w:bottom w:val="single" w:sz="8" w:color="808285"/>
            </w:tcBorders>
          </w:tcPr>
          <w:p>
            <w:pPr>
              <w:spacing w:after="0"/>
              <w:rPr>
                <w:sz w:val="3"/>
                <w:szCs w:val="3"/>
                <w:color w:val="auto"/>
              </w:rPr>
            </w:pPr>
          </w:p>
        </w:tc>
        <w:tc>
          <w:tcPr>
            <w:tcW w:w="2100" w:type="dxa"/>
            <w:vAlign w:val="bottom"/>
            <w:tcBorders>
              <w:bottom w:val="single" w:sz="8" w:color="808285"/>
            </w:tcBorders>
          </w:tcPr>
          <w:p>
            <w:pPr>
              <w:spacing w:after="0"/>
              <w:rPr>
                <w:sz w:val="3"/>
                <w:szCs w:val="3"/>
                <w:color w:val="auto"/>
              </w:rPr>
            </w:pPr>
          </w:p>
        </w:tc>
        <w:tc>
          <w:tcPr>
            <w:tcW w:w="1420" w:type="dxa"/>
            <w:vAlign w:val="bottom"/>
            <w:tcBorders>
              <w:bottom w:val="single" w:sz="8" w:color="808285"/>
            </w:tcBorders>
          </w:tcPr>
          <w:p>
            <w:pPr>
              <w:spacing w:after="0"/>
              <w:rPr>
                <w:sz w:val="3"/>
                <w:szCs w:val="3"/>
                <w:color w:val="auto"/>
              </w:rPr>
            </w:pPr>
          </w:p>
        </w:tc>
      </w:tr>
      <w:tr>
        <w:trPr>
          <w:trHeight w:val="218"/>
        </w:trPr>
        <w:tc>
          <w:tcPr>
            <w:tcW w:w="1780" w:type="dxa"/>
            <w:vAlign w:val="bottom"/>
            <w:shd w:val="clear" w:color="auto" w:fill="E9E9E9"/>
          </w:tcPr>
          <w:p>
            <w:pPr>
              <w:spacing w:after="0"/>
              <w:rPr>
                <w:sz w:val="20"/>
                <w:szCs w:val="20"/>
                <w:color w:val="auto"/>
              </w:rPr>
            </w:pPr>
            <w:r>
              <w:rPr>
                <w:rFonts w:ascii="Arial" w:cs="Arial" w:eastAsia="Arial" w:hAnsi="Arial"/>
                <w:sz w:val="17"/>
                <w:szCs w:val="17"/>
                <w:color w:val="auto"/>
              </w:rPr>
              <w:t>Vesting continues;</w:t>
            </w:r>
          </w:p>
        </w:tc>
        <w:tc>
          <w:tcPr>
            <w:tcW w:w="2260" w:type="dxa"/>
            <w:vAlign w:val="bottom"/>
            <w:shd w:val="clear" w:color="auto" w:fill="E9E9E9"/>
          </w:tcPr>
          <w:p>
            <w:pPr>
              <w:ind w:left="80"/>
              <w:spacing w:after="0"/>
              <w:rPr>
                <w:sz w:val="20"/>
                <w:szCs w:val="20"/>
                <w:color w:val="auto"/>
              </w:rPr>
            </w:pPr>
            <w:r>
              <w:rPr>
                <w:rFonts w:ascii="Arial" w:cs="Arial" w:eastAsia="Arial" w:hAnsi="Arial"/>
                <w:sz w:val="17"/>
                <w:szCs w:val="17"/>
                <w:color w:val="auto"/>
              </w:rPr>
              <w:t>Vesting continues;</w:t>
            </w:r>
          </w:p>
        </w:tc>
        <w:tc>
          <w:tcPr>
            <w:tcW w:w="3860" w:type="dxa"/>
            <w:vAlign w:val="bottom"/>
            <w:shd w:val="clear" w:color="auto" w:fill="E9E9E9"/>
          </w:tcPr>
          <w:p>
            <w:pPr>
              <w:ind w:left="340"/>
              <w:spacing w:after="0"/>
              <w:rPr>
                <w:sz w:val="20"/>
                <w:szCs w:val="20"/>
                <w:color w:val="auto"/>
              </w:rPr>
            </w:pPr>
            <w:r>
              <w:rPr>
                <w:rFonts w:ascii="Arial" w:cs="Arial" w:eastAsia="Arial" w:hAnsi="Arial"/>
                <w:sz w:val="17"/>
                <w:szCs w:val="17"/>
                <w:color w:val="auto"/>
              </w:rPr>
              <w:t>Option remains in effect to the end of</w:t>
            </w:r>
          </w:p>
        </w:tc>
        <w:tc>
          <w:tcPr>
            <w:tcW w:w="2100" w:type="dxa"/>
            <w:vAlign w:val="bottom"/>
            <w:shd w:val="clear" w:color="auto" w:fill="E9E9E9"/>
          </w:tcPr>
          <w:p>
            <w:pPr>
              <w:ind w:left="520"/>
              <w:spacing w:after="0"/>
              <w:rPr>
                <w:sz w:val="20"/>
                <w:szCs w:val="20"/>
                <w:color w:val="auto"/>
              </w:rPr>
            </w:pPr>
            <w:r>
              <w:rPr>
                <w:rFonts w:ascii="Arial" w:cs="Arial" w:eastAsia="Arial" w:hAnsi="Arial"/>
                <w:sz w:val="17"/>
                <w:szCs w:val="17"/>
                <w:color w:val="auto"/>
              </w:rPr>
              <w:t>Option cancels</w:t>
            </w:r>
          </w:p>
        </w:tc>
        <w:tc>
          <w:tcPr>
            <w:tcW w:w="1420" w:type="dxa"/>
            <w:vAlign w:val="bottom"/>
            <w:shd w:val="clear" w:color="auto" w:fill="E9E9E9"/>
          </w:tcPr>
          <w:p>
            <w:pPr>
              <w:jc w:val="center"/>
              <w:ind w:left="207"/>
              <w:spacing w:after="0"/>
              <w:rPr>
                <w:sz w:val="20"/>
                <w:szCs w:val="20"/>
                <w:color w:val="auto"/>
              </w:rPr>
            </w:pPr>
            <w:r>
              <w:rPr>
                <w:rFonts w:ascii="Arial" w:cs="Arial" w:eastAsia="Arial" w:hAnsi="Arial"/>
                <w:sz w:val="17"/>
                <w:szCs w:val="17"/>
                <w:color w:val="auto"/>
                <w:w w:val="98"/>
              </w:rPr>
              <w:t>Option remains</w:t>
            </w:r>
          </w:p>
        </w:tc>
      </w:tr>
      <w:tr>
        <w:trPr>
          <w:trHeight w:val="233"/>
        </w:trPr>
        <w:tc>
          <w:tcPr>
            <w:tcW w:w="1780" w:type="dxa"/>
            <w:vAlign w:val="bottom"/>
            <w:shd w:val="clear" w:color="auto" w:fill="E9E9E9"/>
          </w:tcPr>
          <w:p>
            <w:pPr>
              <w:spacing w:after="0"/>
              <w:rPr>
                <w:sz w:val="20"/>
                <w:szCs w:val="20"/>
                <w:color w:val="auto"/>
              </w:rPr>
            </w:pPr>
            <w:r>
              <w:rPr>
                <w:rFonts w:ascii="Arial" w:cs="Arial" w:eastAsia="Arial" w:hAnsi="Arial"/>
                <w:sz w:val="17"/>
                <w:szCs w:val="17"/>
                <w:color w:val="auto"/>
              </w:rPr>
              <w:t>option remains in</w:t>
            </w:r>
          </w:p>
        </w:tc>
        <w:tc>
          <w:tcPr>
            <w:tcW w:w="2260" w:type="dxa"/>
            <w:vAlign w:val="bottom"/>
            <w:shd w:val="clear" w:color="auto" w:fill="E9E9E9"/>
          </w:tcPr>
          <w:p>
            <w:pPr>
              <w:ind w:left="80"/>
              <w:spacing w:after="0"/>
              <w:rPr>
                <w:sz w:val="20"/>
                <w:szCs w:val="20"/>
                <w:color w:val="auto"/>
              </w:rPr>
            </w:pPr>
            <w:r>
              <w:rPr>
                <w:rFonts w:ascii="Arial" w:cs="Arial" w:eastAsia="Arial" w:hAnsi="Arial"/>
                <w:sz w:val="17"/>
                <w:szCs w:val="17"/>
                <w:color w:val="auto"/>
              </w:rPr>
              <w:t>option remains in</w:t>
            </w:r>
          </w:p>
        </w:tc>
        <w:tc>
          <w:tcPr>
            <w:tcW w:w="3860" w:type="dxa"/>
            <w:vAlign w:val="bottom"/>
            <w:shd w:val="clear" w:color="auto" w:fill="E9E9E9"/>
          </w:tcPr>
          <w:p>
            <w:pPr>
              <w:ind w:left="340"/>
              <w:spacing w:after="0"/>
              <w:rPr>
                <w:sz w:val="20"/>
                <w:szCs w:val="20"/>
                <w:color w:val="auto"/>
              </w:rPr>
            </w:pPr>
            <w:r>
              <w:rPr>
                <w:rFonts w:ascii="Arial" w:cs="Arial" w:eastAsia="Arial" w:hAnsi="Arial"/>
                <w:sz w:val="17"/>
                <w:szCs w:val="17"/>
                <w:color w:val="auto"/>
              </w:rPr>
              <w:t>the term; vesting does not continue after</w:t>
            </w:r>
          </w:p>
        </w:tc>
        <w:tc>
          <w:tcPr>
            <w:tcW w:w="2100" w:type="dxa"/>
            <w:vAlign w:val="bottom"/>
            <w:shd w:val="clear" w:color="auto" w:fill="E9E9E9"/>
          </w:tcPr>
          <w:p>
            <w:pPr>
              <w:spacing w:after="0"/>
              <w:rPr>
                <w:sz w:val="20"/>
                <w:szCs w:val="20"/>
                <w:color w:val="auto"/>
              </w:rPr>
            </w:pPr>
          </w:p>
        </w:tc>
        <w:tc>
          <w:tcPr>
            <w:tcW w:w="1420" w:type="dxa"/>
            <w:vAlign w:val="bottom"/>
            <w:shd w:val="clear" w:color="auto" w:fill="E9E9E9"/>
          </w:tcPr>
          <w:p>
            <w:pPr>
              <w:ind w:left="280"/>
              <w:spacing w:after="0"/>
              <w:rPr>
                <w:sz w:val="20"/>
                <w:szCs w:val="20"/>
                <w:color w:val="auto"/>
              </w:rPr>
            </w:pPr>
            <w:r>
              <w:rPr>
                <w:rFonts w:ascii="Arial" w:cs="Arial" w:eastAsia="Arial" w:hAnsi="Arial"/>
                <w:sz w:val="17"/>
                <w:szCs w:val="17"/>
                <w:color w:val="auto"/>
              </w:rPr>
              <w:t>exercisable for</w:t>
            </w:r>
          </w:p>
        </w:tc>
      </w:tr>
      <w:tr>
        <w:trPr>
          <w:trHeight w:val="247"/>
        </w:trPr>
        <w:tc>
          <w:tcPr>
            <w:tcW w:w="1780" w:type="dxa"/>
            <w:vAlign w:val="bottom"/>
            <w:shd w:val="clear" w:color="auto" w:fill="E9E9E9"/>
          </w:tcPr>
          <w:p>
            <w:pPr>
              <w:spacing w:after="0"/>
              <w:rPr>
                <w:sz w:val="20"/>
                <w:szCs w:val="20"/>
                <w:color w:val="auto"/>
              </w:rPr>
            </w:pPr>
            <w:r>
              <w:rPr>
                <w:rFonts w:ascii="Arial" w:cs="Arial" w:eastAsia="Arial" w:hAnsi="Arial"/>
                <w:sz w:val="17"/>
                <w:szCs w:val="17"/>
                <w:color w:val="auto"/>
              </w:rPr>
              <w:t>effect to end of term</w:t>
            </w:r>
          </w:p>
        </w:tc>
        <w:tc>
          <w:tcPr>
            <w:tcW w:w="2260" w:type="dxa"/>
            <w:vAlign w:val="bottom"/>
            <w:shd w:val="clear" w:color="auto" w:fill="E9E9E9"/>
          </w:tcPr>
          <w:p>
            <w:pPr>
              <w:ind w:left="80"/>
              <w:spacing w:after="0"/>
              <w:rPr>
                <w:sz w:val="20"/>
                <w:szCs w:val="20"/>
                <w:color w:val="auto"/>
              </w:rPr>
            </w:pPr>
            <w:r>
              <w:rPr>
                <w:rFonts w:ascii="Arial" w:cs="Arial" w:eastAsia="Arial" w:hAnsi="Arial"/>
                <w:sz w:val="17"/>
                <w:szCs w:val="17"/>
                <w:color w:val="auto"/>
              </w:rPr>
              <w:t>effect to end of term</w:t>
            </w:r>
          </w:p>
        </w:tc>
        <w:tc>
          <w:tcPr>
            <w:tcW w:w="3860" w:type="dxa"/>
            <w:vAlign w:val="bottom"/>
            <w:shd w:val="clear" w:color="auto" w:fill="E9E9E9"/>
          </w:tcPr>
          <w:p>
            <w:pPr>
              <w:ind w:left="340"/>
              <w:spacing w:after="0"/>
              <w:rPr>
                <w:sz w:val="20"/>
                <w:szCs w:val="20"/>
                <w:color w:val="auto"/>
              </w:rPr>
            </w:pPr>
            <w:r>
              <w:rPr>
                <w:rFonts w:ascii="Arial" w:cs="Arial" w:eastAsia="Arial" w:hAnsi="Arial"/>
                <w:sz w:val="17"/>
                <w:szCs w:val="17"/>
                <w:color w:val="auto"/>
              </w:rPr>
              <w:t>employment termination</w:t>
            </w:r>
          </w:p>
        </w:tc>
        <w:tc>
          <w:tcPr>
            <w:tcW w:w="2100" w:type="dxa"/>
            <w:vAlign w:val="bottom"/>
            <w:shd w:val="clear" w:color="auto" w:fill="E9E9E9"/>
          </w:tcPr>
          <w:p>
            <w:pPr>
              <w:spacing w:after="0"/>
              <w:rPr>
                <w:sz w:val="21"/>
                <w:szCs w:val="21"/>
                <w:color w:val="auto"/>
              </w:rPr>
            </w:pPr>
          </w:p>
        </w:tc>
        <w:tc>
          <w:tcPr>
            <w:tcW w:w="1420" w:type="dxa"/>
            <w:vAlign w:val="bottom"/>
            <w:shd w:val="clear" w:color="auto" w:fill="E9E9E9"/>
          </w:tcPr>
          <w:p>
            <w:pPr>
              <w:ind w:left="280"/>
              <w:spacing w:after="0"/>
              <w:rPr>
                <w:sz w:val="20"/>
                <w:szCs w:val="20"/>
                <w:color w:val="auto"/>
              </w:rPr>
            </w:pPr>
            <w:r>
              <w:rPr>
                <w:rFonts w:ascii="Arial" w:cs="Arial" w:eastAsia="Arial" w:hAnsi="Arial"/>
                <w:sz w:val="17"/>
                <w:szCs w:val="17"/>
                <w:color w:val="auto"/>
              </w:rPr>
              <w:t>30 days</w:t>
            </w:r>
          </w:p>
        </w:tc>
      </w:tr>
    </w:tbl>
    <w:p>
      <w:pPr>
        <w:spacing w:after="0" w:line="200" w:lineRule="exact"/>
        <w:rPr>
          <w:sz w:val="20"/>
          <w:szCs w:val="20"/>
          <w:color w:val="auto"/>
        </w:rPr>
      </w:pPr>
    </w:p>
    <w:p>
      <w:pPr>
        <w:spacing w:after="0" w:line="242"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Options may be cancelled if the grantee competes with TI during the two years after employment termination or discloses TI trade secrets. In addition, for options received while the grantee was an executive officer, the company may reclaim (or “clawback”) profits earned under grants if the officer engages in such conduct. These provisions are intended to strengthen retention and provide a reasonable remedy to TI in case of competition or disclosure of our confidential information.</w:t>
      </w:r>
    </w:p>
    <w:p>
      <w:pPr>
        <w:spacing w:after="0" w:line="3" w:lineRule="exact"/>
        <w:rPr>
          <w:sz w:val="20"/>
          <w:szCs w:val="20"/>
          <w:color w:val="auto"/>
        </w:rPr>
      </w:pPr>
    </w:p>
    <w:p>
      <w:pPr>
        <w:ind w:firstLine="233"/>
        <w:spacing w:after="0" w:line="238" w:lineRule="auto"/>
        <w:rPr>
          <w:sz w:val="20"/>
          <w:szCs w:val="20"/>
          <w:color w:val="auto"/>
        </w:rPr>
      </w:pPr>
      <w:r>
        <w:rPr>
          <w:rFonts w:ascii="Arial" w:cs="Arial" w:eastAsia="Arial" w:hAnsi="Arial"/>
          <w:sz w:val="17"/>
          <w:szCs w:val="17"/>
          <w:color w:val="auto"/>
        </w:rPr>
        <w:t>Options granted after 2009 become fully vested if the grantee is involuntarily terminated from employment with TI (other than for cause) within 24 months after a change in control of TI. “Change in control” is defined as provided in the Texas Instruments 2009 Long-Term Incentive Plan and occurs upon (1) acquisition of more than 50 percent of the voting stock or at least 80 percent of the assets of TI or (2) change of a majority of the board of directors in a 12-month period unless a majority of the directors then in office endorsed the appointment or election of the new directors (“Plan definition”). These terms are intended to reduce employee uncertainty and distraction in the period leading up to a change in control, if such an event were to occur. For options granted before 2010, the stock option terms provide that upon a change in control of TI, the option becomes fully vested to the extent it is then outstanding; and if employment termination (except for cause) has occurred within 30 days before the change in control, the change in control is deemed to have occurred first. “Change in control” is defined in these pre-2010 options as (1) acquisition of 20 percent of TI common stock other than through a transaction approved by the board of directors, or (2) change of a majority of the board of directors in a 24-month period unless a majority of the directors then in office have elected or nominated the new directors (together, the “pre-2010 definition”).</w:t>
      </w:r>
    </w:p>
    <w:p>
      <w:pPr>
        <w:spacing w:after="0" w:line="188"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i w:val="1"/>
          <w:iCs w:val="1"/>
          <w:color w:val="auto"/>
        </w:rPr>
        <w:t>Stock Awards</w:t>
      </w:r>
      <w:r>
        <w:rPr>
          <w:rFonts w:ascii="Arial" w:cs="Arial" w:eastAsia="Arial" w:hAnsi="Arial"/>
          <w:sz w:val="17"/>
          <w:szCs w:val="17"/>
          <w:color w:val="auto"/>
        </w:rPr>
        <w:t>” in the table of outstanding equity awards at fiscal year-end 2012 are RSU awards. Each RSU represents the right to receive one share of TI common stock on a stated date (the “vesting date”) unless the award is terminated earlier under terms summarized below. In general, the vesting date is approximately four years after the grant date. Each RSU includes the right to receive dividend equivalents, which are paid annually in cash at a rate equal to the amount paid to stockholders in dividends. The table below shows the termination provisions of RSUs outstanding as of December 31, 2012.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Pr>
          <w:p>
            <w:pPr>
              <w:jc w:val="center"/>
              <w:ind w:right="6"/>
              <w:spacing w:after="0"/>
              <w:rPr>
                <w:sz w:val="20"/>
                <w:szCs w:val="20"/>
                <w:color w:val="auto"/>
              </w:rPr>
            </w:pPr>
            <w:r>
              <w:rPr>
                <w:rFonts w:ascii="Arial" w:cs="Arial" w:eastAsia="Arial" w:hAnsi="Arial"/>
                <w:sz w:val="13"/>
                <w:szCs w:val="13"/>
                <w:b w:val="1"/>
                <w:bCs w:val="1"/>
                <w:color w:val="auto"/>
                <w:w w:val="98"/>
              </w:rPr>
              <w:t>Employment Termination</w:t>
            </w:r>
          </w:p>
        </w:tc>
        <w:tc>
          <w:tcPr>
            <w:tcW w:w="5180" w:type="dxa"/>
            <w:vAlign w:val="bottom"/>
          </w:tcPr>
          <w:p>
            <w:pPr>
              <w:ind w:left="1840"/>
              <w:spacing w:after="0"/>
              <w:rPr>
                <w:sz w:val="20"/>
                <w:szCs w:val="20"/>
                <w:color w:val="auto"/>
              </w:rPr>
            </w:pPr>
            <w:r>
              <w:rPr>
                <w:rFonts w:ascii="Arial" w:cs="Arial" w:eastAsia="Arial" w:hAnsi="Arial"/>
                <w:sz w:val="13"/>
                <w:szCs w:val="13"/>
                <w:b w:val="1"/>
                <w:bCs w:val="1"/>
                <w:color w:val="auto"/>
              </w:rPr>
              <w:t>Employment Termination</w:t>
            </w:r>
          </w:p>
        </w:tc>
        <w:tc>
          <w:tcPr>
            <w:tcW w:w="3300" w:type="dxa"/>
            <w:vAlign w:val="bottom"/>
          </w:tcPr>
          <w:p>
            <w:pPr>
              <w:jc w:val="center"/>
              <w:ind w:left="49"/>
              <w:spacing w:after="0"/>
              <w:rPr>
                <w:sz w:val="20"/>
                <w:szCs w:val="20"/>
                <w:color w:val="auto"/>
              </w:rPr>
            </w:pPr>
            <w:r>
              <w:rPr>
                <w:rFonts w:ascii="Arial" w:cs="Arial" w:eastAsia="Arial" w:hAnsi="Arial"/>
                <w:sz w:val="13"/>
                <w:szCs w:val="13"/>
                <w:b w:val="1"/>
                <w:bCs w:val="1"/>
                <w:color w:val="auto"/>
                <w:w w:val="98"/>
              </w:rPr>
              <w:t>Other Circumstances</w:t>
            </w:r>
          </w:p>
        </w:tc>
      </w:tr>
      <w:tr>
        <w:trPr>
          <w:trHeight w:val="233"/>
        </w:trPr>
        <w:tc>
          <w:tcPr>
            <w:tcW w:w="2940" w:type="dxa"/>
            <w:vAlign w:val="bottom"/>
          </w:tcPr>
          <w:p>
            <w:pPr>
              <w:jc w:val="center"/>
              <w:ind w:right="26"/>
              <w:spacing w:after="0"/>
              <w:rPr>
                <w:sz w:val="20"/>
                <w:szCs w:val="20"/>
                <w:color w:val="auto"/>
              </w:rPr>
            </w:pPr>
            <w:r>
              <w:rPr>
                <w:rFonts w:ascii="Arial" w:cs="Arial" w:eastAsia="Arial" w:hAnsi="Arial"/>
                <w:sz w:val="13"/>
                <w:szCs w:val="13"/>
                <w:b w:val="1"/>
                <w:bCs w:val="1"/>
                <w:color w:val="auto"/>
                <w:w w:val="99"/>
              </w:rPr>
              <w:t>Due to Death or Permanent Disability</w:t>
            </w:r>
          </w:p>
        </w:tc>
        <w:tc>
          <w:tcPr>
            <w:tcW w:w="5180" w:type="dxa"/>
            <w:vAlign w:val="bottom"/>
          </w:tcPr>
          <w:p>
            <w:pPr>
              <w:ind w:left="1820"/>
              <w:spacing w:after="0"/>
              <w:rPr>
                <w:sz w:val="20"/>
                <w:szCs w:val="20"/>
                <w:color w:val="auto"/>
              </w:rPr>
            </w:pPr>
            <w:r>
              <w:rPr>
                <w:rFonts w:ascii="Arial" w:cs="Arial" w:eastAsia="Arial" w:hAnsi="Arial"/>
                <w:sz w:val="13"/>
                <w:szCs w:val="13"/>
                <w:b w:val="1"/>
                <w:bCs w:val="1"/>
                <w:color w:val="auto"/>
              </w:rPr>
              <w:t>When Retirement Eligible</w:t>
            </w:r>
          </w:p>
        </w:tc>
        <w:tc>
          <w:tcPr>
            <w:tcW w:w="3300" w:type="dxa"/>
            <w:vAlign w:val="bottom"/>
          </w:tcPr>
          <w:p>
            <w:pPr>
              <w:jc w:val="center"/>
              <w:ind w:left="49"/>
              <w:spacing w:after="0"/>
              <w:rPr>
                <w:sz w:val="20"/>
                <w:szCs w:val="20"/>
                <w:color w:val="auto"/>
              </w:rPr>
            </w:pPr>
            <w:r>
              <w:rPr>
                <w:rFonts w:ascii="Arial" w:cs="Arial" w:eastAsia="Arial" w:hAnsi="Arial"/>
                <w:sz w:val="13"/>
                <w:szCs w:val="13"/>
                <w:b w:val="1"/>
                <w:bCs w:val="1"/>
                <w:color w:val="auto"/>
                <w:w w:val="98"/>
              </w:rPr>
              <w:t>of Employment Termination</w:t>
            </w:r>
          </w:p>
        </w:tc>
      </w:tr>
      <w:tr>
        <w:trPr>
          <w:trHeight w:val="45"/>
        </w:trPr>
        <w:tc>
          <w:tcPr>
            <w:tcW w:w="2940" w:type="dxa"/>
            <w:vAlign w:val="bottom"/>
            <w:tcBorders>
              <w:bottom w:val="single" w:sz="8" w:color="808285"/>
            </w:tcBorders>
          </w:tcPr>
          <w:p>
            <w:pPr>
              <w:spacing w:after="0"/>
              <w:rPr>
                <w:sz w:val="3"/>
                <w:szCs w:val="3"/>
                <w:color w:val="auto"/>
              </w:rPr>
            </w:pPr>
          </w:p>
        </w:tc>
        <w:tc>
          <w:tcPr>
            <w:tcW w:w="5180" w:type="dxa"/>
            <w:vAlign w:val="bottom"/>
            <w:tcBorders>
              <w:bottom w:val="single" w:sz="8" w:color="808285"/>
            </w:tcBorders>
          </w:tcPr>
          <w:p>
            <w:pPr>
              <w:spacing w:after="0"/>
              <w:rPr>
                <w:sz w:val="3"/>
                <w:szCs w:val="3"/>
                <w:color w:val="auto"/>
              </w:rPr>
            </w:pPr>
          </w:p>
        </w:tc>
        <w:tc>
          <w:tcPr>
            <w:tcW w:w="3300" w:type="dxa"/>
            <w:vAlign w:val="bottom"/>
            <w:tcBorders>
              <w:bottom w:val="single" w:sz="8" w:color="808285"/>
            </w:tcBorders>
          </w:tcPr>
          <w:p>
            <w:pPr>
              <w:spacing w:after="0"/>
              <w:rPr>
                <w:sz w:val="3"/>
                <w:szCs w:val="3"/>
                <w:color w:val="auto"/>
              </w:rPr>
            </w:pPr>
          </w:p>
        </w:tc>
      </w:tr>
      <w:tr>
        <w:trPr>
          <w:trHeight w:val="218"/>
        </w:trPr>
        <w:tc>
          <w:tcPr>
            <w:tcW w:w="2940" w:type="dxa"/>
            <w:vAlign w:val="bottom"/>
            <w:shd w:val="clear" w:color="auto" w:fill="E9E9E9"/>
          </w:tcPr>
          <w:p>
            <w:pPr>
              <w:spacing w:after="0"/>
              <w:rPr>
                <w:sz w:val="20"/>
                <w:szCs w:val="20"/>
                <w:color w:val="auto"/>
              </w:rPr>
            </w:pPr>
            <w:r>
              <w:rPr>
                <w:rFonts w:ascii="Arial" w:cs="Arial" w:eastAsia="Arial" w:hAnsi="Arial"/>
                <w:sz w:val="17"/>
                <w:szCs w:val="17"/>
                <w:color w:val="auto"/>
              </w:rPr>
              <w:t>Vesting continues; shares are paid at</w:t>
            </w:r>
          </w:p>
        </w:tc>
        <w:tc>
          <w:tcPr>
            <w:tcW w:w="5180" w:type="dxa"/>
            <w:vAlign w:val="bottom"/>
            <w:shd w:val="clear" w:color="auto" w:fill="E9E9E9"/>
          </w:tcPr>
          <w:p>
            <w:pPr>
              <w:ind w:left="160"/>
              <w:spacing w:after="0"/>
              <w:rPr>
                <w:sz w:val="20"/>
                <w:szCs w:val="20"/>
                <w:color w:val="auto"/>
              </w:rPr>
            </w:pPr>
            <w:r>
              <w:rPr>
                <w:rFonts w:ascii="Arial" w:cs="Arial" w:eastAsia="Arial" w:hAnsi="Arial"/>
                <w:sz w:val="17"/>
                <w:szCs w:val="17"/>
                <w:color w:val="auto"/>
              </w:rPr>
              <w:t>Grant stays in effect and pays out shares at the scheduled</w:t>
            </w:r>
          </w:p>
        </w:tc>
        <w:tc>
          <w:tcPr>
            <w:tcW w:w="3300" w:type="dxa"/>
            <w:vAlign w:val="bottom"/>
            <w:shd w:val="clear" w:color="auto" w:fill="E9E9E9"/>
          </w:tcPr>
          <w:p>
            <w:pPr>
              <w:ind w:left="120"/>
              <w:spacing w:after="0"/>
              <w:rPr>
                <w:sz w:val="20"/>
                <w:szCs w:val="20"/>
                <w:color w:val="auto"/>
              </w:rPr>
            </w:pPr>
            <w:r>
              <w:rPr>
                <w:rFonts w:ascii="Arial" w:cs="Arial" w:eastAsia="Arial" w:hAnsi="Arial"/>
                <w:sz w:val="17"/>
                <w:szCs w:val="17"/>
                <w:color w:val="auto"/>
              </w:rPr>
              <w:t>Grant cancels; no shares are issued</w:t>
            </w:r>
          </w:p>
        </w:tc>
      </w:tr>
      <w:tr>
        <w:trPr>
          <w:trHeight w:val="233"/>
        </w:trPr>
        <w:tc>
          <w:tcPr>
            <w:tcW w:w="2940" w:type="dxa"/>
            <w:vAlign w:val="bottom"/>
            <w:shd w:val="clear" w:color="auto" w:fill="E9E9E9"/>
          </w:tcPr>
          <w:p>
            <w:pPr>
              <w:spacing w:after="0"/>
              <w:rPr>
                <w:sz w:val="20"/>
                <w:szCs w:val="20"/>
                <w:color w:val="auto"/>
              </w:rPr>
            </w:pPr>
            <w:r>
              <w:rPr>
                <w:rFonts w:ascii="Arial" w:cs="Arial" w:eastAsia="Arial" w:hAnsi="Arial"/>
                <w:sz w:val="17"/>
                <w:szCs w:val="17"/>
                <w:color w:val="auto"/>
              </w:rPr>
              <w:t>the scheduled vesting date</w:t>
            </w:r>
          </w:p>
        </w:tc>
        <w:tc>
          <w:tcPr>
            <w:tcW w:w="5180" w:type="dxa"/>
            <w:vAlign w:val="bottom"/>
            <w:shd w:val="clear" w:color="auto" w:fill="E9E9E9"/>
          </w:tcPr>
          <w:p>
            <w:pPr>
              <w:ind w:left="160"/>
              <w:spacing w:after="0"/>
              <w:rPr>
                <w:sz w:val="20"/>
                <w:szCs w:val="20"/>
                <w:color w:val="auto"/>
              </w:rPr>
            </w:pPr>
            <w:r>
              <w:rPr>
                <w:rFonts w:ascii="Arial" w:cs="Arial" w:eastAsia="Arial" w:hAnsi="Arial"/>
                <w:sz w:val="17"/>
                <w:szCs w:val="17"/>
                <w:color w:val="auto"/>
              </w:rPr>
              <w:t>vesting date. Number of shares reduced according to the duration</w:t>
            </w:r>
          </w:p>
        </w:tc>
        <w:tc>
          <w:tcPr>
            <w:tcW w:w="3300" w:type="dxa"/>
            <w:vAlign w:val="bottom"/>
            <w:shd w:val="clear" w:color="auto" w:fill="E9E9E9"/>
          </w:tcPr>
          <w:p>
            <w:pPr>
              <w:spacing w:after="0"/>
              <w:rPr>
                <w:sz w:val="20"/>
                <w:szCs w:val="20"/>
                <w:color w:val="auto"/>
              </w:rPr>
            </w:pPr>
          </w:p>
        </w:tc>
      </w:tr>
      <w:tr>
        <w:trPr>
          <w:trHeight w:val="247"/>
        </w:trPr>
        <w:tc>
          <w:tcPr>
            <w:tcW w:w="2940" w:type="dxa"/>
            <w:vAlign w:val="bottom"/>
            <w:shd w:val="clear" w:color="auto" w:fill="E9E9E9"/>
          </w:tcPr>
          <w:p>
            <w:pPr>
              <w:spacing w:after="0"/>
              <w:rPr>
                <w:sz w:val="21"/>
                <w:szCs w:val="21"/>
                <w:color w:val="auto"/>
              </w:rPr>
            </w:pPr>
          </w:p>
        </w:tc>
        <w:tc>
          <w:tcPr>
            <w:tcW w:w="5180" w:type="dxa"/>
            <w:vAlign w:val="bottom"/>
            <w:shd w:val="clear" w:color="auto" w:fill="E9E9E9"/>
          </w:tcPr>
          <w:p>
            <w:pPr>
              <w:ind w:left="160"/>
              <w:spacing w:after="0"/>
              <w:rPr>
                <w:sz w:val="20"/>
                <w:szCs w:val="20"/>
                <w:color w:val="auto"/>
              </w:rPr>
            </w:pPr>
            <w:r>
              <w:rPr>
                <w:rFonts w:ascii="Arial" w:cs="Arial" w:eastAsia="Arial" w:hAnsi="Arial"/>
                <w:sz w:val="17"/>
                <w:szCs w:val="17"/>
                <w:color w:val="auto"/>
              </w:rPr>
              <w:t>of employment over the vesting period*</w:t>
            </w:r>
          </w:p>
        </w:tc>
        <w:tc>
          <w:tcPr>
            <w:tcW w:w="3300" w:type="dxa"/>
            <w:vAlign w:val="bottom"/>
            <w:shd w:val="clear" w:color="auto" w:fill="E9E9E9"/>
          </w:tcPr>
          <w:p>
            <w:pPr>
              <w:spacing w:after="0"/>
              <w:rPr>
                <w:sz w:val="21"/>
                <w:szCs w:val="21"/>
                <w:color w:val="auto"/>
              </w:rPr>
            </w:pPr>
          </w:p>
        </w:tc>
      </w:tr>
    </w:tbl>
    <w:p>
      <w:pPr>
        <w:spacing w:after="0" w:line="236" w:lineRule="exact"/>
        <w:rPr>
          <w:sz w:val="20"/>
          <w:szCs w:val="20"/>
          <w:color w:val="auto"/>
        </w:rPr>
      </w:pPr>
    </w:p>
    <w:p>
      <w:pPr>
        <w:ind w:left="340" w:right="340" w:hanging="337"/>
        <w:spacing w:after="0" w:line="276"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Calculated by multiplying the number of RSUs by a fraction equal to the number of whole 365-day periods from the grant date to the employment termination date (or first day of any bridge leave of absence leading to retirement), divided by the number of years in the vesting period.</w:t>
      </w:r>
    </w:p>
    <w:p>
      <w:pPr>
        <w:spacing w:after="0" w:line="171"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These termination provisions are intended to promote retention. All RSU awards contain cancellation and clawback provisions like those described above for stock options. For awards granted after 2009, the terms provide that, to the extent permitted by Section 409A of the IRC, the award vests upon involuntary termination of TI employment within 24 months after a change in control. Change in control is the Plan definition. The terms of earlier RSU awards provide for full vesting of the award upon a change in control of TI. Change in control is the pre-2010 definition unless the grant is subject to Section 409A, in which event the definition under Section 409A applies. Section 409A defines a change in control as a change in the ownership or effective control of a corporation or a change in the ownership of a substantial portion of the assets of a corporation. These cancellation, clawback and change-in-control terms are intended to conform RSU terms with those of stock options (to the extent permitted by the IRC) and to achieve the objectives described above in the discussion of stock options.</w:t>
      </w:r>
    </w:p>
    <w:p>
      <w:pPr>
        <w:spacing w:after="0" w:line="219" w:lineRule="exact"/>
        <w:rPr>
          <w:sz w:val="20"/>
          <w:szCs w:val="20"/>
          <w:color w:val="auto"/>
        </w:rPr>
      </w:pPr>
    </w:p>
    <w:p>
      <w:pPr>
        <w:spacing w:after="0"/>
        <w:tabs>
          <w:tab w:leader="none" w:pos="95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2"/>
          <w:szCs w:val="12"/>
          <w:b w:val="1"/>
          <w:bCs w:val="1"/>
          <w:color w:val="808285"/>
        </w:rPr>
        <w:t>2013 PROXY STATEMENT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32" w:name="page33"/>
    <w:bookmarkEnd w:id="32"/>
    <w:p>
      <w:pPr>
        <w:ind w:right="140" w:firstLine="233"/>
        <w:spacing w:after="0" w:line="239" w:lineRule="auto"/>
        <w:rPr>
          <w:sz w:val="20"/>
          <w:szCs w:val="20"/>
          <w:color w:val="auto"/>
        </w:rPr>
      </w:pPr>
      <w:r>
        <w:rPr>
          <w:rFonts w:ascii="Arial" w:cs="Arial" w:eastAsia="Arial" w:hAnsi="Arial"/>
          <w:sz w:val="17"/>
          <w:szCs w:val="17"/>
          <w:color w:val="auto"/>
        </w:rPr>
        <w:t>In addition to the “Stock Awards” shown in the outstanding equity awards at fiscal year-end 2012 table on pages 83 and 84, Mr. Templeton holds an award of RSUs that was granted in 1995. The award, for 120,000 shares of TI common stock, vested in 2000. Under the award terms, the shares will be issued to Mr. Templeton in March of the year after his termination of employment for any reason. These terms were designed to provide a tax benefit to the company by postponing the related compensation expense until it was likely to be fully deductible. In accordance with SEC requirements, this award is reflected in the 2012 non-qualified deferred compensation table on page 88.</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2012 option exercises and stock vested</w:t>
      </w:r>
    </w:p>
    <w:p>
      <w:pPr>
        <w:spacing w:after="0" w:line="225" w:lineRule="exact"/>
        <w:rPr>
          <w:sz w:val="20"/>
          <w:szCs w:val="20"/>
          <w:color w:val="auto"/>
        </w:rPr>
      </w:pPr>
    </w:p>
    <w:p>
      <w:pPr>
        <w:ind w:right="60"/>
        <w:spacing w:after="0"/>
        <w:rPr>
          <w:sz w:val="20"/>
          <w:szCs w:val="20"/>
          <w:color w:val="auto"/>
        </w:rPr>
      </w:pPr>
      <w:r>
        <w:rPr>
          <w:rFonts w:ascii="Arial" w:cs="Arial" w:eastAsia="Arial" w:hAnsi="Arial"/>
          <w:sz w:val="17"/>
          <w:szCs w:val="17"/>
          <w:color w:val="auto"/>
        </w:rPr>
        <w:t>The following table lists the number of shares acquired and the value realized as a result of option exercises by the named executive officers in 2012 and the value of any RSUs that vested in 2012. For option exercises, the value realized is calculated by multiplying the number of shares acquired by the difference between the exercise price and the market price of TI common stock on the exercise date. For RSUs, the value realized is calculated by multiplying the number of RSUs that vested by the market price of TI common stock on the vesting date.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720" w:type="dxa"/>
            <w:vAlign w:val="bottom"/>
            <w:gridSpan w:val="2"/>
          </w:tcPr>
          <w:p>
            <w:pPr>
              <w:ind w:left="740"/>
              <w:spacing w:after="0"/>
              <w:rPr>
                <w:sz w:val="20"/>
                <w:szCs w:val="20"/>
                <w:color w:val="auto"/>
              </w:rPr>
            </w:pPr>
            <w:r>
              <w:rPr>
                <w:rFonts w:ascii="Arial" w:cs="Arial" w:eastAsia="Arial" w:hAnsi="Arial"/>
                <w:sz w:val="13"/>
                <w:szCs w:val="13"/>
                <w:b w:val="1"/>
                <w:bCs w:val="1"/>
                <w:color w:val="auto"/>
              </w:rPr>
              <w:t>Option Awards</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2"/>
          </w:tcPr>
          <w:p>
            <w:pPr>
              <w:jc w:val="right"/>
              <w:ind w:right="622"/>
              <w:spacing w:after="0"/>
              <w:rPr>
                <w:sz w:val="20"/>
                <w:szCs w:val="20"/>
                <w:color w:val="auto"/>
              </w:rPr>
            </w:pPr>
            <w:r>
              <w:rPr>
                <w:rFonts w:ascii="Arial" w:cs="Arial" w:eastAsia="Arial" w:hAnsi="Arial"/>
                <w:sz w:val="13"/>
                <w:szCs w:val="13"/>
                <w:b w:val="1"/>
                <w:bCs w:val="1"/>
                <w:color w:val="auto"/>
              </w:rPr>
              <w:t>Stock Awards</w:t>
            </w:r>
          </w:p>
        </w:tc>
      </w:tr>
      <w:tr>
        <w:trPr>
          <w:trHeight w:val="40"/>
        </w:trPr>
        <w:tc>
          <w:tcPr>
            <w:tcW w:w="6520" w:type="dxa"/>
            <w:vAlign w:val="bottom"/>
          </w:tcPr>
          <w:p>
            <w:pPr>
              <w:spacing w:after="0"/>
              <w:rPr>
                <w:sz w:val="3"/>
                <w:szCs w:val="3"/>
                <w:color w:val="auto"/>
              </w:rPr>
            </w:pPr>
          </w:p>
        </w:tc>
        <w:tc>
          <w:tcPr>
            <w:tcW w:w="1280" w:type="dxa"/>
            <w:vAlign w:val="bottom"/>
            <w:tcBorders>
              <w:bottom w:val="single" w:sz="8" w:color="808285"/>
            </w:tcBorders>
          </w:tcPr>
          <w:p>
            <w:pPr>
              <w:spacing w:after="0"/>
              <w:rPr>
                <w:sz w:val="3"/>
                <w:szCs w:val="3"/>
                <w:color w:val="auto"/>
              </w:rPr>
            </w:pPr>
          </w:p>
        </w:tc>
        <w:tc>
          <w:tcPr>
            <w:tcW w:w="440" w:type="dxa"/>
            <w:vAlign w:val="bottom"/>
            <w:tcBorders>
              <w:bottom w:val="single" w:sz="8" w:color="808285"/>
            </w:tcBorders>
          </w:tcPr>
          <w:p>
            <w:pPr>
              <w:spacing w:after="0"/>
              <w:rPr>
                <w:sz w:val="3"/>
                <w:szCs w:val="3"/>
                <w:color w:val="auto"/>
              </w:rPr>
            </w:pPr>
          </w:p>
        </w:tc>
        <w:tc>
          <w:tcPr>
            <w:tcW w:w="660" w:type="dxa"/>
            <w:vAlign w:val="bottom"/>
            <w:tcBorders>
              <w:bottom w:val="single" w:sz="8" w:color="808285"/>
            </w:tcBorders>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Borders>
              <w:bottom w:val="single" w:sz="8" w:color="808285"/>
            </w:tcBorders>
          </w:tcPr>
          <w:p>
            <w:pPr>
              <w:spacing w:after="0"/>
              <w:rPr>
                <w:sz w:val="3"/>
                <w:szCs w:val="3"/>
                <w:color w:val="auto"/>
              </w:rPr>
            </w:pPr>
          </w:p>
        </w:tc>
        <w:tc>
          <w:tcPr>
            <w:tcW w:w="1080" w:type="dxa"/>
            <w:vAlign w:val="bottom"/>
            <w:tcBorders>
              <w:bottom w:val="single" w:sz="8" w:color="808285"/>
            </w:tcBorders>
          </w:tcPr>
          <w:p>
            <w:pPr>
              <w:spacing w:after="0"/>
              <w:rPr>
                <w:sz w:val="3"/>
                <w:szCs w:val="3"/>
                <w:color w:val="auto"/>
              </w:rPr>
            </w:pPr>
          </w:p>
        </w:tc>
      </w:tr>
      <w:tr>
        <w:trPr>
          <w:trHeight w:val="186"/>
        </w:trPr>
        <w:tc>
          <w:tcPr>
            <w:tcW w:w="6520" w:type="dxa"/>
            <w:vAlign w:val="bottom"/>
          </w:tcPr>
          <w:p>
            <w:pPr>
              <w:spacing w:after="0"/>
              <w:rPr>
                <w:sz w:val="16"/>
                <w:szCs w:val="16"/>
                <w:color w:val="auto"/>
              </w:rPr>
            </w:pPr>
          </w:p>
        </w:tc>
        <w:tc>
          <w:tcPr>
            <w:tcW w:w="1280" w:type="dxa"/>
            <w:vAlign w:val="bottom"/>
          </w:tcPr>
          <w:p>
            <w:pPr>
              <w:jc w:val="right"/>
              <w:ind w:right="285"/>
              <w:spacing w:after="0"/>
              <w:rPr>
                <w:sz w:val="20"/>
                <w:szCs w:val="20"/>
                <w:color w:val="auto"/>
              </w:rPr>
            </w:pPr>
            <w:r>
              <w:rPr>
                <w:rFonts w:ascii="Arial" w:cs="Arial" w:eastAsia="Arial" w:hAnsi="Arial"/>
                <w:sz w:val="13"/>
                <w:szCs w:val="13"/>
                <w:b w:val="1"/>
                <w:bCs w:val="1"/>
                <w:color w:val="auto"/>
              </w:rPr>
              <w:t>Number of</w:t>
            </w: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65"/>
              <w:spacing w:after="0"/>
              <w:rPr>
                <w:sz w:val="20"/>
                <w:szCs w:val="20"/>
                <w:color w:val="auto"/>
              </w:rPr>
            </w:pPr>
            <w:r>
              <w:rPr>
                <w:rFonts w:ascii="Arial" w:cs="Arial" w:eastAsia="Arial" w:hAnsi="Arial"/>
                <w:sz w:val="13"/>
                <w:szCs w:val="13"/>
                <w:b w:val="1"/>
                <w:bCs w:val="1"/>
                <w:color w:val="auto"/>
                <w:w w:val="98"/>
              </w:rPr>
              <w:t>Number of</w:t>
            </w:r>
          </w:p>
        </w:tc>
        <w:tc>
          <w:tcPr>
            <w:tcW w:w="1080" w:type="dxa"/>
            <w:vAlign w:val="bottom"/>
          </w:tcPr>
          <w:p>
            <w:pPr>
              <w:spacing w:after="0"/>
              <w:rPr>
                <w:sz w:val="16"/>
                <w:szCs w:val="16"/>
                <w:color w:val="auto"/>
              </w:rPr>
            </w:pPr>
          </w:p>
        </w:tc>
      </w:tr>
      <w:tr>
        <w:trPr>
          <w:trHeight w:val="233"/>
        </w:trPr>
        <w:tc>
          <w:tcPr>
            <w:tcW w:w="6520" w:type="dxa"/>
            <w:vAlign w:val="bottom"/>
          </w:tcPr>
          <w:p>
            <w:pPr>
              <w:spacing w:after="0"/>
              <w:rPr>
                <w:sz w:val="20"/>
                <w:szCs w:val="20"/>
                <w:color w:val="auto"/>
              </w:rPr>
            </w:pPr>
          </w:p>
        </w:tc>
        <w:tc>
          <w:tcPr>
            <w:tcW w:w="1280" w:type="dxa"/>
            <w:vAlign w:val="bottom"/>
          </w:tcPr>
          <w:p>
            <w:pPr>
              <w:jc w:val="right"/>
              <w:ind w:right="105"/>
              <w:spacing w:after="0"/>
              <w:rPr>
                <w:sz w:val="20"/>
                <w:szCs w:val="20"/>
                <w:color w:val="auto"/>
              </w:rPr>
            </w:pPr>
            <w:r>
              <w:rPr>
                <w:rFonts w:ascii="Arial" w:cs="Arial" w:eastAsia="Arial" w:hAnsi="Arial"/>
                <w:sz w:val="13"/>
                <w:szCs w:val="13"/>
                <w:b w:val="1"/>
                <w:bCs w:val="1"/>
                <w:color w:val="auto"/>
              </w:rPr>
              <w:t>Shares Acquired</w:t>
            </w:r>
          </w:p>
        </w:tc>
        <w:tc>
          <w:tcPr>
            <w:tcW w:w="1360" w:type="dxa"/>
            <w:vAlign w:val="bottom"/>
            <w:gridSpan w:val="3"/>
          </w:tcPr>
          <w:p>
            <w:pPr>
              <w:ind w:left="180"/>
              <w:spacing w:after="0"/>
              <w:rPr>
                <w:sz w:val="20"/>
                <w:szCs w:val="20"/>
                <w:color w:val="auto"/>
              </w:rPr>
            </w:pPr>
            <w:r>
              <w:rPr>
                <w:rFonts w:ascii="Arial" w:cs="Arial" w:eastAsia="Arial" w:hAnsi="Arial"/>
                <w:sz w:val="13"/>
                <w:szCs w:val="13"/>
                <w:b w:val="1"/>
                <w:bCs w:val="1"/>
                <w:color w:val="auto"/>
              </w:rPr>
              <w:t>Value Realized</w:t>
            </w:r>
          </w:p>
        </w:tc>
        <w:tc>
          <w:tcPr>
            <w:tcW w:w="1180" w:type="dxa"/>
            <w:vAlign w:val="bottom"/>
          </w:tcPr>
          <w:p>
            <w:pPr>
              <w:jc w:val="center"/>
              <w:ind w:right="65"/>
              <w:spacing w:after="0"/>
              <w:rPr>
                <w:sz w:val="20"/>
                <w:szCs w:val="20"/>
                <w:color w:val="auto"/>
              </w:rPr>
            </w:pPr>
            <w:r>
              <w:rPr>
                <w:rFonts w:ascii="Arial" w:cs="Arial" w:eastAsia="Arial" w:hAnsi="Arial"/>
                <w:sz w:val="13"/>
                <w:szCs w:val="13"/>
                <w:b w:val="1"/>
                <w:bCs w:val="1"/>
                <w:color w:val="auto"/>
              </w:rPr>
              <w:t>Shares Acquired</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Value Realized</w:t>
            </w:r>
          </w:p>
        </w:tc>
      </w:tr>
      <w:tr>
        <w:trPr>
          <w:trHeight w:val="258"/>
        </w:trPr>
        <w:tc>
          <w:tcPr>
            <w:tcW w:w="652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280" w:type="dxa"/>
            <w:vAlign w:val="bottom"/>
          </w:tcPr>
          <w:p>
            <w:pPr>
              <w:jc w:val="right"/>
              <w:ind w:right="105"/>
              <w:spacing w:after="0"/>
              <w:rPr>
                <w:sz w:val="20"/>
                <w:szCs w:val="20"/>
                <w:color w:val="auto"/>
              </w:rPr>
            </w:pPr>
            <w:r>
              <w:rPr>
                <w:rFonts w:ascii="Arial" w:cs="Arial" w:eastAsia="Arial" w:hAnsi="Arial"/>
                <w:sz w:val="13"/>
                <w:szCs w:val="13"/>
                <w:b w:val="1"/>
                <w:bCs w:val="1"/>
                <w:color w:val="auto"/>
              </w:rPr>
              <w:t>on Exercise (#)</w:t>
            </w:r>
          </w:p>
        </w:tc>
        <w:tc>
          <w:tcPr>
            <w:tcW w:w="1360" w:type="dxa"/>
            <w:vAlign w:val="bottom"/>
            <w:gridSpan w:val="3"/>
          </w:tcPr>
          <w:p>
            <w:pPr>
              <w:ind w:left="160"/>
              <w:spacing w:after="0"/>
              <w:rPr>
                <w:sz w:val="20"/>
                <w:szCs w:val="20"/>
                <w:color w:val="auto"/>
              </w:rPr>
            </w:pPr>
            <w:r>
              <w:rPr>
                <w:rFonts w:ascii="Arial" w:cs="Arial" w:eastAsia="Arial" w:hAnsi="Arial"/>
                <w:sz w:val="13"/>
                <w:szCs w:val="13"/>
                <w:b w:val="1"/>
                <w:bCs w:val="1"/>
                <w:color w:val="auto"/>
              </w:rPr>
              <w:t>on Exercise ($)</w:t>
            </w:r>
          </w:p>
        </w:tc>
        <w:tc>
          <w:tcPr>
            <w:tcW w:w="1180" w:type="dxa"/>
            <w:vAlign w:val="bottom"/>
          </w:tcPr>
          <w:p>
            <w:pPr>
              <w:jc w:val="center"/>
              <w:ind w:right="65"/>
              <w:spacing w:after="0"/>
              <w:rPr>
                <w:sz w:val="20"/>
                <w:szCs w:val="20"/>
                <w:color w:val="auto"/>
              </w:rPr>
            </w:pPr>
            <w:r>
              <w:rPr>
                <w:rFonts w:ascii="Arial" w:cs="Arial" w:eastAsia="Arial" w:hAnsi="Arial"/>
                <w:sz w:val="13"/>
                <w:szCs w:val="13"/>
                <w:b w:val="1"/>
                <w:bCs w:val="1"/>
                <w:color w:val="auto"/>
                <w:w w:val="97"/>
              </w:rPr>
              <w:t>on Vesting (#)</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on Vesting ($)</w:t>
            </w:r>
          </w:p>
        </w:tc>
      </w:tr>
      <w:tr>
        <w:trPr>
          <w:trHeight w:val="45"/>
        </w:trPr>
        <w:tc>
          <w:tcPr>
            <w:tcW w:w="6520" w:type="dxa"/>
            <w:vAlign w:val="bottom"/>
            <w:tcBorders>
              <w:bottom w:val="single" w:sz="8" w:color="808285"/>
            </w:tcBorders>
          </w:tcPr>
          <w:p>
            <w:pPr>
              <w:spacing w:after="0"/>
              <w:rPr>
                <w:sz w:val="3"/>
                <w:szCs w:val="3"/>
                <w:color w:val="auto"/>
              </w:rPr>
            </w:pPr>
          </w:p>
        </w:tc>
        <w:tc>
          <w:tcPr>
            <w:tcW w:w="1280" w:type="dxa"/>
            <w:vAlign w:val="bottom"/>
            <w:tcBorders>
              <w:bottom w:val="single" w:sz="8" w:color="808285"/>
            </w:tcBorders>
          </w:tcPr>
          <w:p>
            <w:pPr>
              <w:spacing w:after="0"/>
              <w:rPr>
                <w:sz w:val="3"/>
                <w:szCs w:val="3"/>
                <w:color w:val="auto"/>
              </w:rPr>
            </w:pPr>
          </w:p>
        </w:tc>
        <w:tc>
          <w:tcPr>
            <w:tcW w:w="1100" w:type="dxa"/>
            <w:vAlign w:val="bottom"/>
            <w:tcBorders>
              <w:bottom w:val="single" w:sz="8" w:color="808285"/>
            </w:tcBorders>
            <w:gridSpan w:val="2"/>
          </w:tcPr>
          <w:p>
            <w:pPr>
              <w:spacing w:after="0"/>
              <w:rPr>
                <w:sz w:val="3"/>
                <w:szCs w:val="3"/>
                <w:color w:val="auto"/>
              </w:rPr>
            </w:pPr>
          </w:p>
        </w:tc>
        <w:tc>
          <w:tcPr>
            <w:tcW w:w="260" w:type="dxa"/>
            <w:vAlign w:val="bottom"/>
            <w:tcBorders>
              <w:bottom w:val="single" w:sz="8" w:color="808285"/>
            </w:tcBorders>
          </w:tcPr>
          <w:p>
            <w:pPr>
              <w:spacing w:after="0"/>
              <w:rPr>
                <w:sz w:val="3"/>
                <w:szCs w:val="3"/>
                <w:color w:val="auto"/>
              </w:rPr>
            </w:pPr>
          </w:p>
        </w:tc>
        <w:tc>
          <w:tcPr>
            <w:tcW w:w="1180" w:type="dxa"/>
            <w:vAlign w:val="bottom"/>
            <w:tcBorders>
              <w:bottom w:val="single" w:sz="8" w:color="808285"/>
            </w:tcBorders>
          </w:tcPr>
          <w:p>
            <w:pPr>
              <w:spacing w:after="0"/>
              <w:rPr>
                <w:sz w:val="3"/>
                <w:szCs w:val="3"/>
                <w:color w:val="auto"/>
              </w:rPr>
            </w:pPr>
          </w:p>
        </w:tc>
        <w:tc>
          <w:tcPr>
            <w:tcW w:w="1080" w:type="dxa"/>
            <w:vAlign w:val="bottom"/>
            <w:tcBorders>
              <w:bottom w:val="single" w:sz="8" w:color="808285"/>
            </w:tcBorders>
          </w:tcPr>
          <w:p>
            <w:pPr>
              <w:spacing w:after="0"/>
              <w:rPr>
                <w:sz w:val="3"/>
                <w:szCs w:val="3"/>
                <w:color w:val="auto"/>
              </w:rPr>
            </w:pPr>
          </w:p>
        </w:tc>
      </w:tr>
      <w:tr>
        <w:trPr>
          <w:trHeight w:val="233"/>
        </w:trPr>
        <w:tc>
          <w:tcPr>
            <w:tcW w:w="6520" w:type="dxa"/>
            <w:vAlign w:val="bottom"/>
            <w:shd w:val="clear" w:color="auto" w:fill="E9E9E9"/>
          </w:tcPr>
          <w:p>
            <w:pPr>
              <w:spacing w:after="0"/>
              <w:rPr>
                <w:sz w:val="20"/>
                <w:szCs w:val="20"/>
                <w:color w:val="auto"/>
              </w:rPr>
            </w:pPr>
            <w:r>
              <w:rPr>
                <w:rFonts w:ascii="Arial" w:cs="Arial" w:eastAsia="Arial" w:hAnsi="Arial"/>
                <w:sz w:val="17"/>
                <w:szCs w:val="17"/>
                <w:color w:val="auto"/>
              </w:rPr>
              <w:t>R. K. Templeton</w:t>
            </w:r>
          </w:p>
        </w:tc>
        <w:tc>
          <w:tcPr>
            <w:tcW w:w="1280" w:type="dxa"/>
            <w:vAlign w:val="bottom"/>
            <w:shd w:val="clear" w:color="auto" w:fill="E9E9E9"/>
          </w:tcPr>
          <w:p>
            <w:pPr>
              <w:jc w:val="right"/>
              <w:ind w:right="245"/>
              <w:spacing w:after="0"/>
              <w:rPr>
                <w:sz w:val="20"/>
                <w:szCs w:val="20"/>
                <w:color w:val="auto"/>
              </w:rPr>
            </w:pPr>
            <w:r>
              <w:rPr>
                <w:rFonts w:ascii="Arial" w:cs="Arial" w:eastAsia="Arial" w:hAnsi="Arial"/>
                <w:sz w:val="17"/>
                <w:szCs w:val="17"/>
                <w:color w:val="auto"/>
              </w:rPr>
              <w:t>1,000,000</w:t>
            </w:r>
          </w:p>
        </w:tc>
        <w:tc>
          <w:tcPr>
            <w:tcW w:w="110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$15,807,500</w:t>
            </w:r>
          </w:p>
        </w:tc>
        <w:tc>
          <w:tcPr>
            <w:tcW w:w="260" w:type="dxa"/>
            <w:vAlign w:val="bottom"/>
            <w:shd w:val="clear" w:color="auto" w:fill="E9E9E9"/>
          </w:tcPr>
          <w:p>
            <w:pPr>
              <w:spacing w:after="0"/>
              <w:rPr>
                <w:sz w:val="20"/>
                <w:szCs w:val="20"/>
                <w:color w:val="auto"/>
              </w:rPr>
            </w:pPr>
          </w:p>
        </w:tc>
        <w:tc>
          <w:tcPr>
            <w:tcW w:w="1180" w:type="dxa"/>
            <w:vAlign w:val="bottom"/>
            <w:shd w:val="clear" w:color="auto" w:fill="E9E9E9"/>
          </w:tcPr>
          <w:p>
            <w:pPr>
              <w:jc w:val="right"/>
              <w:ind w:right="265"/>
              <w:spacing w:after="0"/>
              <w:rPr>
                <w:sz w:val="20"/>
                <w:szCs w:val="20"/>
                <w:color w:val="auto"/>
              </w:rPr>
            </w:pPr>
            <w:r>
              <w:rPr>
                <w:rFonts w:ascii="Arial" w:cs="Arial" w:eastAsia="Arial" w:hAnsi="Arial"/>
                <w:sz w:val="17"/>
                <w:szCs w:val="17"/>
                <w:color w:val="auto"/>
              </w:rPr>
              <w:t>150,000</w:t>
            </w:r>
          </w:p>
        </w:tc>
        <w:tc>
          <w:tcPr>
            <w:tcW w:w="10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$4,827,000</w:t>
            </w:r>
          </w:p>
        </w:tc>
      </w:tr>
      <w:tr>
        <w:trPr>
          <w:trHeight w:val="225"/>
        </w:trPr>
        <w:tc>
          <w:tcPr>
            <w:tcW w:w="6520" w:type="dxa"/>
            <w:vAlign w:val="bottom"/>
          </w:tcPr>
          <w:p>
            <w:pPr>
              <w:spacing w:after="0"/>
              <w:rPr>
                <w:sz w:val="20"/>
                <w:szCs w:val="20"/>
                <w:color w:val="auto"/>
              </w:rPr>
            </w:pPr>
            <w:r>
              <w:rPr>
                <w:rFonts w:ascii="Arial" w:cs="Arial" w:eastAsia="Arial" w:hAnsi="Arial"/>
                <w:sz w:val="17"/>
                <w:szCs w:val="17"/>
                <w:color w:val="auto"/>
              </w:rPr>
              <w:t>K. P. March</w:t>
            </w:r>
          </w:p>
        </w:tc>
        <w:tc>
          <w:tcPr>
            <w:tcW w:w="1280" w:type="dxa"/>
            <w:vAlign w:val="bottom"/>
          </w:tcPr>
          <w:p>
            <w:pPr>
              <w:jc w:val="right"/>
              <w:ind w:right="245"/>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265"/>
              <w:spacing w:after="0"/>
              <w:rPr>
                <w:sz w:val="20"/>
                <w:szCs w:val="20"/>
                <w:color w:val="auto"/>
              </w:rPr>
            </w:pPr>
            <w:r>
              <w:rPr>
                <w:rFonts w:ascii="Arial" w:cs="Arial" w:eastAsia="Arial" w:hAnsi="Arial"/>
                <w:sz w:val="17"/>
                <w:szCs w:val="17"/>
                <w:color w:val="auto"/>
              </w:rPr>
              <w:t>35,000</w:t>
            </w:r>
          </w:p>
        </w:tc>
        <w:tc>
          <w:tcPr>
            <w:tcW w:w="1080" w:type="dxa"/>
            <w:vAlign w:val="bottom"/>
          </w:tcPr>
          <w:p>
            <w:pPr>
              <w:jc w:val="right"/>
              <w:spacing w:after="0"/>
              <w:rPr>
                <w:sz w:val="20"/>
                <w:szCs w:val="20"/>
                <w:color w:val="auto"/>
              </w:rPr>
            </w:pPr>
            <w:r>
              <w:rPr>
                <w:rFonts w:ascii="Arial" w:cs="Arial" w:eastAsia="Arial" w:hAnsi="Arial"/>
                <w:sz w:val="17"/>
                <w:szCs w:val="17"/>
                <w:color w:val="auto"/>
              </w:rPr>
              <w:t>$1,126,300</w:t>
            </w:r>
          </w:p>
        </w:tc>
      </w:tr>
      <w:tr>
        <w:trPr>
          <w:trHeight w:val="240"/>
        </w:trPr>
        <w:tc>
          <w:tcPr>
            <w:tcW w:w="6520" w:type="dxa"/>
            <w:vAlign w:val="bottom"/>
            <w:shd w:val="clear" w:color="auto" w:fill="E9E9E9"/>
          </w:tcPr>
          <w:p>
            <w:pPr>
              <w:spacing w:after="0"/>
              <w:rPr>
                <w:sz w:val="20"/>
                <w:szCs w:val="20"/>
                <w:color w:val="auto"/>
              </w:rPr>
            </w:pPr>
            <w:r>
              <w:rPr>
                <w:rFonts w:ascii="Arial" w:cs="Arial" w:eastAsia="Arial" w:hAnsi="Arial"/>
                <w:sz w:val="17"/>
                <w:szCs w:val="17"/>
                <w:color w:val="auto"/>
              </w:rPr>
              <w:t>B. T. Crutcher</w:t>
            </w:r>
          </w:p>
        </w:tc>
        <w:tc>
          <w:tcPr>
            <w:tcW w:w="1280" w:type="dxa"/>
            <w:vAlign w:val="bottom"/>
            <w:shd w:val="clear" w:color="auto" w:fill="E9E9E9"/>
          </w:tcPr>
          <w:p>
            <w:pPr>
              <w:jc w:val="right"/>
              <w:ind w:right="245"/>
              <w:spacing w:after="0"/>
              <w:rPr>
                <w:sz w:val="20"/>
                <w:szCs w:val="20"/>
                <w:color w:val="auto"/>
              </w:rPr>
            </w:pPr>
            <w:r>
              <w:rPr>
                <w:rFonts w:ascii="Arial" w:cs="Arial" w:eastAsia="Arial" w:hAnsi="Arial"/>
                <w:sz w:val="17"/>
                <w:szCs w:val="17"/>
                <w:color w:val="auto"/>
              </w:rPr>
              <w:t>25,000</w:t>
            </w:r>
          </w:p>
        </w:tc>
        <w:tc>
          <w:tcPr>
            <w:tcW w:w="440" w:type="dxa"/>
            <w:vAlign w:val="bottom"/>
            <w:shd w:val="clear" w:color="auto" w:fill="E9E9E9"/>
          </w:tcPr>
          <w:p>
            <w:pPr>
              <w:ind w:left="160"/>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441,500</w:t>
            </w:r>
          </w:p>
        </w:tc>
        <w:tc>
          <w:tcPr>
            <w:tcW w:w="260" w:type="dxa"/>
            <w:vAlign w:val="bottom"/>
            <w:shd w:val="clear" w:color="auto" w:fill="E9E9E9"/>
          </w:tcPr>
          <w:p>
            <w:pPr>
              <w:spacing w:after="0"/>
              <w:rPr>
                <w:sz w:val="20"/>
                <w:szCs w:val="20"/>
                <w:color w:val="auto"/>
              </w:rPr>
            </w:pPr>
          </w:p>
        </w:tc>
        <w:tc>
          <w:tcPr>
            <w:tcW w:w="1180" w:type="dxa"/>
            <w:vAlign w:val="bottom"/>
            <w:shd w:val="clear" w:color="auto" w:fill="E9E9E9"/>
          </w:tcPr>
          <w:p>
            <w:pPr>
              <w:jc w:val="right"/>
              <w:ind w:right="265"/>
              <w:spacing w:after="0"/>
              <w:rPr>
                <w:sz w:val="20"/>
                <w:szCs w:val="20"/>
                <w:color w:val="auto"/>
              </w:rPr>
            </w:pPr>
            <w:r>
              <w:rPr>
                <w:rFonts w:ascii="Arial" w:cs="Arial" w:eastAsia="Arial" w:hAnsi="Arial"/>
                <w:sz w:val="17"/>
                <w:szCs w:val="17"/>
                <w:color w:val="auto"/>
              </w:rPr>
              <w:t>20,000</w:t>
            </w:r>
          </w:p>
        </w:tc>
        <w:tc>
          <w:tcPr>
            <w:tcW w:w="10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  643,600</w:t>
            </w:r>
          </w:p>
        </w:tc>
      </w:tr>
      <w:tr>
        <w:trPr>
          <w:trHeight w:val="225"/>
        </w:trPr>
        <w:tc>
          <w:tcPr>
            <w:tcW w:w="6520" w:type="dxa"/>
            <w:vAlign w:val="bottom"/>
          </w:tcPr>
          <w:p>
            <w:pPr>
              <w:spacing w:after="0"/>
              <w:rPr>
                <w:sz w:val="20"/>
                <w:szCs w:val="20"/>
                <w:color w:val="auto"/>
              </w:rPr>
            </w:pPr>
            <w:r>
              <w:rPr>
                <w:rFonts w:ascii="Arial" w:cs="Arial" w:eastAsia="Arial" w:hAnsi="Arial"/>
                <w:sz w:val="17"/>
                <w:szCs w:val="17"/>
                <w:color w:val="auto"/>
              </w:rPr>
              <w:t>R. G. Delagi</w:t>
            </w:r>
          </w:p>
        </w:tc>
        <w:tc>
          <w:tcPr>
            <w:tcW w:w="1280" w:type="dxa"/>
            <w:vAlign w:val="bottom"/>
          </w:tcPr>
          <w:p>
            <w:pPr>
              <w:jc w:val="right"/>
              <w:ind w:right="245"/>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265"/>
              <w:spacing w:after="0"/>
              <w:rPr>
                <w:sz w:val="20"/>
                <w:szCs w:val="20"/>
                <w:color w:val="auto"/>
              </w:rPr>
            </w:pPr>
            <w:r>
              <w:rPr>
                <w:rFonts w:ascii="Arial" w:cs="Arial" w:eastAsia="Arial" w:hAnsi="Arial"/>
                <w:sz w:val="17"/>
                <w:szCs w:val="17"/>
                <w:color w:val="auto"/>
              </w:rPr>
              <w:t>40,000</w:t>
            </w:r>
          </w:p>
        </w:tc>
        <w:tc>
          <w:tcPr>
            <w:tcW w:w="1080" w:type="dxa"/>
            <w:vAlign w:val="bottom"/>
          </w:tcPr>
          <w:p>
            <w:pPr>
              <w:jc w:val="right"/>
              <w:spacing w:after="0"/>
              <w:rPr>
                <w:sz w:val="20"/>
                <w:szCs w:val="20"/>
                <w:color w:val="auto"/>
              </w:rPr>
            </w:pPr>
            <w:r>
              <w:rPr>
                <w:rFonts w:ascii="Arial" w:cs="Arial" w:eastAsia="Arial" w:hAnsi="Arial"/>
                <w:sz w:val="17"/>
                <w:szCs w:val="17"/>
                <w:color w:val="auto"/>
              </w:rPr>
              <w:t>$1,287,200</w:t>
            </w:r>
          </w:p>
        </w:tc>
      </w:tr>
      <w:tr>
        <w:trPr>
          <w:trHeight w:val="240"/>
        </w:trPr>
        <w:tc>
          <w:tcPr>
            <w:tcW w:w="6520" w:type="dxa"/>
            <w:vAlign w:val="bottom"/>
            <w:shd w:val="clear" w:color="auto" w:fill="E9E9E9"/>
          </w:tcPr>
          <w:p>
            <w:pPr>
              <w:spacing w:after="0"/>
              <w:rPr>
                <w:sz w:val="20"/>
                <w:szCs w:val="20"/>
                <w:color w:val="auto"/>
              </w:rPr>
            </w:pPr>
            <w:r>
              <w:rPr>
                <w:rFonts w:ascii="Arial" w:cs="Arial" w:eastAsia="Arial" w:hAnsi="Arial"/>
                <w:sz w:val="17"/>
                <w:szCs w:val="17"/>
                <w:color w:val="auto"/>
              </w:rPr>
              <w:t>K. J. Ritchie</w:t>
            </w:r>
          </w:p>
        </w:tc>
        <w:tc>
          <w:tcPr>
            <w:tcW w:w="1280" w:type="dxa"/>
            <w:vAlign w:val="bottom"/>
            <w:shd w:val="clear" w:color="auto" w:fill="E9E9E9"/>
          </w:tcPr>
          <w:p>
            <w:pPr>
              <w:jc w:val="right"/>
              <w:ind w:right="245"/>
              <w:spacing w:after="0"/>
              <w:rPr>
                <w:sz w:val="20"/>
                <w:szCs w:val="20"/>
                <w:color w:val="auto"/>
              </w:rPr>
            </w:pPr>
            <w:r>
              <w:rPr>
                <w:rFonts w:ascii="Arial" w:cs="Arial" w:eastAsia="Arial" w:hAnsi="Arial"/>
                <w:sz w:val="17"/>
                <w:szCs w:val="17"/>
                <w:color w:val="auto"/>
              </w:rPr>
              <w:t>100</w:t>
            </w:r>
          </w:p>
        </w:tc>
        <w:tc>
          <w:tcPr>
            <w:tcW w:w="440" w:type="dxa"/>
            <w:vAlign w:val="bottom"/>
            <w:shd w:val="clear" w:color="auto" w:fill="E9E9E9"/>
          </w:tcPr>
          <w:p>
            <w:pPr>
              <w:ind w:left="160"/>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299</w:t>
            </w:r>
          </w:p>
        </w:tc>
        <w:tc>
          <w:tcPr>
            <w:tcW w:w="260" w:type="dxa"/>
            <w:vAlign w:val="bottom"/>
            <w:shd w:val="clear" w:color="auto" w:fill="E9E9E9"/>
          </w:tcPr>
          <w:p>
            <w:pPr>
              <w:spacing w:after="0"/>
              <w:rPr>
                <w:sz w:val="20"/>
                <w:szCs w:val="20"/>
                <w:color w:val="auto"/>
              </w:rPr>
            </w:pPr>
          </w:p>
        </w:tc>
        <w:tc>
          <w:tcPr>
            <w:tcW w:w="1180" w:type="dxa"/>
            <w:vAlign w:val="bottom"/>
            <w:shd w:val="clear" w:color="auto" w:fill="E9E9E9"/>
          </w:tcPr>
          <w:p>
            <w:pPr>
              <w:jc w:val="right"/>
              <w:ind w:right="265"/>
              <w:spacing w:after="0"/>
              <w:rPr>
                <w:sz w:val="20"/>
                <w:szCs w:val="20"/>
                <w:color w:val="auto"/>
              </w:rPr>
            </w:pPr>
            <w:r>
              <w:rPr>
                <w:rFonts w:ascii="Arial" w:cs="Arial" w:eastAsia="Arial" w:hAnsi="Arial"/>
                <w:sz w:val="17"/>
                <w:szCs w:val="17"/>
                <w:color w:val="auto"/>
              </w:rPr>
              <w:t>50,000</w:t>
            </w:r>
          </w:p>
        </w:tc>
        <w:tc>
          <w:tcPr>
            <w:tcW w:w="10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$1,609,000</w:t>
            </w: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2012 pension benefits</w:t>
      </w:r>
    </w:p>
    <w:p>
      <w:pPr>
        <w:spacing w:after="0" w:line="225"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The following table shows the present value as of December 31, 2012, of the benefit of the named executive officers under our qualified defined benefit pension plan (TI Employees Pension Plan) and non-qualified defined benefit pension plans (TI Employees Non-Qualified Pension Plan (which governs amounts earned before 2005) and TI Employees Non-Qualified Pension Plan II (which governs amounts earned after 2004)). In accordance with SEC requirements, the amounts shown in the table do not reflect any named executive officer’s retirement eligibility or any increase in benefits that may result from the named executive officer’s continued employment after December 31, 2012.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jc w:val="center"/>
              <w:ind w:left="40"/>
              <w:spacing w:after="0"/>
              <w:rPr>
                <w:sz w:val="20"/>
                <w:szCs w:val="20"/>
                <w:color w:val="auto"/>
              </w:rPr>
            </w:pPr>
            <w:r>
              <w:rPr>
                <w:rFonts w:ascii="Arial" w:cs="Arial" w:eastAsia="Arial" w:hAnsi="Arial"/>
                <w:sz w:val="13"/>
                <w:szCs w:val="13"/>
                <w:b w:val="1"/>
                <w:bCs w:val="1"/>
                <w:color w:val="auto"/>
              </w:rPr>
              <w:t>Payments</w:t>
            </w:r>
          </w:p>
        </w:tc>
      </w:tr>
      <w:tr>
        <w:trPr>
          <w:trHeight w:val="233"/>
        </w:trPr>
        <w:tc>
          <w:tcPr>
            <w:tcW w:w="46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240"/>
              <w:spacing w:after="0"/>
              <w:rPr>
                <w:sz w:val="20"/>
                <w:szCs w:val="20"/>
                <w:color w:val="auto"/>
              </w:rPr>
            </w:pPr>
            <w:r>
              <w:rPr>
                <w:rFonts w:ascii="Arial" w:cs="Arial" w:eastAsia="Arial" w:hAnsi="Arial"/>
                <w:sz w:val="13"/>
                <w:szCs w:val="13"/>
                <w:b w:val="1"/>
                <w:bCs w:val="1"/>
                <w:color w:val="auto"/>
              </w:rPr>
              <w:t>Present</w:t>
            </w:r>
          </w:p>
        </w:tc>
        <w:tc>
          <w:tcPr>
            <w:tcW w:w="740" w:type="dxa"/>
            <w:vAlign w:val="bottom"/>
          </w:tcPr>
          <w:p>
            <w:pPr>
              <w:jc w:val="center"/>
              <w:ind w:left="40"/>
              <w:spacing w:after="0"/>
              <w:rPr>
                <w:sz w:val="20"/>
                <w:szCs w:val="20"/>
                <w:color w:val="auto"/>
              </w:rPr>
            </w:pPr>
            <w:r>
              <w:rPr>
                <w:rFonts w:ascii="Arial" w:cs="Arial" w:eastAsia="Arial" w:hAnsi="Arial"/>
                <w:sz w:val="13"/>
                <w:szCs w:val="13"/>
                <w:b w:val="1"/>
                <w:bCs w:val="1"/>
                <w:color w:val="auto"/>
              </w:rPr>
              <w:t>During</w:t>
            </w:r>
          </w:p>
        </w:tc>
      </w:tr>
      <w:tr>
        <w:trPr>
          <w:trHeight w:val="233"/>
        </w:trPr>
        <w:tc>
          <w:tcPr>
            <w:tcW w:w="46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400" w:type="dxa"/>
            <w:vAlign w:val="bottom"/>
            <w:gridSpan w:val="2"/>
          </w:tcPr>
          <w:p>
            <w:pPr>
              <w:jc w:val="center"/>
              <w:ind w:left="80"/>
              <w:spacing w:after="0"/>
              <w:rPr>
                <w:sz w:val="20"/>
                <w:szCs w:val="20"/>
                <w:color w:val="auto"/>
              </w:rPr>
            </w:pPr>
            <w:r>
              <w:rPr>
                <w:rFonts w:ascii="Arial" w:cs="Arial" w:eastAsia="Arial" w:hAnsi="Arial"/>
                <w:sz w:val="13"/>
                <w:szCs w:val="13"/>
                <w:b w:val="1"/>
                <w:bCs w:val="1"/>
                <w:color w:val="auto"/>
                <w:w w:val="98"/>
              </w:rPr>
              <w:t>Number of</w:t>
            </w:r>
          </w:p>
        </w:tc>
        <w:tc>
          <w:tcPr>
            <w:tcW w:w="300" w:type="dxa"/>
            <w:vAlign w:val="bottom"/>
          </w:tcPr>
          <w:p>
            <w:pPr>
              <w:spacing w:after="0"/>
              <w:rPr>
                <w:sz w:val="20"/>
                <w:szCs w:val="20"/>
                <w:color w:val="auto"/>
              </w:rPr>
            </w:pPr>
          </w:p>
        </w:tc>
        <w:tc>
          <w:tcPr>
            <w:tcW w:w="840" w:type="dxa"/>
            <w:vAlign w:val="bottom"/>
          </w:tcPr>
          <w:p>
            <w:pPr>
              <w:jc w:val="right"/>
              <w:ind w:right="240"/>
              <w:spacing w:after="0"/>
              <w:rPr>
                <w:sz w:val="20"/>
                <w:szCs w:val="20"/>
                <w:color w:val="auto"/>
              </w:rPr>
            </w:pPr>
            <w:r>
              <w:rPr>
                <w:rFonts w:ascii="Arial" w:cs="Arial" w:eastAsia="Arial" w:hAnsi="Arial"/>
                <w:sz w:val="13"/>
                <w:szCs w:val="13"/>
                <w:b w:val="1"/>
                <w:bCs w:val="1"/>
                <w:color w:val="auto"/>
                <w:w w:val="98"/>
              </w:rPr>
              <w:t>Value of</w:t>
            </w:r>
          </w:p>
        </w:tc>
        <w:tc>
          <w:tcPr>
            <w:tcW w:w="740" w:type="dxa"/>
            <w:vAlign w:val="bottom"/>
          </w:tcPr>
          <w:p>
            <w:pPr>
              <w:jc w:val="center"/>
              <w:ind w:left="40"/>
              <w:spacing w:after="0"/>
              <w:rPr>
                <w:sz w:val="20"/>
                <w:szCs w:val="20"/>
                <w:color w:val="auto"/>
              </w:rPr>
            </w:pPr>
            <w:r>
              <w:rPr>
                <w:rFonts w:ascii="Arial" w:cs="Arial" w:eastAsia="Arial" w:hAnsi="Arial"/>
                <w:sz w:val="13"/>
                <w:szCs w:val="13"/>
                <w:b w:val="1"/>
                <w:bCs w:val="1"/>
                <w:color w:val="auto"/>
                <w:w w:val="97"/>
              </w:rPr>
              <w:t>Last</w:t>
            </w:r>
          </w:p>
        </w:tc>
      </w:tr>
      <w:tr>
        <w:trPr>
          <w:trHeight w:val="233"/>
        </w:trPr>
        <w:tc>
          <w:tcPr>
            <w:tcW w:w="46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400" w:type="dxa"/>
            <w:vAlign w:val="bottom"/>
            <w:gridSpan w:val="2"/>
          </w:tcPr>
          <w:p>
            <w:pPr>
              <w:jc w:val="center"/>
              <w:ind w:left="80"/>
              <w:spacing w:after="0"/>
              <w:rPr>
                <w:sz w:val="20"/>
                <w:szCs w:val="20"/>
                <w:color w:val="auto"/>
              </w:rPr>
            </w:pPr>
            <w:r>
              <w:rPr>
                <w:rFonts w:ascii="Arial" w:cs="Arial" w:eastAsia="Arial" w:hAnsi="Arial"/>
                <w:sz w:val="13"/>
                <w:szCs w:val="13"/>
                <w:b w:val="1"/>
                <w:bCs w:val="1"/>
                <w:color w:val="auto"/>
              </w:rPr>
              <w:t>Years Credited</w:t>
            </w:r>
          </w:p>
        </w:tc>
        <w:tc>
          <w:tcPr>
            <w:tcW w:w="1140" w:type="dxa"/>
            <w:vAlign w:val="bottom"/>
            <w:gridSpan w:val="2"/>
          </w:tcPr>
          <w:p>
            <w:pPr>
              <w:ind w:left="180"/>
              <w:spacing w:after="0"/>
              <w:rPr>
                <w:sz w:val="20"/>
                <w:szCs w:val="20"/>
                <w:color w:val="auto"/>
              </w:rPr>
            </w:pPr>
            <w:r>
              <w:rPr>
                <w:rFonts w:ascii="Arial" w:cs="Arial" w:eastAsia="Arial" w:hAnsi="Arial"/>
                <w:sz w:val="13"/>
                <w:szCs w:val="13"/>
                <w:b w:val="1"/>
                <w:bCs w:val="1"/>
                <w:color w:val="auto"/>
              </w:rPr>
              <w:t>Accumulated</w:t>
            </w:r>
          </w:p>
        </w:tc>
        <w:tc>
          <w:tcPr>
            <w:tcW w:w="740" w:type="dxa"/>
            <w:vAlign w:val="bottom"/>
          </w:tcPr>
          <w:p>
            <w:pPr>
              <w:jc w:val="center"/>
              <w:ind w:left="60"/>
              <w:spacing w:after="0"/>
              <w:rPr>
                <w:sz w:val="20"/>
                <w:szCs w:val="20"/>
                <w:color w:val="auto"/>
              </w:rPr>
            </w:pPr>
            <w:r>
              <w:rPr>
                <w:rFonts w:ascii="Arial" w:cs="Arial" w:eastAsia="Arial" w:hAnsi="Arial"/>
                <w:sz w:val="13"/>
                <w:szCs w:val="13"/>
                <w:b w:val="1"/>
                <w:bCs w:val="1"/>
                <w:color w:val="auto"/>
                <w:w w:val="97"/>
              </w:rPr>
              <w:t>Fiscal</w:t>
            </w:r>
          </w:p>
        </w:tc>
      </w:tr>
      <w:tr>
        <w:trPr>
          <w:trHeight w:val="233"/>
        </w:trPr>
        <w:tc>
          <w:tcPr>
            <w:tcW w:w="46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3540" w:type="dxa"/>
            <w:vAlign w:val="bottom"/>
          </w:tcPr>
          <w:p>
            <w:pPr>
              <w:ind w:left="1580"/>
              <w:spacing w:after="0"/>
              <w:rPr>
                <w:sz w:val="20"/>
                <w:szCs w:val="20"/>
                <w:color w:val="auto"/>
              </w:rPr>
            </w:pPr>
            <w:r>
              <w:rPr>
                <w:rFonts w:ascii="Arial" w:cs="Arial" w:eastAsia="Arial" w:hAnsi="Arial"/>
                <w:sz w:val="13"/>
                <w:szCs w:val="13"/>
                <w:b w:val="1"/>
                <w:bCs w:val="1"/>
                <w:color w:val="auto"/>
              </w:rPr>
              <w:t>Plan Name</w:t>
            </w:r>
          </w:p>
        </w:tc>
        <w:tc>
          <w:tcPr>
            <w:tcW w:w="1400" w:type="dxa"/>
            <w:vAlign w:val="bottom"/>
            <w:gridSpan w:val="2"/>
          </w:tcPr>
          <w:p>
            <w:pPr>
              <w:jc w:val="center"/>
              <w:ind w:left="80"/>
              <w:spacing w:after="0"/>
              <w:rPr>
                <w:sz w:val="20"/>
                <w:szCs w:val="20"/>
                <w:color w:val="auto"/>
              </w:rPr>
            </w:pPr>
            <w:r>
              <w:rPr>
                <w:rFonts w:ascii="Arial" w:cs="Arial" w:eastAsia="Arial" w:hAnsi="Arial"/>
                <w:sz w:val="13"/>
                <w:szCs w:val="13"/>
                <w:b w:val="1"/>
                <w:bCs w:val="1"/>
                <w:color w:val="auto"/>
                <w:w w:val="97"/>
              </w:rPr>
              <w:t>Service (#)</w:t>
            </w:r>
          </w:p>
        </w:tc>
        <w:tc>
          <w:tcPr>
            <w:tcW w:w="1140" w:type="dxa"/>
            <w:vAlign w:val="bottom"/>
            <w:gridSpan w:val="2"/>
          </w:tcPr>
          <w:p>
            <w:pPr>
              <w:ind w:left="180"/>
              <w:spacing w:after="0"/>
              <w:rPr>
                <w:sz w:val="20"/>
                <w:szCs w:val="20"/>
                <w:color w:val="auto"/>
              </w:rPr>
            </w:pPr>
            <w:r>
              <w:rPr>
                <w:rFonts w:ascii="Arial" w:cs="Arial" w:eastAsia="Arial" w:hAnsi="Arial"/>
                <w:sz w:val="13"/>
                <w:szCs w:val="13"/>
                <w:b w:val="1"/>
                <w:bCs w:val="1"/>
                <w:color w:val="auto"/>
              </w:rPr>
              <w:t>Benefit ($)(5)</w:t>
            </w:r>
          </w:p>
        </w:tc>
        <w:tc>
          <w:tcPr>
            <w:tcW w:w="740" w:type="dxa"/>
            <w:vAlign w:val="bottom"/>
          </w:tcPr>
          <w:p>
            <w:pPr>
              <w:jc w:val="center"/>
              <w:ind w:left="40"/>
              <w:spacing w:after="0"/>
              <w:rPr>
                <w:sz w:val="20"/>
                <w:szCs w:val="20"/>
                <w:color w:val="auto"/>
              </w:rPr>
            </w:pPr>
            <w:r>
              <w:rPr>
                <w:rFonts w:ascii="Arial" w:cs="Arial" w:eastAsia="Arial" w:hAnsi="Arial"/>
                <w:sz w:val="13"/>
                <w:szCs w:val="13"/>
                <w:b w:val="1"/>
                <w:bCs w:val="1"/>
                <w:color w:val="auto"/>
                <w:w w:val="96"/>
              </w:rPr>
              <w:t>Year ($)</w:t>
            </w:r>
          </w:p>
        </w:tc>
      </w:tr>
      <w:tr>
        <w:trPr>
          <w:trHeight w:val="45"/>
        </w:trPr>
        <w:tc>
          <w:tcPr>
            <w:tcW w:w="4600" w:type="dxa"/>
            <w:vAlign w:val="bottom"/>
            <w:tcBorders>
              <w:bottom w:val="single" w:sz="8" w:color="808285"/>
            </w:tcBorders>
          </w:tcPr>
          <w:p>
            <w:pPr>
              <w:spacing w:after="0"/>
              <w:rPr>
                <w:sz w:val="3"/>
                <w:szCs w:val="3"/>
                <w:color w:val="auto"/>
              </w:rPr>
            </w:pPr>
          </w:p>
        </w:tc>
        <w:tc>
          <w:tcPr>
            <w:tcW w:w="3540" w:type="dxa"/>
            <w:vAlign w:val="bottom"/>
            <w:tcBorders>
              <w:bottom w:val="single" w:sz="8" w:color="808285"/>
            </w:tcBorders>
          </w:tcPr>
          <w:p>
            <w:pPr>
              <w:spacing w:after="0"/>
              <w:rPr>
                <w:sz w:val="3"/>
                <w:szCs w:val="3"/>
                <w:color w:val="auto"/>
              </w:rPr>
            </w:pPr>
          </w:p>
        </w:tc>
        <w:tc>
          <w:tcPr>
            <w:tcW w:w="800" w:type="dxa"/>
            <w:vAlign w:val="bottom"/>
            <w:tcBorders>
              <w:bottom w:val="single" w:sz="8" w:color="808285"/>
            </w:tcBorders>
          </w:tcPr>
          <w:p>
            <w:pPr>
              <w:spacing w:after="0"/>
              <w:rPr>
                <w:sz w:val="3"/>
                <w:szCs w:val="3"/>
                <w:color w:val="auto"/>
              </w:rPr>
            </w:pPr>
          </w:p>
        </w:tc>
        <w:tc>
          <w:tcPr>
            <w:tcW w:w="600" w:type="dxa"/>
            <w:vAlign w:val="bottom"/>
            <w:tcBorders>
              <w:bottom w:val="single" w:sz="8" w:color="808285"/>
            </w:tcBorders>
          </w:tcPr>
          <w:p>
            <w:pPr>
              <w:spacing w:after="0"/>
              <w:rPr>
                <w:sz w:val="3"/>
                <w:szCs w:val="3"/>
                <w:color w:val="auto"/>
              </w:rPr>
            </w:pPr>
          </w:p>
        </w:tc>
        <w:tc>
          <w:tcPr>
            <w:tcW w:w="300" w:type="dxa"/>
            <w:vAlign w:val="bottom"/>
            <w:tcBorders>
              <w:bottom w:val="single" w:sz="8" w:color="808285"/>
            </w:tcBorders>
          </w:tcPr>
          <w:p>
            <w:pPr>
              <w:spacing w:after="0"/>
              <w:rPr>
                <w:sz w:val="3"/>
                <w:szCs w:val="3"/>
                <w:color w:val="auto"/>
              </w:rPr>
            </w:pPr>
          </w:p>
        </w:tc>
        <w:tc>
          <w:tcPr>
            <w:tcW w:w="840" w:type="dxa"/>
            <w:vAlign w:val="bottom"/>
            <w:tcBorders>
              <w:bottom w:val="single" w:sz="8" w:color="808285"/>
            </w:tcBorders>
          </w:tcPr>
          <w:p>
            <w:pPr>
              <w:spacing w:after="0"/>
              <w:rPr>
                <w:sz w:val="3"/>
                <w:szCs w:val="3"/>
                <w:color w:val="auto"/>
              </w:rPr>
            </w:pPr>
          </w:p>
        </w:tc>
        <w:tc>
          <w:tcPr>
            <w:tcW w:w="740" w:type="dxa"/>
            <w:vAlign w:val="bottom"/>
            <w:tcBorders>
              <w:bottom w:val="single" w:sz="8" w:color="808285"/>
            </w:tcBorders>
          </w:tcPr>
          <w:p>
            <w:pPr>
              <w:spacing w:after="0"/>
              <w:rPr>
                <w:sz w:val="3"/>
                <w:szCs w:val="3"/>
                <w:color w:val="auto"/>
              </w:rPr>
            </w:pPr>
          </w:p>
        </w:tc>
      </w:tr>
      <w:tr>
        <w:trPr>
          <w:trHeight w:val="218"/>
        </w:trPr>
        <w:tc>
          <w:tcPr>
            <w:tcW w:w="4600" w:type="dxa"/>
            <w:vAlign w:val="bottom"/>
            <w:shd w:val="clear" w:color="auto" w:fill="E9E9E9"/>
          </w:tcPr>
          <w:p>
            <w:pPr>
              <w:spacing w:after="0"/>
              <w:rPr>
                <w:sz w:val="20"/>
                <w:szCs w:val="20"/>
                <w:color w:val="auto"/>
              </w:rPr>
            </w:pPr>
            <w:r>
              <w:rPr>
                <w:rFonts w:ascii="Arial" w:cs="Arial" w:eastAsia="Arial" w:hAnsi="Arial"/>
                <w:sz w:val="17"/>
                <w:szCs w:val="17"/>
                <w:color w:val="auto"/>
              </w:rPr>
              <w:t>R. K. Templeton (1)</w:t>
            </w:r>
          </w:p>
        </w:tc>
        <w:tc>
          <w:tcPr>
            <w:tcW w:w="3540" w:type="dxa"/>
            <w:vAlign w:val="bottom"/>
            <w:shd w:val="clear" w:color="auto" w:fill="E9E9E9"/>
          </w:tcPr>
          <w:p>
            <w:pPr>
              <w:ind w:left="260"/>
              <w:spacing w:after="0"/>
              <w:rPr>
                <w:sz w:val="20"/>
                <w:szCs w:val="20"/>
                <w:color w:val="auto"/>
              </w:rPr>
            </w:pPr>
            <w:r>
              <w:rPr>
                <w:rFonts w:ascii="Arial" w:cs="Arial" w:eastAsia="Arial" w:hAnsi="Arial"/>
                <w:sz w:val="17"/>
                <w:szCs w:val="17"/>
                <w:color w:val="auto"/>
              </w:rPr>
              <w:t>TI Employees Pension Plan</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16</w:t>
            </w:r>
          </w:p>
        </w:tc>
        <w:tc>
          <w:tcPr>
            <w:tcW w:w="600" w:type="dxa"/>
            <w:vAlign w:val="bottom"/>
            <w:shd w:val="clear" w:color="auto" w:fill="E9E9E9"/>
          </w:tcPr>
          <w:p>
            <w:pPr>
              <w:jc w:val="right"/>
              <w:ind w:right="276"/>
              <w:spacing w:after="0"/>
              <w:rPr>
                <w:sz w:val="20"/>
                <w:szCs w:val="20"/>
                <w:color w:val="auto"/>
              </w:rPr>
            </w:pPr>
            <w:r>
              <w:rPr>
                <w:rFonts w:ascii="Arial" w:cs="Arial" w:eastAsia="Arial" w:hAnsi="Arial"/>
                <w:sz w:val="17"/>
                <w:szCs w:val="17"/>
                <w:color w:val="auto"/>
              </w:rPr>
              <w:t>(2)</w:t>
            </w:r>
          </w:p>
        </w:tc>
        <w:tc>
          <w:tcPr>
            <w:tcW w:w="300" w:type="dxa"/>
            <w:vAlign w:val="bottom"/>
            <w:shd w:val="clear" w:color="auto" w:fill="E9E9E9"/>
          </w:tcPr>
          <w:p>
            <w:pPr>
              <w:ind w:lef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60"/>
              <w:spacing w:after="0"/>
              <w:rPr>
                <w:sz w:val="20"/>
                <w:szCs w:val="20"/>
                <w:color w:val="auto"/>
              </w:rPr>
            </w:pPr>
            <w:r>
              <w:rPr>
                <w:rFonts w:ascii="Arial" w:cs="Arial" w:eastAsia="Arial" w:hAnsi="Arial"/>
                <w:sz w:val="17"/>
                <w:szCs w:val="17"/>
                <w:color w:val="auto"/>
              </w:rPr>
              <w:t>604,392</w:t>
            </w:r>
          </w:p>
        </w:tc>
        <w:tc>
          <w:tcPr>
            <w:tcW w:w="740" w:type="dxa"/>
            <w:vAlign w:val="bottom"/>
            <w:shd w:val="clear" w:color="auto" w:fill="E9E9E9"/>
          </w:tcPr>
          <w:p>
            <w:pPr>
              <w:jc w:val="center"/>
              <w:ind w:left="60"/>
              <w:spacing w:after="0"/>
              <w:rPr>
                <w:sz w:val="20"/>
                <w:szCs w:val="20"/>
                <w:color w:val="auto"/>
              </w:rPr>
            </w:pPr>
            <w:r>
              <w:rPr>
                <w:rFonts w:ascii="Arial" w:cs="Arial" w:eastAsia="Arial" w:hAnsi="Arial"/>
                <w:sz w:val="17"/>
                <w:szCs w:val="17"/>
                <w:color w:val="auto"/>
                <w:w w:val="93"/>
              </w:rPr>
              <w:t>—</w:t>
            </w:r>
          </w:p>
        </w:tc>
      </w:tr>
      <w:tr>
        <w:trPr>
          <w:trHeight w:val="233"/>
        </w:trPr>
        <w:tc>
          <w:tcPr>
            <w:tcW w:w="4600" w:type="dxa"/>
            <w:vAlign w:val="bottom"/>
            <w:shd w:val="clear" w:color="auto" w:fill="E9E9E9"/>
          </w:tcPr>
          <w:p>
            <w:pPr>
              <w:spacing w:after="0"/>
              <w:rPr>
                <w:sz w:val="20"/>
                <w:szCs w:val="20"/>
                <w:color w:val="auto"/>
              </w:rPr>
            </w:pPr>
          </w:p>
        </w:tc>
        <w:tc>
          <w:tcPr>
            <w:tcW w:w="3540" w:type="dxa"/>
            <w:vAlign w:val="bottom"/>
            <w:shd w:val="clear" w:color="auto" w:fill="E9E9E9"/>
          </w:tcPr>
          <w:p>
            <w:pPr>
              <w:ind w:left="260"/>
              <w:spacing w:after="0"/>
              <w:rPr>
                <w:sz w:val="20"/>
                <w:szCs w:val="20"/>
                <w:color w:val="auto"/>
              </w:rPr>
            </w:pPr>
            <w:r>
              <w:rPr>
                <w:rFonts w:ascii="Arial" w:cs="Arial" w:eastAsia="Arial" w:hAnsi="Arial"/>
                <w:sz w:val="17"/>
                <w:szCs w:val="17"/>
                <w:color w:val="auto"/>
              </w:rPr>
              <w:t>TI Employees Non-Qualified Pension Plan</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16</w:t>
            </w:r>
          </w:p>
        </w:tc>
        <w:tc>
          <w:tcPr>
            <w:tcW w:w="600" w:type="dxa"/>
            <w:vAlign w:val="bottom"/>
            <w:shd w:val="clear" w:color="auto" w:fill="E9E9E9"/>
          </w:tcPr>
          <w:p>
            <w:pPr>
              <w:jc w:val="right"/>
              <w:ind w:right="276"/>
              <w:spacing w:after="0"/>
              <w:rPr>
                <w:sz w:val="20"/>
                <w:szCs w:val="20"/>
                <w:color w:val="auto"/>
              </w:rPr>
            </w:pPr>
            <w:r>
              <w:rPr>
                <w:rFonts w:ascii="Arial" w:cs="Arial" w:eastAsia="Arial" w:hAnsi="Arial"/>
                <w:sz w:val="17"/>
                <w:szCs w:val="17"/>
                <w:color w:val="auto"/>
              </w:rPr>
              <w:t>(2)</w:t>
            </w:r>
          </w:p>
        </w:tc>
        <w:tc>
          <w:tcPr>
            <w:tcW w:w="300" w:type="dxa"/>
            <w:vAlign w:val="bottom"/>
            <w:shd w:val="clear" w:color="auto" w:fill="E9E9E9"/>
          </w:tcPr>
          <w:p>
            <w:pPr>
              <w:ind w:lef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60"/>
              <w:spacing w:after="0"/>
              <w:rPr>
                <w:sz w:val="20"/>
                <w:szCs w:val="20"/>
                <w:color w:val="auto"/>
              </w:rPr>
            </w:pPr>
            <w:r>
              <w:rPr>
                <w:rFonts w:ascii="Arial" w:cs="Arial" w:eastAsia="Arial" w:hAnsi="Arial"/>
                <w:sz w:val="17"/>
                <w:szCs w:val="17"/>
                <w:color w:val="auto"/>
              </w:rPr>
              <w:t>356,234</w:t>
            </w:r>
          </w:p>
        </w:tc>
        <w:tc>
          <w:tcPr>
            <w:tcW w:w="740" w:type="dxa"/>
            <w:vAlign w:val="bottom"/>
            <w:shd w:val="clear" w:color="auto" w:fill="E9E9E9"/>
          </w:tcPr>
          <w:p>
            <w:pPr>
              <w:jc w:val="center"/>
              <w:ind w:left="60"/>
              <w:spacing w:after="0"/>
              <w:rPr>
                <w:sz w:val="20"/>
                <w:szCs w:val="20"/>
                <w:color w:val="auto"/>
              </w:rPr>
            </w:pPr>
            <w:r>
              <w:rPr>
                <w:rFonts w:ascii="Arial" w:cs="Arial" w:eastAsia="Arial" w:hAnsi="Arial"/>
                <w:sz w:val="17"/>
                <w:szCs w:val="17"/>
                <w:color w:val="auto"/>
                <w:w w:val="93"/>
              </w:rPr>
              <w:t>—</w:t>
            </w:r>
          </w:p>
        </w:tc>
      </w:tr>
      <w:tr>
        <w:trPr>
          <w:trHeight w:val="233"/>
        </w:trPr>
        <w:tc>
          <w:tcPr>
            <w:tcW w:w="4600" w:type="dxa"/>
            <w:vAlign w:val="bottom"/>
            <w:shd w:val="clear" w:color="auto" w:fill="E9E9E9"/>
          </w:tcPr>
          <w:p>
            <w:pPr>
              <w:spacing w:after="0"/>
              <w:rPr>
                <w:sz w:val="20"/>
                <w:szCs w:val="20"/>
                <w:color w:val="auto"/>
              </w:rPr>
            </w:pPr>
          </w:p>
        </w:tc>
        <w:tc>
          <w:tcPr>
            <w:tcW w:w="3540" w:type="dxa"/>
            <w:vAlign w:val="bottom"/>
            <w:shd w:val="clear" w:color="auto" w:fill="E9E9E9"/>
          </w:tcPr>
          <w:p>
            <w:pPr>
              <w:ind w:left="260"/>
              <w:spacing w:after="0"/>
              <w:rPr>
                <w:sz w:val="20"/>
                <w:szCs w:val="20"/>
                <w:color w:val="auto"/>
              </w:rPr>
            </w:pPr>
            <w:r>
              <w:rPr>
                <w:rFonts w:ascii="Arial" w:cs="Arial" w:eastAsia="Arial" w:hAnsi="Arial"/>
                <w:sz w:val="17"/>
                <w:szCs w:val="17"/>
                <w:color w:val="auto"/>
                <w:w w:val="98"/>
              </w:rPr>
              <w:t>TI Employees Non-Qualified Pension Plan II</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16</w:t>
            </w:r>
          </w:p>
        </w:tc>
        <w:tc>
          <w:tcPr>
            <w:tcW w:w="600" w:type="dxa"/>
            <w:vAlign w:val="bottom"/>
            <w:shd w:val="clear" w:color="auto" w:fill="E9E9E9"/>
          </w:tcPr>
          <w:p>
            <w:pPr>
              <w:jc w:val="right"/>
              <w:ind w:right="276"/>
              <w:spacing w:after="0"/>
              <w:rPr>
                <w:sz w:val="20"/>
                <w:szCs w:val="20"/>
                <w:color w:val="auto"/>
              </w:rPr>
            </w:pPr>
            <w:r>
              <w:rPr>
                <w:rFonts w:ascii="Arial" w:cs="Arial" w:eastAsia="Arial" w:hAnsi="Arial"/>
                <w:sz w:val="17"/>
                <w:szCs w:val="17"/>
                <w:color w:val="auto"/>
              </w:rPr>
              <w:t>(4)</w:t>
            </w:r>
          </w:p>
        </w:tc>
        <w:tc>
          <w:tcPr>
            <w:tcW w:w="300" w:type="dxa"/>
            <w:vAlign w:val="bottom"/>
            <w:shd w:val="clear" w:color="auto" w:fill="E9E9E9"/>
          </w:tcPr>
          <w:p>
            <w:pPr>
              <w:ind w:lef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60"/>
              <w:spacing w:after="0"/>
              <w:rPr>
                <w:sz w:val="20"/>
                <w:szCs w:val="20"/>
                <w:color w:val="auto"/>
              </w:rPr>
            </w:pPr>
            <w:r>
              <w:rPr>
                <w:rFonts w:ascii="Arial" w:cs="Arial" w:eastAsia="Arial" w:hAnsi="Arial"/>
                <w:sz w:val="17"/>
                <w:szCs w:val="17"/>
                <w:color w:val="auto"/>
              </w:rPr>
              <w:t>89,489</w:t>
            </w:r>
          </w:p>
        </w:tc>
        <w:tc>
          <w:tcPr>
            <w:tcW w:w="740" w:type="dxa"/>
            <w:vAlign w:val="bottom"/>
            <w:shd w:val="clear" w:color="auto" w:fill="E9E9E9"/>
          </w:tcPr>
          <w:p>
            <w:pPr>
              <w:jc w:val="center"/>
              <w:ind w:left="60"/>
              <w:spacing w:after="0"/>
              <w:rPr>
                <w:sz w:val="20"/>
                <w:szCs w:val="20"/>
                <w:color w:val="auto"/>
              </w:rPr>
            </w:pPr>
            <w:r>
              <w:rPr>
                <w:rFonts w:ascii="Arial" w:cs="Arial" w:eastAsia="Arial" w:hAnsi="Arial"/>
                <w:sz w:val="17"/>
                <w:szCs w:val="17"/>
                <w:color w:val="auto"/>
                <w:w w:val="93"/>
              </w:rPr>
              <w:t>—</w:t>
            </w:r>
          </w:p>
        </w:tc>
      </w:tr>
      <w:tr>
        <w:trPr>
          <w:trHeight w:val="247"/>
        </w:trPr>
        <w:tc>
          <w:tcPr>
            <w:tcW w:w="4600" w:type="dxa"/>
            <w:vAlign w:val="bottom"/>
            <w:shd w:val="clear" w:color="auto" w:fill="E9E9E9"/>
          </w:tcPr>
          <w:p>
            <w:pPr>
              <w:spacing w:after="0"/>
              <w:rPr>
                <w:sz w:val="21"/>
                <w:szCs w:val="21"/>
                <w:color w:val="auto"/>
              </w:rPr>
            </w:pPr>
          </w:p>
        </w:tc>
        <w:tc>
          <w:tcPr>
            <w:tcW w:w="3540" w:type="dxa"/>
            <w:vAlign w:val="bottom"/>
            <w:shd w:val="clear" w:color="auto" w:fill="E9E9E9"/>
          </w:tcPr>
          <w:p>
            <w:pPr>
              <w:spacing w:after="0"/>
              <w:rPr>
                <w:sz w:val="21"/>
                <w:szCs w:val="21"/>
                <w:color w:val="auto"/>
              </w:rPr>
            </w:pPr>
          </w:p>
        </w:tc>
        <w:tc>
          <w:tcPr>
            <w:tcW w:w="800" w:type="dxa"/>
            <w:vAlign w:val="bottom"/>
            <w:shd w:val="clear" w:color="auto" w:fill="E9E9E9"/>
          </w:tcPr>
          <w:p>
            <w:pPr>
              <w:spacing w:after="0"/>
              <w:rPr>
                <w:sz w:val="21"/>
                <w:szCs w:val="21"/>
                <w:color w:val="auto"/>
              </w:rPr>
            </w:pPr>
          </w:p>
        </w:tc>
        <w:tc>
          <w:tcPr>
            <w:tcW w:w="60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840" w:type="dxa"/>
            <w:vAlign w:val="bottom"/>
            <w:shd w:val="clear" w:color="auto" w:fill="E9E9E9"/>
          </w:tcPr>
          <w:p>
            <w:pPr>
              <w:spacing w:after="0"/>
              <w:rPr>
                <w:sz w:val="21"/>
                <w:szCs w:val="21"/>
                <w:color w:val="auto"/>
              </w:rPr>
            </w:pPr>
          </w:p>
        </w:tc>
        <w:tc>
          <w:tcPr>
            <w:tcW w:w="740" w:type="dxa"/>
            <w:vAlign w:val="bottom"/>
            <w:shd w:val="clear" w:color="auto" w:fill="E9E9E9"/>
          </w:tcPr>
          <w:p>
            <w:pPr>
              <w:jc w:val="center"/>
              <w:ind w:left="60"/>
              <w:spacing w:after="0"/>
              <w:rPr>
                <w:sz w:val="20"/>
                <w:szCs w:val="20"/>
                <w:color w:val="auto"/>
              </w:rPr>
            </w:pPr>
            <w:r>
              <w:rPr>
                <w:rFonts w:ascii="Arial" w:cs="Arial" w:eastAsia="Arial" w:hAnsi="Arial"/>
                <w:sz w:val="17"/>
                <w:szCs w:val="17"/>
                <w:color w:val="auto"/>
                <w:w w:val="93"/>
              </w:rPr>
              <w:t>—</w:t>
            </w:r>
          </w:p>
        </w:tc>
      </w:tr>
      <w:tr>
        <w:trPr>
          <w:trHeight w:val="218"/>
        </w:trPr>
        <w:tc>
          <w:tcPr>
            <w:tcW w:w="4600" w:type="dxa"/>
            <w:vAlign w:val="bottom"/>
          </w:tcPr>
          <w:p>
            <w:pPr>
              <w:spacing w:after="0"/>
              <w:rPr>
                <w:sz w:val="20"/>
                <w:szCs w:val="20"/>
                <w:color w:val="auto"/>
              </w:rPr>
            </w:pPr>
            <w:r>
              <w:rPr>
                <w:rFonts w:ascii="Arial" w:cs="Arial" w:eastAsia="Arial" w:hAnsi="Arial"/>
                <w:sz w:val="17"/>
                <w:szCs w:val="17"/>
                <w:color w:val="auto"/>
              </w:rPr>
              <w:t>K. P. March</w:t>
            </w:r>
          </w:p>
        </w:tc>
        <w:tc>
          <w:tcPr>
            <w:tcW w:w="3540" w:type="dxa"/>
            <w:vAlign w:val="bottom"/>
          </w:tcPr>
          <w:p>
            <w:pPr>
              <w:ind w:left="260"/>
              <w:spacing w:after="0"/>
              <w:rPr>
                <w:sz w:val="20"/>
                <w:szCs w:val="20"/>
                <w:color w:val="auto"/>
              </w:rPr>
            </w:pPr>
            <w:r>
              <w:rPr>
                <w:rFonts w:ascii="Arial" w:cs="Arial" w:eastAsia="Arial" w:hAnsi="Arial"/>
                <w:sz w:val="17"/>
                <w:szCs w:val="17"/>
                <w:color w:val="auto"/>
              </w:rPr>
              <w:t>TI Employees Pension Plan</w:t>
            </w:r>
          </w:p>
        </w:tc>
        <w:tc>
          <w:tcPr>
            <w:tcW w:w="800" w:type="dxa"/>
            <w:vAlign w:val="bottom"/>
          </w:tcPr>
          <w:p>
            <w:pPr>
              <w:jc w:val="right"/>
              <w:spacing w:after="0"/>
              <w:rPr>
                <w:sz w:val="20"/>
                <w:szCs w:val="20"/>
                <w:color w:val="auto"/>
              </w:rPr>
            </w:pPr>
            <w:r>
              <w:rPr>
                <w:rFonts w:ascii="Arial" w:cs="Arial" w:eastAsia="Arial" w:hAnsi="Arial"/>
                <w:sz w:val="17"/>
                <w:szCs w:val="17"/>
                <w:color w:val="auto"/>
              </w:rPr>
              <w:t>27</w:t>
            </w:r>
          </w:p>
        </w:tc>
        <w:tc>
          <w:tcPr>
            <w:tcW w:w="600" w:type="dxa"/>
            <w:vAlign w:val="bottom"/>
          </w:tcPr>
          <w:p>
            <w:pPr>
              <w:jc w:val="right"/>
              <w:ind w:right="276"/>
              <w:spacing w:after="0"/>
              <w:rPr>
                <w:sz w:val="20"/>
                <w:szCs w:val="20"/>
                <w:color w:val="auto"/>
              </w:rPr>
            </w:pPr>
            <w:r>
              <w:rPr>
                <w:rFonts w:ascii="Arial" w:cs="Arial" w:eastAsia="Arial" w:hAnsi="Arial"/>
                <w:sz w:val="17"/>
                <w:szCs w:val="17"/>
                <w:color w:val="auto"/>
              </w:rPr>
              <w:t>(2)</w:t>
            </w:r>
          </w:p>
        </w:tc>
        <w:tc>
          <w:tcPr>
            <w:tcW w:w="300" w:type="dxa"/>
            <w:vAlign w:val="bottom"/>
          </w:tcPr>
          <w:p>
            <w:pPr>
              <w:ind w:left="16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60"/>
              <w:spacing w:after="0"/>
              <w:rPr>
                <w:sz w:val="20"/>
                <w:szCs w:val="20"/>
                <w:color w:val="auto"/>
              </w:rPr>
            </w:pPr>
            <w:r>
              <w:rPr>
                <w:rFonts w:ascii="Arial" w:cs="Arial" w:eastAsia="Arial" w:hAnsi="Arial"/>
                <w:sz w:val="17"/>
                <w:szCs w:val="17"/>
                <w:color w:val="auto"/>
              </w:rPr>
              <w:t>735,609</w:t>
            </w:r>
          </w:p>
        </w:tc>
        <w:tc>
          <w:tcPr>
            <w:tcW w:w="740" w:type="dxa"/>
            <w:vAlign w:val="bottom"/>
          </w:tcPr>
          <w:p>
            <w:pPr>
              <w:jc w:val="center"/>
              <w:ind w:left="60"/>
              <w:spacing w:after="0"/>
              <w:rPr>
                <w:sz w:val="20"/>
                <w:szCs w:val="20"/>
                <w:color w:val="auto"/>
              </w:rPr>
            </w:pPr>
            <w:r>
              <w:rPr>
                <w:rFonts w:ascii="Arial" w:cs="Arial" w:eastAsia="Arial" w:hAnsi="Arial"/>
                <w:sz w:val="17"/>
                <w:szCs w:val="17"/>
                <w:color w:val="auto"/>
                <w:w w:val="93"/>
              </w:rPr>
              <w:t>—</w:t>
            </w:r>
          </w:p>
        </w:tc>
      </w:tr>
      <w:tr>
        <w:trPr>
          <w:trHeight w:val="233"/>
        </w:trPr>
        <w:tc>
          <w:tcPr>
            <w:tcW w:w="4600" w:type="dxa"/>
            <w:vAlign w:val="bottom"/>
          </w:tcPr>
          <w:p>
            <w:pPr>
              <w:spacing w:after="0"/>
              <w:rPr>
                <w:sz w:val="20"/>
                <w:szCs w:val="20"/>
                <w:color w:val="auto"/>
              </w:rPr>
            </w:pPr>
          </w:p>
        </w:tc>
        <w:tc>
          <w:tcPr>
            <w:tcW w:w="3540" w:type="dxa"/>
            <w:vAlign w:val="bottom"/>
          </w:tcPr>
          <w:p>
            <w:pPr>
              <w:ind w:left="260"/>
              <w:spacing w:after="0"/>
              <w:rPr>
                <w:sz w:val="20"/>
                <w:szCs w:val="20"/>
                <w:color w:val="auto"/>
              </w:rPr>
            </w:pPr>
            <w:r>
              <w:rPr>
                <w:rFonts w:ascii="Arial" w:cs="Arial" w:eastAsia="Arial" w:hAnsi="Arial"/>
                <w:sz w:val="17"/>
                <w:szCs w:val="17"/>
                <w:color w:val="auto"/>
              </w:rPr>
              <w:t>TI Employees Non-Qualified Pension Plan</w:t>
            </w:r>
          </w:p>
        </w:tc>
        <w:tc>
          <w:tcPr>
            <w:tcW w:w="800" w:type="dxa"/>
            <w:vAlign w:val="bottom"/>
          </w:tcPr>
          <w:p>
            <w:pPr>
              <w:jc w:val="right"/>
              <w:spacing w:after="0"/>
              <w:rPr>
                <w:sz w:val="20"/>
                <w:szCs w:val="20"/>
                <w:color w:val="auto"/>
              </w:rPr>
            </w:pPr>
            <w:r>
              <w:rPr>
                <w:rFonts w:ascii="Arial" w:cs="Arial" w:eastAsia="Arial" w:hAnsi="Arial"/>
                <w:sz w:val="17"/>
                <w:szCs w:val="17"/>
                <w:color w:val="auto"/>
              </w:rPr>
              <w:t>19</w:t>
            </w:r>
          </w:p>
        </w:tc>
        <w:tc>
          <w:tcPr>
            <w:tcW w:w="600" w:type="dxa"/>
            <w:vAlign w:val="bottom"/>
          </w:tcPr>
          <w:p>
            <w:pPr>
              <w:jc w:val="right"/>
              <w:ind w:right="276"/>
              <w:spacing w:after="0"/>
              <w:rPr>
                <w:sz w:val="20"/>
                <w:szCs w:val="20"/>
                <w:color w:val="auto"/>
              </w:rPr>
            </w:pPr>
            <w:r>
              <w:rPr>
                <w:rFonts w:ascii="Arial" w:cs="Arial" w:eastAsia="Arial" w:hAnsi="Arial"/>
                <w:sz w:val="17"/>
                <w:szCs w:val="17"/>
                <w:color w:val="auto"/>
              </w:rPr>
              <w:t>(3)</w:t>
            </w:r>
          </w:p>
        </w:tc>
        <w:tc>
          <w:tcPr>
            <w:tcW w:w="300" w:type="dxa"/>
            <w:vAlign w:val="bottom"/>
          </w:tcPr>
          <w:p>
            <w:pPr>
              <w:ind w:left="16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60"/>
              <w:spacing w:after="0"/>
              <w:rPr>
                <w:sz w:val="20"/>
                <w:szCs w:val="20"/>
                <w:color w:val="auto"/>
              </w:rPr>
            </w:pPr>
            <w:r>
              <w:rPr>
                <w:rFonts w:ascii="Arial" w:cs="Arial" w:eastAsia="Arial" w:hAnsi="Arial"/>
                <w:sz w:val="17"/>
                <w:szCs w:val="17"/>
                <w:color w:val="auto"/>
              </w:rPr>
              <w:t>212,394</w:t>
            </w:r>
          </w:p>
        </w:tc>
        <w:tc>
          <w:tcPr>
            <w:tcW w:w="740" w:type="dxa"/>
            <w:vAlign w:val="bottom"/>
          </w:tcPr>
          <w:p>
            <w:pPr>
              <w:jc w:val="center"/>
              <w:ind w:left="60"/>
              <w:spacing w:after="0"/>
              <w:rPr>
                <w:sz w:val="20"/>
                <w:szCs w:val="20"/>
                <w:color w:val="auto"/>
              </w:rPr>
            </w:pPr>
            <w:r>
              <w:rPr>
                <w:rFonts w:ascii="Arial" w:cs="Arial" w:eastAsia="Arial" w:hAnsi="Arial"/>
                <w:sz w:val="17"/>
                <w:szCs w:val="17"/>
                <w:color w:val="auto"/>
                <w:w w:val="93"/>
              </w:rPr>
              <w:t>—</w:t>
            </w:r>
          </w:p>
        </w:tc>
      </w:tr>
      <w:tr>
        <w:trPr>
          <w:trHeight w:val="233"/>
        </w:trPr>
        <w:tc>
          <w:tcPr>
            <w:tcW w:w="4600" w:type="dxa"/>
            <w:vAlign w:val="bottom"/>
          </w:tcPr>
          <w:p>
            <w:pPr>
              <w:spacing w:after="0"/>
              <w:rPr>
                <w:sz w:val="20"/>
                <w:szCs w:val="20"/>
                <w:color w:val="auto"/>
              </w:rPr>
            </w:pPr>
          </w:p>
        </w:tc>
        <w:tc>
          <w:tcPr>
            <w:tcW w:w="3540" w:type="dxa"/>
            <w:vAlign w:val="bottom"/>
          </w:tcPr>
          <w:p>
            <w:pPr>
              <w:ind w:left="260"/>
              <w:spacing w:after="0"/>
              <w:rPr>
                <w:sz w:val="20"/>
                <w:szCs w:val="20"/>
                <w:color w:val="auto"/>
              </w:rPr>
            </w:pPr>
            <w:r>
              <w:rPr>
                <w:rFonts w:ascii="Arial" w:cs="Arial" w:eastAsia="Arial" w:hAnsi="Arial"/>
                <w:sz w:val="17"/>
                <w:szCs w:val="17"/>
                <w:color w:val="auto"/>
                <w:w w:val="98"/>
              </w:rPr>
              <w:t>TI Employees Non-Qualified Pension Plan II</w:t>
            </w:r>
          </w:p>
        </w:tc>
        <w:tc>
          <w:tcPr>
            <w:tcW w:w="800" w:type="dxa"/>
            <w:vAlign w:val="bottom"/>
          </w:tcPr>
          <w:p>
            <w:pPr>
              <w:jc w:val="right"/>
              <w:spacing w:after="0"/>
              <w:rPr>
                <w:sz w:val="20"/>
                <w:szCs w:val="20"/>
                <w:color w:val="auto"/>
              </w:rPr>
            </w:pPr>
            <w:r>
              <w:rPr>
                <w:rFonts w:ascii="Arial" w:cs="Arial" w:eastAsia="Arial" w:hAnsi="Arial"/>
                <w:sz w:val="17"/>
                <w:szCs w:val="17"/>
                <w:color w:val="auto"/>
              </w:rPr>
              <w:t>27</w:t>
            </w:r>
          </w:p>
        </w:tc>
        <w:tc>
          <w:tcPr>
            <w:tcW w:w="600" w:type="dxa"/>
            <w:vAlign w:val="bottom"/>
          </w:tcPr>
          <w:p>
            <w:pPr>
              <w:jc w:val="right"/>
              <w:ind w:right="276"/>
              <w:spacing w:after="0"/>
              <w:rPr>
                <w:sz w:val="20"/>
                <w:szCs w:val="20"/>
                <w:color w:val="auto"/>
              </w:rPr>
            </w:pPr>
            <w:r>
              <w:rPr>
                <w:rFonts w:ascii="Arial" w:cs="Arial" w:eastAsia="Arial" w:hAnsi="Arial"/>
                <w:sz w:val="17"/>
                <w:szCs w:val="17"/>
                <w:color w:val="auto"/>
              </w:rPr>
              <w:t>(4)</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$3,281,795</w:t>
            </w:r>
          </w:p>
        </w:tc>
        <w:tc>
          <w:tcPr>
            <w:tcW w:w="740" w:type="dxa"/>
            <w:vAlign w:val="bottom"/>
          </w:tcPr>
          <w:p>
            <w:pPr>
              <w:jc w:val="center"/>
              <w:ind w:left="60"/>
              <w:spacing w:after="0"/>
              <w:rPr>
                <w:sz w:val="20"/>
                <w:szCs w:val="20"/>
                <w:color w:val="auto"/>
              </w:rPr>
            </w:pPr>
            <w:r>
              <w:rPr>
                <w:rFonts w:ascii="Arial" w:cs="Arial" w:eastAsia="Arial" w:hAnsi="Arial"/>
                <w:sz w:val="17"/>
                <w:szCs w:val="17"/>
                <w:color w:val="auto"/>
                <w:w w:val="93"/>
              </w:rPr>
              <w:t>—</w:t>
            </w:r>
          </w:p>
        </w:tc>
      </w:tr>
      <w:tr>
        <w:trPr>
          <w:trHeight w:val="240"/>
        </w:trPr>
        <w:tc>
          <w:tcPr>
            <w:tcW w:w="46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jc w:val="center"/>
              <w:ind w:left="60"/>
              <w:spacing w:after="0"/>
              <w:rPr>
                <w:sz w:val="20"/>
                <w:szCs w:val="20"/>
                <w:color w:val="auto"/>
              </w:rPr>
            </w:pPr>
            <w:r>
              <w:rPr>
                <w:rFonts w:ascii="Arial" w:cs="Arial" w:eastAsia="Arial" w:hAnsi="Arial"/>
                <w:sz w:val="17"/>
                <w:szCs w:val="17"/>
                <w:color w:val="auto"/>
                <w:w w:val="93"/>
              </w:rPr>
              <w:t>—</w:t>
            </w:r>
          </w:p>
        </w:tc>
      </w:tr>
      <w:tr>
        <w:trPr>
          <w:trHeight w:val="225"/>
        </w:trPr>
        <w:tc>
          <w:tcPr>
            <w:tcW w:w="4600" w:type="dxa"/>
            <w:vAlign w:val="bottom"/>
            <w:shd w:val="clear" w:color="auto" w:fill="E9E9E9"/>
          </w:tcPr>
          <w:p>
            <w:pPr>
              <w:spacing w:after="0"/>
              <w:rPr>
                <w:sz w:val="20"/>
                <w:szCs w:val="20"/>
                <w:color w:val="auto"/>
              </w:rPr>
            </w:pPr>
            <w:r>
              <w:rPr>
                <w:rFonts w:ascii="Arial" w:cs="Arial" w:eastAsia="Arial" w:hAnsi="Arial"/>
                <w:sz w:val="17"/>
                <w:szCs w:val="17"/>
                <w:color w:val="auto"/>
              </w:rPr>
              <w:t>B. T. Crutcher (1)</w:t>
            </w:r>
          </w:p>
        </w:tc>
        <w:tc>
          <w:tcPr>
            <w:tcW w:w="3540" w:type="dxa"/>
            <w:vAlign w:val="bottom"/>
            <w:shd w:val="clear" w:color="auto" w:fill="E9E9E9"/>
          </w:tcPr>
          <w:p>
            <w:pPr>
              <w:ind w:left="260"/>
              <w:spacing w:after="0"/>
              <w:rPr>
                <w:sz w:val="20"/>
                <w:szCs w:val="20"/>
                <w:color w:val="auto"/>
              </w:rPr>
            </w:pPr>
            <w:r>
              <w:rPr>
                <w:rFonts w:ascii="Arial" w:cs="Arial" w:eastAsia="Arial" w:hAnsi="Arial"/>
                <w:sz w:val="17"/>
                <w:szCs w:val="17"/>
                <w:color w:val="auto"/>
              </w:rPr>
              <w:t>TI Employees Pension Plan</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0.9</w:t>
            </w:r>
          </w:p>
        </w:tc>
        <w:tc>
          <w:tcPr>
            <w:tcW w:w="600" w:type="dxa"/>
            <w:vAlign w:val="bottom"/>
            <w:shd w:val="clear" w:color="auto" w:fill="E9E9E9"/>
          </w:tcPr>
          <w:p>
            <w:pPr>
              <w:jc w:val="right"/>
              <w:ind w:right="276"/>
              <w:spacing w:after="0"/>
              <w:rPr>
                <w:sz w:val="20"/>
                <w:szCs w:val="20"/>
                <w:color w:val="auto"/>
              </w:rPr>
            </w:pPr>
            <w:r>
              <w:rPr>
                <w:rFonts w:ascii="Arial" w:cs="Arial" w:eastAsia="Arial" w:hAnsi="Arial"/>
                <w:sz w:val="17"/>
                <w:szCs w:val="17"/>
                <w:color w:val="auto"/>
              </w:rPr>
              <w:t>(2)</w:t>
            </w:r>
          </w:p>
        </w:tc>
        <w:tc>
          <w:tcPr>
            <w:tcW w:w="300" w:type="dxa"/>
            <w:vAlign w:val="bottom"/>
            <w:shd w:val="clear" w:color="auto" w:fill="E9E9E9"/>
          </w:tcPr>
          <w:p>
            <w:pPr>
              <w:ind w:lef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60"/>
              <w:spacing w:after="0"/>
              <w:rPr>
                <w:sz w:val="20"/>
                <w:szCs w:val="20"/>
                <w:color w:val="auto"/>
              </w:rPr>
            </w:pPr>
            <w:r>
              <w:rPr>
                <w:rFonts w:ascii="Arial" w:cs="Arial" w:eastAsia="Arial" w:hAnsi="Arial"/>
                <w:sz w:val="17"/>
                <w:szCs w:val="17"/>
                <w:color w:val="auto"/>
              </w:rPr>
              <w:t>3,934</w:t>
            </w:r>
          </w:p>
        </w:tc>
        <w:tc>
          <w:tcPr>
            <w:tcW w:w="740" w:type="dxa"/>
            <w:vAlign w:val="bottom"/>
            <w:shd w:val="clear" w:color="auto" w:fill="E9E9E9"/>
          </w:tcPr>
          <w:p>
            <w:pPr>
              <w:jc w:val="center"/>
              <w:ind w:left="60"/>
              <w:spacing w:after="0"/>
              <w:rPr>
                <w:sz w:val="20"/>
                <w:szCs w:val="20"/>
                <w:color w:val="auto"/>
              </w:rPr>
            </w:pPr>
            <w:r>
              <w:rPr>
                <w:rFonts w:ascii="Arial" w:cs="Arial" w:eastAsia="Arial" w:hAnsi="Arial"/>
                <w:sz w:val="17"/>
                <w:szCs w:val="17"/>
                <w:color w:val="auto"/>
                <w:w w:val="93"/>
              </w:rPr>
              <w:t>—</w:t>
            </w:r>
          </w:p>
        </w:tc>
      </w:tr>
      <w:tr>
        <w:trPr>
          <w:trHeight w:val="247"/>
        </w:trPr>
        <w:tc>
          <w:tcPr>
            <w:tcW w:w="4600" w:type="dxa"/>
            <w:vAlign w:val="bottom"/>
            <w:shd w:val="clear" w:color="auto" w:fill="E9E9E9"/>
          </w:tcPr>
          <w:p>
            <w:pPr>
              <w:spacing w:after="0"/>
              <w:rPr>
                <w:sz w:val="21"/>
                <w:szCs w:val="21"/>
                <w:color w:val="auto"/>
              </w:rPr>
            </w:pPr>
          </w:p>
        </w:tc>
        <w:tc>
          <w:tcPr>
            <w:tcW w:w="3540" w:type="dxa"/>
            <w:vAlign w:val="bottom"/>
            <w:shd w:val="clear" w:color="auto" w:fill="E9E9E9"/>
          </w:tcPr>
          <w:p>
            <w:pPr>
              <w:spacing w:after="0"/>
              <w:rPr>
                <w:sz w:val="21"/>
                <w:szCs w:val="21"/>
                <w:color w:val="auto"/>
              </w:rPr>
            </w:pPr>
          </w:p>
        </w:tc>
        <w:tc>
          <w:tcPr>
            <w:tcW w:w="800" w:type="dxa"/>
            <w:vAlign w:val="bottom"/>
            <w:shd w:val="clear" w:color="auto" w:fill="E9E9E9"/>
          </w:tcPr>
          <w:p>
            <w:pPr>
              <w:spacing w:after="0"/>
              <w:rPr>
                <w:sz w:val="21"/>
                <w:szCs w:val="21"/>
                <w:color w:val="auto"/>
              </w:rPr>
            </w:pPr>
          </w:p>
        </w:tc>
        <w:tc>
          <w:tcPr>
            <w:tcW w:w="60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840" w:type="dxa"/>
            <w:vAlign w:val="bottom"/>
            <w:shd w:val="clear" w:color="auto" w:fill="E9E9E9"/>
          </w:tcPr>
          <w:p>
            <w:pPr>
              <w:spacing w:after="0"/>
              <w:rPr>
                <w:sz w:val="21"/>
                <w:szCs w:val="21"/>
                <w:color w:val="auto"/>
              </w:rPr>
            </w:pPr>
          </w:p>
        </w:tc>
        <w:tc>
          <w:tcPr>
            <w:tcW w:w="740" w:type="dxa"/>
            <w:vAlign w:val="bottom"/>
            <w:shd w:val="clear" w:color="auto" w:fill="E9E9E9"/>
          </w:tcPr>
          <w:p>
            <w:pPr>
              <w:jc w:val="center"/>
              <w:ind w:left="60"/>
              <w:spacing w:after="0"/>
              <w:rPr>
                <w:sz w:val="20"/>
                <w:szCs w:val="20"/>
                <w:color w:val="auto"/>
              </w:rPr>
            </w:pPr>
            <w:r>
              <w:rPr>
                <w:rFonts w:ascii="Arial" w:cs="Arial" w:eastAsia="Arial" w:hAnsi="Arial"/>
                <w:sz w:val="17"/>
                <w:szCs w:val="17"/>
                <w:color w:val="auto"/>
                <w:w w:val="93"/>
              </w:rPr>
              <w:t>—</w:t>
            </w:r>
          </w:p>
        </w:tc>
      </w:tr>
      <w:tr>
        <w:trPr>
          <w:trHeight w:val="218"/>
        </w:trPr>
        <w:tc>
          <w:tcPr>
            <w:tcW w:w="4600" w:type="dxa"/>
            <w:vAlign w:val="bottom"/>
          </w:tcPr>
          <w:p>
            <w:pPr>
              <w:spacing w:after="0"/>
              <w:rPr>
                <w:sz w:val="20"/>
                <w:szCs w:val="20"/>
                <w:color w:val="auto"/>
              </w:rPr>
            </w:pPr>
            <w:r>
              <w:rPr>
                <w:rFonts w:ascii="Arial" w:cs="Arial" w:eastAsia="Arial" w:hAnsi="Arial"/>
                <w:sz w:val="17"/>
                <w:szCs w:val="17"/>
                <w:color w:val="auto"/>
              </w:rPr>
              <w:t>R. G. Delagi</w:t>
            </w:r>
          </w:p>
        </w:tc>
        <w:tc>
          <w:tcPr>
            <w:tcW w:w="3540" w:type="dxa"/>
            <w:vAlign w:val="bottom"/>
          </w:tcPr>
          <w:p>
            <w:pPr>
              <w:ind w:left="260"/>
              <w:spacing w:after="0"/>
              <w:rPr>
                <w:sz w:val="20"/>
                <w:szCs w:val="20"/>
                <w:color w:val="auto"/>
              </w:rPr>
            </w:pPr>
            <w:r>
              <w:rPr>
                <w:rFonts w:ascii="Arial" w:cs="Arial" w:eastAsia="Arial" w:hAnsi="Arial"/>
                <w:sz w:val="17"/>
                <w:szCs w:val="17"/>
                <w:color w:val="auto"/>
              </w:rPr>
              <w:t>TI Employees Pension Plan</w:t>
            </w:r>
          </w:p>
        </w:tc>
        <w:tc>
          <w:tcPr>
            <w:tcW w:w="800" w:type="dxa"/>
            <w:vAlign w:val="bottom"/>
          </w:tcPr>
          <w:p>
            <w:pPr>
              <w:jc w:val="right"/>
              <w:spacing w:after="0"/>
              <w:rPr>
                <w:sz w:val="20"/>
                <w:szCs w:val="20"/>
                <w:color w:val="auto"/>
              </w:rPr>
            </w:pPr>
            <w:r>
              <w:rPr>
                <w:rFonts w:ascii="Arial" w:cs="Arial" w:eastAsia="Arial" w:hAnsi="Arial"/>
                <w:sz w:val="17"/>
                <w:szCs w:val="17"/>
                <w:color w:val="auto"/>
              </w:rPr>
              <w:t>27</w:t>
            </w:r>
          </w:p>
        </w:tc>
        <w:tc>
          <w:tcPr>
            <w:tcW w:w="600" w:type="dxa"/>
            <w:vAlign w:val="bottom"/>
          </w:tcPr>
          <w:p>
            <w:pPr>
              <w:jc w:val="right"/>
              <w:ind w:right="276"/>
              <w:spacing w:after="0"/>
              <w:rPr>
                <w:sz w:val="20"/>
                <w:szCs w:val="20"/>
                <w:color w:val="auto"/>
              </w:rPr>
            </w:pPr>
            <w:r>
              <w:rPr>
                <w:rFonts w:ascii="Arial" w:cs="Arial" w:eastAsia="Arial" w:hAnsi="Arial"/>
                <w:sz w:val="17"/>
                <w:szCs w:val="17"/>
                <w:color w:val="auto"/>
              </w:rPr>
              <w:t>(2)</w:t>
            </w:r>
          </w:p>
        </w:tc>
        <w:tc>
          <w:tcPr>
            <w:tcW w:w="300" w:type="dxa"/>
            <w:vAlign w:val="bottom"/>
          </w:tcPr>
          <w:p>
            <w:pPr>
              <w:ind w:left="16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60"/>
              <w:spacing w:after="0"/>
              <w:rPr>
                <w:sz w:val="20"/>
                <w:szCs w:val="20"/>
                <w:color w:val="auto"/>
              </w:rPr>
            </w:pPr>
            <w:r>
              <w:rPr>
                <w:rFonts w:ascii="Arial" w:cs="Arial" w:eastAsia="Arial" w:hAnsi="Arial"/>
                <w:sz w:val="17"/>
                <w:szCs w:val="17"/>
                <w:color w:val="auto"/>
              </w:rPr>
              <w:t>702,873</w:t>
            </w:r>
          </w:p>
        </w:tc>
        <w:tc>
          <w:tcPr>
            <w:tcW w:w="740" w:type="dxa"/>
            <w:vAlign w:val="bottom"/>
          </w:tcPr>
          <w:p>
            <w:pPr>
              <w:jc w:val="center"/>
              <w:ind w:left="60"/>
              <w:spacing w:after="0"/>
              <w:rPr>
                <w:sz w:val="20"/>
                <w:szCs w:val="20"/>
                <w:color w:val="auto"/>
              </w:rPr>
            </w:pPr>
            <w:r>
              <w:rPr>
                <w:rFonts w:ascii="Arial" w:cs="Arial" w:eastAsia="Arial" w:hAnsi="Arial"/>
                <w:sz w:val="17"/>
                <w:szCs w:val="17"/>
                <w:color w:val="auto"/>
                <w:w w:val="93"/>
              </w:rPr>
              <w:t>—</w:t>
            </w:r>
          </w:p>
        </w:tc>
      </w:tr>
      <w:tr>
        <w:trPr>
          <w:trHeight w:val="233"/>
        </w:trPr>
        <w:tc>
          <w:tcPr>
            <w:tcW w:w="4600" w:type="dxa"/>
            <w:vAlign w:val="bottom"/>
          </w:tcPr>
          <w:p>
            <w:pPr>
              <w:spacing w:after="0"/>
              <w:rPr>
                <w:sz w:val="20"/>
                <w:szCs w:val="20"/>
                <w:color w:val="auto"/>
              </w:rPr>
            </w:pPr>
          </w:p>
        </w:tc>
        <w:tc>
          <w:tcPr>
            <w:tcW w:w="3540" w:type="dxa"/>
            <w:vAlign w:val="bottom"/>
          </w:tcPr>
          <w:p>
            <w:pPr>
              <w:ind w:left="260"/>
              <w:spacing w:after="0"/>
              <w:rPr>
                <w:sz w:val="20"/>
                <w:szCs w:val="20"/>
                <w:color w:val="auto"/>
              </w:rPr>
            </w:pPr>
            <w:r>
              <w:rPr>
                <w:rFonts w:ascii="Arial" w:cs="Arial" w:eastAsia="Arial" w:hAnsi="Arial"/>
                <w:sz w:val="17"/>
                <w:szCs w:val="17"/>
                <w:color w:val="auto"/>
              </w:rPr>
              <w:t>TI Employees Non-Qualified Pension Plan</w:t>
            </w:r>
          </w:p>
        </w:tc>
        <w:tc>
          <w:tcPr>
            <w:tcW w:w="800" w:type="dxa"/>
            <w:vAlign w:val="bottom"/>
          </w:tcPr>
          <w:p>
            <w:pPr>
              <w:jc w:val="right"/>
              <w:spacing w:after="0"/>
              <w:rPr>
                <w:sz w:val="20"/>
                <w:szCs w:val="20"/>
                <w:color w:val="auto"/>
              </w:rPr>
            </w:pPr>
            <w:r>
              <w:rPr>
                <w:rFonts w:ascii="Arial" w:cs="Arial" w:eastAsia="Arial" w:hAnsi="Arial"/>
                <w:sz w:val="17"/>
                <w:szCs w:val="17"/>
                <w:color w:val="auto"/>
              </w:rPr>
              <w:t>19</w:t>
            </w:r>
          </w:p>
        </w:tc>
        <w:tc>
          <w:tcPr>
            <w:tcW w:w="600" w:type="dxa"/>
            <w:vAlign w:val="bottom"/>
          </w:tcPr>
          <w:p>
            <w:pPr>
              <w:jc w:val="right"/>
              <w:ind w:right="276"/>
              <w:spacing w:after="0"/>
              <w:rPr>
                <w:sz w:val="20"/>
                <w:szCs w:val="20"/>
                <w:color w:val="auto"/>
              </w:rPr>
            </w:pPr>
            <w:r>
              <w:rPr>
                <w:rFonts w:ascii="Arial" w:cs="Arial" w:eastAsia="Arial" w:hAnsi="Arial"/>
                <w:sz w:val="17"/>
                <w:szCs w:val="17"/>
                <w:color w:val="auto"/>
              </w:rPr>
              <w:t>(3)</w:t>
            </w:r>
          </w:p>
        </w:tc>
        <w:tc>
          <w:tcPr>
            <w:tcW w:w="300" w:type="dxa"/>
            <w:vAlign w:val="bottom"/>
          </w:tcPr>
          <w:p>
            <w:pPr>
              <w:ind w:left="16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60"/>
              <w:spacing w:after="0"/>
              <w:rPr>
                <w:sz w:val="20"/>
                <w:szCs w:val="20"/>
                <w:color w:val="auto"/>
              </w:rPr>
            </w:pPr>
            <w:r>
              <w:rPr>
                <w:rFonts w:ascii="Arial" w:cs="Arial" w:eastAsia="Arial" w:hAnsi="Arial"/>
                <w:sz w:val="17"/>
                <w:szCs w:val="17"/>
                <w:color w:val="auto"/>
              </w:rPr>
              <w:t>257,583</w:t>
            </w:r>
          </w:p>
        </w:tc>
        <w:tc>
          <w:tcPr>
            <w:tcW w:w="740" w:type="dxa"/>
            <w:vAlign w:val="bottom"/>
          </w:tcPr>
          <w:p>
            <w:pPr>
              <w:jc w:val="center"/>
              <w:ind w:left="60"/>
              <w:spacing w:after="0"/>
              <w:rPr>
                <w:sz w:val="20"/>
                <w:szCs w:val="20"/>
                <w:color w:val="auto"/>
              </w:rPr>
            </w:pPr>
            <w:r>
              <w:rPr>
                <w:rFonts w:ascii="Arial" w:cs="Arial" w:eastAsia="Arial" w:hAnsi="Arial"/>
                <w:sz w:val="17"/>
                <w:szCs w:val="17"/>
                <w:color w:val="auto"/>
                <w:w w:val="93"/>
              </w:rPr>
              <w:t>—</w:t>
            </w:r>
          </w:p>
        </w:tc>
      </w:tr>
      <w:tr>
        <w:trPr>
          <w:trHeight w:val="233"/>
        </w:trPr>
        <w:tc>
          <w:tcPr>
            <w:tcW w:w="4600" w:type="dxa"/>
            <w:vAlign w:val="bottom"/>
          </w:tcPr>
          <w:p>
            <w:pPr>
              <w:spacing w:after="0"/>
              <w:rPr>
                <w:sz w:val="20"/>
                <w:szCs w:val="20"/>
                <w:color w:val="auto"/>
              </w:rPr>
            </w:pPr>
          </w:p>
        </w:tc>
        <w:tc>
          <w:tcPr>
            <w:tcW w:w="3540" w:type="dxa"/>
            <w:vAlign w:val="bottom"/>
          </w:tcPr>
          <w:p>
            <w:pPr>
              <w:ind w:left="260"/>
              <w:spacing w:after="0"/>
              <w:rPr>
                <w:sz w:val="20"/>
                <w:szCs w:val="20"/>
                <w:color w:val="auto"/>
              </w:rPr>
            </w:pPr>
            <w:r>
              <w:rPr>
                <w:rFonts w:ascii="Arial" w:cs="Arial" w:eastAsia="Arial" w:hAnsi="Arial"/>
                <w:sz w:val="17"/>
                <w:szCs w:val="17"/>
                <w:color w:val="auto"/>
                <w:w w:val="98"/>
              </w:rPr>
              <w:t>TI Employees Non-Qualified Pension Plan II</w:t>
            </w:r>
          </w:p>
        </w:tc>
        <w:tc>
          <w:tcPr>
            <w:tcW w:w="800" w:type="dxa"/>
            <w:vAlign w:val="bottom"/>
          </w:tcPr>
          <w:p>
            <w:pPr>
              <w:jc w:val="right"/>
              <w:spacing w:after="0"/>
              <w:rPr>
                <w:sz w:val="20"/>
                <w:szCs w:val="20"/>
                <w:color w:val="auto"/>
              </w:rPr>
            </w:pPr>
            <w:r>
              <w:rPr>
                <w:rFonts w:ascii="Arial" w:cs="Arial" w:eastAsia="Arial" w:hAnsi="Arial"/>
                <w:sz w:val="17"/>
                <w:szCs w:val="17"/>
                <w:color w:val="auto"/>
              </w:rPr>
              <w:t>27</w:t>
            </w:r>
          </w:p>
        </w:tc>
        <w:tc>
          <w:tcPr>
            <w:tcW w:w="600" w:type="dxa"/>
            <w:vAlign w:val="bottom"/>
          </w:tcPr>
          <w:p>
            <w:pPr>
              <w:jc w:val="right"/>
              <w:ind w:right="276"/>
              <w:spacing w:after="0"/>
              <w:rPr>
                <w:sz w:val="20"/>
                <w:szCs w:val="20"/>
                <w:color w:val="auto"/>
              </w:rPr>
            </w:pPr>
            <w:r>
              <w:rPr>
                <w:rFonts w:ascii="Arial" w:cs="Arial" w:eastAsia="Arial" w:hAnsi="Arial"/>
                <w:sz w:val="17"/>
                <w:szCs w:val="17"/>
                <w:color w:val="auto"/>
              </w:rPr>
              <w:t>(4)</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$2,441,585</w:t>
            </w:r>
          </w:p>
        </w:tc>
        <w:tc>
          <w:tcPr>
            <w:tcW w:w="740" w:type="dxa"/>
            <w:vAlign w:val="bottom"/>
          </w:tcPr>
          <w:p>
            <w:pPr>
              <w:jc w:val="center"/>
              <w:ind w:left="60"/>
              <w:spacing w:after="0"/>
              <w:rPr>
                <w:sz w:val="20"/>
                <w:szCs w:val="20"/>
                <w:color w:val="auto"/>
              </w:rPr>
            </w:pPr>
            <w:r>
              <w:rPr>
                <w:rFonts w:ascii="Arial" w:cs="Arial" w:eastAsia="Arial" w:hAnsi="Arial"/>
                <w:sz w:val="17"/>
                <w:szCs w:val="17"/>
                <w:color w:val="auto"/>
                <w:w w:val="93"/>
              </w:rPr>
              <w:t>—</w:t>
            </w:r>
          </w:p>
        </w:tc>
      </w:tr>
      <w:tr>
        <w:trPr>
          <w:trHeight w:val="240"/>
        </w:trPr>
        <w:tc>
          <w:tcPr>
            <w:tcW w:w="46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jc w:val="center"/>
              <w:ind w:left="60"/>
              <w:spacing w:after="0"/>
              <w:rPr>
                <w:sz w:val="20"/>
                <w:szCs w:val="20"/>
                <w:color w:val="auto"/>
              </w:rPr>
            </w:pPr>
            <w:r>
              <w:rPr>
                <w:rFonts w:ascii="Arial" w:cs="Arial" w:eastAsia="Arial" w:hAnsi="Arial"/>
                <w:sz w:val="17"/>
                <w:szCs w:val="17"/>
                <w:color w:val="auto"/>
                <w:w w:val="93"/>
              </w:rPr>
              <w:t>—</w:t>
            </w:r>
          </w:p>
        </w:tc>
      </w:tr>
      <w:tr>
        <w:trPr>
          <w:trHeight w:val="225"/>
        </w:trPr>
        <w:tc>
          <w:tcPr>
            <w:tcW w:w="4600" w:type="dxa"/>
            <w:vAlign w:val="bottom"/>
            <w:shd w:val="clear" w:color="auto" w:fill="E9E9E9"/>
          </w:tcPr>
          <w:p>
            <w:pPr>
              <w:spacing w:after="0"/>
              <w:rPr>
                <w:sz w:val="20"/>
                <w:szCs w:val="20"/>
                <w:color w:val="auto"/>
              </w:rPr>
            </w:pPr>
            <w:r>
              <w:rPr>
                <w:rFonts w:ascii="Arial" w:cs="Arial" w:eastAsia="Arial" w:hAnsi="Arial"/>
                <w:sz w:val="17"/>
                <w:szCs w:val="17"/>
                <w:color w:val="auto"/>
              </w:rPr>
              <w:t>K. J. Ritchie</w:t>
            </w:r>
          </w:p>
        </w:tc>
        <w:tc>
          <w:tcPr>
            <w:tcW w:w="3540" w:type="dxa"/>
            <w:vAlign w:val="bottom"/>
            <w:shd w:val="clear" w:color="auto" w:fill="E9E9E9"/>
          </w:tcPr>
          <w:p>
            <w:pPr>
              <w:ind w:left="260"/>
              <w:spacing w:after="0"/>
              <w:rPr>
                <w:sz w:val="20"/>
                <w:szCs w:val="20"/>
                <w:color w:val="auto"/>
              </w:rPr>
            </w:pPr>
            <w:r>
              <w:rPr>
                <w:rFonts w:ascii="Arial" w:cs="Arial" w:eastAsia="Arial" w:hAnsi="Arial"/>
                <w:sz w:val="17"/>
                <w:szCs w:val="17"/>
                <w:color w:val="auto"/>
              </w:rPr>
              <w:t>TI Employees Pension Plan</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33</w:t>
            </w:r>
          </w:p>
        </w:tc>
        <w:tc>
          <w:tcPr>
            <w:tcW w:w="600" w:type="dxa"/>
            <w:vAlign w:val="bottom"/>
            <w:shd w:val="clear" w:color="auto" w:fill="E9E9E9"/>
          </w:tcPr>
          <w:p>
            <w:pPr>
              <w:jc w:val="right"/>
              <w:ind w:right="276"/>
              <w:spacing w:after="0"/>
              <w:rPr>
                <w:sz w:val="20"/>
                <w:szCs w:val="20"/>
                <w:color w:val="auto"/>
              </w:rPr>
            </w:pPr>
            <w:r>
              <w:rPr>
                <w:rFonts w:ascii="Arial" w:cs="Arial" w:eastAsia="Arial" w:hAnsi="Arial"/>
                <w:sz w:val="17"/>
                <w:szCs w:val="17"/>
                <w:color w:val="auto"/>
              </w:rPr>
              <w:t>(2)</w:t>
            </w:r>
          </w:p>
        </w:tc>
        <w:tc>
          <w:tcPr>
            <w:tcW w:w="1140" w:type="dxa"/>
            <w:vAlign w:val="bottom"/>
            <w:gridSpan w:val="2"/>
            <w:shd w:val="clear" w:color="auto" w:fill="E9E9E9"/>
          </w:tcPr>
          <w:p>
            <w:pPr>
              <w:jc w:val="right"/>
              <w:ind w:right="60"/>
              <w:spacing w:after="0"/>
              <w:rPr>
                <w:sz w:val="20"/>
                <w:szCs w:val="20"/>
                <w:color w:val="auto"/>
              </w:rPr>
            </w:pPr>
            <w:r>
              <w:rPr>
                <w:rFonts w:ascii="Arial" w:cs="Arial" w:eastAsia="Arial" w:hAnsi="Arial"/>
                <w:sz w:val="17"/>
                <w:szCs w:val="17"/>
                <w:color w:val="auto"/>
              </w:rPr>
              <w:t>$1,149,329</w:t>
            </w:r>
          </w:p>
        </w:tc>
        <w:tc>
          <w:tcPr>
            <w:tcW w:w="740" w:type="dxa"/>
            <w:vAlign w:val="bottom"/>
            <w:shd w:val="clear" w:color="auto" w:fill="E9E9E9"/>
          </w:tcPr>
          <w:p>
            <w:pPr>
              <w:jc w:val="center"/>
              <w:ind w:left="60"/>
              <w:spacing w:after="0"/>
              <w:rPr>
                <w:sz w:val="20"/>
                <w:szCs w:val="20"/>
                <w:color w:val="auto"/>
              </w:rPr>
            </w:pPr>
            <w:r>
              <w:rPr>
                <w:rFonts w:ascii="Arial" w:cs="Arial" w:eastAsia="Arial" w:hAnsi="Arial"/>
                <w:sz w:val="17"/>
                <w:szCs w:val="17"/>
                <w:color w:val="auto"/>
                <w:w w:val="93"/>
              </w:rPr>
              <w:t>—</w:t>
            </w:r>
          </w:p>
        </w:tc>
      </w:tr>
      <w:tr>
        <w:trPr>
          <w:trHeight w:val="233"/>
        </w:trPr>
        <w:tc>
          <w:tcPr>
            <w:tcW w:w="4600" w:type="dxa"/>
            <w:vAlign w:val="bottom"/>
            <w:shd w:val="clear" w:color="auto" w:fill="E9E9E9"/>
          </w:tcPr>
          <w:p>
            <w:pPr>
              <w:spacing w:after="0"/>
              <w:rPr>
                <w:sz w:val="20"/>
                <w:szCs w:val="20"/>
                <w:color w:val="auto"/>
              </w:rPr>
            </w:pPr>
          </w:p>
        </w:tc>
        <w:tc>
          <w:tcPr>
            <w:tcW w:w="3540" w:type="dxa"/>
            <w:vAlign w:val="bottom"/>
            <w:shd w:val="clear" w:color="auto" w:fill="E9E9E9"/>
          </w:tcPr>
          <w:p>
            <w:pPr>
              <w:ind w:left="260"/>
              <w:spacing w:after="0"/>
              <w:rPr>
                <w:sz w:val="20"/>
                <w:szCs w:val="20"/>
                <w:color w:val="auto"/>
              </w:rPr>
            </w:pPr>
            <w:r>
              <w:rPr>
                <w:rFonts w:ascii="Arial" w:cs="Arial" w:eastAsia="Arial" w:hAnsi="Arial"/>
                <w:sz w:val="17"/>
                <w:szCs w:val="17"/>
                <w:color w:val="auto"/>
              </w:rPr>
              <w:t>TI Employees Non-Qualified Pension Plan</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25</w:t>
            </w:r>
          </w:p>
        </w:tc>
        <w:tc>
          <w:tcPr>
            <w:tcW w:w="600" w:type="dxa"/>
            <w:vAlign w:val="bottom"/>
            <w:shd w:val="clear" w:color="auto" w:fill="E9E9E9"/>
          </w:tcPr>
          <w:p>
            <w:pPr>
              <w:jc w:val="right"/>
              <w:ind w:right="276"/>
              <w:spacing w:after="0"/>
              <w:rPr>
                <w:sz w:val="20"/>
                <w:szCs w:val="20"/>
                <w:color w:val="auto"/>
              </w:rPr>
            </w:pPr>
            <w:r>
              <w:rPr>
                <w:rFonts w:ascii="Arial" w:cs="Arial" w:eastAsia="Arial" w:hAnsi="Arial"/>
                <w:sz w:val="17"/>
                <w:szCs w:val="17"/>
                <w:color w:val="auto"/>
              </w:rPr>
              <w:t>(3)</w:t>
            </w:r>
          </w:p>
        </w:tc>
        <w:tc>
          <w:tcPr>
            <w:tcW w:w="300" w:type="dxa"/>
            <w:vAlign w:val="bottom"/>
            <w:shd w:val="clear" w:color="auto" w:fill="E9E9E9"/>
          </w:tcPr>
          <w:p>
            <w:pPr>
              <w:ind w:lef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60"/>
              <w:spacing w:after="0"/>
              <w:rPr>
                <w:sz w:val="20"/>
                <w:szCs w:val="20"/>
                <w:color w:val="auto"/>
              </w:rPr>
            </w:pPr>
            <w:r>
              <w:rPr>
                <w:rFonts w:ascii="Arial" w:cs="Arial" w:eastAsia="Arial" w:hAnsi="Arial"/>
                <w:sz w:val="17"/>
                <w:szCs w:val="17"/>
                <w:color w:val="auto"/>
              </w:rPr>
              <w:t>406,793</w:t>
            </w:r>
          </w:p>
        </w:tc>
        <w:tc>
          <w:tcPr>
            <w:tcW w:w="740" w:type="dxa"/>
            <w:vAlign w:val="bottom"/>
            <w:shd w:val="clear" w:color="auto" w:fill="E9E9E9"/>
          </w:tcPr>
          <w:p>
            <w:pPr>
              <w:jc w:val="center"/>
              <w:ind w:left="60"/>
              <w:spacing w:after="0"/>
              <w:rPr>
                <w:sz w:val="20"/>
                <w:szCs w:val="20"/>
                <w:color w:val="auto"/>
              </w:rPr>
            </w:pPr>
            <w:r>
              <w:rPr>
                <w:rFonts w:ascii="Arial" w:cs="Arial" w:eastAsia="Arial" w:hAnsi="Arial"/>
                <w:sz w:val="17"/>
                <w:szCs w:val="17"/>
                <w:color w:val="auto"/>
                <w:w w:val="93"/>
              </w:rPr>
              <w:t>—</w:t>
            </w:r>
          </w:p>
        </w:tc>
      </w:tr>
      <w:tr>
        <w:trPr>
          <w:trHeight w:val="247"/>
        </w:trPr>
        <w:tc>
          <w:tcPr>
            <w:tcW w:w="4600" w:type="dxa"/>
            <w:vAlign w:val="bottom"/>
            <w:shd w:val="clear" w:color="auto" w:fill="E9E9E9"/>
          </w:tcPr>
          <w:p>
            <w:pPr>
              <w:spacing w:after="0"/>
              <w:rPr>
                <w:sz w:val="21"/>
                <w:szCs w:val="21"/>
                <w:color w:val="auto"/>
              </w:rPr>
            </w:pPr>
          </w:p>
        </w:tc>
        <w:tc>
          <w:tcPr>
            <w:tcW w:w="3540" w:type="dxa"/>
            <w:vAlign w:val="bottom"/>
            <w:shd w:val="clear" w:color="auto" w:fill="E9E9E9"/>
          </w:tcPr>
          <w:p>
            <w:pPr>
              <w:ind w:left="260"/>
              <w:spacing w:after="0"/>
              <w:rPr>
                <w:sz w:val="20"/>
                <w:szCs w:val="20"/>
                <w:color w:val="auto"/>
              </w:rPr>
            </w:pPr>
            <w:r>
              <w:rPr>
                <w:rFonts w:ascii="Arial" w:cs="Arial" w:eastAsia="Arial" w:hAnsi="Arial"/>
                <w:sz w:val="17"/>
                <w:szCs w:val="17"/>
                <w:color w:val="auto"/>
                <w:w w:val="98"/>
              </w:rPr>
              <w:t>TI Employees Non-Qualified Pension Plan II</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33</w:t>
            </w:r>
          </w:p>
        </w:tc>
        <w:tc>
          <w:tcPr>
            <w:tcW w:w="600" w:type="dxa"/>
            <w:vAlign w:val="bottom"/>
            <w:shd w:val="clear" w:color="auto" w:fill="E9E9E9"/>
          </w:tcPr>
          <w:p>
            <w:pPr>
              <w:jc w:val="right"/>
              <w:ind w:right="276"/>
              <w:spacing w:after="0"/>
              <w:rPr>
                <w:sz w:val="20"/>
                <w:szCs w:val="20"/>
                <w:color w:val="auto"/>
              </w:rPr>
            </w:pPr>
            <w:r>
              <w:rPr>
                <w:rFonts w:ascii="Arial" w:cs="Arial" w:eastAsia="Arial" w:hAnsi="Arial"/>
                <w:sz w:val="17"/>
                <w:szCs w:val="17"/>
                <w:color w:val="auto"/>
              </w:rPr>
              <w:t>(4)</w:t>
            </w:r>
          </w:p>
        </w:tc>
        <w:tc>
          <w:tcPr>
            <w:tcW w:w="1140" w:type="dxa"/>
            <w:vAlign w:val="bottom"/>
            <w:gridSpan w:val="2"/>
            <w:shd w:val="clear" w:color="auto" w:fill="E9E9E9"/>
          </w:tcPr>
          <w:p>
            <w:pPr>
              <w:jc w:val="right"/>
              <w:ind w:right="60"/>
              <w:spacing w:after="0"/>
              <w:rPr>
                <w:sz w:val="20"/>
                <w:szCs w:val="20"/>
                <w:color w:val="auto"/>
              </w:rPr>
            </w:pPr>
            <w:r>
              <w:rPr>
                <w:rFonts w:ascii="Arial" w:cs="Arial" w:eastAsia="Arial" w:hAnsi="Arial"/>
                <w:sz w:val="17"/>
                <w:szCs w:val="17"/>
                <w:color w:val="auto"/>
              </w:rPr>
              <w:t>$4,332,417</w:t>
            </w:r>
          </w:p>
        </w:tc>
        <w:tc>
          <w:tcPr>
            <w:tcW w:w="740" w:type="dxa"/>
            <w:vAlign w:val="bottom"/>
            <w:shd w:val="clear" w:color="auto" w:fill="E9E9E9"/>
          </w:tcPr>
          <w:p>
            <w:pPr>
              <w:jc w:val="center"/>
              <w:ind w:left="60"/>
              <w:spacing w:after="0"/>
              <w:rPr>
                <w:sz w:val="20"/>
                <w:szCs w:val="20"/>
                <w:color w:val="auto"/>
              </w:rPr>
            </w:pPr>
            <w:r>
              <w:rPr>
                <w:rFonts w:ascii="Arial" w:cs="Arial" w:eastAsia="Arial" w:hAnsi="Arial"/>
                <w:sz w:val="17"/>
                <w:szCs w:val="17"/>
                <w:color w:val="auto"/>
                <w:w w:val="93"/>
              </w:rPr>
              <w:t>—</w:t>
            </w:r>
          </w:p>
        </w:tc>
      </w:tr>
    </w:tbl>
    <w:p>
      <w:pPr>
        <w:spacing w:after="0" w:line="236" w:lineRule="exact"/>
        <w:rPr>
          <w:sz w:val="20"/>
          <w:szCs w:val="20"/>
          <w:color w:val="auto"/>
        </w:rPr>
      </w:pPr>
    </w:p>
    <w:p>
      <w:pPr>
        <w:ind w:left="460" w:right="120" w:hanging="457"/>
        <w:spacing w:after="0" w:line="241"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1997, TI’s U.S. employees were given the choice between continuing to participate in the defined benefit pension plans or participating in a new enhanced defined contribution retirement plan. Messrs. Templeton and Crutcher chose to participate in the defined contribution plan. Accordingly, their accrued pension benefits under the qualified and non-qualified plans were frozen</w:t>
      </w:r>
    </w:p>
    <w:p>
      <w:pPr>
        <w:sectPr>
          <w:pgSz w:w="11900" w:h="16838" w:orient="portrait"/>
          <w:cols w:equalWidth="0" w:num="1">
            <w:col w:w="11420"/>
          </w:cols>
          <w:pgMar w:left="240" w:top="582" w:right="239" w:bottom="1440" w:gutter="0" w:footer="0" w:header="0"/>
        </w:sectPr>
      </w:pPr>
    </w:p>
    <w:p>
      <w:pPr>
        <w:spacing w:after="0" w:line="244" w:lineRule="exact"/>
        <w:rPr>
          <w:sz w:val="20"/>
          <w:szCs w:val="20"/>
          <w:color w:val="auto"/>
        </w:rPr>
      </w:pPr>
    </w:p>
    <w:p>
      <w:pPr>
        <w:spacing w:after="0"/>
        <w:tabs>
          <w:tab w:leader="none" w:pos="10000" w:val="left"/>
        </w:tabs>
        <w:rPr>
          <w:sz w:val="20"/>
          <w:szCs w:val="20"/>
          <w:color w:val="auto"/>
        </w:rPr>
      </w:pPr>
      <w:r>
        <w:rPr>
          <w:rFonts w:ascii="Arial" w:cs="Arial" w:eastAsia="Arial" w:hAnsi="Arial"/>
          <w:sz w:val="13"/>
          <w:szCs w:val="13"/>
          <w:b w:val="1"/>
          <w:bCs w:val="1"/>
          <w:color w:val="808285"/>
        </w:rPr>
        <w:t>86 •  2013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type w:val="continuous"/>
        </w:sectPr>
      </w:pPr>
    </w:p>
    <w:bookmarkStart w:id="33" w:name="page34"/>
    <w:bookmarkEnd w:id="33"/>
    <w:p>
      <w:pPr>
        <w:ind w:left="460" w:right="140"/>
        <w:spacing w:after="0" w:line="245" w:lineRule="auto"/>
        <w:rPr>
          <w:sz w:val="20"/>
          <w:szCs w:val="20"/>
          <w:color w:val="auto"/>
        </w:rPr>
      </w:pPr>
      <w:r>
        <w:rPr>
          <w:rFonts w:ascii="Arial" w:cs="Arial" w:eastAsia="Arial" w:hAnsi="Arial"/>
          <w:sz w:val="17"/>
          <w:szCs w:val="17"/>
          <w:color w:val="auto"/>
        </w:rPr>
        <w:t>(i.e., they will experience no increase attributable to years of service or change in eligible earnings) as of December 31, 1997. Contributions to the defined contribution plan for Mr. Templeton’s and Mr. Crutcher’s benefits are included in the 2012 summary compensation table.</w:t>
      </w:r>
    </w:p>
    <w:p>
      <w:pPr>
        <w:spacing w:after="0" w:line="221" w:lineRule="exact"/>
        <w:rPr>
          <w:sz w:val="20"/>
          <w:szCs w:val="20"/>
          <w:color w:val="auto"/>
        </w:rPr>
      </w:pPr>
    </w:p>
    <w:p>
      <w:pPr>
        <w:ind w:left="460" w:right="20" w:hanging="457"/>
        <w:spacing w:after="0" w:line="260"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 each of the named executive officers, credited service began on the date the officer became eligible to participate in the plan. For Mr. Crutcher, eligibility to participate began on the first day of the month following completion of one year of employment. For each of the other named executive officers, eligibility to participate began on the earlier of 18 months of employment, or January 1 following the completion of one year of employment. Accordingly, each of the named executive officers has been employed by TI for longer than the years of credited service shown above.</w:t>
      </w:r>
    </w:p>
    <w:p>
      <w:pPr>
        <w:spacing w:after="0" w:line="210" w:lineRule="exact"/>
        <w:rPr>
          <w:rFonts w:ascii="Arial" w:cs="Arial" w:eastAsia="Arial" w:hAnsi="Arial"/>
          <w:sz w:val="16"/>
          <w:szCs w:val="16"/>
          <w:color w:val="auto"/>
        </w:rPr>
      </w:pPr>
    </w:p>
    <w:p>
      <w:pPr>
        <w:ind w:left="460" w:right="280" w:hanging="457"/>
        <w:spacing w:after="0" w:line="245"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Credited service began on the date the named executive officer became eligible to participate in the TI Employees Pension Plan as described in note 2 above and ceased at December 31, 2004.</w:t>
      </w:r>
    </w:p>
    <w:p>
      <w:pPr>
        <w:spacing w:after="0" w:line="221" w:lineRule="exact"/>
        <w:rPr>
          <w:rFonts w:ascii="Arial" w:cs="Arial" w:eastAsia="Arial" w:hAnsi="Arial"/>
          <w:sz w:val="17"/>
          <w:szCs w:val="17"/>
          <w:color w:val="auto"/>
        </w:rPr>
      </w:pPr>
    </w:p>
    <w:p>
      <w:pPr>
        <w:ind w:left="460" w:right="280" w:hanging="457"/>
        <w:spacing w:after="0" w:line="245"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Credited service began on the date the named executive officer became eligible to participate in the TI Employees Pension Plan as described in note 2 above.</w:t>
      </w:r>
    </w:p>
    <w:p>
      <w:pPr>
        <w:spacing w:after="0" w:line="221" w:lineRule="exact"/>
        <w:rPr>
          <w:rFonts w:ascii="Arial" w:cs="Arial" w:eastAsia="Arial" w:hAnsi="Arial"/>
          <w:sz w:val="17"/>
          <w:szCs w:val="17"/>
          <w:color w:val="auto"/>
        </w:rPr>
      </w:pPr>
    </w:p>
    <w:p>
      <w:pPr>
        <w:ind w:left="460" w:right="20" w:hanging="457"/>
        <w:spacing w:after="0" w:line="256"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assumptions and valuation methods used to calculate the present value of the accumulated pension benefits shown are the same as those used by TI for financial reporting purposes and are described in note 11 in Exhibit 13 to TI’s annual report on Form 10-K for the year ended December 31, 2012, except that a named executive officer’s retirement is assumed (in accordance with SEC rules) for purposes of this table to occur at age 65 and no assumption for termination prior to that date is used. The amount of the lump-sum benefit earned as of December 31, 2012, is determined using either (i) the Pension Benefit Guaranty Corporation (PBGC) interest assumption of 2.50 percent or (ii) the Pension Protection Act of 2006 (PPA) corporate bond yield interest assumption of 4.16 percent for the TI Employees Pension Plan and 4.17 percent for the TI Employees Non-Qualified Pension Plans, whichever rate produces the higher lump sum amount. A discount rate assumption of 4.16 percent for the TI Employees Pension Plan and 4.17 percent for the non-qualified pension plans was used to determine the present value of each lump sum.</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TI Employees Pension Plan</w:t>
      </w:r>
    </w:p>
    <w:p>
      <w:pPr>
        <w:spacing w:after="0" w:line="237" w:lineRule="auto"/>
        <w:rPr>
          <w:sz w:val="20"/>
          <w:szCs w:val="20"/>
          <w:color w:val="auto"/>
        </w:rPr>
      </w:pPr>
      <w:r>
        <w:rPr>
          <w:rFonts w:ascii="Arial" w:cs="Arial" w:eastAsia="Arial" w:hAnsi="Arial"/>
          <w:sz w:val="17"/>
          <w:szCs w:val="17"/>
          <w:color w:val="auto"/>
        </w:rPr>
        <w:t>The TI Employees Pension Plan is a qualified defined benefit pension plan. Please see page 78 for a discussion of the origin and purpose of the plan.</w:t>
      </w:r>
    </w:p>
    <w:p>
      <w:pPr>
        <w:spacing w:after="0"/>
        <w:rPr>
          <w:sz w:val="20"/>
          <w:szCs w:val="20"/>
          <w:color w:val="auto"/>
        </w:rPr>
      </w:pPr>
      <w:r>
        <w:rPr>
          <w:rFonts w:ascii="Arial" w:cs="Arial" w:eastAsia="Arial" w:hAnsi="Arial"/>
          <w:sz w:val="17"/>
          <w:szCs w:val="17"/>
          <w:color w:val="auto"/>
        </w:rPr>
        <w:t>Employees who joined the U.S. payroll after November 30, 1997, are not eligible to participate in this plan.</w:t>
      </w:r>
    </w:p>
    <w:p>
      <w:pPr>
        <w:ind w:right="240" w:firstLine="233"/>
        <w:spacing w:after="0" w:line="237" w:lineRule="auto"/>
        <w:rPr>
          <w:sz w:val="20"/>
          <w:szCs w:val="20"/>
          <w:color w:val="auto"/>
        </w:rPr>
      </w:pPr>
      <w:r>
        <w:rPr>
          <w:rFonts w:ascii="Arial" w:cs="Arial" w:eastAsia="Arial" w:hAnsi="Arial"/>
          <w:sz w:val="17"/>
          <w:szCs w:val="17"/>
          <w:color w:val="auto"/>
        </w:rPr>
        <w:t>A plan participant is eligible for normal retirement under the terms of the plan if he is at least 65 years of age with one year of credited service. A participant is eligible for early retirement if he is at least 55 years of age with 20 years of employment or 60 years of age with five years of employment. As of December 31, 2012, Mr. Ritchie was the only named executive officer eligible for early or normal retirement.</w:t>
      </w:r>
    </w:p>
    <w:p>
      <w:pPr>
        <w:spacing w:after="0" w:line="2" w:lineRule="exact"/>
        <w:rPr>
          <w:sz w:val="20"/>
          <w:szCs w:val="20"/>
          <w:color w:val="auto"/>
        </w:rPr>
      </w:pPr>
    </w:p>
    <w:p>
      <w:pPr>
        <w:ind w:right="20" w:firstLine="233"/>
        <w:spacing w:after="0" w:line="237" w:lineRule="auto"/>
        <w:rPr>
          <w:sz w:val="20"/>
          <w:szCs w:val="20"/>
          <w:color w:val="auto"/>
        </w:rPr>
      </w:pPr>
      <w:r>
        <w:rPr>
          <w:rFonts w:ascii="Arial" w:cs="Arial" w:eastAsia="Arial" w:hAnsi="Arial"/>
          <w:sz w:val="17"/>
          <w:szCs w:val="17"/>
          <w:color w:val="auto"/>
        </w:rPr>
        <w:t>A participant may request payment of his accrued benefit at termination or any time thereafter. Participants may choose a lump sum payment or one of six forms of annuity. In order of largest to smallest periodic payment, the forms of annuity are: (i) single life annuity, (ii) 5-year certain and life annuity, (iii) 10-year certain and life annuity, (iv) qualified joint and 50 percent survivor annuity, (v) qualified joint and 75 percent survivor annuity, and (vi) qualified joint and 100 percent survivor annuity. If the participant does not request payment, he will begin to receive his benefit in April of the year after he reaches the age of 70½ in the form of annuity required under the IRC.</w:t>
      </w:r>
    </w:p>
    <w:p>
      <w:pPr>
        <w:spacing w:after="0" w:line="4" w:lineRule="exact"/>
        <w:rPr>
          <w:sz w:val="20"/>
          <w:szCs w:val="20"/>
          <w:color w:val="auto"/>
        </w:rPr>
      </w:pPr>
    </w:p>
    <w:p>
      <w:pPr>
        <w:ind w:right="60" w:firstLine="233"/>
        <w:spacing w:after="0" w:line="237" w:lineRule="auto"/>
        <w:rPr>
          <w:sz w:val="20"/>
          <w:szCs w:val="20"/>
          <w:color w:val="auto"/>
        </w:rPr>
      </w:pPr>
      <w:r>
        <w:rPr>
          <w:rFonts w:ascii="Arial" w:cs="Arial" w:eastAsia="Arial" w:hAnsi="Arial"/>
          <w:sz w:val="17"/>
          <w:szCs w:val="17"/>
          <w:color w:val="auto"/>
        </w:rPr>
        <w:t>The pension formula for the qualified plan is intended to provide a participant with an annual retirement benefit equal to 1.5 percent multiplied by the product of (i) years of credited service and (ii) the average of the five highest consecutive years of his base salary plus bonus up to a limit imposed by the IRS, less a percentage (based on his year of birth, when he elects to retire and his years of service with TI) of the amount of compensation on which his Social Security benefit is based.</w:t>
      </w:r>
    </w:p>
    <w:p>
      <w:pPr>
        <w:spacing w:after="0" w:line="3" w:lineRule="exact"/>
        <w:rPr>
          <w:sz w:val="20"/>
          <w:szCs w:val="20"/>
          <w:color w:val="auto"/>
        </w:rPr>
      </w:pPr>
    </w:p>
    <w:p>
      <w:pPr>
        <w:ind w:right="360" w:firstLine="233"/>
        <w:spacing w:after="0" w:line="237" w:lineRule="auto"/>
        <w:rPr>
          <w:sz w:val="20"/>
          <w:szCs w:val="20"/>
          <w:color w:val="auto"/>
        </w:rPr>
      </w:pPr>
      <w:r>
        <w:rPr>
          <w:rFonts w:ascii="Arial" w:cs="Arial" w:eastAsia="Arial" w:hAnsi="Arial"/>
          <w:sz w:val="17"/>
          <w:szCs w:val="17"/>
          <w:color w:val="auto"/>
        </w:rPr>
        <w:t>If an individual takes early retirement and chooses to begin receiving his annual retirement benefit at that time, such benefit is reduced by an early retirement factor. As a result, the annual benefit is lower than the one he would have received at age 65.</w:t>
      </w:r>
    </w:p>
    <w:p>
      <w:pPr>
        <w:spacing w:after="0" w:line="2" w:lineRule="exact"/>
        <w:rPr>
          <w:sz w:val="20"/>
          <w:szCs w:val="20"/>
          <w:color w:val="auto"/>
        </w:rPr>
      </w:pPr>
    </w:p>
    <w:p>
      <w:pPr>
        <w:ind w:right="120" w:firstLine="233"/>
        <w:spacing w:after="0" w:line="237" w:lineRule="auto"/>
        <w:rPr>
          <w:sz w:val="20"/>
          <w:szCs w:val="20"/>
          <w:color w:val="auto"/>
        </w:rPr>
      </w:pPr>
      <w:r>
        <w:rPr>
          <w:rFonts w:ascii="Arial" w:cs="Arial" w:eastAsia="Arial" w:hAnsi="Arial"/>
          <w:sz w:val="17"/>
          <w:szCs w:val="17"/>
          <w:color w:val="auto"/>
        </w:rPr>
        <w:t>If the participant’s employment terminates due to disability, the participant may choose to receive his accrued benefit at any time prior to age 65. Alternatively, the participant may choose to defer receipt of the accrued benefit until reaching age 65 and then take a disability benefit. The disability benefit paid at age 65 is based on salary and bonus, years of credited service the participant would have accrued to age 65 had he not become disabled and disabled status.</w:t>
      </w:r>
    </w:p>
    <w:p>
      <w:pPr>
        <w:spacing w:after="0" w:line="3" w:lineRule="exact"/>
        <w:rPr>
          <w:sz w:val="20"/>
          <w:szCs w:val="20"/>
          <w:color w:val="auto"/>
        </w:rPr>
      </w:pPr>
    </w:p>
    <w:p>
      <w:pPr>
        <w:jc w:val="both"/>
        <w:ind w:right="40" w:firstLine="233"/>
        <w:spacing w:after="0" w:line="237" w:lineRule="auto"/>
        <w:rPr>
          <w:sz w:val="20"/>
          <w:szCs w:val="20"/>
          <w:color w:val="auto"/>
        </w:rPr>
      </w:pPr>
      <w:r>
        <w:rPr>
          <w:rFonts w:ascii="Arial" w:cs="Arial" w:eastAsia="Arial" w:hAnsi="Arial"/>
          <w:sz w:val="17"/>
          <w:szCs w:val="17"/>
          <w:color w:val="auto"/>
        </w:rPr>
        <w:t>The benefit payable in the event of death is based on salary and bonus, years of credited service and age at the time of death, and may be in the form of a lump sum or annuity at the election of the beneficiary. The earliest date of payment is the first day of the second calendar month following the month of death.</w:t>
      </w:r>
    </w:p>
    <w:p>
      <w:pPr>
        <w:spacing w:after="0" w:line="2" w:lineRule="exact"/>
        <w:rPr>
          <w:sz w:val="20"/>
          <w:szCs w:val="20"/>
          <w:color w:val="auto"/>
        </w:rPr>
      </w:pPr>
    </w:p>
    <w:p>
      <w:pPr>
        <w:ind w:right="340" w:firstLine="233"/>
        <w:spacing w:after="0" w:line="245" w:lineRule="auto"/>
        <w:rPr>
          <w:sz w:val="20"/>
          <w:szCs w:val="20"/>
          <w:color w:val="auto"/>
        </w:rPr>
      </w:pPr>
      <w:r>
        <w:rPr>
          <w:rFonts w:ascii="Arial" w:cs="Arial" w:eastAsia="Arial" w:hAnsi="Arial"/>
          <w:sz w:val="17"/>
          <w:szCs w:val="17"/>
          <w:color w:val="auto"/>
        </w:rPr>
        <w:t>Leaves of absence, including a bridge to retirement, are credited to years of service under the qualified pension plan. Please see the discussion of leaves of absence on page 90.</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TI Employees Non-Qualified Pension Plans</w:t>
      </w:r>
    </w:p>
    <w:p>
      <w:pPr>
        <w:ind w:right="240"/>
        <w:spacing w:after="0" w:line="241" w:lineRule="auto"/>
        <w:rPr>
          <w:sz w:val="20"/>
          <w:szCs w:val="20"/>
          <w:color w:val="auto"/>
        </w:rPr>
      </w:pPr>
      <w:r>
        <w:rPr>
          <w:rFonts w:ascii="Arial" w:cs="Arial" w:eastAsia="Arial" w:hAnsi="Arial"/>
          <w:sz w:val="17"/>
          <w:szCs w:val="17"/>
          <w:color w:val="auto"/>
        </w:rPr>
        <w:t>TI has two non-qualified pension plans: the TI Employees Non-Qualified Pension Plan (Plan I), which governs amounts earned before 2005; and the TI Employees Non-Qualified Pension Plan II (Plan II), which governs amounts earned after 2004. Each is a non-qualified defined benefit pension plan. Please see page 78 for a discussion of the purpose of the plans. As with the qualified defined benefit</w:t>
      </w:r>
    </w:p>
    <w:p>
      <w:pPr>
        <w:spacing w:after="0" w:line="218" w:lineRule="exact"/>
        <w:rPr>
          <w:sz w:val="20"/>
          <w:szCs w:val="20"/>
          <w:color w:val="auto"/>
        </w:rPr>
      </w:pPr>
    </w:p>
    <w:p>
      <w:pPr>
        <w:spacing w:after="0"/>
        <w:tabs>
          <w:tab w:leader="none" w:pos="95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2"/>
          <w:szCs w:val="12"/>
          <w:b w:val="1"/>
          <w:bCs w:val="1"/>
          <w:color w:val="808285"/>
        </w:rPr>
        <w:t>2013 PROXY STATEMENT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34" w:name="page35"/>
    <w:bookmarkEnd w:id="34"/>
    <w:p>
      <w:pPr>
        <w:ind w:right="160"/>
        <w:spacing w:after="0" w:line="237" w:lineRule="auto"/>
        <w:rPr>
          <w:sz w:val="20"/>
          <w:szCs w:val="20"/>
          <w:color w:val="auto"/>
        </w:rPr>
      </w:pPr>
      <w:r>
        <w:rPr>
          <w:rFonts w:ascii="Arial" w:cs="Arial" w:eastAsia="Arial" w:hAnsi="Arial"/>
          <w:sz w:val="17"/>
          <w:szCs w:val="17"/>
          <w:color w:val="auto"/>
        </w:rPr>
        <w:t>pension plan, employees who joined the U.S. payroll after November 30, 1997, are not eligible to participate in Plan I or Plan II. Eligibility for normal and early retirement under these plans is the same as under the qualified plan (please see above). Benefits are paid in a lump sum.</w:t>
      </w:r>
    </w:p>
    <w:p>
      <w:pPr>
        <w:spacing w:after="0" w:line="2" w:lineRule="exact"/>
        <w:rPr>
          <w:sz w:val="20"/>
          <w:szCs w:val="20"/>
          <w:color w:val="auto"/>
        </w:rPr>
      </w:pPr>
    </w:p>
    <w:p>
      <w:pPr>
        <w:ind w:right="60" w:firstLine="233"/>
        <w:spacing w:after="0" w:line="237" w:lineRule="auto"/>
        <w:rPr>
          <w:sz w:val="20"/>
          <w:szCs w:val="20"/>
          <w:color w:val="auto"/>
        </w:rPr>
      </w:pPr>
      <w:r>
        <w:rPr>
          <w:rFonts w:ascii="Arial" w:cs="Arial" w:eastAsia="Arial" w:hAnsi="Arial"/>
          <w:sz w:val="17"/>
          <w:szCs w:val="17"/>
          <w:color w:val="auto"/>
        </w:rPr>
        <w:t>A participant’s benefits under Plan I and Plan II are calculated using the same formula as described above for the TI Employees Pension Plan. However, the IRS limit on the amount of compensation on which a qualified pension benefit may be calculated does not apply. Additionally, the IRS limit on the amount of qualified benefit the participant may receive does not apply to these plans. Once this non-qualified benefit amount has been determined using the formula described above, the individual’s qualified benefit is subtracted from it. The resulting difference is multiplied by an age-based factor to obtain the amount of the lump-sum benefit payable to an individual under the non-qualified plans.</w:t>
      </w:r>
    </w:p>
    <w:p>
      <w:pPr>
        <w:spacing w:after="0" w:line="4" w:lineRule="exact"/>
        <w:rPr>
          <w:sz w:val="20"/>
          <w:szCs w:val="20"/>
          <w:color w:val="auto"/>
        </w:rPr>
      </w:pPr>
    </w:p>
    <w:p>
      <w:pPr>
        <w:ind w:firstLine="233"/>
        <w:spacing w:after="0" w:line="237" w:lineRule="auto"/>
        <w:rPr>
          <w:sz w:val="20"/>
          <w:szCs w:val="20"/>
          <w:color w:val="auto"/>
        </w:rPr>
      </w:pPr>
      <w:r>
        <w:rPr>
          <w:rFonts w:ascii="Arial" w:cs="Arial" w:eastAsia="Arial" w:hAnsi="Arial"/>
          <w:sz w:val="17"/>
          <w:szCs w:val="17"/>
          <w:color w:val="auto"/>
        </w:rPr>
        <w:t>Amounts under Plan I will be distributed when payment of the participant’s benefit under the qualified pension plan commences. Amounts under Plan II will be distributed subject to the requirements of Section 409A of the IRC. Because the named executive officers are among the 50 most highly compensated officers of the company, Section 409A of the IRC requires that they not receive any lump sum distribution payment under Plan II before the first day of the seventh month following termination of employment.</w:t>
      </w:r>
    </w:p>
    <w:p>
      <w:pPr>
        <w:spacing w:after="0" w:line="3" w:lineRule="exact"/>
        <w:rPr>
          <w:sz w:val="20"/>
          <w:szCs w:val="20"/>
          <w:color w:val="auto"/>
        </w:rPr>
      </w:pPr>
    </w:p>
    <w:p>
      <w:pPr>
        <w:ind w:right="20" w:firstLine="233"/>
        <w:spacing w:after="0" w:line="237" w:lineRule="auto"/>
        <w:rPr>
          <w:sz w:val="20"/>
          <w:szCs w:val="20"/>
          <w:color w:val="auto"/>
        </w:rPr>
      </w:pPr>
      <w:r>
        <w:rPr>
          <w:rFonts w:ascii="Arial" w:cs="Arial" w:eastAsia="Arial" w:hAnsi="Arial"/>
          <w:sz w:val="17"/>
          <w:szCs w:val="17"/>
          <w:color w:val="auto"/>
        </w:rPr>
        <w:t>If a participant terminates due to disability, amounts under Plan I will be distributed when payment of the participant’s benefit under the qualified plan commences. For amounts under Plan II, distribution is governed by Section 409A of the IRC, and the disability benefit is reduced to reflect the payment of the benefit prior to age 65.</w:t>
      </w:r>
    </w:p>
    <w:p>
      <w:pPr>
        <w:spacing w:after="0" w:line="2" w:lineRule="exact"/>
        <w:rPr>
          <w:sz w:val="20"/>
          <w:szCs w:val="20"/>
          <w:color w:val="auto"/>
        </w:rPr>
      </w:pPr>
    </w:p>
    <w:p>
      <w:pPr>
        <w:ind w:right="40" w:firstLine="233"/>
        <w:spacing w:after="0" w:line="237" w:lineRule="auto"/>
        <w:rPr>
          <w:sz w:val="20"/>
          <w:szCs w:val="20"/>
          <w:color w:val="auto"/>
        </w:rPr>
      </w:pPr>
      <w:r>
        <w:rPr>
          <w:rFonts w:ascii="Arial" w:cs="Arial" w:eastAsia="Arial" w:hAnsi="Arial"/>
          <w:sz w:val="17"/>
          <w:szCs w:val="17"/>
          <w:color w:val="auto"/>
        </w:rPr>
        <w:t>In the event of death, payment under both plans is based on salary and bonus, years of credited service and age at the time of death and will be in the form of a lump sum. The earliest date of payment is the first day of the second calendar month following the month of death.</w:t>
      </w:r>
    </w:p>
    <w:p>
      <w:pPr>
        <w:spacing w:after="0" w:line="2" w:lineRule="exact"/>
        <w:rPr>
          <w:sz w:val="20"/>
          <w:szCs w:val="20"/>
          <w:color w:val="auto"/>
        </w:rPr>
      </w:pPr>
    </w:p>
    <w:p>
      <w:pPr>
        <w:ind w:right="200" w:firstLine="233"/>
        <w:spacing w:after="0" w:line="237" w:lineRule="auto"/>
        <w:rPr>
          <w:sz w:val="20"/>
          <w:szCs w:val="20"/>
          <w:color w:val="auto"/>
        </w:rPr>
      </w:pPr>
      <w:r>
        <w:rPr>
          <w:rFonts w:ascii="Arial" w:cs="Arial" w:eastAsia="Arial" w:hAnsi="Arial"/>
          <w:sz w:val="17"/>
          <w:szCs w:val="17"/>
          <w:color w:val="auto"/>
        </w:rPr>
        <w:t>Balances in the plans are unsecured obligations of the company. For amounts under Plan I, in the event of a change in control, the present value of the individual’s benefit would be paid not later than the month following the month in which the change in control occurred. For such amounts, the pre-2010 definition of a change in control (please see page 85) applies. For all amounts accrued under this plan, if a sale of substantially all of the assets of the company occurred, the present value of the individual’s benefit would be distributed in a lump sum as soon as reasonably practicable following the sale of assets. For amounts under Plan II, no distribution of benefits is triggered by a change in control.</w:t>
      </w:r>
    </w:p>
    <w:p>
      <w:pPr>
        <w:spacing w:after="0" w:line="4" w:lineRule="exact"/>
        <w:rPr>
          <w:sz w:val="20"/>
          <w:szCs w:val="20"/>
          <w:color w:val="auto"/>
        </w:rPr>
      </w:pPr>
    </w:p>
    <w:p>
      <w:pPr>
        <w:ind w:right="100" w:firstLine="233"/>
        <w:spacing w:after="0" w:line="245" w:lineRule="auto"/>
        <w:rPr>
          <w:sz w:val="20"/>
          <w:szCs w:val="20"/>
          <w:color w:val="auto"/>
        </w:rPr>
      </w:pPr>
      <w:r>
        <w:rPr>
          <w:rFonts w:ascii="Arial" w:cs="Arial" w:eastAsia="Arial" w:hAnsi="Arial"/>
          <w:sz w:val="17"/>
          <w:szCs w:val="17"/>
          <w:color w:val="auto"/>
        </w:rPr>
        <w:t>Leaves of absence, including a bridge to retirement, are credited to years of service under the non-qualified pension plans. For a discussion of leaves of absence, please see page 90.</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TI Employees Survivor Benefit Plan</w:t>
      </w:r>
    </w:p>
    <w:p>
      <w:pPr>
        <w:ind w:right="220"/>
        <w:spacing w:after="0" w:line="239" w:lineRule="auto"/>
        <w:rPr>
          <w:sz w:val="20"/>
          <w:szCs w:val="20"/>
          <w:color w:val="auto"/>
        </w:rPr>
      </w:pPr>
      <w:r>
        <w:rPr>
          <w:rFonts w:ascii="Arial" w:cs="Arial" w:eastAsia="Arial" w:hAnsi="Arial"/>
          <w:sz w:val="17"/>
          <w:szCs w:val="17"/>
          <w:color w:val="auto"/>
        </w:rPr>
        <w:t>TI’s qualified and non-qualified pension plans provide that upon the death of a retirement-eligible employee, the employee’s beneficiary receives a payment equal to half of the benefit to which the employee would have been entitled under the pension plans had he retired instead of died. We have a survivor benefit plan that pays the beneficiary a lump sum that, when added to the reduced amounts the beneficiary receives under the pension plans, equals the benefit the employee would have been entitled to receive had he retired instead of died. Because Mr. Ritchie became eligible for early retirement in 2011, his beneficiary would be eligible for a benefit under the survivor benefit plan if he were to die.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2012 non-qualified deferred compensation</w:t>
      </w:r>
    </w:p>
    <w:p>
      <w:pPr>
        <w:spacing w:after="0" w:line="225" w:lineRule="exact"/>
        <w:rPr>
          <w:sz w:val="20"/>
          <w:szCs w:val="20"/>
          <w:color w:val="auto"/>
        </w:rPr>
      </w:pPr>
    </w:p>
    <w:p>
      <w:pPr>
        <w:ind w:right="620"/>
        <w:spacing w:after="0" w:line="245" w:lineRule="auto"/>
        <w:rPr>
          <w:sz w:val="20"/>
          <w:szCs w:val="20"/>
          <w:color w:val="auto"/>
        </w:rPr>
      </w:pPr>
      <w:r>
        <w:rPr>
          <w:rFonts w:ascii="Arial" w:cs="Arial" w:eastAsia="Arial" w:hAnsi="Arial"/>
          <w:sz w:val="17"/>
          <w:szCs w:val="17"/>
          <w:color w:val="auto"/>
        </w:rPr>
        <w:t>The following table shows contributions to the named executive officer’s deferred compensation account in 2012 and the aggregate amount of his deferred compensation as of December 31, 2012.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2860" w:type="dxa"/>
            <w:vAlign w:val="bottom"/>
          </w:tcPr>
          <w:p>
            <w:pPr>
              <w:jc w:val="center"/>
              <w:ind w:left="1543"/>
              <w:spacing w:after="0"/>
              <w:rPr>
                <w:sz w:val="20"/>
                <w:szCs w:val="20"/>
                <w:color w:val="auto"/>
              </w:rPr>
            </w:pPr>
            <w:r>
              <w:rPr>
                <w:rFonts w:ascii="Arial" w:cs="Arial" w:eastAsia="Arial" w:hAnsi="Arial"/>
                <w:sz w:val="13"/>
                <w:szCs w:val="13"/>
                <w:b w:val="1"/>
                <w:bCs w:val="1"/>
                <w:color w:val="auto"/>
                <w:w w:val="98"/>
              </w:rPr>
              <w:t>Executive</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9"/>
              </w:rPr>
              <w:t>Registrant</w:t>
            </w: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9"/>
              </w:rPr>
              <w:t>Aggregate</w:t>
            </w:r>
          </w:p>
        </w:tc>
        <w:tc>
          <w:tcPr>
            <w:tcW w:w="240" w:type="dxa"/>
            <w:vAlign w:val="bottom"/>
          </w:tcPr>
          <w:p>
            <w:pPr>
              <w:spacing w:after="0"/>
              <w:rPr>
                <w:sz w:val="14"/>
                <w:szCs w:val="14"/>
                <w:color w:val="auto"/>
              </w:rPr>
            </w:pPr>
          </w:p>
        </w:tc>
        <w:tc>
          <w:tcPr>
            <w:tcW w:w="780" w:type="dxa"/>
            <w:vAlign w:val="bottom"/>
          </w:tcPr>
          <w:p>
            <w:pPr>
              <w:jc w:val="center"/>
              <w:ind w:left="22"/>
              <w:spacing w:after="0"/>
              <w:rPr>
                <w:sz w:val="20"/>
                <w:szCs w:val="20"/>
                <w:color w:val="auto"/>
              </w:rPr>
            </w:pPr>
            <w:r>
              <w:rPr>
                <w:rFonts w:ascii="Arial" w:cs="Arial" w:eastAsia="Arial" w:hAnsi="Arial"/>
                <w:sz w:val="13"/>
                <w:szCs w:val="13"/>
                <w:b w:val="1"/>
                <w:bCs w:val="1"/>
                <w:color w:val="auto"/>
                <w:w w:val="99"/>
              </w:rPr>
              <w:t>Aggregate</w:t>
            </w:r>
          </w:p>
        </w:tc>
        <w:tc>
          <w:tcPr>
            <w:tcW w:w="220" w:type="dxa"/>
            <w:vAlign w:val="bottom"/>
          </w:tcPr>
          <w:p>
            <w:pPr>
              <w:spacing w:after="0"/>
              <w:rPr>
                <w:sz w:val="14"/>
                <w:szCs w:val="14"/>
                <w:color w:val="auto"/>
              </w:rPr>
            </w:pPr>
          </w:p>
        </w:tc>
      </w:tr>
      <w:tr>
        <w:trPr>
          <w:trHeight w:val="233"/>
        </w:trPr>
        <w:tc>
          <w:tcPr>
            <w:tcW w:w="2960" w:type="dxa"/>
            <w:vAlign w:val="bottom"/>
          </w:tcPr>
          <w:p>
            <w:pPr>
              <w:spacing w:after="0"/>
              <w:rPr>
                <w:sz w:val="20"/>
                <w:szCs w:val="20"/>
                <w:color w:val="auto"/>
              </w:rPr>
            </w:pPr>
          </w:p>
        </w:tc>
        <w:tc>
          <w:tcPr>
            <w:tcW w:w="2860" w:type="dxa"/>
            <w:vAlign w:val="bottom"/>
          </w:tcPr>
          <w:p>
            <w:pPr>
              <w:jc w:val="center"/>
              <w:ind w:left="1543"/>
              <w:spacing w:after="0"/>
              <w:rPr>
                <w:sz w:val="20"/>
                <w:szCs w:val="20"/>
                <w:color w:val="auto"/>
              </w:rPr>
            </w:pPr>
            <w:r>
              <w:rPr>
                <w:rFonts w:ascii="Arial" w:cs="Arial" w:eastAsia="Arial" w:hAnsi="Arial"/>
                <w:sz w:val="13"/>
                <w:szCs w:val="13"/>
                <w:b w:val="1"/>
                <w:bCs w:val="1"/>
                <w:color w:val="auto"/>
                <w:w w:val="98"/>
              </w:rPr>
              <w:t>Contributions</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9"/>
              </w:rPr>
              <w:t>Contributions in</w:t>
            </w:r>
          </w:p>
        </w:tc>
        <w:tc>
          <w:tcPr>
            <w:tcW w:w="16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9"/>
              </w:rPr>
              <w:t>Aggregate Earnings in</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9"/>
              </w:rPr>
              <w:t>Withdrawals/</w:t>
            </w:r>
          </w:p>
        </w:tc>
        <w:tc>
          <w:tcPr>
            <w:tcW w:w="1240" w:type="dxa"/>
            <w:vAlign w:val="bottom"/>
            <w:gridSpan w:val="3"/>
          </w:tcPr>
          <w:p>
            <w:pPr>
              <w:jc w:val="center"/>
              <w:ind w:left="62"/>
              <w:spacing w:after="0"/>
              <w:rPr>
                <w:sz w:val="20"/>
                <w:szCs w:val="20"/>
                <w:color w:val="auto"/>
              </w:rPr>
            </w:pPr>
            <w:r>
              <w:rPr>
                <w:rFonts w:ascii="Arial" w:cs="Arial" w:eastAsia="Arial" w:hAnsi="Arial"/>
                <w:sz w:val="13"/>
                <w:szCs w:val="13"/>
                <w:b w:val="1"/>
                <w:bCs w:val="1"/>
                <w:color w:val="auto"/>
                <w:w w:val="98"/>
              </w:rPr>
              <w:t>Balance at Last</w:t>
            </w:r>
          </w:p>
        </w:tc>
      </w:tr>
      <w:tr>
        <w:trPr>
          <w:trHeight w:val="233"/>
        </w:trPr>
        <w:tc>
          <w:tcPr>
            <w:tcW w:w="29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2860" w:type="dxa"/>
            <w:vAlign w:val="bottom"/>
          </w:tcPr>
          <w:p>
            <w:pPr>
              <w:jc w:val="center"/>
              <w:ind w:left="1543"/>
              <w:spacing w:after="0"/>
              <w:rPr>
                <w:sz w:val="20"/>
                <w:szCs w:val="20"/>
                <w:color w:val="auto"/>
              </w:rPr>
            </w:pPr>
            <w:r>
              <w:rPr>
                <w:rFonts w:ascii="Arial" w:cs="Arial" w:eastAsia="Arial" w:hAnsi="Arial"/>
                <w:sz w:val="13"/>
                <w:szCs w:val="13"/>
                <w:b w:val="1"/>
                <w:bCs w:val="1"/>
                <w:color w:val="auto"/>
                <w:w w:val="98"/>
              </w:rPr>
              <w:t>in Last FY ($)(1)</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9"/>
              </w:rPr>
              <w:t>Last FY ($)(2)</w:t>
            </w:r>
          </w:p>
        </w:tc>
        <w:tc>
          <w:tcPr>
            <w:tcW w:w="500" w:type="dxa"/>
            <w:vAlign w:val="bottom"/>
          </w:tcPr>
          <w:p>
            <w:pPr>
              <w:spacing w:after="0"/>
              <w:rPr>
                <w:sz w:val="20"/>
                <w:szCs w:val="20"/>
                <w:color w:val="auto"/>
              </w:rPr>
            </w:pPr>
          </w:p>
        </w:tc>
        <w:tc>
          <w:tcPr>
            <w:tcW w:w="1180" w:type="dxa"/>
            <w:vAlign w:val="bottom"/>
            <w:gridSpan w:val="2"/>
          </w:tcPr>
          <w:p>
            <w:pPr>
              <w:jc w:val="center"/>
              <w:ind w:right="396"/>
              <w:spacing w:after="0"/>
              <w:rPr>
                <w:sz w:val="20"/>
                <w:szCs w:val="20"/>
                <w:color w:val="auto"/>
              </w:rPr>
            </w:pPr>
            <w:r>
              <w:rPr>
                <w:rFonts w:ascii="Arial" w:cs="Arial" w:eastAsia="Arial" w:hAnsi="Arial"/>
                <w:sz w:val="13"/>
                <w:szCs w:val="13"/>
                <w:b w:val="1"/>
                <w:bCs w:val="1"/>
                <w:color w:val="auto"/>
                <w:w w:val="99"/>
              </w:rPr>
              <w:t>Last FY ($)</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rPr>
              <w:t>Distributions ($)</w:t>
            </w:r>
          </w:p>
        </w:tc>
        <w:tc>
          <w:tcPr>
            <w:tcW w:w="240" w:type="dxa"/>
            <w:vAlign w:val="bottom"/>
          </w:tcPr>
          <w:p>
            <w:pPr>
              <w:spacing w:after="0"/>
              <w:rPr>
                <w:sz w:val="20"/>
                <w:szCs w:val="20"/>
                <w:color w:val="auto"/>
              </w:rPr>
            </w:pPr>
          </w:p>
        </w:tc>
        <w:tc>
          <w:tcPr>
            <w:tcW w:w="780" w:type="dxa"/>
            <w:vAlign w:val="bottom"/>
          </w:tcPr>
          <w:p>
            <w:pPr>
              <w:jc w:val="center"/>
              <w:ind w:left="42"/>
              <w:spacing w:after="0"/>
              <w:rPr>
                <w:sz w:val="20"/>
                <w:szCs w:val="20"/>
                <w:color w:val="auto"/>
              </w:rPr>
            </w:pPr>
            <w:r>
              <w:rPr>
                <w:rFonts w:ascii="Arial" w:cs="Arial" w:eastAsia="Arial" w:hAnsi="Arial"/>
                <w:sz w:val="13"/>
                <w:szCs w:val="13"/>
                <w:b w:val="1"/>
                <w:bCs w:val="1"/>
                <w:color w:val="auto"/>
              </w:rPr>
              <w:t>FYE ($)(5)</w:t>
            </w:r>
          </w:p>
        </w:tc>
        <w:tc>
          <w:tcPr>
            <w:tcW w:w="220" w:type="dxa"/>
            <w:vAlign w:val="bottom"/>
          </w:tcPr>
          <w:p>
            <w:pPr>
              <w:spacing w:after="0"/>
              <w:rPr>
                <w:sz w:val="20"/>
                <w:szCs w:val="20"/>
                <w:color w:val="auto"/>
              </w:rPr>
            </w:pPr>
          </w:p>
        </w:tc>
      </w:tr>
      <w:tr>
        <w:trPr>
          <w:trHeight w:val="45"/>
        </w:trPr>
        <w:tc>
          <w:tcPr>
            <w:tcW w:w="2960" w:type="dxa"/>
            <w:vAlign w:val="bottom"/>
            <w:tcBorders>
              <w:bottom w:val="single" w:sz="8" w:color="808285"/>
            </w:tcBorders>
          </w:tcPr>
          <w:p>
            <w:pPr>
              <w:spacing w:after="0"/>
              <w:rPr>
                <w:sz w:val="3"/>
                <w:szCs w:val="3"/>
                <w:color w:val="auto"/>
              </w:rPr>
            </w:pPr>
          </w:p>
        </w:tc>
        <w:tc>
          <w:tcPr>
            <w:tcW w:w="2860" w:type="dxa"/>
            <w:vAlign w:val="bottom"/>
            <w:tcBorders>
              <w:bottom w:val="single" w:sz="8" w:color="808285"/>
            </w:tcBorders>
          </w:tcPr>
          <w:p>
            <w:pPr>
              <w:spacing w:after="0"/>
              <w:rPr>
                <w:sz w:val="3"/>
                <w:szCs w:val="3"/>
                <w:color w:val="auto"/>
              </w:rPr>
            </w:pPr>
          </w:p>
        </w:tc>
        <w:tc>
          <w:tcPr>
            <w:tcW w:w="1300" w:type="dxa"/>
            <w:vAlign w:val="bottom"/>
            <w:tcBorders>
              <w:bottom w:val="single" w:sz="8" w:color="808285"/>
            </w:tcBorders>
          </w:tcPr>
          <w:p>
            <w:pPr>
              <w:spacing w:after="0"/>
              <w:rPr>
                <w:sz w:val="3"/>
                <w:szCs w:val="3"/>
                <w:color w:val="auto"/>
              </w:rPr>
            </w:pPr>
          </w:p>
        </w:tc>
        <w:tc>
          <w:tcPr>
            <w:tcW w:w="500" w:type="dxa"/>
            <w:vAlign w:val="bottom"/>
            <w:tcBorders>
              <w:bottom w:val="single" w:sz="8" w:color="808285"/>
            </w:tcBorders>
          </w:tcPr>
          <w:p>
            <w:pPr>
              <w:spacing w:after="0"/>
              <w:rPr>
                <w:sz w:val="3"/>
                <w:szCs w:val="3"/>
                <w:color w:val="auto"/>
              </w:rPr>
            </w:pPr>
          </w:p>
        </w:tc>
        <w:tc>
          <w:tcPr>
            <w:tcW w:w="640" w:type="dxa"/>
            <w:vAlign w:val="bottom"/>
            <w:tcBorders>
              <w:bottom w:val="single" w:sz="8" w:color="808285"/>
            </w:tcBorders>
          </w:tcPr>
          <w:p>
            <w:pPr>
              <w:spacing w:after="0"/>
              <w:rPr>
                <w:sz w:val="3"/>
                <w:szCs w:val="3"/>
                <w:color w:val="auto"/>
              </w:rPr>
            </w:pPr>
          </w:p>
        </w:tc>
        <w:tc>
          <w:tcPr>
            <w:tcW w:w="540" w:type="dxa"/>
            <w:vAlign w:val="bottom"/>
            <w:tcBorders>
              <w:bottom w:val="single" w:sz="8" w:color="808285"/>
            </w:tcBorders>
          </w:tcPr>
          <w:p>
            <w:pPr>
              <w:spacing w:after="0"/>
              <w:rPr>
                <w:sz w:val="3"/>
                <w:szCs w:val="3"/>
                <w:color w:val="auto"/>
              </w:rPr>
            </w:pPr>
          </w:p>
        </w:tc>
        <w:tc>
          <w:tcPr>
            <w:tcW w:w="1380" w:type="dxa"/>
            <w:vAlign w:val="bottom"/>
            <w:tcBorders>
              <w:bottom w:val="single" w:sz="8" w:color="808285"/>
            </w:tcBorders>
          </w:tcPr>
          <w:p>
            <w:pPr>
              <w:spacing w:after="0"/>
              <w:rPr>
                <w:sz w:val="3"/>
                <w:szCs w:val="3"/>
                <w:color w:val="auto"/>
              </w:rPr>
            </w:pPr>
          </w:p>
        </w:tc>
        <w:tc>
          <w:tcPr>
            <w:tcW w:w="240" w:type="dxa"/>
            <w:vAlign w:val="bottom"/>
            <w:tcBorders>
              <w:bottom w:val="single" w:sz="8" w:color="808285"/>
            </w:tcBorders>
          </w:tcPr>
          <w:p>
            <w:pPr>
              <w:spacing w:after="0"/>
              <w:rPr>
                <w:sz w:val="3"/>
                <w:szCs w:val="3"/>
                <w:color w:val="auto"/>
              </w:rPr>
            </w:pPr>
          </w:p>
        </w:tc>
        <w:tc>
          <w:tcPr>
            <w:tcW w:w="780" w:type="dxa"/>
            <w:vAlign w:val="bottom"/>
            <w:tcBorders>
              <w:bottom w:val="single" w:sz="8" w:color="808285"/>
            </w:tcBorders>
          </w:tcPr>
          <w:p>
            <w:pPr>
              <w:spacing w:after="0"/>
              <w:rPr>
                <w:sz w:val="3"/>
                <w:szCs w:val="3"/>
                <w:color w:val="auto"/>
              </w:rPr>
            </w:pPr>
          </w:p>
        </w:tc>
        <w:tc>
          <w:tcPr>
            <w:tcW w:w="220" w:type="dxa"/>
            <w:vAlign w:val="bottom"/>
            <w:tcBorders>
              <w:bottom w:val="single" w:sz="8" w:color="808285"/>
            </w:tcBorders>
          </w:tcPr>
          <w:p>
            <w:pPr>
              <w:spacing w:after="0"/>
              <w:rPr>
                <w:sz w:val="3"/>
                <w:szCs w:val="3"/>
                <w:color w:val="auto"/>
              </w:rPr>
            </w:pPr>
          </w:p>
        </w:tc>
      </w:tr>
      <w:tr>
        <w:trPr>
          <w:trHeight w:val="233"/>
        </w:trPr>
        <w:tc>
          <w:tcPr>
            <w:tcW w:w="2960" w:type="dxa"/>
            <w:vAlign w:val="bottom"/>
            <w:shd w:val="clear" w:color="auto" w:fill="E9E9E9"/>
          </w:tcPr>
          <w:p>
            <w:pPr>
              <w:spacing w:after="0"/>
              <w:rPr>
                <w:sz w:val="20"/>
                <w:szCs w:val="20"/>
                <w:color w:val="auto"/>
              </w:rPr>
            </w:pPr>
            <w:r>
              <w:rPr>
                <w:rFonts w:ascii="Arial" w:cs="Arial" w:eastAsia="Arial" w:hAnsi="Arial"/>
                <w:sz w:val="17"/>
                <w:szCs w:val="17"/>
                <w:color w:val="auto"/>
              </w:rPr>
              <w:t>R. K. Templeton</w:t>
            </w:r>
          </w:p>
        </w:tc>
        <w:tc>
          <w:tcPr>
            <w:tcW w:w="2860" w:type="dxa"/>
            <w:vAlign w:val="bottom"/>
            <w:shd w:val="clear" w:color="auto" w:fill="E9E9E9"/>
          </w:tcPr>
          <w:p>
            <w:pPr>
              <w:jc w:val="right"/>
              <w:ind w:right="203"/>
              <w:spacing w:after="0"/>
              <w:rPr>
                <w:sz w:val="20"/>
                <w:szCs w:val="20"/>
                <w:color w:val="auto"/>
              </w:rPr>
            </w:pPr>
            <w:r>
              <w:rPr>
                <w:rFonts w:ascii="Arial" w:cs="Arial" w:eastAsia="Arial" w:hAnsi="Arial"/>
                <w:sz w:val="17"/>
                <w:szCs w:val="17"/>
                <w:color w:val="auto"/>
              </w:rPr>
              <w:t>$41,434</w:t>
            </w:r>
          </w:p>
        </w:tc>
        <w:tc>
          <w:tcPr>
            <w:tcW w:w="1300" w:type="dxa"/>
            <w:vAlign w:val="bottom"/>
            <w:shd w:val="clear" w:color="auto" w:fill="E9E9E9"/>
          </w:tcPr>
          <w:p>
            <w:pPr>
              <w:jc w:val="right"/>
              <w:ind w:right="263"/>
              <w:spacing w:after="0"/>
              <w:rPr>
                <w:sz w:val="20"/>
                <w:szCs w:val="20"/>
                <w:color w:val="auto"/>
              </w:rPr>
            </w:pPr>
            <w:r>
              <w:rPr>
                <w:rFonts w:ascii="Arial" w:cs="Arial" w:eastAsia="Arial" w:hAnsi="Arial"/>
                <w:sz w:val="17"/>
                <w:szCs w:val="17"/>
                <w:color w:val="auto"/>
              </w:rPr>
              <w:t>$78,074</w:t>
            </w:r>
          </w:p>
        </w:tc>
        <w:tc>
          <w:tcPr>
            <w:tcW w:w="5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328,299</w:t>
            </w:r>
          </w:p>
        </w:tc>
        <w:tc>
          <w:tcPr>
            <w:tcW w:w="540" w:type="dxa"/>
            <w:vAlign w:val="bottom"/>
            <w:shd w:val="clear" w:color="auto" w:fill="E9E9E9"/>
          </w:tcPr>
          <w:p>
            <w:pPr>
              <w:jc w:val="right"/>
              <w:ind w:right="236"/>
              <w:spacing w:after="0"/>
              <w:rPr>
                <w:sz w:val="20"/>
                <w:szCs w:val="20"/>
                <w:color w:val="auto"/>
              </w:rPr>
            </w:pPr>
            <w:r>
              <w:rPr>
                <w:rFonts w:ascii="Arial" w:cs="Arial" w:eastAsia="Arial" w:hAnsi="Arial"/>
                <w:sz w:val="17"/>
                <w:szCs w:val="17"/>
                <w:color w:val="auto"/>
                <w:w w:val="96"/>
              </w:rPr>
              <w:t>(3)</w:t>
            </w:r>
          </w:p>
        </w:tc>
        <w:tc>
          <w:tcPr>
            <w:tcW w:w="1380" w:type="dxa"/>
            <w:vAlign w:val="bottom"/>
            <w:shd w:val="clear" w:color="auto" w:fill="E9E9E9"/>
          </w:tcPr>
          <w:p>
            <w:pPr>
              <w:jc w:val="right"/>
              <w:ind w:right="63"/>
              <w:spacing w:after="0"/>
              <w:rPr>
                <w:sz w:val="20"/>
                <w:szCs w:val="20"/>
                <w:color w:val="auto"/>
              </w:rPr>
            </w:pPr>
            <w:r>
              <w:rPr>
                <w:rFonts w:ascii="Arial" w:cs="Arial" w:eastAsia="Arial" w:hAnsi="Arial"/>
                <w:sz w:val="17"/>
                <w:szCs w:val="17"/>
                <w:color w:val="auto"/>
              </w:rPr>
              <w:t>$1,384,342 (4)</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5"/>
              </w:rPr>
              <w:t>3,982,172</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(6)</w:t>
            </w:r>
          </w:p>
        </w:tc>
      </w:tr>
      <w:tr>
        <w:trPr>
          <w:trHeight w:val="225"/>
        </w:trPr>
        <w:tc>
          <w:tcPr>
            <w:tcW w:w="2960" w:type="dxa"/>
            <w:vAlign w:val="bottom"/>
          </w:tcPr>
          <w:p>
            <w:pPr>
              <w:spacing w:after="0"/>
              <w:rPr>
                <w:sz w:val="20"/>
                <w:szCs w:val="20"/>
                <w:color w:val="auto"/>
              </w:rPr>
            </w:pPr>
            <w:r>
              <w:rPr>
                <w:rFonts w:ascii="Arial" w:cs="Arial" w:eastAsia="Arial" w:hAnsi="Arial"/>
                <w:sz w:val="17"/>
                <w:szCs w:val="17"/>
                <w:color w:val="auto"/>
              </w:rPr>
              <w:t>K. P. March</w:t>
            </w:r>
          </w:p>
        </w:tc>
        <w:tc>
          <w:tcPr>
            <w:tcW w:w="2860" w:type="dxa"/>
            <w:vAlign w:val="bottom"/>
          </w:tcPr>
          <w:p>
            <w:pPr>
              <w:jc w:val="right"/>
              <w:ind w:right="203"/>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63"/>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9"/>
                <w:szCs w:val="19"/>
                <w:color w:val="auto"/>
              </w:rPr>
            </w:pPr>
          </w:p>
        </w:tc>
        <w:tc>
          <w:tcPr>
            <w:tcW w:w="1380" w:type="dxa"/>
            <w:vAlign w:val="bottom"/>
          </w:tcPr>
          <w:p>
            <w:pPr>
              <w:jc w:val="right"/>
              <w:ind w:right="303"/>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r>
      <w:tr>
        <w:trPr>
          <w:trHeight w:val="240"/>
        </w:trPr>
        <w:tc>
          <w:tcPr>
            <w:tcW w:w="2960" w:type="dxa"/>
            <w:vAlign w:val="bottom"/>
            <w:shd w:val="clear" w:color="auto" w:fill="E9E9E9"/>
          </w:tcPr>
          <w:p>
            <w:pPr>
              <w:spacing w:after="0"/>
              <w:rPr>
                <w:sz w:val="20"/>
                <w:szCs w:val="20"/>
                <w:color w:val="auto"/>
              </w:rPr>
            </w:pPr>
            <w:r>
              <w:rPr>
                <w:rFonts w:ascii="Arial" w:cs="Arial" w:eastAsia="Arial" w:hAnsi="Arial"/>
                <w:sz w:val="17"/>
                <w:szCs w:val="17"/>
                <w:color w:val="auto"/>
              </w:rPr>
              <w:t>B. T. Crutcher</w:t>
            </w:r>
          </w:p>
        </w:tc>
        <w:tc>
          <w:tcPr>
            <w:tcW w:w="2860" w:type="dxa"/>
            <w:vAlign w:val="bottom"/>
            <w:shd w:val="clear" w:color="auto" w:fill="E9E9E9"/>
          </w:tcPr>
          <w:p>
            <w:pPr>
              <w:jc w:val="right"/>
              <w:ind w:right="203"/>
              <w:spacing w:after="0"/>
              <w:rPr>
                <w:sz w:val="20"/>
                <w:szCs w:val="20"/>
                <w:color w:val="auto"/>
              </w:rPr>
            </w:pPr>
            <w:r>
              <w:rPr>
                <w:rFonts w:ascii="Arial" w:cs="Arial" w:eastAsia="Arial" w:hAnsi="Arial"/>
                <w:sz w:val="17"/>
                <w:szCs w:val="17"/>
                <w:color w:val="auto"/>
              </w:rPr>
              <w:t>$46,250</w:t>
            </w:r>
          </w:p>
        </w:tc>
        <w:tc>
          <w:tcPr>
            <w:tcW w:w="1300" w:type="dxa"/>
            <w:vAlign w:val="bottom"/>
            <w:shd w:val="clear" w:color="auto" w:fill="E9E9E9"/>
          </w:tcPr>
          <w:p>
            <w:pPr>
              <w:jc w:val="right"/>
              <w:ind w:right="263"/>
              <w:spacing w:after="0"/>
              <w:rPr>
                <w:sz w:val="20"/>
                <w:szCs w:val="20"/>
                <w:color w:val="auto"/>
              </w:rPr>
            </w:pPr>
            <w:r>
              <w:rPr>
                <w:rFonts w:ascii="Arial" w:cs="Arial" w:eastAsia="Arial" w:hAnsi="Arial"/>
                <w:sz w:val="17"/>
                <w:szCs w:val="17"/>
                <w:color w:val="auto"/>
              </w:rPr>
              <w:t>$52,241</w:t>
            </w:r>
          </w:p>
        </w:tc>
        <w:tc>
          <w:tcPr>
            <w:tcW w:w="5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35,083</w:t>
            </w:r>
          </w:p>
        </w:tc>
        <w:tc>
          <w:tcPr>
            <w:tcW w:w="540" w:type="dxa"/>
            <w:vAlign w:val="bottom"/>
            <w:shd w:val="clear" w:color="auto" w:fill="E9E9E9"/>
          </w:tcPr>
          <w:p>
            <w:pPr>
              <w:spacing w:after="0"/>
              <w:rPr>
                <w:sz w:val="20"/>
                <w:szCs w:val="20"/>
                <w:color w:val="auto"/>
              </w:rPr>
            </w:pPr>
          </w:p>
        </w:tc>
        <w:tc>
          <w:tcPr>
            <w:tcW w:w="1380" w:type="dxa"/>
            <w:vAlign w:val="bottom"/>
            <w:shd w:val="clear" w:color="auto" w:fill="E9E9E9"/>
          </w:tcPr>
          <w:p>
            <w:pPr>
              <w:jc w:val="right"/>
              <w:ind w:right="303"/>
              <w:spacing w:after="0"/>
              <w:rPr>
                <w:sz w:val="20"/>
                <w:szCs w:val="20"/>
                <w:color w:val="auto"/>
              </w:rPr>
            </w:pPr>
            <w:r>
              <w:rPr>
                <w:rFonts w:ascii="Arial" w:cs="Arial" w:eastAsia="Arial" w:hAnsi="Arial"/>
                <w:sz w:val="17"/>
                <w:szCs w:val="17"/>
                <w:color w:val="auto"/>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367,874</w:t>
            </w:r>
          </w:p>
        </w:tc>
        <w:tc>
          <w:tcPr>
            <w:tcW w:w="220" w:type="dxa"/>
            <w:vAlign w:val="bottom"/>
            <w:shd w:val="clear" w:color="auto" w:fill="E9E9E9"/>
          </w:tcPr>
          <w:p>
            <w:pPr>
              <w:spacing w:after="0"/>
              <w:rPr>
                <w:sz w:val="20"/>
                <w:szCs w:val="20"/>
                <w:color w:val="auto"/>
              </w:rPr>
            </w:pPr>
          </w:p>
        </w:tc>
      </w:tr>
      <w:tr>
        <w:trPr>
          <w:trHeight w:val="225"/>
        </w:trPr>
        <w:tc>
          <w:tcPr>
            <w:tcW w:w="2960" w:type="dxa"/>
            <w:vAlign w:val="bottom"/>
          </w:tcPr>
          <w:p>
            <w:pPr>
              <w:spacing w:after="0"/>
              <w:rPr>
                <w:sz w:val="20"/>
                <w:szCs w:val="20"/>
                <w:color w:val="auto"/>
              </w:rPr>
            </w:pPr>
            <w:r>
              <w:rPr>
                <w:rFonts w:ascii="Arial" w:cs="Arial" w:eastAsia="Arial" w:hAnsi="Arial"/>
                <w:sz w:val="17"/>
                <w:szCs w:val="17"/>
                <w:color w:val="auto"/>
              </w:rPr>
              <w:t>R. G. Delagi</w:t>
            </w:r>
          </w:p>
        </w:tc>
        <w:tc>
          <w:tcPr>
            <w:tcW w:w="2860" w:type="dxa"/>
            <w:vAlign w:val="bottom"/>
          </w:tcPr>
          <w:p>
            <w:pPr>
              <w:jc w:val="right"/>
              <w:ind w:right="203"/>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63"/>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704</w:t>
            </w:r>
          </w:p>
        </w:tc>
        <w:tc>
          <w:tcPr>
            <w:tcW w:w="540" w:type="dxa"/>
            <w:vAlign w:val="bottom"/>
          </w:tcPr>
          <w:p>
            <w:pPr>
              <w:spacing w:after="0"/>
              <w:rPr>
                <w:sz w:val="19"/>
                <w:szCs w:val="19"/>
                <w:color w:val="auto"/>
              </w:rPr>
            </w:pPr>
          </w:p>
        </w:tc>
        <w:tc>
          <w:tcPr>
            <w:tcW w:w="1380" w:type="dxa"/>
            <w:vAlign w:val="bottom"/>
          </w:tcPr>
          <w:p>
            <w:pPr>
              <w:jc w:val="right"/>
              <w:ind w:right="303"/>
              <w:spacing w:after="0"/>
              <w:rPr>
                <w:sz w:val="20"/>
                <w:szCs w:val="20"/>
                <w:color w:val="auto"/>
              </w:rPr>
            </w:pPr>
            <w:r>
              <w:rPr>
                <w:rFonts w:ascii="Arial" w:cs="Arial" w:eastAsia="Arial" w:hAnsi="Arial"/>
                <w:sz w:val="17"/>
                <w:szCs w:val="17"/>
                <w:color w:val="auto"/>
              </w:rPr>
              <w:t>$   49,311</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r>
      <w:tr>
        <w:trPr>
          <w:trHeight w:val="240"/>
        </w:trPr>
        <w:tc>
          <w:tcPr>
            <w:tcW w:w="2960" w:type="dxa"/>
            <w:vAlign w:val="bottom"/>
            <w:shd w:val="clear" w:color="auto" w:fill="E9E9E9"/>
          </w:tcPr>
          <w:p>
            <w:pPr>
              <w:spacing w:after="0"/>
              <w:rPr>
                <w:sz w:val="20"/>
                <w:szCs w:val="20"/>
                <w:color w:val="auto"/>
              </w:rPr>
            </w:pPr>
            <w:r>
              <w:rPr>
                <w:rFonts w:ascii="Arial" w:cs="Arial" w:eastAsia="Arial" w:hAnsi="Arial"/>
                <w:sz w:val="17"/>
                <w:szCs w:val="17"/>
                <w:color w:val="auto"/>
              </w:rPr>
              <w:t>K. J. Ritchie</w:t>
            </w:r>
          </w:p>
        </w:tc>
        <w:tc>
          <w:tcPr>
            <w:tcW w:w="2860" w:type="dxa"/>
            <w:vAlign w:val="bottom"/>
            <w:shd w:val="clear" w:color="auto" w:fill="E9E9E9"/>
          </w:tcPr>
          <w:p>
            <w:pPr>
              <w:jc w:val="right"/>
              <w:ind w:right="203"/>
              <w:spacing w:after="0"/>
              <w:rPr>
                <w:sz w:val="20"/>
                <w:szCs w:val="20"/>
                <w:color w:val="auto"/>
              </w:rPr>
            </w:pPr>
            <w:r>
              <w:rPr>
                <w:rFonts w:ascii="Arial" w:cs="Arial" w:eastAsia="Arial" w:hAnsi="Arial"/>
                <w:sz w:val="17"/>
                <w:szCs w:val="17"/>
                <w:color w:val="auto"/>
              </w:rPr>
              <w:t>—</w:t>
            </w:r>
          </w:p>
        </w:tc>
        <w:tc>
          <w:tcPr>
            <w:tcW w:w="1300" w:type="dxa"/>
            <w:vAlign w:val="bottom"/>
            <w:shd w:val="clear" w:color="auto" w:fill="E9E9E9"/>
          </w:tcPr>
          <w:p>
            <w:pPr>
              <w:jc w:val="right"/>
              <w:ind w:right="263"/>
              <w:spacing w:after="0"/>
              <w:rPr>
                <w:sz w:val="20"/>
                <w:szCs w:val="20"/>
                <w:color w:val="auto"/>
              </w:rPr>
            </w:pPr>
            <w:r>
              <w:rPr>
                <w:rFonts w:ascii="Arial" w:cs="Arial" w:eastAsia="Arial" w:hAnsi="Arial"/>
                <w:sz w:val="17"/>
                <w:szCs w:val="17"/>
                <w:color w:val="auto"/>
              </w:rPr>
              <w:t>—</w:t>
            </w:r>
          </w:p>
        </w:tc>
        <w:tc>
          <w:tcPr>
            <w:tcW w:w="500" w:type="dxa"/>
            <w:vAlign w:val="bottom"/>
            <w:shd w:val="clear" w:color="auto" w:fill="E9E9E9"/>
          </w:tcPr>
          <w:p>
            <w:pPr>
              <w:spacing w:after="0"/>
              <w:rPr>
                <w:sz w:val="20"/>
                <w:szCs w:val="20"/>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E9E9E9"/>
          </w:tcPr>
          <w:p>
            <w:pPr>
              <w:spacing w:after="0"/>
              <w:rPr>
                <w:sz w:val="20"/>
                <w:szCs w:val="20"/>
                <w:color w:val="auto"/>
              </w:rPr>
            </w:pPr>
          </w:p>
        </w:tc>
        <w:tc>
          <w:tcPr>
            <w:tcW w:w="1380" w:type="dxa"/>
            <w:vAlign w:val="bottom"/>
            <w:shd w:val="clear" w:color="auto" w:fill="E9E9E9"/>
          </w:tcPr>
          <w:p>
            <w:pPr>
              <w:jc w:val="right"/>
              <w:ind w:right="303"/>
              <w:spacing w:after="0"/>
              <w:rPr>
                <w:sz w:val="20"/>
                <w:szCs w:val="20"/>
                <w:color w:val="auto"/>
              </w:rPr>
            </w:pPr>
            <w:r>
              <w:rPr>
                <w:rFonts w:ascii="Arial" w:cs="Arial" w:eastAsia="Arial" w:hAnsi="Arial"/>
                <w:sz w:val="17"/>
                <w:szCs w:val="17"/>
                <w:color w:val="auto"/>
              </w:rPr>
              <w:t>—</w:t>
            </w:r>
          </w:p>
        </w:tc>
        <w:tc>
          <w:tcPr>
            <w:tcW w:w="240" w:type="dxa"/>
            <w:vAlign w:val="bottom"/>
            <w:shd w:val="clear" w:color="auto" w:fill="E9E9E9"/>
          </w:tcPr>
          <w:p>
            <w:pPr>
              <w:spacing w:after="0"/>
              <w:rPr>
                <w:sz w:val="20"/>
                <w:szCs w:val="20"/>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E9E9E9"/>
          </w:tcPr>
          <w:p>
            <w:pPr>
              <w:spacing w:after="0"/>
              <w:rPr>
                <w:sz w:val="20"/>
                <w:szCs w:val="20"/>
                <w:color w:val="auto"/>
              </w:rPr>
            </w:pPr>
          </w:p>
        </w:tc>
      </w:tr>
    </w:tbl>
    <w:p>
      <w:pPr>
        <w:spacing w:after="0" w:line="236" w:lineRule="exact"/>
        <w:rPr>
          <w:sz w:val="20"/>
          <w:szCs w:val="20"/>
          <w:color w:val="auto"/>
        </w:rPr>
      </w:pPr>
    </w:p>
    <w:p>
      <w:pPr>
        <w:ind w:left="460" w:right="340" w:hanging="457"/>
        <w:spacing w:after="0" w:line="245"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Amount shown for Mr. Templeton is a portion of his 2012 salary; amount shown for Mr. Crutcher is a portion of his bonus for 2011 performance, which was paid in 2012.</w:t>
      </w:r>
    </w:p>
    <w:p>
      <w:pPr>
        <w:spacing w:after="0" w:line="221" w:lineRule="exact"/>
        <w:rPr>
          <w:rFonts w:ascii="Arial" w:cs="Arial" w:eastAsia="Arial" w:hAnsi="Arial"/>
          <w:sz w:val="17"/>
          <w:szCs w:val="17"/>
          <w:color w:val="auto"/>
        </w:rPr>
      </w:pPr>
    </w:p>
    <w:p>
      <w:pPr>
        <w:ind w:left="460" w:right="180" w:hanging="457"/>
        <w:spacing w:after="0" w:line="245"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Company matching contributions pursuant to the defined contribution plan. These amounts are included in the All Other Compensation column of the 2012 summary compensation table on page 80.</w:t>
      </w:r>
    </w:p>
    <w:p>
      <w:pPr>
        <w:spacing w:after="0" w:line="240" w:lineRule="exact"/>
        <w:rPr>
          <w:sz w:val="20"/>
          <w:szCs w:val="20"/>
          <w:color w:val="auto"/>
        </w:rPr>
      </w:pPr>
    </w:p>
    <w:p>
      <w:pPr>
        <w:spacing w:after="0"/>
        <w:tabs>
          <w:tab w:leader="none" w:pos="10000" w:val="left"/>
        </w:tabs>
        <w:rPr>
          <w:sz w:val="20"/>
          <w:szCs w:val="20"/>
          <w:color w:val="auto"/>
        </w:rPr>
      </w:pPr>
      <w:r>
        <w:rPr>
          <w:rFonts w:ascii="Arial" w:cs="Arial" w:eastAsia="Arial" w:hAnsi="Arial"/>
          <w:sz w:val="13"/>
          <w:szCs w:val="13"/>
          <w:b w:val="1"/>
          <w:bCs w:val="1"/>
          <w:color w:val="808285"/>
        </w:rPr>
        <w:t>88 •  2013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35" w:name="page36"/>
    <w:bookmarkEnd w:id="35"/>
    <w:p>
      <w:pPr>
        <w:ind w:left="400" w:right="220" w:hanging="397"/>
        <w:spacing w:after="0" w:line="239" w:lineRule="auto"/>
        <w:tabs>
          <w:tab w:leader="none" w:pos="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Consists of: (a) $86,400 in dividend equivalents paid under the 120,000-share 1995 RSU award discussed on page 86, settlement of which has been deferred until after termination of employment; (b) a $213,600 increase in the value of the RSU award (calculated by subtracting $3,493,200 (the value of the award at year-end 2011) from $3,706,800 (the value of the award at year-end 2012) (in both cases, the number of RSUs is multiplied by the closing price of TI common stock on the last trading date of the year)); and (c) a $28,299 gain in Mr. Templeton’s deferred compensation account in 2012. Dividend equivalents are paid at the same rate as dividends on TI common stock.</w:t>
      </w:r>
    </w:p>
    <w:p>
      <w:pPr>
        <w:spacing w:after="0" w:line="228" w:lineRule="exact"/>
        <w:rPr>
          <w:rFonts w:ascii="Arial" w:cs="Arial" w:eastAsia="Arial" w:hAnsi="Arial"/>
          <w:sz w:val="17"/>
          <w:szCs w:val="17"/>
          <w:color w:val="auto"/>
        </w:rPr>
      </w:pPr>
    </w:p>
    <w:p>
      <w:pPr>
        <w:ind w:left="400" w:right="660" w:hanging="397"/>
        <w:spacing w:after="0" w:line="245" w:lineRule="auto"/>
        <w:tabs>
          <w:tab w:leader="none" w:pos="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Consists of dividend equivalents paid on the RSUs discussed in note 3 and a scheduled distribution of a portion of Mr. Templeton’s deferred compensation balance.</w:t>
      </w:r>
    </w:p>
    <w:p>
      <w:pPr>
        <w:spacing w:after="0" w:line="221" w:lineRule="exact"/>
        <w:rPr>
          <w:rFonts w:ascii="Arial" w:cs="Arial" w:eastAsia="Arial" w:hAnsi="Arial"/>
          <w:sz w:val="17"/>
          <w:szCs w:val="17"/>
          <w:color w:val="auto"/>
        </w:rPr>
      </w:pPr>
    </w:p>
    <w:p>
      <w:pPr>
        <w:ind w:left="400" w:right="140" w:hanging="397"/>
        <w:spacing w:after="0" w:line="245" w:lineRule="auto"/>
        <w:tabs>
          <w:tab w:leader="none" w:pos="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amounts reported in the Summary Compensation Table in the current or prior-year proxy statements as follows: Mr. Templeton, $275,372; and Mr. Crutcher, $367,874.</w:t>
      </w:r>
    </w:p>
    <w:p>
      <w:pPr>
        <w:spacing w:after="0" w:line="221" w:lineRule="exact"/>
        <w:rPr>
          <w:rFonts w:ascii="Arial" w:cs="Arial" w:eastAsia="Arial" w:hAnsi="Arial"/>
          <w:sz w:val="17"/>
          <w:szCs w:val="17"/>
          <w:color w:val="auto"/>
        </w:rPr>
      </w:pPr>
    </w:p>
    <w:p>
      <w:pPr>
        <w:ind w:left="400" w:right="220" w:hanging="397"/>
        <w:spacing w:after="0" w:line="245" w:lineRule="auto"/>
        <w:tabs>
          <w:tab w:leader="none" w:pos="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Of this amount, $3,706,800 is attributable to Mr. Templeton’s 1995 RSU award, calculated as described in note 3. The remainder is the balance of his deferred compensation account.</w:t>
      </w:r>
    </w:p>
    <w:p>
      <w:pPr>
        <w:spacing w:after="0" w:line="195" w:lineRule="exact"/>
        <w:rPr>
          <w:sz w:val="20"/>
          <w:szCs w:val="20"/>
          <w:color w:val="auto"/>
        </w:rPr>
      </w:pPr>
    </w:p>
    <w:p>
      <w:pPr>
        <w:ind w:right="60"/>
        <w:spacing w:after="0"/>
        <w:rPr>
          <w:sz w:val="20"/>
          <w:szCs w:val="20"/>
          <w:color w:val="auto"/>
        </w:rPr>
      </w:pPr>
      <w:r>
        <w:rPr>
          <w:rFonts w:ascii="Arial" w:cs="Arial" w:eastAsia="Arial" w:hAnsi="Arial"/>
          <w:sz w:val="17"/>
          <w:szCs w:val="17"/>
          <w:color w:val="auto"/>
        </w:rPr>
        <w:t>Please see page 78 for a discussion of the purpose of the plan. An employee’s deferred compensation account contains eligible compensation the employee has elected to defer and contributions by the company that are in excess of the IRS limits on (i) contributions the company may make to the enhanced defined contribution plan and (ii) matching contributions the company may make related to compensation the executive officer deferred into his deferred compensation account.</w:t>
      </w:r>
    </w:p>
    <w:p>
      <w:pPr>
        <w:spacing w:after="0" w:line="19" w:lineRule="exact"/>
        <w:rPr>
          <w:sz w:val="20"/>
          <w:szCs w:val="20"/>
          <w:color w:val="auto"/>
        </w:rPr>
      </w:pPr>
    </w:p>
    <w:p>
      <w:pPr>
        <w:ind w:firstLine="258"/>
        <w:spacing w:after="0" w:line="249" w:lineRule="auto"/>
        <w:rPr>
          <w:sz w:val="20"/>
          <w:szCs w:val="20"/>
          <w:color w:val="auto"/>
        </w:rPr>
      </w:pPr>
      <w:r>
        <w:rPr>
          <w:rFonts w:ascii="Arial" w:cs="Arial" w:eastAsia="Arial" w:hAnsi="Arial"/>
          <w:sz w:val="17"/>
          <w:szCs w:val="17"/>
          <w:color w:val="auto"/>
        </w:rPr>
        <w:t>Participants in the deferred compensation plan may choose to defer up to (i) 25 percent of their base salary, (ii) 90 percent of their performance bonus, and (iii) 90 percent of profit sharing. Elections to defer compensation must be made in the calendar year prior to the year in which the compensation will be earned.</w:t>
      </w:r>
    </w:p>
    <w:p>
      <w:pPr>
        <w:spacing w:after="0" w:line="12" w:lineRule="exact"/>
        <w:rPr>
          <w:sz w:val="20"/>
          <w:szCs w:val="20"/>
          <w:color w:val="auto"/>
        </w:rPr>
      </w:pPr>
    </w:p>
    <w:p>
      <w:pPr>
        <w:jc w:val="both"/>
        <w:ind w:right="380" w:firstLine="258"/>
        <w:spacing w:after="0" w:line="258" w:lineRule="auto"/>
        <w:rPr>
          <w:sz w:val="20"/>
          <w:szCs w:val="20"/>
          <w:color w:val="auto"/>
        </w:rPr>
      </w:pPr>
      <w:r>
        <w:rPr>
          <w:rFonts w:ascii="Arial" w:cs="Arial" w:eastAsia="Arial" w:hAnsi="Arial"/>
          <w:sz w:val="16"/>
          <w:szCs w:val="16"/>
          <w:color w:val="auto"/>
        </w:rPr>
        <w:t>During 2012, participants could choose to have their deferred compensation mirror the performance of one or more of the following mutual funds, each of which is managed by a third party (these alternatives, which may be changed at any time, are a subset of those offered to participants in the defined contribution plans): Northern Trust Short Term Investment Fund, Northern Trust Aggregate Bond Index Fund-Lending, Northern Trust Russell</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1000 Value Index Fund-Lending, Northern Trust Russell 1000 Growth Index Fund-Lending, Northern Trust Russell 2000 Index Fund-Lending, Northern Trust MidCap 400 Index Fund-Lending, Fidelity Puritan Fund, BlackRock Equity Index Fund F, BlackRock (EAFE) (Europe, Australia, Far East) Equity Index Fund F, BlackRock Lifepath Index 2020 Fund F, BlackRock Lifepath Index 2030 Fund F, BlackRock Lifepath Index 2040 Fund F, BlackRock Lifepath Index 2050 Fund F and BlackRock Lifepath Index Retirement Fund F. From among the available investment alternatives, participants may change their instructions relating to their deferred compensation daily. Earnings on a participant’s balance are determined solely by the performance of the investments that the participant has chosen for his plan balance. The company does not guarantee any minimum return on investments. A third party administers the company’s deferred compensation program.</w:t>
      </w:r>
    </w:p>
    <w:p>
      <w:pPr>
        <w:spacing w:after="0" w:line="20" w:lineRule="exact"/>
        <w:rPr>
          <w:sz w:val="20"/>
          <w:szCs w:val="20"/>
          <w:color w:val="auto"/>
        </w:rPr>
      </w:pPr>
    </w:p>
    <w:p>
      <w:pPr>
        <w:ind w:right="80" w:firstLine="258"/>
        <w:spacing w:after="0" w:line="249" w:lineRule="auto"/>
        <w:rPr>
          <w:sz w:val="20"/>
          <w:szCs w:val="20"/>
          <w:color w:val="auto"/>
        </w:rPr>
      </w:pPr>
      <w:r>
        <w:rPr>
          <w:rFonts w:ascii="Arial" w:cs="Arial" w:eastAsia="Arial" w:hAnsi="Arial"/>
          <w:sz w:val="17"/>
          <w:szCs w:val="17"/>
          <w:color w:val="auto"/>
        </w:rPr>
        <w:t>A participant may request distribution from the plan in the case of an unforeseeable emergency. To obtain an unforeseeable emergency withdrawal, a participant must meet the requirements of Section 409A of the IRC. Otherwise, a participant’s balance is paid pursuant to his distribution election and is subject to applicable IRC limitations.</w:t>
      </w:r>
    </w:p>
    <w:p>
      <w:pPr>
        <w:spacing w:after="0" w:line="12" w:lineRule="exact"/>
        <w:rPr>
          <w:sz w:val="20"/>
          <w:szCs w:val="20"/>
          <w:color w:val="auto"/>
        </w:rPr>
      </w:pPr>
    </w:p>
    <w:p>
      <w:pPr>
        <w:ind w:right="60" w:firstLine="258"/>
        <w:spacing w:after="0" w:line="243" w:lineRule="auto"/>
        <w:rPr>
          <w:sz w:val="20"/>
          <w:szCs w:val="20"/>
          <w:color w:val="auto"/>
        </w:rPr>
      </w:pPr>
      <w:r>
        <w:rPr>
          <w:rFonts w:ascii="Arial" w:cs="Arial" w:eastAsia="Arial" w:hAnsi="Arial"/>
          <w:sz w:val="17"/>
          <w:szCs w:val="17"/>
          <w:color w:val="auto"/>
        </w:rPr>
        <w:t>Amounts contributed by the company, and amounts earned and deferred by the participant for which there is a valid distribution election on file, will be distributed in accordance with the participant’s election. Annually participants may elect separate distribution dates for deferred compensation attributable to a participant’s (i) bonus and profit sharing and (ii) salary. Participants may elect that these distributions be in the form of a lump sum or annual installments to be paid out over a period of five or ten consecutive years. Amounts for which no valid distribution election is on file will be distributed three years from the date of deferral.</w:t>
      </w:r>
    </w:p>
    <w:p>
      <w:pPr>
        <w:spacing w:after="0" w:line="18" w:lineRule="exact"/>
        <w:rPr>
          <w:sz w:val="20"/>
          <w:szCs w:val="20"/>
          <w:color w:val="auto"/>
        </w:rPr>
      </w:pPr>
    </w:p>
    <w:p>
      <w:pPr>
        <w:ind w:right="640" w:firstLine="258"/>
        <w:spacing w:after="0" w:line="261" w:lineRule="auto"/>
        <w:rPr>
          <w:sz w:val="20"/>
          <w:szCs w:val="20"/>
          <w:color w:val="auto"/>
        </w:rPr>
      </w:pPr>
      <w:r>
        <w:rPr>
          <w:rFonts w:ascii="Arial" w:cs="Arial" w:eastAsia="Arial" w:hAnsi="Arial"/>
          <w:sz w:val="17"/>
          <w:szCs w:val="17"/>
          <w:color w:val="auto"/>
        </w:rPr>
        <w:t>In the event of the participant’s death, payment will be in the form of a lump sum and the earliest date of payment is the first day of the second calendar month following the month of death.</w:t>
      </w:r>
    </w:p>
    <w:p>
      <w:pPr>
        <w:spacing w:after="0" w:line="1" w:lineRule="exact"/>
        <w:rPr>
          <w:sz w:val="20"/>
          <w:szCs w:val="20"/>
          <w:color w:val="auto"/>
        </w:rPr>
      </w:pPr>
    </w:p>
    <w:p>
      <w:pPr>
        <w:jc w:val="both"/>
        <w:ind w:right="80" w:firstLine="258"/>
        <w:spacing w:after="0" w:line="245" w:lineRule="auto"/>
        <w:rPr>
          <w:sz w:val="20"/>
          <w:szCs w:val="20"/>
          <w:color w:val="auto"/>
        </w:rPr>
      </w:pPr>
      <w:r>
        <w:rPr>
          <w:rFonts w:ascii="Arial" w:cs="Arial" w:eastAsia="Arial" w:hAnsi="Arial"/>
          <w:sz w:val="17"/>
          <w:szCs w:val="17"/>
          <w:color w:val="auto"/>
        </w:rPr>
        <w:t>Like the balances under the non-qualified defined benefit pension plans, deferred compensation balances are unsecured obligations of the company. For amounts earned and deferred prior to 2010, a change in control does not trigger a distribution under the plan. For amounts earned and deferred after 2009, distribution occurs, to the extent permitted by Section 409A of the IRC, if the participant is involuntarily terminated within 24 months after a change in control. Change in control is the Plan definition.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or change in control</w:t>
      </w:r>
    </w:p>
    <w:p>
      <w:pPr>
        <w:spacing w:after="0" w:line="225" w:lineRule="exact"/>
        <w:rPr>
          <w:sz w:val="20"/>
          <w:szCs w:val="20"/>
          <w:color w:val="auto"/>
        </w:rPr>
      </w:pPr>
    </w:p>
    <w:p>
      <w:pPr>
        <w:jc w:val="both"/>
        <w:ind w:right="120"/>
        <w:spacing w:after="0" w:line="241" w:lineRule="auto"/>
        <w:rPr>
          <w:sz w:val="20"/>
          <w:szCs w:val="20"/>
          <w:color w:val="auto"/>
        </w:rPr>
      </w:pPr>
      <w:r>
        <w:rPr>
          <w:rFonts w:ascii="Arial" w:cs="Arial" w:eastAsia="Arial" w:hAnsi="Arial"/>
          <w:sz w:val="17"/>
          <w:szCs w:val="17"/>
          <w:color w:val="auto"/>
        </w:rPr>
        <w:t>None of the named executive officers has an employment contract with the company. They are eligible for benefits on generally the same terms as other U.S. employees upon termination of employment or change in control of the company. TI does not reimburse executive officers for any income or excise taxes that are payable by the executive as a result of payments relating to termination or change in control.</w:t>
      </w:r>
    </w:p>
    <w:p>
      <w:pPr>
        <w:spacing w:after="0" w:line="218" w:lineRule="exact"/>
        <w:rPr>
          <w:sz w:val="20"/>
          <w:szCs w:val="20"/>
          <w:color w:val="auto"/>
        </w:rPr>
      </w:pPr>
    </w:p>
    <w:p>
      <w:pPr>
        <w:spacing w:after="0"/>
        <w:tabs>
          <w:tab w:leader="none" w:pos="95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2"/>
          <w:szCs w:val="12"/>
          <w:b w:val="1"/>
          <w:bCs w:val="1"/>
          <w:color w:val="808285"/>
        </w:rPr>
        <w:t>2013 PROXY STATEMENT •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auto"/>
        </w:rPr>
        <w:t>Termination</w:t>
      </w:r>
    </w:p>
    <w:p>
      <w:pPr>
        <w:ind w:right="740"/>
        <w:spacing w:after="0" w:line="245" w:lineRule="auto"/>
        <w:rPr>
          <w:sz w:val="20"/>
          <w:szCs w:val="20"/>
          <w:color w:val="auto"/>
        </w:rPr>
      </w:pPr>
      <w:r>
        <w:rPr>
          <w:rFonts w:ascii="Arial" w:cs="Arial" w:eastAsia="Arial" w:hAnsi="Arial"/>
          <w:sz w:val="17"/>
          <w:szCs w:val="17"/>
          <w:color w:val="auto"/>
        </w:rPr>
        <w:t>The following programs may result in payments to a named executive officer whose employment terminates. Most of these programs have been discussed above. For a discussion of the impact of these programs on the compensation decisions for 2012, please see page 79.</w:t>
      </w:r>
    </w:p>
    <w:p>
      <w:pPr>
        <w:spacing w:after="0" w:line="177" w:lineRule="exact"/>
        <w:rPr>
          <w:sz w:val="20"/>
          <w:szCs w:val="20"/>
          <w:color w:val="auto"/>
        </w:rPr>
      </w:pPr>
    </w:p>
    <w:p>
      <w:pPr>
        <w:ind w:right="740"/>
        <w:spacing w:after="0" w:line="253" w:lineRule="auto"/>
        <w:rPr>
          <w:sz w:val="20"/>
          <w:szCs w:val="20"/>
          <w:color w:val="auto"/>
        </w:rPr>
      </w:pPr>
      <w:r>
        <w:rPr>
          <w:rFonts w:ascii="Arial" w:cs="Arial" w:eastAsia="Arial" w:hAnsi="Arial"/>
          <w:sz w:val="17"/>
          <w:szCs w:val="17"/>
          <w:i w:val="1"/>
          <w:iCs w:val="1"/>
          <w:color w:val="auto"/>
        </w:rPr>
        <w:t xml:space="preserve">Bonus. </w:t>
      </w:r>
      <w:r>
        <w:rPr>
          <w:rFonts w:ascii="Arial" w:cs="Arial" w:eastAsia="Arial" w:hAnsi="Arial"/>
          <w:sz w:val="17"/>
          <w:szCs w:val="17"/>
          <w:color w:val="auto"/>
        </w:rPr>
        <w:t>Our policies concerning bonus and the timing of payments are described on page 70. Whether a bonus would be awarded under other</w:t>
      </w:r>
      <w:r>
        <w:rPr>
          <w:rFonts w:ascii="Arial" w:cs="Arial" w:eastAsia="Arial" w:hAnsi="Arial"/>
          <w:sz w:val="17"/>
          <w:szCs w:val="17"/>
          <w:i w:val="1"/>
          <w:iCs w:val="1"/>
          <w:color w:val="auto"/>
        </w:rPr>
        <w:t xml:space="preserve"> </w:t>
      </w:r>
      <w:r>
        <w:rPr>
          <w:rFonts w:ascii="Arial" w:cs="Arial" w:eastAsia="Arial" w:hAnsi="Arial"/>
          <w:sz w:val="17"/>
          <w:szCs w:val="17"/>
          <w:color w:val="auto"/>
        </w:rPr>
        <w:t>circumstances and in what amount would depend on the facts and circumstances of termination and is subject to the compensation committee’s discretion. If awarded, bonuses are paid by the company.</w:t>
      </w:r>
    </w:p>
    <w:p>
      <w:pPr>
        <w:spacing w:after="0" w:line="170"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i w:val="1"/>
          <w:iCs w:val="1"/>
          <w:color w:val="auto"/>
        </w:rPr>
        <w:t xml:space="preserve">Qualified and non-qualified defined benefit pension plans. </w:t>
      </w:r>
      <w:r>
        <w:rPr>
          <w:rFonts w:ascii="Arial" w:cs="Arial" w:eastAsia="Arial" w:hAnsi="Arial"/>
          <w:sz w:val="17"/>
          <w:szCs w:val="17"/>
          <w:color w:val="auto"/>
        </w:rPr>
        <w:t>The purposes of these plans are described on page 78. The formula for determining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the forms of benefit and the timing of payments are described on pages 87-88. The amounts disbursed under the qualified and non-qualified plans are paid, respectively, by the TI Employees Pension Trust and the company.</w:t>
      </w:r>
    </w:p>
    <w:p>
      <w:pPr>
        <w:spacing w:after="0" w:line="170" w:lineRule="exact"/>
        <w:rPr>
          <w:sz w:val="20"/>
          <w:szCs w:val="20"/>
          <w:color w:val="auto"/>
        </w:rPr>
      </w:pPr>
    </w:p>
    <w:p>
      <w:pPr>
        <w:ind w:right="320"/>
        <w:spacing w:after="0" w:line="268" w:lineRule="auto"/>
        <w:rPr>
          <w:sz w:val="20"/>
          <w:szCs w:val="20"/>
          <w:color w:val="auto"/>
        </w:rPr>
      </w:pPr>
      <w:r>
        <w:rPr>
          <w:rFonts w:ascii="Arial" w:cs="Arial" w:eastAsia="Arial" w:hAnsi="Arial"/>
          <w:sz w:val="17"/>
          <w:szCs w:val="17"/>
          <w:i w:val="1"/>
          <w:iCs w:val="1"/>
          <w:color w:val="auto"/>
        </w:rPr>
        <w:t xml:space="preserve">Survivor benefit plan. </w:t>
      </w:r>
      <w:r>
        <w:rPr>
          <w:rFonts w:ascii="Arial" w:cs="Arial" w:eastAsia="Arial" w:hAnsi="Arial"/>
          <w:sz w:val="17"/>
          <w:szCs w:val="17"/>
          <w:color w:val="auto"/>
        </w:rPr>
        <w:t>The purpose of this plan is described on page 88. The formula for determining the amount of benefit, the form of benefit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timing of payments are described on page 88. Amounts distributed are paid by the TI Employees Health Benefit Trust.</w:t>
      </w:r>
    </w:p>
    <w:p>
      <w:pPr>
        <w:spacing w:after="0" w:line="158"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i w:val="1"/>
          <w:iCs w:val="1"/>
          <w:color w:val="auto"/>
        </w:rPr>
        <w:t xml:space="preserve">Deferred compensation plan. </w:t>
      </w:r>
      <w:r>
        <w:rPr>
          <w:rFonts w:ascii="Arial" w:cs="Arial" w:eastAsia="Arial" w:hAnsi="Arial"/>
          <w:sz w:val="17"/>
          <w:szCs w:val="17"/>
          <w:color w:val="auto"/>
        </w:rPr>
        <w:t>The purpose of this plan is described on page 78. The amounts payable under this program depend solely on the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of investments that the participant has chosen for his plan balance. The timing of payments is discussed on page 89. Amounts distributed are paid by the company.</w:t>
      </w:r>
    </w:p>
    <w:p>
      <w:pPr>
        <w:spacing w:after="0" w:line="170"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i w:val="1"/>
          <w:iCs w:val="1"/>
          <w:color w:val="auto"/>
        </w:rPr>
        <w:t xml:space="preserve">Equity compensation. </w:t>
      </w:r>
      <w:r>
        <w:rPr>
          <w:rFonts w:ascii="Arial" w:cs="Arial" w:eastAsia="Arial" w:hAnsi="Arial"/>
          <w:sz w:val="17"/>
          <w:szCs w:val="17"/>
          <w:color w:val="auto"/>
        </w:rPr>
        <w:t>Depending on the circumstances of termination, grantees whose employment terminates may retain the right to exercise previously</w:t>
      </w:r>
      <w:r>
        <w:rPr>
          <w:rFonts w:ascii="Arial" w:cs="Arial" w:eastAsia="Arial" w:hAnsi="Arial"/>
          <w:sz w:val="17"/>
          <w:szCs w:val="17"/>
          <w:i w:val="1"/>
          <w:iCs w:val="1"/>
          <w:color w:val="auto"/>
        </w:rPr>
        <w:t xml:space="preserve"> </w:t>
      </w:r>
      <w:r>
        <w:rPr>
          <w:rFonts w:ascii="Arial" w:cs="Arial" w:eastAsia="Arial" w:hAnsi="Arial"/>
          <w:sz w:val="17"/>
          <w:szCs w:val="17"/>
          <w:color w:val="auto"/>
        </w:rPr>
        <w:t>granted stock options and receive shares under outstanding RSU awards. Please see page 85. RSU awards include a right to receive dividend equivalents. The dividend equivalents are paid annually by the company in a single cash payment after the last dividend payment of the year.</w:t>
      </w:r>
    </w:p>
    <w:p>
      <w:pPr>
        <w:spacing w:after="0" w:line="170" w:lineRule="exact"/>
        <w:rPr>
          <w:sz w:val="20"/>
          <w:szCs w:val="20"/>
          <w:color w:val="auto"/>
        </w:rPr>
      </w:pPr>
    </w:p>
    <w:p>
      <w:pPr>
        <w:ind w:right="440"/>
        <w:spacing w:after="0" w:line="268" w:lineRule="auto"/>
        <w:rPr>
          <w:sz w:val="20"/>
          <w:szCs w:val="20"/>
          <w:color w:val="auto"/>
        </w:rPr>
      </w:pPr>
      <w:r>
        <w:rPr>
          <w:rFonts w:ascii="Arial" w:cs="Arial" w:eastAsia="Arial" w:hAnsi="Arial"/>
          <w:sz w:val="17"/>
          <w:szCs w:val="17"/>
          <w:i w:val="1"/>
          <w:iCs w:val="1"/>
          <w:color w:val="auto"/>
        </w:rPr>
        <w:t xml:space="preserve">Perquisites. </w:t>
      </w:r>
      <w:r>
        <w:rPr>
          <w:rFonts w:ascii="Arial" w:cs="Arial" w:eastAsia="Arial" w:hAnsi="Arial"/>
          <w:sz w:val="17"/>
          <w:szCs w:val="17"/>
          <w:color w:val="auto"/>
        </w:rPr>
        <w:t>Financial counseling is available to executive officers in the year after retirement. Otherwise, no perquisites continue after termination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w:t>
      </w:r>
    </w:p>
    <w:p>
      <w:pPr>
        <w:spacing w:after="0" w:line="176"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In the case of a resignation pursuant to a separation arrangement, an executive officer (like other employees above a certain job grade level) will typically be offered a 12-month paid leave of absence before termination, in exchange for a non-compete and non-solicitation commitment and a release of claims against the company. The leave period will be credited to years of service under the pension plans described above. During the leave, the executive officer’s stock options will continue to become exercisable and his RSUs will continue to vest. Amounts paid to an individual during a paid leave of absence are not counted when calculating benefits under the qualified and non-qualified pension plans.</w:t>
      </w:r>
    </w:p>
    <w:p>
      <w:pPr>
        <w:spacing w:after="0" w:line="228" w:lineRule="exact"/>
        <w:rPr>
          <w:sz w:val="20"/>
          <w:szCs w:val="20"/>
          <w:color w:val="auto"/>
        </w:rPr>
      </w:pPr>
    </w:p>
    <w:p>
      <w:pPr>
        <w:jc w:val="both"/>
        <w:ind w:firstLine="258"/>
        <w:spacing w:after="0" w:line="262" w:lineRule="auto"/>
        <w:rPr>
          <w:sz w:val="20"/>
          <w:szCs w:val="20"/>
          <w:color w:val="auto"/>
        </w:rPr>
      </w:pPr>
      <w:r>
        <w:rPr>
          <w:rFonts w:ascii="Arial" w:cs="Arial" w:eastAsia="Arial" w:hAnsi="Arial"/>
          <w:sz w:val="16"/>
          <w:szCs w:val="16"/>
          <w:color w:val="auto"/>
        </w:rPr>
        <w:t>In the case of a separation arrangement in which the paid leave of absence expires when the executive officer will be at least 50 years old and have at least 15 years of employment with the company, the separation arrangement will typically include an unpaid leave of absence, to commence at the end of the paid leave and end when the executive officer has reached the earlier of age 55 with at least 20 years of employment or age 60 (bridge to retirement). The bridge to retirement will be credited to years of service under the qualified and non-qualified defined benefit plans described above. Stock options will continue to become exercisable and RSUs will remain in effect, but the number of RSUs will be reduced as described in note * on page 85.</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Change in Control</w:t>
      </w:r>
    </w:p>
    <w:p>
      <w:pPr>
        <w:ind w:right="100"/>
        <w:spacing w:after="0" w:line="245" w:lineRule="auto"/>
        <w:rPr>
          <w:sz w:val="20"/>
          <w:szCs w:val="20"/>
          <w:color w:val="auto"/>
        </w:rPr>
      </w:pPr>
      <w:r>
        <w:rPr>
          <w:rFonts w:ascii="Arial" w:cs="Arial" w:eastAsia="Arial" w:hAnsi="Arial"/>
          <w:sz w:val="17"/>
          <w:szCs w:val="17"/>
          <w:color w:val="auto"/>
        </w:rPr>
        <w:t>We have no program, plan or arrangement providing benefits triggered by a change in control except as described below. In fact, the only consequences of a change in control are the acceleration of payment of existing balances and the full vesting of certain outstanding equity awards.</w:t>
      </w:r>
    </w:p>
    <w:p>
      <w:pPr>
        <w:spacing w:after="0" w:line="14" w:lineRule="exact"/>
        <w:rPr>
          <w:sz w:val="20"/>
          <w:szCs w:val="20"/>
          <w:color w:val="auto"/>
        </w:rPr>
      </w:pPr>
    </w:p>
    <w:p>
      <w:pPr>
        <w:ind w:right="20" w:firstLine="258"/>
        <w:spacing w:after="0" w:line="249" w:lineRule="auto"/>
        <w:rPr>
          <w:sz w:val="20"/>
          <w:szCs w:val="20"/>
          <w:color w:val="auto"/>
        </w:rPr>
      </w:pPr>
      <w:r>
        <w:rPr>
          <w:rFonts w:ascii="Arial" w:cs="Arial" w:eastAsia="Arial" w:hAnsi="Arial"/>
          <w:sz w:val="17"/>
          <w:szCs w:val="17"/>
          <w:color w:val="auto"/>
        </w:rPr>
        <w:t>A change in control at December 31, 2012, would have triggered payment of the balance under the TI Employees Non-Qualified Pension Plan. Please see pages 88-89 for a discussion of the purpose of change in control provisions relating to the non-qualified defined benefit plans and the deferred compensation plan as well as the circumstances and the timing of payment.</w:t>
      </w:r>
    </w:p>
    <w:p>
      <w:pPr>
        <w:spacing w:after="0" w:line="12" w:lineRule="exact"/>
        <w:rPr>
          <w:sz w:val="20"/>
          <w:szCs w:val="20"/>
          <w:color w:val="auto"/>
        </w:rPr>
      </w:pPr>
    </w:p>
    <w:p>
      <w:pPr>
        <w:ind w:right="220" w:firstLine="258"/>
        <w:spacing w:after="0" w:line="261" w:lineRule="auto"/>
        <w:rPr>
          <w:sz w:val="20"/>
          <w:szCs w:val="20"/>
          <w:color w:val="auto"/>
        </w:rPr>
      </w:pPr>
      <w:r>
        <w:rPr>
          <w:rFonts w:ascii="Arial" w:cs="Arial" w:eastAsia="Arial" w:hAnsi="Arial"/>
          <w:sz w:val="17"/>
          <w:szCs w:val="17"/>
          <w:color w:val="auto"/>
        </w:rPr>
        <w:t>An involuntary termination (not for cause) within 24 months after a change in control of TI will accelerate, to the extent permitted by Section 409A of the IRC, the vesting of options and RSUs granted after 2009.</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Please see page 85 for further information concerning change in control provisions relating to stock options and RSU awards.</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For a discussion of the impact of these programs on the compensation decisions for 2012, please see page 79.</w:t>
      </w:r>
    </w:p>
    <w:p>
      <w:pPr>
        <w:spacing w:after="0" w:line="224" w:lineRule="exact"/>
        <w:rPr>
          <w:sz w:val="20"/>
          <w:szCs w:val="20"/>
          <w:color w:val="auto"/>
        </w:rPr>
      </w:pPr>
    </w:p>
    <w:p>
      <w:pPr>
        <w:spacing w:after="0"/>
        <w:tabs>
          <w:tab w:leader="none" w:pos="10000" w:val="left"/>
        </w:tabs>
        <w:rPr>
          <w:sz w:val="20"/>
          <w:szCs w:val="20"/>
          <w:color w:val="auto"/>
        </w:rPr>
      </w:pPr>
      <w:r>
        <w:rPr>
          <w:rFonts w:ascii="Arial" w:cs="Arial" w:eastAsia="Arial" w:hAnsi="Arial"/>
          <w:sz w:val="13"/>
          <w:szCs w:val="13"/>
          <w:b w:val="1"/>
          <w:bCs w:val="1"/>
          <w:color w:val="808285"/>
        </w:rPr>
        <w:t>90 •  2013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color w:val="auto"/>
        </w:rPr>
        <w:t>The table below shows the potential payments upon termination or change in control for each of the named executive officers.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center"/>
              <w:ind w:right="116"/>
              <w:spacing w:after="0"/>
              <w:rPr>
                <w:sz w:val="20"/>
                <w:szCs w:val="20"/>
                <w:color w:val="auto"/>
              </w:rPr>
            </w:pPr>
            <w:r>
              <w:rPr>
                <w:rFonts w:ascii="Arial" w:cs="Arial" w:eastAsia="Arial" w:hAnsi="Arial"/>
                <w:sz w:val="13"/>
                <w:szCs w:val="13"/>
                <w:b w:val="1"/>
                <w:bCs w:val="1"/>
                <w:color w:val="auto"/>
                <w:w w:val="94"/>
              </w:rPr>
              <w:t>Non-</w:t>
            </w:r>
          </w:p>
        </w:tc>
        <w:tc>
          <w:tcPr>
            <w:tcW w:w="200" w:type="dxa"/>
            <w:vAlign w:val="bottom"/>
          </w:tcPr>
          <w:p>
            <w:pPr>
              <w:spacing w:after="0"/>
              <w:rPr>
                <w:sz w:val="14"/>
                <w:szCs w:val="14"/>
                <w:color w:val="auto"/>
              </w:rPr>
            </w:pPr>
          </w:p>
        </w:tc>
        <w:tc>
          <w:tcPr>
            <w:tcW w:w="1120" w:type="dxa"/>
            <w:vAlign w:val="bottom"/>
          </w:tcPr>
          <w:p>
            <w:pPr>
              <w:jc w:val="center"/>
              <w:ind w:right="140"/>
              <w:spacing w:after="0"/>
              <w:rPr>
                <w:sz w:val="20"/>
                <w:szCs w:val="20"/>
                <w:color w:val="auto"/>
              </w:rPr>
            </w:pPr>
            <w:r>
              <w:rPr>
                <w:rFonts w:ascii="Arial" w:cs="Arial" w:eastAsia="Arial" w:hAnsi="Arial"/>
                <w:sz w:val="13"/>
                <w:szCs w:val="13"/>
                <w:b w:val="1"/>
                <w:bCs w:val="1"/>
                <w:color w:val="auto"/>
              </w:rPr>
              <w:t>Non-</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233"/>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center"/>
              <w:ind w:right="16"/>
              <w:spacing w:after="0"/>
              <w:rPr>
                <w:sz w:val="20"/>
                <w:szCs w:val="20"/>
                <w:color w:val="auto"/>
              </w:rPr>
            </w:pPr>
            <w:r>
              <w:rPr>
                <w:rFonts w:ascii="Arial" w:cs="Arial" w:eastAsia="Arial" w:hAnsi="Arial"/>
                <w:sz w:val="13"/>
                <w:szCs w:val="13"/>
                <w:b w:val="1"/>
                <w:bCs w:val="1"/>
                <w:color w:val="auto"/>
                <w:w w:val="96"/>
              </w:rPr>
              <w:t>Qualified</w:t>
            </w:r>
          </w:p>
        </w:tc>
        <w:tc>
          <w:tcPr>
            <w:tcW w:w="300" w:type="dxa"/>
            <w:vAlign w:val="bottom"/>
          </w:tcPr>
          <w:p>
            <w:pPr>
              <w:spacing w:after="0"/>
              <w:rPr>
                <w:sz w:val="20"/>
                <w:szCs w:val="20"/>
                <w:color w:val="auto"/>
              </w:rPr>
            </w:pPr>
          </w:p>
        </w:tc>
        <w:tc>
          <w:tcPr>
            <w:tcW w:w="960" w:type="dxa"/>
            <w:vAlign w:val="bottom"/>
            <w:gridSpan w:val="2"/>
          </w:tcPr>
          <w:p>
            <w:pPr>
              <w:jc w:val="center"/>
              <w:ind w:right="116"/>
              <w:spacing w:after="0"/>
              <w:rPr>
                <w:sz w:val="20"/>
                <w:szCs w:val="20"/>
                <w:color w:val="auto"/>
              </w:rPr>
            </w:pPr>
            <w:r>
              <w:rPr>
                <w:rFonts w:ascii="Arial" w:cs="Arial" w:eastAsia="Arial" w:hAnsi="Arial"/>
                <w:sz w:val="13"/>
                <w:szCs w:val="13"/>
                <w:b w:val="1"/>
                <w:bCs w:val="1"/>
                <w:color w:val="auto"/>
              </w:rPr>
              <w:t>Qualified</w:t>
            </w:r>
          </w:p>
        </w:tc>
        <w:tc>
          <w:tcPr>
            <w:tcW w:w="200" w:type="dxa"/>
            <w:vAlign w:val="bottom"/>
          </w:tcPr>
          <w:p>
            <w:pPr>
              <w:spacing w:after="0"/>
              <w:rPr>
                <w:sz w:val="20"/>
                <w:szCs w:val="20"/>
                <w:color w:val="auto"/>
              </w:rPr>
            </w:pPr>
          </w:p>
        </w:tc>
        <w:tc>
          <w:tcPr>
            <w:tcW w:w="1120" w:type="dxa"/>
            <w:vAlign w:val="bottom"/>
          </w:tcPr>
          <w:p>
            <w:pPr>
              <w:jc w:val="center"/>
              <w:ind w:right="120"/>
              <w:spacing w:after="0"/>
              <w:rPr>
                <w:sz w:val="20"/>
                <w:szCs w:val="20"/>
                <w:color w:val="auto"/>
              </w:rPr>
            </w:pPr>
            <w:r>
              <w:rPr>
                <w:rFonts w:ascii="Arial" w:cs="Arial" w:eastAsia="Arial" w:hAnsi="Arial"/>
                <w:sz w:val="13"/>
                <w:szCs w:val="13"/>
                <w:b w:val="1"/>
                <w:bCs w:val="1"/>
                <w:color w:val="auto"/>
              </w:rPr>
              <w:t>Qualified</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3"/>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center"/>
              <w:ind w:right="36"/>
              <w:spacing w:after="0"/>
              <w:rPr>
                <w:sz w:val="20"/>
                <w:szCs w:val="20"/>
                <w:color w:val="auto"/>
              </w:rPr>
            </w:pPr>
            <w:r>
              <w:rPr>
                <w:rFonts w:ascii="Arial" w:cs="Arial" w:eastAsia="Arial" w:hAnsi="Arial"/>
                <w:sz w:val="13"/>
                <w:szCs w:val="13"/>
                <w:b w:val="1"/>
                <w:bCs w:val="1"/>
                <w:color w:val="auto"/>
              </w:rPr>
              <w:t>Defined</w:t>
            </w:r>
          </w:p>
        </w:tc>
        <w:tc>
          <w:tcPr>
            <w:tcW w:w="300" w:type="dxa"/>
            <w:vAlign w:val="bottom"/>
          </w:tcPr>
          <w:p>
            <w:pPr>
              <w:spacing w:after="0"/>
              <w:rPr>
                <w:sz w:val="20"/>
                <w:szCs w:val="20"/>
                <w:color w:val="auto"/>
              </w:rPr>
            </w:pPr>
          </w:p>
        </w:tc>
        <w:tc>
          <w:tcPr>
            <w:tcW w:w="960" w:type="dxa"/>
            <w:vAlign w:val="bottom"/>
            <w:gridSpan w:val="2"/>
          </w:tcPr>
          <w:p>
            <w:pPr>
              <w:jc w:val="center"/>
              <w:ind w:right="116"/>
              <w:spacing w:after="0"/>
              <w:rPr>
                <w:sz w:val="20"/>
                <w:szCs w:val="20"/>
                <w:color w:val="auto"/>
              </w:rPr>
            </w:pPr>
            <w:r>
              <w:rPr>
                <w:rFonts w:ascii="Arial" w:cs="Arial" w:eastAsia="Arial" w:hAnsi="Arial"/>
                <w:sz w:val="13"/>
                <w:szCs w:val="13"/>
                <w:b w:val="1"/>
                <w:bCs w:val="1"/>
                <w:color w:val="auto"/>
              </w:rPr>
              <w:t>Defined</w:t>
            </w:r>
          </w:p>
        </w:tc>
        <w:tc>
          <w:tcPr>
            <w:tcW w:w="200" w:type="dxa"/>
            <w:vAlign w:val="bottom"/>
          </w:tcPr>
          <w:p>
            <w:pPr>
              <w:spacing w:after="0"/>
              <w:rPr>
                <w:sz w:val="20"/>
                <w:szCs w:val="20"/>
                <w:color w:val="auto"/>
              </w:rPr>
            </w:pPr>
          </w:p>
        </w:tc>
        <w:tc>
          <w:tcPr>
            <w:tcW w:w="1120" w:type="dxa"/>
            <w:vAlign w:val="bottom"/>
          </w:tcPr>
          <w:p>
            <w:pPr>
              <w:jc w:val="center"/>
              <w:ind w:right="120"/>
              <w:spacing w:after="0"/>
              <w:rPr>
                <w:sz w:val="20"/>
                <w:szCs w:val="20"/>
                <w:color w:val="auto"/>
              </w:rPr>
            </w:pPr>
            <w:r>
              <w:rPr>
                <w:rFonts w:ascii="Arial" w:cs="Arial" w:eastAsia="Arial" w:hAnsi="Arial"/>
                <w:sz w:val="13"/>
                <w:szCs w:val="13"/>
                <w:b w:val="1"/>
                <w:bCs w:val="1"/>
                <w:color w:val="auto"/>
              </w:rPr>
              <w:t>Defined</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3"/>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center"/>
              <w:ind w:right="36"/>
              <w:spacing w:after="0"/>
              <w:rPr>
                <w:sz w:val="20"/>
                <w:szCs w:val="20"/>
                <w:color w:val="auto"/>
              </w:rPr>
            </w:pPr>
            <w:r>
              <w:rPr>
                <w:rFonts w:ascii="Arial" w:cs="Arial" w:eastAsia="Arial" w:hAnsi="Arial"/>
                <w:sz w:val="13"/>
                <w:szCs w:val="13"/>
                <w:b w:val="1"/>
                <w:bCs w:val="1"/>
                <w:color w:val="auto"/>
                <w:w w:val="99"/>
              </w:rPr>
              <w:t>Benefit</w:t>
            </w:r>
          </w:p>
        </w:tc>
        <w:tc>
          <w:tcPr>
            <w:tcW w:w="300" w:type="dxa"/>
            <w:vAlign w:val="bottom"/>
          </w:tcPr>
          <w:p>
            <w:pPr>
              <w:spacing w:after="0"/>
              <w:rPr>
                <w:sz w:val="20"/>
                <w:szCs w:val="20"/>
                <w:color w:val="auto"/>
              </w:rPr>
            </w:pPr>
          </w:p>
        </w:tc>
        <w:tc>
          <w:tcPr>
            <w:tcW w:w="960" w:type="dxa"/>
            <w:vAlign w:val="bottom"/>
            <w:gridSpan w:val="2"/>
          </w:tcPr>
          <w:p>
            <w:pPr>
              <w:jc w:val="center"/>
              <w:ind w:right="116"/>
              <w:spacing w:after="0"/>
              <w:rPr>
                <w:sz w:val="20"/>
                <w:szCs w:val="20"/>
                <w:color w:val="auto"/>
              </w:rPr>
            </w:pPr>
            <w:r>
              <w:rPr>
                <w:rFonts w:ascii="Arial" w:cs="Arial" w:eastAsia="Arial" w:hAnsi="Arial"/>
                <w:sz w:val="13"/>
                <w:szCs w:val="13"/>
                <w:b w:val="1"/>
                <w:bCs w:val="1"/>
                <w:color w:val="auto"/>
                <w:w w:val="99"/>
              </w:rPr>
              <w:t>Benefit</w:t>
            </w:r>
          </w:p>
        </w:tc>
        <w:tc>
          <w:tcPr>
            <w:tcW w:w="200" w:type="dxa"/>
            <w:vAlign w:val="bottom"/>
          </w:tcPr>
          <w:p>
            <w:pPr>
              <w:spacing w:after="0"/>
              <w:rPr>
                <w:sz w:val="20"/>
                <w:szCs w:val="20"/>
                <w:color w:val="auto"/>
              </w:rPr>
            </w:pPr>
          </w:p>
        </w:tc>
        <w:tc>
          <w:tcPr>
            <w:tcW w:w="1120" w:type="dxa"/>
            <w:vAlign w:val="bottom"/>
          </w:tcPr>
          <w:p>
            <w:pPr>
              <w:jc w:val="center"/>
              <w:ind w:right="120"/>
              <w:spacing w:after="0"/>
              <w:rPr>
                <w:sz w:val="20"/>
                <w:szCs w:val="20"/>
                <w:color w:val="auto"/>
              </w:rPr>
            </w:pPr>
            <w:r>
              <w:rPr>
                <w:rFonts w:ascii="Arial" w:cs="Arial" w:eastAsia="Arial" w:hAnsi="Arial"/>
                <w:sz w:val="13"/>
                <w:szCs w:val="13"/>
                <w:b w:val="1"/>
                <w:bCs w:val="1"/>
                <w:color w:val="auto"/>
                <w:w w:val="99"/>
              </w:rPr>
              <w:t>Benefit</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3"/>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center"/>
              <w:ind w:right="16"/>
              <w:spacing w:after="0"/>
              <w:rPr>
                <w:sz w:val="20"/>
                <w:szCs w:val="20"/>
                <w:color w:val="auto"/>
              </w:rPr>
            </w:pPr>
            <w:r>
              <w:rPr>
                <w:rFonts w:ascii="Arial" w:cs="Arial" w:eastAsia="Arial" w:hAnsi="Arial"/>
                <w:sz w:val="13"/>
                <w:szCs w:val="13"/>
                <w:b w:val="1"/>
                <w:bCs w:val="1"/>
                <w:color w:val="auto"/>
                <w:w w:val="98"/>
              </w:rPr>
              <w:t>Pension</w:t>
            </w:r>
          </w:p>
        </w:tc>
        <w:tc>
          <w:tcPr>
            <w:tcW w:w="300" w:type="dxa"/>
            <w:vAlign w:val="bottom"/>
          </w:tcPr>
          <w:p>
            <w:pPr>
              <w:spacing w:after="0"/>
              <w:rPr>
                <w:sz w:val="20"/>
                <w:szCs w:val="20"/>
                <w:color w:val="auto"/>
              </w:rPr>
            </w:pPr>
          </w:p>
        </w:tc>
        <w:tc>
          <w:tcPr>
            <w:tcW w:w="960" w:type="dxa"/>
            <w:vAlign w:val="bottom"/>
            <w:gridSpan w:val="2"/>
          </w:tcPr>
          <w:p>
            <w:pPr>
              <w:jc w:val="center"/>
              <w:ind w:right="116"/>
              <w:spacing w:after="0"/>
              <w:rPr>
                <w:sz w:val="20"/>
                <w:szCs w:val="20"/>
                <w:color w:val="auto"/>
              </w:rPr>
            </w:pPr>
            <w:r>
              <w:rPr>
                <w:rFonts w:ascii="Arial" w:cs="Arial" w:eastAsia="Arial" w:hAnsi="Arial"/>
                <w:sz w:val="13"/>
                <w:szCs w:val="13"/>
                <w:b w:val="1"/>
                <w:bCs w:val="1"/>
                <w:color w:val="auto"/>
              </w:rPr>
              <w:t>Pension</w:t>
            </w:r>
          </w:p>
        </w:tc>
        <w:tc>
          <w:tcPr>
            <w:tcW w:w="200" w:type="dxa"/>
            <w:vAlign w:val="bottom"/>
          </w:tcPr>
          <w:p>
            <w:pPr>
              <w:spacing w:after="0"/>
              <w:rPr>
                <w:sz w:val="20"/>
                <w:szCs w:val="20"/>
                <w:color w:val="auto"/>
              </w:rPr>
            </w:pPr>
          </w:p>
        </w:tc>
        <w:tc>
          <w:tcPr>
            <w:tcW w:w="1120" w:type="dxa"/>
            <w:vAlign w:val="bottom"/>
          </w:tcPr>
          <w:p>
            <w:pPr>
              <w:jc w:val="center"/>
              <w:ind w:right="140"/>
              <w:spacing w:after="0"/>
              <w:rPr>
                <w:sz w:val="20"/>
                <w:szCs w:val="20"/>
                <w:color w:val="auto"/>
              </w:rPr>
            </w:pPr>
            <w:r>
              <w:rPr>
                <w:rFonts w:ascii="Arial" w:cs="Arial" w:eastAsia="Arial" w:hAnsi="Arial"/>
                <w:sz w:val="13"/>
                <w:szCs w:val="13"/>
                <w:b w:val="1"/>
                <w:bCs w:val="1"/>
                <w:color w:val="auto"/>
                <w:w w:val="98"/>
              </w:rPr>
              <w:t>Pension</w:t>
            </w:r>
          </w:p>
        </w:tc>
        <w:tc>
          <w:tcPr>
            <w:tcW w:w="1160" w:type="dxa"/>
            <w:vAlign w:val="bottom"/>
          </w:tcPr>
          <w:p>
            <w:pPr>
              <w:jc w:val="right"/>
              <w:ind w:right="237"/>
              <w:spacing w:after="0"/>
              <w:rPr>
                <w:sz w:val="20"/>
                <w:szCs w:val="20"/>
                <w:color w:val="auto"/>
              </w:rPr>
            </w:pPr>
            <w:r>
              <w:rPr>
                <w:rFonts w:ascii="Arial" w:cs="Arial" w:eastAsia="Arial" w:hAnsi="Arial"/>
                <w:sz w:val="13"/>
                <w:szCs w:val="13"/>
                <w:b w:val="1"/>
                <w:bCs w:val="1"/>
                <w:color w:val="auto"/>
              </w:rPr>
              <w:t>Deferred</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b w:val="1"/>
                <w:bCs w:val="1"/>
                <w:color w:val="auto"/>
              </w:rPr>
              <w:t>Stock</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3"/>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center"/>
              <w:ind w:right="16"/>
              <w:spacing w:after="0"/>
              <w:rPr>
                <w:sz w:val="20"/>
                <w:szCs w:val="20"/>
                <w:color w:val="auto"/>
              </w:rPr>
            </w:pPr>
            <w:r>
              <w:rPr>
                <w:rFonts w:ascii="Arial" w:cs="Arial" w:eastAsia="Arial" w:hAnsi="Arial"/>
                <w:sz w:val="13"/>
                <w:szCs w:val="13"/>
                <w:b w:val="1"/>
                <w:bCs w:val="1"/>
                <w:color w:val="auto"/>
                <w:w w:val="94"/>
              </w:rPr>
              <w:t>Plan</w:t>
            </w:r>
          </w:p>
        </w:tc>
        <w:tc>
          <w:tcPr>
            <w:tcW w:w="300" w:type="dxa"/>
            <w:vAlign w:val="bottom"/>
          </w:tcPr>
          <w:p>
            <w:pPr>
              <w:spacing w:after="0"/>
              <w:rPr>
                <w:sz w:val="20"/>
                <w:szCs w:val="20"/>
                <w:color w:val="auto"/>
              </w:rPr>
            </w:pPr>
          </w:p>
        </w:tc>
        <w:tc>
          <w:tcPr>
            <w:tcW w:w="960" w:type="dxa"/>
            <w:vAlign w:val="bottom"/>
            <w:gridSpan w:val="2"/>
          </w:tcPr>
          <w:p>
            <w:pPr>
              <w:jc w:val="center"/>
              <w:ind w:right="116"/>
              <w:spacing w:after="0"/>
              <w:rPr>
                <w:sz w:val="20"/>
                <w:szCs w:val="20"/>
                <w:color w:val="auto"/>
              </w:rPr>
            </w:pPr>
            <w:r>
              <w:rPr>
                <w:rFonts w:ascii="Arial" w:cs="Arial" w:eastAsia="Arial" w:hAnsi="Arial"/>
                <w:sz w:val="13"/>
                <w:szCs w:val="13"/>
                <w:b w:val="1"/>
                <w:bCs w:val="1"/>
                <w:color w:val="auto"/>
              </w:rPr>
              <w:t>Plan</w:t>
            </w:r>
          </w:p>
        </w:tc>
        <w:tc>
          <w:tcPr>
            <w:tcW w:w="200" w:type="dxa"/>
            <w:vAlign w:val="bottom"/>
          </w:tcPr>
          <w:p>
            <w:pPr>
              <w:spacing w:after="0"/>
              <w:rPr>
                <w:sz w:val="20"/>
                <w:szCs w:val="20"/>
                <w:color w:val="auto"/>
              </w:rPr>
            </w:pPr>
          </w:p>
        </w:tc>
        <w:tc>
          <w:tcPr>
            <w:tcW w:w="1120" w:type="dxa"/>
            <w:vAlign w:val="bottom"/>
          </w:tcPr>
          <w:p>
            <w:pPr>
              <w:jc w:val="center"/>
              <w:ind w:right="140"/>
              <w:spacing w:after="0"/>
              <w:rPr>
                <w:sz w:val="20"/>
                <w:szCs w:val="20"/>
                <w:color w:val="auto"/>
              </w:rPr>
            </w:pPr>
            <w:r>
              <w:rPr>
                <w:rFonts w:ascii="Arial" w:cs="Arial" w:eastAsia="Arial" w:hAnsi="Arial"/>
                <w:sz w:val="13"/>
                <w:szCs w:val="13"/>
                <w:b w:val="1"/>
                <w:bCs w:val="1"/>
                <w:color w:val="auto"/>
                <w:w w:val="99"/>
              </w:rPr>
              <w:t>Plan II</w:t>
            </w:r>
          </w:p>
        </w:tc>
        <w:tc>
          <w:tcPr>
            <w:tcW w:w="1160" w:type="dxa"/>
            <w:vAlign w:val="bottom"/>
          </w:tcPr>
          <w:p>
            <w:pPr>
              <w:jc w:val="right"/>
              <w:ind w:right="57"/>
              <w:spacing w:after="0"/>
              <w:rPr>
                <w:sz w:val="20"/>
                <w:szCs w:val="20"/>
                <w:color w:val="auto"/>
              </w:rPr>
            </w:pPr>
            <w:r>
              <w:rPr>
                <w:rFonts w:ascii="Arial" w:cs="Arial" w:eastAsia="Arial" w:hAnsi="Arial"/>
                <w:sz w:val="13"/>
                <w:szCs w:val="13"/>
                <w:b w:val="1"/>
                <w:bCs w:val="1"/>
                <w:color w:val="auto"/>
              </w:rPr>
              <w:t>Compensation</w:t>
            </w:r>
          </w:p>
        </w:tc>
        <w:tc>
          <w:tcPr>
            <w:tcW w:w="200" w:type="dxa"/>
            <w:vAlign w:val="bottom"/>
          </w:tcPr>
          <w:p>
            <w:pPr>
              <w:spacing w:after="0"/>
              <w:rPr>
                <w:sz w:val="20"/>
                <w:szCs w:val="20"/>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b w:val="1"/>
                <w:bCs w:val="1"/>
                <w:color w:val="auto"/>
              </w:rPr>
              <w:t>RSUs</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Options</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b w:val="1"/>
                <w:bCs w:val="1"/>
                <w:color w:val="auto"/>
              </w:rPr>
              <w:t>Total</w:t>
            </w:r>
          </w:p>
        </w:tc>
        <w:tc>
          <w:tcPr>
            <w:tcW w:w="320" w:type="dxa"/>
            <w:vAlign w:val="bottom"/>
          </w:tcPr>
          <w:p>
            <w:pPr>
              <w:spacing w:after="0"/>
              <w:rPr>
                <w:sz w:val="20"/>
                <w:szCs w:val="20"/>
                <w:color w:val="auto"/>
              </w:rPr>
            </w:pPr>
          </w:p>
        </w:tc>
      </w:tr>
      <w:tr>
        <w:trPr>
          <w:trHeight w:val="45"/>
        </w:trPr>
        <w:tc>
          <w:tcPr>
            <w:tcW w:w="2180" w:type="dxa"/>
            <w:vAlign w:val="bottom"/>
            <w:tcBorders>
              <w:bottom w:val="single" w:sz="8" w:color="808285"/>
            </w:tcBorders>
          </w:tcPr>
          <w:p>
            <w:pPr>
              <w:spacing w:after="0"/>
              <w:rPr>
                <w:sz w:val="3"/>
                <w:szCs w:val="3"/>
                <w:color w:val="auto"/>
              </w:rPr>
            </w:pPr>
          </w:p>
        </w:tc>
        <w:tc>
          <w:tcPr>
            <w:tcW w:w="200" w:type="dxa"/>
            <w:vAlign w:val="bottom"/>
            <w:tcBorders>
              <w:bottom w:val="single" w:sz="8" w:color="808285"/>
            </w:tcBorders>
          </w:tcPr>
          <w:p>
            <w:pPr>
              <w:spacing w:after="0"/>
              <w:rPr>
                <w:sz w:val="3"/>
                <w:szCs w:val="3"/>
                <w:color w:val="auto"/>
              </w:rPr>
            </w:pPr>
          </w:p>
        </w:tc>
        <w:tc>
          <w:tcPr>
            <w:tcW w:w="760" w:type="dxa"/>
            <w:vAlign w:val="bottom"/>
            <w:tcBorders>
              <w:bottom w:val="single" w:sz="8" w:color="808285"/>
            </w:tcBorders>
          </w:tcPr>
          <w:p>
            <w:pPr>
              <w:spacing w:after="0"/>
              <w:rPr>
                <w:sz w:val="3"/>
                <w:szCs w:val="3"/>
                <w:color w:val="auto"/>
              </w:rPr>
            </w:pPr>
          </w:p>
        </w:tc>
        <w:tc>
          <w:tcPr>
            <w:tcW w:w="240" w:type="dxa"/>
            <w:vAlign w:val="bottom"/>
            <w:tcBorders>
              <w:bottom w:val="single" w:sz="8" w:color="808285"/>
            </w:tcBorders>
          </w:tcPr>
          <w:p>
            <w:pPr>
              <w:spacing w:after="0"/>
              <w:rPr>
                <w:sz w:val="3"/>
                <w:szCs w:val="3"/>
                <w:color w:val="auto"/>
              </w:rPr>
            </w:pPr>
          </w:p>
        </w:tc>
        <w:tc>
          <w:tcPr>
            <w:tcW w:w="300" w:type="dxa"/>
            <w:vAlign w:val="bottom"/>
            <w:tcBorders>
              <w:bottom w:val="single" w:sz="8" w:color="808285"/>
            </w:tcBorders>
          </w:tcPr>
          <w:p>
            <w:pPr>
              <w:spacing w:after="0"/>
              <w:rPr>
                <w:sz w:val="3"/>
                <w:szCs w:val="3"/>
                <w:color w:val="auto"/>
              </w:rPr>
            </w:pPr>
          </w:p>
        </w:tc>
        <w:tc>
          <w:tcPr>
            <w:tcW w:w="620" w:type="dxa"/>
            <w:vAlign w:val="bottom"/>
            <w:tcBorders>
              <w:bottom w:val="single" w:sz="8" w:color="808285"/>
            </w:tcBorders>
          </w:tcPr>
          <w:p>
            <w:pPr>
              <w:spacing w:after="0"/>
              <w:rPr>
                <w:sz w:val="3"/>
                <w:szCs w:val="3"/>
                <w:color w:val="auto"/>
              </w:rPr>
            </w:pPr>
          </w:p>
        </w:tc>
        <w:tc>
          <w:tcPr>
            <w:tcW w:w="340" w:type="dxa"/>
            <w:vAlign w:val="bottom"/>
            <w:tcBorders>
              <w:bottom w:val="single" w:sz="8" w:color="808285"/>
            </w:tcBorders>
          </w:tcPr>
          <w:p>
            <w:pPr>
              <w:spacing w:after="0"/>
              <w:rPr>
                <w:sz w:val="3"/>
                <w:szCs w:val="3"/>
                <w:color w:val="auto"/>
              </w:rPr>
            </w:pPr>
          </w:p>
        </w:tc>
        <w:tc>
          <w:tcPr>
            <w:tcW w:w="200" w:type="dxa"/>
            <w:vAlign w:val="bottom"/>
            <w:tcBorders>
              <w:bottom w:val="single" w:sz="8" w:color="808285"/>
            </w:tcBorders>
          </w:tcPr>
          <w:p>
            <w:pPr>
              <w:spacing w:after="0"/>
              <w:rPr>
                <w:sz w:val="3"/>
                <w:szCs w:val="3"/>
                <w:color w:val="auto"/>
              </w:rPr>
            </w:pPr>
          </w:p>
        </w:tc>
        <w:tc>
          <w:tcPr>
            <w:tcW w:w="1120" w:type="dxa"/>
            <w:vAlign w:val="bottom"/>
            <w:tcBorders>
              <w:bottom w:val="single" w:sz="8" w:color="808285"/>
            </w:tcBorders>
          </w:tcPr>
          <w:p>
            <w:pPr>
              <w:spacing w:after="0"/>
              <w:rPr>
                <w:sz w:val="3"/>
                <w:szCs w:val="3"/>
                <w:color w:val="auto"/>
              </w:rPr>
            </w:pPr>
          </w:p>
        </w:tc>
        <w:tc>
          <w:tcPr>
            <w:tcW w:w="1160" w:type="dxa"/>
            <w:vAlign w:val="bottom"/>
            <w:tcBorders>
              <w:bottom w:val="single" w:sz="8" w:color="808285"/>
            </w:tcBorders>
          </w:tcPr>
          <w:p>
            <w:pPr>
              <w:spacing w:after="0"/>
              <w:rPr>
                <w:sz w:val="3"/>
                <w:szCs w:val="3"/>
                <w:color w:val="auto"/>
              </w:rPr>
            </w:pPr>
          </w:p>
        </w:tc>
        <w:tc>
          <w:tcPr>
            <w:tcW w:w="200" w:type="dxa"/>
            <w:vAlign w:val="bottom"/>
            <w:tcBorders>
              <w:bottom w:val="single" w:sz="8" w:color="808285"/>
            </w:tcBorders>
          </w:tcPr>
          <w:p>
            <w:pPr>
              <w:spacing w:after="0"/>
              <w:rPr>
                <w:sz w:val="3"/>
                <w:szCs w:val="3"/>
                <w:color w:val="auto"/>
              </w:rPr>
            </w:pPr>
          </w:p>
        </w:tc>
        <w:tc>
          <w:tcPr>
            <w:tcW w:w="860" w:type="dxa"/>
            <w:vAlign w:val="bottom"/>
            <w:tcBorders>
              <w:bottom w:val="single" w:sz="8" w:color="808285"/>
            </w:tcBorders>
          </w:tcPr>
          <w:p>
            <w:pPr>
              <w:spacing w:after="0"/>
              <w:rPr>
                <w:sz w:val="3"/>
                <w:szCs w:val="3"/>
                <w:color w:val="auto"/>
              </w:rPr>
            </w:pPr>
          </w:p>
        </w:tc>
        <w:tc>
          <w:tcPr>
            <w:tcW w:w="440" w:type="dxa"/>
            <w:vAlign w:val="bottom"/>
            <w:tcBorders>
              <w:bottom w:val="single" w:sz="8" w:color="808285"/>
            </w:tcBorders>
          </w:tcPr>
          <w:p>
            <w:pPr>
              <w:spacing w:after="0"/>
              <w:rPr>
                <w:sz w:val="3"/>
                <w:szCs w:val="3"/>
                <w:color w:val="auto"/>
              </w:rPr>
            </w:pPr>
          </w:p>
        </w:tc>
        <w:tc>
          <w:tcPr>
            <w:tcW w:w="220" w:type="dxa"/>
            <w:vAlign w:val="bottom"/>
            <w:tcBorders>
              <w:bottom w:val="single" w:sz="8" w:color="808285"/>
            </w:tcBorders>
          </w:tcPr>
          <w:p>
            <w:pPr>
              <w:spacing w:after="0"/>
              <w:rPr>
                <w:sz w:val="3"/>
                <w:szCs w:val="3"/>
                <w:color w:val="auto"/>
              </w:rPr>
            </w:pPr>
          </w:p>
        </w:tc>
        <w:tc>
          <w:tcPr>
            <w:tcW w:w="860" w:type="dxa"/>
            <w:vAlign w:val="bottom"/>
            <w:tcBorders>
              <w:bottom w:val="single" w:sz="8" w:color="808285"/>
            </w:tcBorders>
          </w:tcPr>
          <w:p>
            <w:pPr>
              <w:spacing w:after="0"/>
              <w:rPr>
                <w:sz w:val="3"/>
                <w:szCs w:val="3"/>
                <w:color w:val="auto"/>
              </w:rPr>
            </w:pPr>
          </w:p>
        </w:tc>
        <w:tc>
          <w:tcPr>
            <w:tcW w:w="440" w:type="dxa"/>
            <w:vAlign w:val="bottom"/>
            <w:tcBorders>
              <w:bottom w:val="single" w:sz="8" w:color="808285"/>
            </w:tcBorders>
          </w:tcPr>
          <w:p>
            <w:pPr>
              <w:spacing w:after="0"/>
              <w:rPr>
                <w:sz w:val="3"/>
                <w:szCs w:val="3"/>
                <w:color w:val="auto"/>
              </w:rPr>
            </w:pPr>
          </w:p>
        </w:tc>
        <w:tc>
          <w:tcPr>
            <w:tcW w:w="200" w:type="dxa"/>
            <w:vAlign w:val="bottom"/>
            <w:tcBorders>
              <w:bottom w:val="single" w:sz="8" w:color="808285"/>
            </w:tcBorders>
          </w:tcPr>
          <w:p>
            <w:pPr>
              <w:spacing w:after="0"/>
              <w:rPr>
                <w:sz w:val="3"/>
                <w:szCs w:val="3"/>
                <w:color w:val="auto"/>
              </w:rPr>
            </w:pPr>
          </w:p>
        </w:tc>
        <w:tc>
          <w:tcPr>
            <w:tcW w:w="860" w:type="dxa"/>
            <w:vAlign w:val="bottom"/>
            <w:tcBorders>
              <w:bottom w:val="single" w:sz="8" w:color="808285"/>
            </w:tcBorders>
          </w:tcPr>
          <w:p>
            <w:pPr>
              <w:spacing w:after="0"/>
              <w:rPr>
                <w:sz w:val="3"/>
                <w:szCs w:val="3"/>
                <w:color w:val="auto"/>
              </w:rPr>
            </w:pPr>
          </w:p>
        </w:tc>
        <w:tc>
          <w:tcPr>
            <w:tcW w:w="320" w:type="dxa"/>
            <w:vAlign w:val="bottom"/>
            <w:tcBorders>
              <w:bottom w:val="single" w:sz="8" w:color="808285"/>
            </w:tcBorders>
          </w:tcPr>
          <w:p>
            <w:pPr>
              <w:spacing w:after="0"/>
              <w:rPr>
                <w:sz w:val="3"/>
                <w:szCs w:val="3"/>
                <w:color w:val="auto"/>
              </w:rPr>
            </w:pPr>
          </w:p>
        </w:tc>
      </w:tr>
      <w:tr>
        <w:trPr>
          <w:trHeight w:val="222"/>
        </w:trPr>
        <w:tc>
          <w:tcPr>
            <w:tcW w:w="2180" w:type="dxa"/>
            <w:vAlign w:val="bottom"/>
            <w:shd w:val="clear" w:color="auto" w:fill="E9E9E9"/>
          </w:tcPr>
          <w:p>
            <w:pPr>
              <w:spacing w:after="0"/>
              <w:rPr>
                <w:sz w:val="20"/>
                <w:szCs w:val="20"/>
                <w:color w:val="auto"/>
              </w:rPr>
            </w:pPr>
            <w:r>
              <w:rPr>
                <w:rFonts w:ascii="Arial" w:cs="Arial" w:eastAsia="Arial" w:hAnsi="Arial"/>
                <w:sz w:val="17"/>
                <w:szCs w:val="17"/>
                <w:b w:val="1"/>
                <w:bCs w:val="1"/>
                <w:color w:val="auto"/>
              </w:rPr>
              <w:t>R. K. Templeton</w:t>
            </w:r>
          </w:p>
        </w:tc>
        <w:tc>
          <w:tcPr>
            <w:tcW w:w="200" w:type="dxa"/>
            <w:vAlign w:val="bottom"/>
            <w:shd w:val="clear" w:color="auto" w:fill="E9E9E9"/>
          </w:tcPr>
          <w:p>
            <w:pPr>
              <w:spacing w:after="0"/>
              <w:rPr>
                <w:sz w:val="19"/>
                <w:szCs w:val="19"/>
                <w:color w:val="auto"/>
              </w:rPr>
            </w:pPr>
          </w:p>
        </w:tc>
        <w:tc>
          <w:tcPr>
            <w:tcW w:w="76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00" w:type="dxa"/>
            <w:vAlign w:val="bottom"/>
            <w:shd w:val="clear" w:color="auto" w:fill="E9E9E9"/>
          </w:tcPr>
          <w:p>
            <w:pPr>
              <w:spacing w:after="0"/>
              <w:rPr>
                <w:sz w:val="19"/>
                <w:szCs w:val="19"/>
                <w:color w:val="auto"/>
              </w:rPr>
            </w:pPr>
          </w:p>
        </w:tc>
        <w:tc>
          <w:tcPr>
            <w:tcW w:w="620" w:type="dxa"/>
            <w:vAlign w:val="bottom"/>
            <w:shd w:val="clear" w:color="auto" w:fill="E9E9E9"/>
          </w:tcPr>
          <w:p>
            <w:pPr>
              <w:spacing w:after="0"/>
              <w:rPr>
                <w:sz w:val="19"/>
                <w:szCs w:val="19"/>
                <w:color w:val="auto"/>
              </w:rPr>
            </w:pPr>
          </w:p>
        </w:tc>
        <w:tc>
          <w:tcPr>
            <w:tcW w:w="34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1120" w:type="dxa"/>
            <w:vAlign w:val="bottom"/>
            <w:shd w:val="clear" w:color="auto" w:fill="E9E9E9"/>
          </w:tcPr>
          <w:p>
            <w:pPr>
              <w:spacing w:after="0"/>
              <w:rPr>
                <w:sz w:val="19"/>
                <w:szCs w:val="19"/>
                <w:color w:val="auto"/>
              </w:rPr>
            </w:pPr>
          </w:p>
        </w:tc>
        <w:tc>
          <w:tcPr>
            <w:tcW w:w="116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860" w:type="dxa"/>
            <w:vAlign w:val="bottom"/>
            <w:shd w:val="clear" w:color="auto" w:fill="E9E9E9"/>
          </w:tcPr>
          <w:p>
            <w:pPr>
              <w:spacing w:after="0"/>
              <w:rPr>
                <w:sz w:val="19"/>
                <w:szCs w:val="19"/>
                <w:color w:val="auto"/>
              </w:rPr>
            </w:pPr>
          </w:p>
        </w:tc>
        <w:tc>
          <w:tcPr>
            <w:tcW w:w="440" w:type="dxa"/>
            <w:vAlign w:val="bottom"/>
            <w:shd w:val="clear" w:color="auto" w:fill="E9E9E9"/>
          </w:tcPr>
          <w:p>
            <w:pPr>
              <w:spacing w:after="0"/>
              <w:rPr>
                <w:sz w:val="19"/>
                <w:szCs w:val="19"/>
                <w:color w:val="auto"/>
              </w:rPr>
            </w:pPr>
          </w:p>
        </w:tc>
        <w:tc>
          <w:tcPr>
            <w:tcW w:w="220" w:type="dxa"/>
            <w:vAlign w:val="bottom"/>
            <w:shd w:val="clear" w:color="auto" w:fill="E9E9E9"/>
          </w:tcPr>
          <w:p>
            <w:pPr>
              <w:spacing w:after="0"/>
              <w:rPr>
                <w:sz w:val="19"/>
                <w:szCs w:val="19"/>
                <w:color w:val="auto"/>
              </w:rPr>
            </w:pPr>
          </w:p>
        </w:tc>
        <w:tc>
          <w:tcPr>
            <w:tcW w:w="860" w:type="dxa"/>
            <w:vAlign w:val="bottom"/>
            <w:shd w:val="clear" w:color="auto" w:fill="E9E9E9"/>
          </w:tcPr>
          <w:p>
            <w:pPr>
              <w:spacing w:after="0"/>
              <w:rPr>
                <w:sz w:val="19"/>
                <w:szCs w:val="19"/>
                <w:color w:val="auto"/>
              </w:rPr>
            </w:pPr>
          </w:p>
        </w:tc>
        <w:tc>
          <w:tcPr>
            <w:tcW w:w="44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860" w:type="dxa"/>
            <w:vAlign w:val="bottom"/>
            <w:shd w:val="clear" w:color="auto" w:fill="E9E9E9"/>
          </w:tcPr>
          <w:p>
            <w:pPr>
              <w:spacing w:after="0"/>
              <w:rPr>
                <w:sz w:val="19"/>
                <w:szCs w:val="19"/>
                <w:color w:val="auto"/>
              </w:rPr>
            </w:pPr>
          </w:p>
        </w:tc>
        <w:tc>
          <w:tcPr>
            <w:tcW w:w="320" w:type="dxa"/>
            <w:vAlign w:val="bottom"/>
            <w:shd w:val="clear" w:color="auto" w:fill="E9E9E9"/>
          </w:tcPr>
          <w:p>
            <w:pPr>
              <w:spacing w:after="0"/>
              <w:rPr>
                <w:sz w:val="19"/>
                <w:szCs w:val="19"/>
                <w:color w:val="auto"/>
              </w:rPr>
            </w:pPr>
          </w:p>
        </w:tc>
      </w:tr>
      <w:tr>
        <w:trPr>
          <w:trHeight w:val="241"/>
        </w:trPr>
        <w:tc>
          <w:tcPr>
            <w:tcW w:w="2180" w:type="dxa"/>
            <w:vAlign w:val="bottom"/>
            <w:shd w:val="clear" w:color="auto" w:fill="E9E9E9"/>
          </w:tcPr>
          <w:p>
            <w:pPr>
              <w:ind w:left="260"/>
              <w:spacing w:after="0"/>
              <w:rPr>
                <w:sz w:val="20"/>
                <w:szCs w:val="20"/>
                <w:color w:val="auto"/>
              </w:rPr>
            </w:pPr>
            <w:r>
              <w:rPr>
                <w:rFonts w:ascii="Arial" w:cs="Arial" w:eastAsia="Arial" w:hAnsi="Arial"/>
                <w:sz w:val="17"/>
                <w:szCs w:val="17"/>
                <w:color w:val="auto"/>
              </w:rPr>
              <w:t>Disability</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945,991 (1)</w:t>
            </w:r>
          </w:p>
        </w:tc>
        <w:tc>
          <w:tcPr>
            <w:tcW w:w="1260" w:type="dxa"/>
            <w:vAlign w:val="bottom"/>
            <w:gridSpan w:val="3"/>
            <w:shd w:val="clear" w:color="auto" w:fill="E9E9E9"/>
          </w:tcPr>
          <w:p>
            <w:pPr>
              <w:jc w:val="right"/>
              <w:ind w:right="16"/>
              <w:spacing w:after="0"/>
              <w:rPr>
                <w:sz w:val="20"/>
                <w:szCs w:val="20"/>
                <w:color w:val="auto"/>
              </w:rPr>
            </w:pPr>
            <w:r>
              <w:rPr>
                <w:rFonts w:ascii="Arial" w:cs="Arial" w:eastAsia="Arial" w:hAnsi="Arial"/>
                <w:sz w:val="17"/>
                <w:szCs w:val="17"/>
                <w:color w:val="auto"/>
              </w:rPr>
              <w:t>$609,677 (2)</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E9E9E9"/>
          </w:tcPr>
          <w:p>
            <w:pPr>
              <w:jc w:val="right"/>
              <w:ind w:right="40"/>
              <w:spacing w:after="0"/>
              <w:rPr>
                <w:sz w:val="20"/>
                <w:szCs w:val="20"/>
                <w:color w:val="auto"/>
              </w:rPr>
            </w:pPr>
            <w:r>
              <w:rPr>
                <w:rFonts w:ascii="Arial" w:cs="Arial" w:eastAsia="Arial" w:hAnsi="Arial"/>
                <w:sz w:val="17"/>
                <w:szCs w:val="17"/>
                <w:color w:val="auto"/>
              </w:rPr>
              <w:t>189,482 (2)</w:t>
            </w:r>
          </w:p>
        </w:tc>
        <w:tc>
          <w:tcPr>
            <w:tcW w:w="1160" w:type="dxa"/>
            <w:vAlign w:val="bottom"/>
            <w:shd w:val="clear" w:color="auto" w:fill="E9E9E9"/>
          </w:tcPr>
          <w:p>
            <w:pPr>
              <w:jc w:val="right"/>
              <w:ind w:right="277"/>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25,633,171</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(3)</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20,486,008</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(4)</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8"/>
              </w:rPr>
              <w:t>47,864,329</w:t>
            </w:r>
          </w:p>
        </w:tc>
        <w:tc>
          <w:tcPr>
            <w:tcW w:w="320" w:type="dxa"/>
            <w:vAlign w:val="bottom"/>
            <w:shd w:val="clear" w:color="auto" w:fill="E9E9E9"/>
          </w:tcPr>
          <w:p>
            <w:pPr>
              <w:spacing w:after="0"/>
              <w:rPr>
                <w:sz w:val="20"/>
                <w:szCs w:val="20"/>
                <w:color w:val="auto"/>
              </w:rPr>
            </w:pPr>
          </w:p>
        </w:tc>
      </w:tr>
      <w:tr>
        <w:trPr>
          <w:trHeight w:val="245"/>
        </w:trPr>
        <w:tc>
          <w:tcPr>
            <w:tcW w:w="2180" w:type="dxa"/>
            <w:vAlign w:val="bottom"/>
            <w:shd w:val="clear" w:color="auto" w:fill="E9E9E9"/>
          </w:tcPr>
          <w:p>
            <w:pPr>
              <w:ind w:left="260"/>
              <w:spacing w:after="0"/>
              <w:rPr>
                <w:sz w:val="20"/>
                <w:szCs w:val="20"/>
                <w:color w:val="auto"/>
              </w:rPr>
            </w:pPr>
            <w:r>
              <w:rPr>
                <w:rFonts w:ascii="Arial" w:cs="Arial" w:eastAsia="Arial" w:hAnsi="Arial"/>
                <w:sz w:val="17"/>
                <w:szCs w:val="17"/>
                <w:color w:val="auto"/>
              </w:rPr>
              <w:t>Death</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299,320 (5)</w:t>
            </w:r>
          </w:p>
        </w:tc>
        <w:tc>
          <w:tcPr>
            <w:tcW w:w="1260" w:type="dxa"/>
            <w:vAlign w:val="bottom"/>
            <w:gridSpan w:val="3"/>
            <w:shd w:val="clear" w:color="auto" w:fill="E9E9E9"/>
          </w:tcPr>
          <w:p>
            <w:pPr>
              <w:jc w:val="right"/>
              <w:ind w:right="16"/>
              <w:spacing w:after="0"/>
              <w:rPr>
                <w:sz w:val="20"/>
                <w:szCs w:val="20"/>
                <w:color w:val="auto"/>
              </w:rPr>
            </w:pPr>
            <w:r>
              <w:rPr>
                <w:rFonts w:ascii="Arial" w:cs="Arial" w:eastAsia="Arial" w:hAnsi="Arial"/>
                <w:sz w:val="17"/>
                <w:szCs w:val="17"/>
                <w:color w:val="auto"/>
              </w:rPr>
              <w:t>$176,720 (5)</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E9E9E9"/>
          </w:tcPr>
          <w:p>
            <w:pPr>
              <w:jc w:val="right"/>
              <w:ind w:right="40"/>
              <w:spacing w:after="0"/>
              <w:rPr>
                <w:sz w:val="20"/>
                <w:szCs w:val="20"/>
                <w:color w:val="auto"/>
              </w:rPr>
            </w:pPr>
            <w:r>
              <w:rPr>
                <w:rFonts w:ascii="Arial" w:cs="Arial" w:eastAsia="Arial" w:hAnsi="Arial"/>
                <w:sz w:val="17"/>
                <w:szCs w:val="17"/>
                <w:color w:val="auto"/>
              </w:rPr>
              <w:t>44,456 (5)</w:t>
            </w:r>
          </w:p>
        </w:tc>
        <w:tc>
          <w:tcPr>
            <w:tcW w:w="1160" w:type="dxa"/>
            <w:vAlign w:val="bottom"/>
            <w:shd w:val="clear" w:color="auto" w:fill="E9E9E9"/>
          </w:tcPr>
          <w:p>
            <w:pPr>
              <w:jc w:val="right"/>
              <w:ind w:right="37"/>
              <w:spacing w:after="0"/>
              <w:rPr>
                <w:sz w:val="20"/>
                <w:szCs w:val="20"/>
                <w:color w:val="auto"/>
              </w:rPr>
            </w:pPr>
            <w:r>
              <w:rPr>
                <w:rFonts w:ascii="Arial" w:cs="Arial" w:eastAsia="Arial" w:hAnsi="Arial"/>
                <w:sz w:val="17"/>
                <w:szCs w:val="17"/>
                <w:color w:val="auto"/>
              </w:rPr>
              <w:t>$275,372 (6)</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25,633,171</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(7)</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20,486,008</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(4)</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8"/>
              </w:rPr>
              <w:t>46,915,047</w:t>
            </w:r>
          </w:p>
        </w:tc>
        <w:tc>
          <w:tcPr>
            <w:tcW w:w="320" w:type="dxa"/>
            <w:vAlign w:val="bottom"/>
            <w:shd w:val="clear" w:color="auto" w:fill="E9E9E9"/>
          </w:tcPr>
          <w:p>
            <w:pPr>
              <w:spacing w:after="0"/>
              <w:rPr>
                <w:sz w:val="21"/>
                <w:szCs w:val="21"/>
                <w:color w:val="auto"/>
              </w:rPr>
            </w:pPr>
          </w:p>
        </w:tc>
      </w:tr>
      <w:tr>
        <w:trPr>
          <w:trHeight w:val="245"/>
        </w:trPr>
        <w:tc>
          <w:tcPr>
            <w:tcW w:w="2180" w:type="dxa"/>
            <w:vAlign w:val="bottom"/>
            <w:shd w:val="clear" w:color="auto" w:fill="E9E9E9"/>
          </w:tcPr>
          <w:p>
            <w:pPr>
              <w:ind w:left="260"/>
              <w:spacing w:after="0"/>
              <w:rPr>
                <w:sz w:val="20"/>
                <w:szCs w:val="20"/>
                <w:color w:val="auto"/>
              </w:rPr>
            </w:pPr>
            <w:r>
              <w:rPr>
                <w:rFonts w:ascii="Arial" w:cs="Arial" w:eastAsia="Arial" w:hAnsi="Arial"/>
                <w:sz w:val="17"/>
                <w:szCs w:val="17"/>
                <w:color w:val="auto"/>
              </w:rPr>
              <w:t>Involuntary Termination</w:t>
            </w:r>
          </w:p>
        </w:tc>
        <w:tc>
          <w:tcPr>
            <w:tcW w:w="20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620" w:type="dxa"/>
            <w:vAlign w:val="bottom"/>
            <w:shd w:val="clear" w:color="auto" w:fill="E9E9E9"/>
          </w:tcPr>
          <w:p>
            <w:pPr>
              <w:spacing w:after="0"/>
              <w:rPr>
                <w:sz w:val="21"/>
                <w:szCs w:val="21"/>
                <w:color w:val="auto"/>
              </w:rPr>
            </w:pPr>
          </w:p>
        </w:tc>
        <w:tc>
          <w:tcPr>
            <w:tcW w:w="3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1120" w:type="dxa"/>
            <w:vAlign w:val="bottom"/>
            <w:shd w:val="clear" w:color="auto" w:fill="E9E9E9"/>
          </w:tcPr>
          <w:p>
            <w:pPr>
              <w:spacing w:after="0"/>
              <w:rPr>
                <w:sz w:val="21"/>
                <w:szCs w:val="21"/>
                <w:color w:val="auto"/>
              </w:rPr>
            </w:pPr>
          </w:p>
        </w:tc>
        <w:tc>
          <w:tcPr>
            <w:tcW w:w="116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r>
      <w:tr>
        <w:trPr>
          <w:trHeight w:val="245"/>
        </w:trPr>
        <w:tc>
          <w:tcPr>
            <w:tcW w:w="2180" w:type="dxa"/>
            <w:vAlign w:val="bottom"/>
            <w:shd w:val="clear" w:color="auto" w:fill="E9E9E9"/>
          </w:tcPr>
          <w:p>
            <w:pPr>
              <w:ind w:left="520"/>
              <w:spacing w:after="0"/>
              <w:rPr>
                <w:sz w:val="20"/>
                <w:szCs w:val="20"/>
                <w:color w:val="auto"/>
              </w:rPr>
            </w:pPr>
            <w:r>
              <w:rPr>
                <w:rFonts w:ascii="Arial" w:cs="Arial" w:eastAsia="Arial" w:hAnsi="Arial"/>
                <w:sz w:val="17"/>
                <w:szCs w:val="17"/>
                <w:color w:val="auto"/>
              </w:rPr>
              <w:t>for Cause</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575,852</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w:t>
            </w:r>
          </w:p>
        </w:tc>
        <w:tc>
          <w:tcPr>
            <w:tcW w:w="1260" w:type="dxa"/>
            <w:vAlign w:val="bottom"/>
            <w:gridSpan w:val="3"/>
            <w:shd w:val="clear" w:color="auto" w:fill="E9E9E9"/>
          </w:tcPr>
          <w:p>
            <w:pPr>
              <w:jc w:val="right"/>
              <w:ind w:right="16"/>
              <w:spacing w:after="0"/>
              <w:rPr>
                <w:sz w:val="20"/>
                <w:szCs w:val="20"/>
                <w:color w:val="auto"/>
              </w:rPr>
            </w:pPr>
            <w:r>
              <w:rPr>
                <w:rFonts w:ascii="Arial" w:cs="Arial" w:eastAsia="Arial" w:hAnsi="Arial"/>
                <w:sz w:val="17"/>
                <w:szCs w:val="17"/>
                <w:color w:val="auto"/>
              </w:rPr>
              <w:t>$340,082 (8)</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E9E9E9"/>
          </w:tcPr>
          <w:p>
            <w:pPr>
              <w:jc w:val="right"/>
              <w:ind w:right="40"/>
              <w:spacing w:after="0"/>
              <w:rPr>
                <w:sz w:val="20"/>
                <w:szCs w:val="20"/>
                <w:color w:val="auto"/>
              </w:rPr>
            </w:pPr>
            <w:r>
              <w:rPr>
                <w:rFonts w:ascii="Arial" w:cs="Arial" w:eastAsia="Arial" w:hAnsi="Arial"/>
                <w:sz w:val="17"/>
                <w:szCs w:val="17"/>
                <w:color w:val="auto"/>
              </w:rPr>
              <w:t>85,432 (8)</w:t>
            </w:r>
          </w:p>
        </w:tc>
        <w:tc>
          <w:tcPr>
            <w:tcW w:w="1160" w:type="dxa"/>
            <w:vAlign w:val="bottom"/>
            <w:shd w:val="clear" w:color="auto" w:fill="E9E9E9"/>
          </w:tcPr>
          <w:p>
            <w:pPr>
              <w:jc w:val="right"/>
              <w:ind w:right="277"/>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3,706,800</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(9)</w:t>
            </w: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E9E9E9"/>
          </w:tcPr>
          <w:p>
            <w:pPr>
              <w:spacing w:after="0"/>
              <w:rPr>
                <w:sz w:val="21"/>
                <w:szCs w:val="21"/>
                <w:color w:val="auto"/>
              </w:rPr>
            </w:pP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4,708,166</w:t>
            </w:r>
          </w:p>
        </w:tc>
        <w:tc>
          <w:tcPr>
            <w:tcW w:w="320" w:type="dxa"/>
            <w:vAlign w:val="bottom"/>
            <w:shd w:val="clear" w:color="auto" w:fill="E9E9E9"/>
          </w:tcPr>
          <w:p>
            <w:pPr>
              <w:spacing w:after="0"/>
              <w:rPr>
                <w:sz w:val="21"/>
                <w:szCs w:val="21"/>
                <w:color w:val="auto"/>
              </w:rPr>
            </w:pPr>
          </w:p>
        </w:tc>
      </w:tr>
      <w:tr>
        <w:trPr>
          <w:trHeight w:val="245"/>
        </w:trPr>
        <w:tc>
          <w:tcPr>
            <w:tcW w:w="2180" w:type="dxa"/>
            <w:vAlign w:val="bottom"/>
            <w:shd w:val="clear" w:color="auto" w:fill="E9E9E9"/>
          </w:tcPr>
          <w:p>
            <w:pPr>
              <w:ind w:left="260"/>
              <w:spacing w:after="0"/>
              <w:rPr>
                <w:sz w:val="20"/>
                <w:szCs w:val="20"/>
                <w:color w:val="auto"/>
              </w:rPr>
            </w:pPr>
            <w:r>
              <w:rPr>
                <w:rFonts w:ascii="Arial" w:cs="Arial" w:eastAsia="Arial" w:hAnsi="Arial"/>
                <w:sz w:val="17"/>
                <w:szCs w:val="17"/>
                <w:color w:val="auto"/>
              </w:rPr>
              <w:t>Resignation; Involuntary</w:t>
            </w:r>
          </w:p>
        </w:tc>
        <w:tc>
          <w:tcPr>
            <w:tcW w:w="20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620" w:type="dxa"/>
            <w:vAlign w:val="bottom"/>
            <w:shd w:val="clear" w:color="auto" w:fill="E9E9E9"/>
          </w:tcPr>
          <w:p>
            <w:pPr>
              <w:spacing w:after="0"/>
              <w:rPr>
                <w:sz w:val="21"/>
                <w:szCs w:val="21"/>
                <w:color w:val="auto"/>
              </w:rPr>
            </w:pPr>
          </w:p>
        </w:tc>
        <w:tc>
          <w:tcPr>
            <w:tcW w:w="3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1120" w:type="dxa"/>
            <w:vAlign w:val="bottom"/>
            <w:shd w:val="clear" w:color="auto" w:fill="E9E9E9"/>
          </w:tcPr>
          <w:p>
            <w:pPr>
              <w:spacing w:after="0"/>
              <w:rPr>
                <w:sz w:val="21"/>
                <w:szCs w:val="21"/>
                <w:color w:val="auto"/>
              </w:rPr>
            </w:pPr>
          </w:p>
        </w:tc>
        <w:tc>
          <w:tcPr>
            <w:tcW w:w="116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r>
      <w:tr>
        <w:trPr>
          <w:trHeight w:val="245"/>
        </w:trPr>
        <w:tc>
          <w:tcPr>
            <w:tcW w:w="2180" w:type="dxa"/>
            <w:vAlign w:val="bottom"/>
            <w:shd w:val="clear" w:color="auto" w:fill="E9E9E9"/>
          </w:tcPr>
          <w:p>
            <w:pPr>
              <w:ind w:left="520"/>
              <w:spacing w:after="0"/>
              <w:rPr>
                <w:sz w:val="20"/>
                <w:szCs w:val="20"/>
                <w:color w:val="auto"/>
              </w:rPr>
            </w:pPr>
            <w:r>
              <w:rPr>
                <w:rFonts w:ascii="Arial" w:cs="Arial" w:eastAsia="Arial" w:hAnsi="Arial"/>
                <w:sz w:val="17"/>
                <w:szCs w:val="17"/>
                <w:color w:val="auto"/>
              </w:rPr>
              <w:t>Termination</w:t>
            </w:r>
          </w:p>
        </w:tc>
        <w:tc>
          <w:tcPr>
            <w:tcW w:w="20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620" w:type="dxa"/>
            <w:vAlign w:val="bottom"/>
            <w:shd w:val="clear" w:color="auto" w:fill="E9E9E9"/>
          </w:tcPr>
          <w:p>
            <w:pPr>
              <w:spacing w:after="0"/>
              <w:rPr>
                <w:sz w:val="21"/>
                <w:szCs w:val="21"/>
                <w:color w:val="auto"/>
              </w:rPr>
            </w:pPr>
          </w:p>
        </w:tc>
        <w:tc>
          <w:tcPr>
            <w:tcW w:w="3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1120" w:type="dxa"/>
            <w:vAlign w:val="bottom"/>
            <w:shd w:val="clear" w:color="auto" w:fill="E9E9E9"/>
          </w:tcPr>
          <w:p>
            <w:pPr>
              <w:spacing w:after="0"/>
              <w:rPr>
                <w:sz w:val="21"/>
                <w:szCs w:val="21"/>
                <w:color w:val="auto"/>
              </w:rPr>
            </w:pPr>
          </w:p>
        </w:tc>
        <w:tc>
          <w:tcPr>
            <w:tcW w:w="116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r>
      <w:tr>
        <w:trPr>
          <w:trHeight w:val="245"/>
        </w:trPr>
        <w:tc>
          <w:tcPr>
            <w:tcW w:w="2180" w:type="dxa"/>
            <w:vAlign w:val="bottom"/>
            <w:shd w:val="clear" w:color="auto" w:fill="E9E9E9"/>
          </w:tcPr>
          <w:p>
            <w:pPr>
              <w:ind w:left="520"/>
              <w:spacing w:after="0"/>
              <w:rPr>
                <w:sz w:val="20"/>
                <w:szCs w:val="20"/>
                <w:color w:val="auto"/>
              </w:rPr>
            </w:pPr>
            <w:r>
              <w:rPr>
                <w:rFonts w:ascii="Arial" w:cs="Arial" w:eastAsia="Arial" w:hAnsi="Arial"/>
                <w:sz w:val="17"/>
                <w:szCs w:val="17"/>
                <w:color w:val="auto"/>
              </w:rPr>
              <w:t>(Not for Cause)</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575,852</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w:t>
            </w:r>
          </w:p>
        </w:tc>
        <w:tc>
          <w:tcPr>
            <w:tcW w:w="3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6"/>
              <w:spacing w:after="0"/>
              <w:rPr>
                <w:sz w:val="20"/>
                <w:szCs w:val="20"/>
                <w:color w:val="auto"/>
              </w:rPr>
            </w:pPr>
            <w:r>
              <w:rPr>
                <w:rFonts w:ascii="Arial" w:cs="Arial" w:eastAsia="Arial" w:hAnsi="Arial"/>
                <w:sz w:val="17"/>
                <w:szCs w:val="17"/>
                <w:color w:val="auto"/>
                <w:w w:val="96"/>
              </w:rPr>
              <w:t>340,082 (8)</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E9E9E9"/>
          </w:tcPr>
          <w:p>
            <w:pPr>
              <w:jc w:val="right"/>
              <w:ind w:right="40"/>
              <w:spacing w:after="0"/>
              <w:rPr>
                <w:sz w:val="20"/>
                <w:szCs w:val="20"/>
                <w:color w:val="auto"/>
              </w:rPr>
            </w:pPr>
            <w:r>
              <w:rPr>
                <w:rFonts w:ascii="Arial" w:cs="Arial" w:eastAsia="Arial" w:hAnsi="Arial"/>
                <w:sz w:val="17"/>
                <w:szCs w:val="17"/>
                <w:color w:val="auto"/>
              </w:rPr>
              <w:t>85,432 (8)</w:t>
            </w:r>
          </w:p>
        </w:tc>
        <w:tc>
          <w:tcPr>
            <w:tcW w:w="1160" w:type="dxa"/>
            <w:vAlign w:val="bottom"/>
            <w:shd w:val="clear" w:color="auto" w:fill="E9E9E9"/>
          </w:tcPr>
          <w:p>
            <w:pPr>
              <w:jc w:val="right"/>
              <w:ind w:right="277"/>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3,706,800</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(9)</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15,721,319</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(10)</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8"/>
              </w:rPr>
              <w:t>20,429,485</w:t>
            </w:r>
          </w:p>
        </w:tc>
        <w:tc>
          <w:tcPr>
            <w:tcW w:w="320" w:type="dxa"/>
            <w:vAlign w:val="bottom"/>
            <w:shd w:val="clear" w:color="auto" w:fill="E9E9E9"/>
          </w:tcPr>
          <w:p>
            <w:pPr>
              <w:spacing w:after="0"/>
              <w:rPr>
                <w:sz w:val="21"/>
                <w:szCs w:val="21"/>
                <w:color w:val="auto"/>
              </w:rPr>
            </w:pPr>
          </w:p>
        </w:tc>
      </w:tr>
      <w:tr>
        <w:trPr>
          <w:trHeight w:val="260"/>
        </w:trPr>
        <w:tc>
          <w:tcPr>
            <w:tcW w:w="2180" w:type="dxa"/>
            <w:vAlign w:val="bottom"/>
            <w:shd w:val="clear" w:color="auto" w:fill="E9E9E9"/>
          </w:tcPr>
          <w:p>
            <w:pPr>
              <w:ind w:left="260"/>
              <w:spacing w:after="0"/>
              <w:rPr>
                <w:sz w:val="20"/>
                <w:szCs w:val="20"/>
                <w:color w:val="auto"/>
              </w:rPr>
            </w:pPr>
            <w:r>
              <w:rPr>
                <w:rFonts w:ascii="Arial" w:cs="Arial" w:eastAsia="Arial" w:hAnsi="Arial"/>
                <w:sz w:val="17"/>
                <w:szCs w:val="17"/>
                <w:color w:val="auto"/>
              </w:rPr>
              <w:t>Change in Control</w:t>
            </w:r>
          </w:p>
        </w:tc>
        <w:tc>
          <w:tcPr>
            <w:tcW w:w="200" w:type="dxa"/>
            <w:vAlign w:val="bottom"/>
            <w:shd w:val="clear" w:color="auto" w:fill="E9E9E9"/>
          </w:tcPr>
          <w:p>
            <w:pPr>
              <w:spacing w:after="0"/>
              <w:rPr>
                <w:sz w:val="22"/>
                <w:szCs w:val="22"/>
                <w:color w:val="auto"/>
              </w:rPr>
            </w:pP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E9E9E9"/>
          </w:tcPr>
          <w:p>
            <w:pPr>
              <w:spacing w:after="0"/>
              <w:rPr>
                <w:sz w:val="22"/>
                <w:szCs w:val="22"/>
                <w:color w:val="auto"/>
              </w:rPr>
            </w:pPr>
          </w:p>
        </w:tc>
        <w:tc>
          <w:tcPr>
            <w:tcW w:w="3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6"/>
              <w:spacing w:after="0"/>
              <w:rPr>
                <w:sz w:val="20"/>
                <w:szCs w:val="20"/>
                <w:color w:val="auto"/>
              </w:rPr>
            </w:pPr>
            <w:r>
              <w:rPr>
                <w:rFonts w:ascii="Arial" w:cs="Arial" w:eastAsia="Arial" w:hAnsi="Arial"/>
                <w:sz w:val="17"/>
                <w:szCs w:val="17"/>
                <w:color w:val="auto"/>
                <w:w w:val="96"/>
              </w:rPr>
              <w:t>340,082 (8)</w:t>
            </w:r>
          </w:p>
        </w:tc>
        <w:tc>
          <w:tcPr>
            <w:tcW w:w="200" w:type="dxa"/>
            <w:vAlign w:val="bottom"/>
            <w:shd w:val="clear" w:color="auto" w:fill="E9E9E9"/>
          </w:tcPr>
          <w:p>
            <w:pPr>
              <w:spacing w:after="0"/>
              <w:rPr>
                <w:sz w:val="22"/>
                <w:szCs w:val="22"/>
                <w:color w:val="auto"/>
              </w:rPr>
            </w:pPr>
          </w:p>
        </w:tc>
        <w:tc>
          <w:tcPr>
            <w:tcW w:w="1120" w:type="dxa"/>
            <w:vAlign w:val="bottom"/>
            <w:shd w:val="clear" w:color="auto" w:fill="E9E9E9"/>
          </w:tcPr>
          <w:p>
            <w:pPr>
              <w:jc w:val="right"/>
              <w:ind w:right="2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E9E9E9"/>
          </w:tcPr>
          <w:p>
            <w:pPr>
              <w:jc w:val="right"/>
              <w:ind w:right="277"/>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10,548,533</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(11)</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2,647,889</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(12)</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8"/>
              </w:rPr>
              <w:t>13,536,504</w:t>
            </w:r>
          </w:p>
        </w:tc>
        <w:tc>
          <w:tcPr>
            <w:tcW w:w="320" w:type="dxa"/>
            <w:vAlign w:val="bottom"/>
            <w:shd w:val="clear" w:color="auto" w:fill="E9E9E9"/>
          </w:tcPr>
          <w:p>
            <w:pPr>
              <w:spacing w:after="0"/>
              <w:rPr>
                <w:sz w:val="22"/>
                <w:szCs w:val="22"/>
                <w:color w:val="auto"/>
              </w:rPr>
            </w:pPr>
          </w:p>
        </w:tc>
      </w:tr>
      <w:tr>
        <w:trPr>
          <w:trHeight w:val="233"/>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22"/>
        </w:trPr>
        <w:tc>
          <w:tcPr>
            <w:tcW w:w="2180" w:type="dxa"/>
            <w:vAlign w:val="bottom"/>
            <w:shd w:val="clear" w:color="auto" w:fill="E9E9E9"/>
          </w:tcPr>
          <w:p>
            <w:pPr>
              <w:spacing w:after="0"/>
              <w:rPr>
                <w:sz w:val="20"/>
                <w:szCs w:val="20"/>
                <w:color w:val="auto"/>
              </w:rPr>
            </w:pPr>
            <w:r>
              <w:rPr>
                <w:rFonts w:ascii="Arial" w:cs="Arial" w:eastAsia="Arial" w:hAnsi="Arial"/>
                <w:sz w:val="17"/>
                <w:szCs w:val="17"/>
                <w:b w:val="1"/>
                <w:bCs w:val="1"/>
                <w:color w:val="auto"/>
              </w:rPr>
              <w:t>K. P. March</w:t>
            </w:r>
          </w:p>
        </w:tc>
        <w:tc>
          <w:tcPr>
            <w:tcW w:w="200" w:type="dxa"/>
            <w:vAlign w:val="bottom"/>
            <w:shd w:val="clear" w:color="auto" w:fill="E9E9E9"/>
          </w:tcPr>
          <w:p>
            <w:pPr>
              <w:spacing w:after="0"/>
              <w:rPr>
                <w:sz w:val="19"/>
                <w:szCs w:val="19"/>
                <w:color w:val="auto"/>
              </w:rPr>
            </w:pPr>
          </w:p>
        </w:tc>
        <w:tc>
          <w:tcPr>
            <w:tcW w:w="76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00" w:type="dxa"/>
            <w:vAlign w:val="bottom"/>
            <w:shd w:val="clear" w:color="auto" w:fill="E9E9E9"/>
          </w:tcPr>
          <w:p>
            <w:pPr>
              <w:spacing w:after="0"/>
              <w:rPr>
                <w:sz w:val="19"/>
                <w:szCs w:val="19"/>
                <w:color w:val="auto"/>
              </w:rPr>
            </w:pPr>
          </w:p>
        </w:tc>
        <w:tc>
          <w:tcPr>
            <w:tcW w:w="620" w:type="dxa"/>
            <w:vAlign w:val="bottom"/>
            <w:shd w:val="clear" w:color="auto" w:fill="E9E9E9"/>
          </w:tcPr>
          <w:p>
            <w:pPr>
              <w:spacing w:after="0"/>
              <w:rPr>
                <w:sz w:val="19"/>
                <w:szCs w:val="19"/>
                <w:color w:val="auto"/>
              </w:rPr>
            </w:pPr>
          </w:p>
        </w:tc>
        <w:tc>
          <w:tcPr>
            <w:tcW w:w="34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1120" w:type="dxa"/>
            <w:vAlign w:val="bottom"/>
            <w:shd w:val="clear" w:color="auto" w:fill="E9E9E9"/>
          </w:tcPr>
          <w:p>
            <w:pPr>
              <w:spacing w:after="0"/>
              <w:rPr>
                <w:sz w:val="19"/>
                <w:szCs w:val="19"/>
                <w:color w:val="auto"/>
              </w:rPr>
            </w:pPr>
          </w:p>
        </w:tc>
        <w:tc>
          <w:tcPr>
            <w:tcW w:w="116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860" w:type="dxa"/>
            <w:vAlign w:val="bottom"/>
            <w:shd w:val="clear" w:color="auto" w:fill="E9E9E9"/>
          </w:tcPr>
          <w:p>
            <w:pPr>
              <w:spacing w:after="0"/>
              <w:rPr>
                <w:sz w:val="19"/>
                <w:szCs w:val="19"/>
                <w:color w:val="auto"/>
              </w:rPr>
            </w:pPr>
          </w:p>
        </w:tc>
        <w:tc>
          <w:tcPr>
            <w:tcW w:w="440" w:type="dxa"/>
            <w:vAlign w:val="bottom"/>
            <w:shd w:val="clear" w:color="auto" w:fill="E9E9E9"/>
          </w:tcPr>
          <w:p>
            <w:pPr>
              <w:spacing w:after="0"/>
              <w:rPr>
                <w:sz w:val="19"/>
                <w:szCs w:val="19"/>
                <w:color w:val="auto"/>
              </w:rPr>
            </w:pPr>
          </w:p>
        </w:tc>
        <w:tc>
          <w:tcPr>
            <w:tcW w:w="220" w:type="dxa"/>
            <w:vAlign w:val="bottom"/>
            <w:shd w:val="clear" w:color="auto" w:fill="E9E9E9"/>
          </w:tcPr>
          <w:p>
            <w:pPr>
              <w:spacing w:after="0"/>
              <w:rPr>
                <w:sz w:val="19"/>
                <w:szCs w:val="19"/>
                <w:color w:val="auto"/>
              </w:rPr>
            </w:pPr>
          </w:p>
        </w:tc>
        <w:tc>
          <w:tcPr>
            <w:tcW w:w="860" w:type="dxa"/>
            <w:vAlign w:val="bottom"/>
            <w:shd w:val="clear" w:color="auto" w:fill="E9E9E9"/>
          </w:tcPr>
          <w:p>
            <w:pPr>
              <w:spacing w:after="0"/>
              <w:rPr>
                <w:sz w:val="19"/>
                <w:szCs w:val="19"/>
                <w:color w:val="auto"/>
              </w:rPr>
            </w:pPr>
          </w:p>
        </w:tc>
        <w:tc>
          <w:tcPr>
            <w:tcW w:w="44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860" w:type="dxa"/>
            <w:vAlign w:val="bottom"/>
            <w:shd w:val="clear" w:color="auto" w:fill="E9E9E9"/>
          </w:tcPr>
          <w:p>
            <w:pPr>
              <w:spacing w:after="0"/>
              <w:rPr>
                <w:sz w:val="19"/>
                <w:szCs w:val="19"/>
                <w:color w:val="auto"/>
              </w:rPr>
            </w:pPr>
          </w:p>
        </w:tc>
        <w:tc>
          <w:tcPr>
            <w:tcW w:w="320" w:type="dxa"/>
            <w:vAlign w:val="bottom"/>
            <w:shd w:val="clear" w:color="auto" w:fill="E9E9E9"/>
          </w:tcPr>
          <w:p>
            <w:pPr>
              <w:spacing w:after="0"/>
              <w:rPr>
                <w:sz w:val="19"/>
                <w:szCs w:val="19"/>
                <w:color w:val="auto"/>
              </w:rPr>
            </w:pPr>
          </w:p>
        </w:tc>
      </w:tr>
      <w:tr>
        <w:trPr>
          <w:trHeight w:val="241"/>
        </w:trPr>
        <w:tc>
          <w:tcPr>
            <w:tcW w:w="2180" w:type="dxa"/>
            <w:vAlign w:val="bottom"/>
            <w:shd w:val="clear" w:color="auto" w:fill="E9E9E9"/>
          </w:tcPr>
          <w:p>
            <w:pPr>
              <w:ind w:left="260"/>
              <w:spacing w:after="0"/>
              <w:rPr>
                <w:sz w:val="20"/>
                <w:szCs w:val="20"/>
                <w:color w:val="auto"/>
              </w:rPr>
            </w:pPr>
            <w:r>
              <w:rPr>
                <w:rFonts w:ascii="Arial" w:cs="Arial" w:eastAsia="Arial" w:hAnsi="Arial"/>
                <w:sz w:val="17"/>
                <w:szCs w:val="17"/>
                <w:color w:val="auto"/>
              </w:rPr>
              <w:t>Disability</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w w:val="96"/>
              </w:rPr>
              <w:t>1,573,776 (1)</w:t>
            </w:r>
          </w:p>
        </w:tc>
        <w:tc>
          <w:tcPr>
            <w:tcW w:w="1260" w:type="dxa"/>
            <w:vAlign w:val="bottom"/>
            <w:gridSpan w:val="3"/>
            <w:shd w:val="clear" w:color="auto" w:fill="E9E9E9"/>
          </w:tcPr>
          <w:p>
            <w:pPr>
              <w:jc w:val="right"/>
              <w:ind w:right="16"/>
              <w:spacing w:after="0"/>
              <w:rPr>
                <w:sz w:val="20"/>
                <w:szCs w:val="20"/>
                <w:color w:val="auto"/>
              </w:rPr>
            </w:pPr>
            <w:r>
              <w:rPr>
                <w:rFonts w:ascii="Arial" w:cs="Arial" w:eastAsia="Arial" w:hAnsi="Arial"/>
                <w:sz w:val="17"/>
                <w:szCs w:val="17"/>
                <w:color w:val="auto"/>
              </w:rPr>
              <w:t>$349,792 (2)</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E9E9E9"/>
          </w:tcPr>
          <w:p>
            <w:pPr>
              <w:jc w:val="right"/>
              <w:ind w:right="40"/>
              <w:spacing w:after="0"/>
              <w:rPr>
                <w:sz w:val="20"/>
                <w:szCs w:val="20"/>
                <w:color w:val="auto"/>
              </w:rPr>
            </w:pPr>
            <w:r>
              <w:rPr>
                <w:rFonts w:ascii="Arial" w:cs="Arial" w:eastAsia="Arial" w:hAnsi="Arial"/>
                <w:sz w:val="17"/>
                <w:szCs w:val="17"/>
                <w:color w:val="auto"/>
                <w:w w:val="96"/>
              </w:rPr>
              <w:t>4,604,540 (2)</w:t>
            </w:r>
          </w:p>
        </w:tc>
        <w:tc>
          <w:tcPr>
            <w:tcW w:w="1160" w:type="dxa"/>
            <w:vAlign w:val="bottom"/>
            <w:shd w:val="clear" w:color="auto" w:fill="E9E9E9"/>
          </w:tcPr>
          <w:p>
            <w:pPr>
              <w:jc w:val="right"/>
              <w:ind w:right="277"/>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6,577,068</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(3)</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5,351,950</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(4)</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8"/>
              </w:rPr>
              <w:t>18,457,126</w:t>
            </w:r>
          </w:p>
        </w:tc>
        <w:tc>
          <w:tcPr>
            <w:tcW w:w="320" w:type="dxa"/>
            <w:vAlign w:val="bottom"/>
            <w:shd w:val="clear" w:color="auto" w:fill="E9E9E9"/>
          </w:tcPr>
          <w:p>
            <w:pPr>
              <w:spacing w:after="0"/>
              <w:rPr>
                <w:sz w:val="20"/>
                <w:szCs w:val="20"/>
                <w:color w:val="auto"/>
              </w:rPr>
            </w:pPr>
          </w:p>
        </w:tc>
      </w:tr>
      <w:tr>
        <w:trPr>
          <w:trHeight w:val="245"/>
        </w:trPr>
        <w:tc>
          <w:tcPr>
            <w:tcW w:w="2180" w:type="dxa"/>
            <w:vAlign w:val="bottom"/>
            <w:shd w:val="clear" w:color="auto" w:fill="E9E9E9"/>
          </w:tcPr>
          <w:p>
            <w:pPr>
              <w:ind w:left="260"/>
              <w:spacing w:after="0"/>
              <w:rPr>
                <w:sz w:val="20"/>
                <w:szCs w:val="20"/>
                <w:color w:val="auto"/>
              </w:rPr>
            </w:pPr>
            <w:r>
              <w:rPr>
                <w:rFonts w:ascii="Arial" w:cs="Arial" w:eastAsia="Arial" w:hAnsi="Arial"/>
                <w:sz w:val="17"/>
                <w:szCs w:val="17"/>
                <w:color w:val="auto"/>
              </w:rPr>
              <w:t>Death</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383,960 (5)</w:t>
            </w:r>
          </w:p>
        </w:tc>
        <w:tc>
          <w:tcPr>
            <w:tcW w:w="1260" w:type="dxa"/>
            <w:vAlign w:val="bottom"/>
            <w:gridSpan w:val="3"/>
            <w:shd w:val="clear" w:color="auto" w:fill="E9E9E9"/>
          </w:tcPr>
          <w:p>
            <w:pPr>
              <w:jc w:val="right"/>
              <w:ind w:right="16"/>
              <w:spacing w:after="0"/>
              <w:rPr>
                <w:sz w:val="20"/>
                <w:szCs w:val="20"/>
                <w:color w:val="auto"/>
              </w:rPr>
            </w:pPr>
            <w:r>
              <w:rPr>
                <w:rFonts w:ascii="Arial" w:cs="Arial" w:eastAsia="Arial" w:hAnsi="Arial"/>
                <w:sz w:val="17"/>
                <w:szCs w:val="17"/>
                <w:color w:val="auto"/>
              </w:rPr>
              <w:t>$111,462 (5)</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E9E9E9"/>
          </w:tcPr>
          <w:p>
            <w:pPr>
              <w:jc w:val="right"/>
              <w:ind w:right="40"/>
              <w:spacing w:after="0"/>
              <w:rPr>
                <w:sz w:val="20"/>
                <w:szCs w:val="20"/>
                <w:color w:val="auto"/>
              </w:rPr>
            </w:pPr>
            <w:r>
              <w:rPr>
                <w:rFonts w:ascii="Arial" w:cs="Arial" w:eastAsia="Arial" w:hAnsi="Arial"/>
                <w:sz w:val="17"/>
                <w:szCs w:val="17"/>
                <w:color w:val="auto"/>
                <w:w w:val="96"/>
              </w:rPr>
              <w:t>1,715,778 (5)</w:t>
            </w:r>
          </w:p>
        </w:tc>
        <w:tc>
          <w:tcPr>
            <w:tcW w:w="1160" w:type="dxa"/>
            <w:vAlign w:val="bottom"/>
            <w:shd w:val="clear" w:color="auto" w:fill="E9E9E9"/>
          </w:tcPr>
          <w:p>
            <w:pPr>
              <w:jc w:val="right"/>
              <w:ind w:right="277"/>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6,577,068</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(7)</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5,351,950</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(4)</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8"/>
              </w:rPr>
              <w:t>14,140,218</w:t>
            </w:r>
          </w:p>
        </w:tc>
        <w:tc>
          <w:tcPr>
            <w:tcW w:w="320" w:type="dxa"/>
            <w:vAlign w:val="bottom"/>
            <w:shd w:val="clear" w:color="auto" w:fill="E9E9E9"/>
          </w:tcPr>
          <w:p>
            <w:pPr>
              <w:spacing w:after="0"/>
              <w:rPr>
                <w:sz w:val="21"/>
                <w:szCs w:val="21"/>
                <w:color w:val="auto"/>
              </w:rPr>
            </w:pPr>
          </w:p>
        </w:tc>
      </w:tr>
      <w:tr>
        <w:trPr>
          <w:trHeight w:val="245"/>
        </w:trPr>
        <w:tc>
          <w:tcPr>
            <w:tcW w:w="2180" w:type="dxa"/>
            <w:vAlign w:val="bottom"/>
            <w:shd w:val="clear" w:color="auto" w:fill="E9E9E9"/>
          </w:tcPr>
          <w:p>
            <w:pPr>
              <w:ind w:left="260"/>
              <w:spacing w:after="0"/>
              <w:rPr>
                <w:sz w:val="20"/>
                <w:szCs w:val="20"/>
                <w:color w:val="auto"/>
              </w:rPr>
            </w:pPr>
            <w:r>
              <w:rPr>
                <w:rFonts w:ascii="Arial" w:cs="Arial" w:eastAsia="Arial" w:hAnsi="Arial"/>
                <w:sz w:val="17"/>
                <w:szCs w:val="17"/>
                <w:color w:val="auto"/>
              </w:rPr>
              <w:t>Involuntary Termination</w:t>
            </w:r>
          </w:p>
        </w:tc>
        <w:tc>
          <w:tcPr>
            <w:tcW w:w="20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620" w:type="dxa"/>
            <w:vAlign w:val="bottom"/>
            <w:shd w:val="clear" w:color="auto" w:fill="E9E9E9"/>
          </w:tcPr>
          <w:p>
            <w:pPr>
              <w:spacing w:after="0"/>
              <w:rPr>
                <w:sz w:val="21"/>
                <w:szCs w:val="21"/>
                <w:color w:val="auto"/>
              </w:rPr>
            </w:pPr>
          </w:p>
        </w:tc>
        <w:tc>
          <w:tcPr>
            <w:tcW w:w="3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1120" w:type="dxa"/>
            <w:vAlign w:val="bottom"/>
            <w:shd w:val="clear" w:color="auto" w:fill="E9E9E9"/>
          </w:tcPr>
          <w:p>
            <w:pPr>
              <w:spacing w:after="0"/>
              <w:rPr>
                <w:sz w:val="21"/>
                <w:szCs w:val="21"/>
                <w:color w:val="auto"/>
              </w:rPr>
            </w:pPr>
          </w:p>
        </w:tc>
        <w:tc>
          <w:tcPr>
            <w:tcW w:w="116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r>
      <w:tr>
        <w:trPr>
          <w:trHeight w:val="245"/>
        </w:trPr>
        <w:tc>
          <w:tcPr>
            <w:tcW w:w="2180" w:type="dxa"/>
            <w:vAlign w:val="bottom"/>
            <w:shd w:val="clear" w:color="auto" w:fill="E9E9E9"/>
          </w:tcPr>
          <w:p>
            <w:pPr>
              <w:ind w:left="520"/>
              <w:spacing w:after="0"/>
              <w:rPr>
                <w:sz w:val="20"/>
                <w:szCs w:val="20"/>
                <w:color w:val="auto"/>
              </w:rPr>
            </w:pPr>
            <w:r>
              <w:rPr>
                <w:rFonts w:ascii="Arial" w:cs="Arial" w:eastAsia="Arial" w:hAnsi="Arial"/>
                <w:sz w:val="17"/>
                <w:szCs w:val="17"/>
                <w:color w:val="auto"/>
              </w:rPr>
              <w:t>for Cause</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704,528</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w:t>
            </w:r>
          </w:p>
        </w:tc>
        <w:tc>
          <w:tcPr>
            <w:tcW w:w="1260" w:type="dxa"/>
            <w:vAlign w:val="bottom"/>
            <w:gridSpan w:val="3"/>
            <w:shd w:val="clear" w:color="auto" w:fill="E9E9E9"/>
          </w:tcPr>
          <w:p>
            <w:pPr>
              <w:jc w:val="right"/>
              <w:ind w:right="16"/>
              <w:spacing w:after="0"/>
              <w:rPr>
                <w:sz w:val="20"/>
                <w:szCs w:val="20"/>
                <w:color w:val="auto"/>
              </w:rPr>
            </w:pPr>
            <w:r>
              <w:rPr>
                <w:rFonts w:ascii="Arial" w:cs="Arial" w:eastAsia="Arial" w:hAnsi="Arial"/>
                <w:sz w:val="17"/>
                <w:szCs w:val="17"/>
                <w:color w:val="auto"/>
              </w:rPr>
              <w:t>$203,800 (8)</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E9E9E9"/>
          </w:tcPr>
          <w:p>
            <w:pPr>
              <w:jc w:val="right"/>
              <w:ind w:right="40"/>
              <w:spacing w:after="0"/>
              <w:rPr>
                <w:sz w:val="20"/>
                <w:szCs w:val="20"/>
                <w:color w:val="auto"/>
              </w:rPr>
            </w:pPr>
            <w:r>
              <w:rPr>
                <w:rFonts w:ascii="Arial" w:cs="Arial" w:eastAsia="Arial" w:hAnsi="Arial"/>
                <w:sz w:val="17"/>
                <w:szCs w:val="17"/>
                <w:color w:val="auto"/>
                <w:w w:val="96"/>
              </w:rPr>
              <w:t>3,149,010 (8)</w:t>
            </w:r>
          </w:p>
        </w:tc>
        <w:tc>
          <w:tcPr>
            <w:tcW w:w="1160" w:type="dxa"/>
            <w:vAlign w:val="bottom"/>
            <w:shd w:val="clear" w:color="auto" w:fill="E9E9E9"/>
          </w:tcPr>
          <w:p>
            <w:pPr>
              <w:jc w:val="right"/>
              <w:ind w:right="277"/>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E9E9E9"/>
          </w:tcPr>
          <w:p>
            <w:pPr>
              <w:spacing w:after="0"/>
              <w:rPr>
                <w:sz w:val="21"/>
                <w:szCs w:val="21"/>
                <w:color w:val="auto"/>
              </w:rPr>
            </w:pP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4,057,338</w:t>
            </w:r>
          </w:p>
        </w:tc>
        <w:tc>
          <w:tcPr>
            <w:tcW w:w="320" w:type="dxa"/>
            <w:vAlign w:val="bottom"/>
            <w:shd w:val="clear" w:color="auto" w:fill="E9E9E9"/>
          </w:tcPr>
          <w:p>
            <w:pPr>
              <w:spacing w:after="0"/>
              <w:rPr>
                <w:sz w:val="21"/>
                <w:szCs w:val="21"/>
                <w:color w:val="auto"/>
              </w:rPr>
            </w:pPr>
          </w:p>
        </w:tc>
      </w:tr>
      <w:tr>
        <w:trPr>
          <w:trHeight w:val="245"/>
        </w:trPr>
        <w:tc>
          <w:tcPr>
            <w:tcW w:w="2180" w:type="dxa"/>
            <w:vAlign w:val="bottom"/>
            <w:shd w:val="clear" w:color="auto" w:fill="E9E9E9"/>
          </w:tcPr>
          <w:p>
            <w:pPr>
              <w:ind w:left="260"/>
              <w:spacing w:after="0"/>
              <w:rPr>
                <w:sz w:val="20"/>
                <w:szCs w:val="20"/>
                <w:color w:val="auto"/>
              </w:rPr>
            </w:pPr>
            <w:r>
              <w:rPr>
                <w:rFonts w:ascii="Arial" w:cs="Arial" w:eastAsia="Arial" w:hAnsi="Arial"/>
                <w:sz w:val="17"/>
                <w:szCs w:val="17"/>
                <w:color w:val="auto"/>
              </w:rPr>
              <w:t>Resignation; Involuntary</w:t>
            </w:r>
          </w:p>
        </w:tc>
        <w:tc>
          <w:tcPr>
            <w:tcW w:w="20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620" w:type="dxa"/>
            <w:vAlign w:val="bottom"/>
            <w:shd w:val="clear" w:color="auto" w:fill="E9E9E9"/>
          </w:tcPr>
          <w:p>
            <w:pPr>
              <w:spacing w:after="0"/>
              <w:rPr>
                <w:sz w:val="21"/>
                <w:szCs w:val="21"/>
                <w:color w:val="auto"/>
              </w:rPr>
            </w:pPr>
          </w:p>
        </w:tc>
        <w:tc>
          <w:tcPr>
            <w:tcW w:w="3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1120" w:type="dxa"/>
            <w:vAlign w:val="bottom"/>
            <w:shd w:val="clear" w:color="auto" w:fill="E9E9E9"/>
          </w:tcPr>
          <w:p>
            <w:pPr>
              <w:spacing w:after="0"/>
              <w:rPr>
                <w:sz w:val="21"/>
                <w:szCs w:val="21"/>
                <w:color w:val="auto"/>
              </w:rPr>
            </w:pPr>
          </w:p>
        </w:tc>
        <w:tc>
          <w:tcPr>
            <w:tcW w:w="116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r>
      <w:tr>
        <w:trPr>
          <w:trHeight w:val="245"/>
        </w:trPr>
        <w:tc>
          <w:tcPr>
            <w:tcW w:w="2180" w:type="dxa"/>
            <w:vAlign w:val="bottom"/>
            <w:shd w:val="clear" w:color="auto" w:fill="E9E9E9"/>
          </w:tcPr>
          <w:p>
            <w:pPr>
              <w:ind w:left="520"/>
              <w:spacing w:after="0"/>
              <w:rPr>
                <w:sz w:val="20"/>
                <w:szCs w:val="20"/>
                <w:color w:val="auto"/>
              </w:rPr>
            </w:pPr>
            <w:r>
              <w:rPr>
                <w:rFonts w:ascii="Arial" w:cs="Arial" w:eastAsia="Arial" w:hAnsi="Arial"/>
                <w:sz w:val="17"/>
                <w:szCs w:val="17"/>
                <w:color w:val="auto"/>
              </w:rPr>
              <w:t>Termination</w:t>
            </w:r>
          </w:p>
        </w:tc>
        <w:tc>
          <w:tcPr>
            <w:tcW w:w="20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620" w:type="dxa"/>
            <w:vAlign w:val="bottom"/>
            <w:shd w:val="clear" w:color="auto" w:fill="E9E9E9"/>
          </w:tcPr>
          <w:p>
            <w:pPr>
              <w:spacing w:after="0"/>
              <w:rPr>
                <w:sz w:val="21"/>
                <w:szCs w:val="21"/>
                <w:color w:val="auto"/>
              </w:rPr>
            </w:pPr>
          </w:p>
        </w:tc>
        <w:tc>
          <w:tcPr>
            <w:tcW w:w="3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1120" w:type="dxa"/>
            <w:vAlign w:val="bottom"/>
            <w:shd w:val="clear" w:color="auto" w:fill="E9E9E9"/>
          </w:tcPr>
          <w:p>
            <w:pPr>
              <w:spacing w:after="0"/>
              <w:rPr>
                <w:sz w:val="21"/>
                <w:szCs w:val="21"/>
                <w:color w:val="auto"/>
              </w:rPr>
            </w:pPr>
          </w:p>
        </w:tc>
        <w:tc>
          <w:tcPr>
            <w:tcW w:w="116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r>
      <w:tr>
        <w:trPr>
          <w:trHeight w:val="245"/>
        </w:trPr>
        <w:tc>
          <w:tcPr>
            <w:tcW w:w="2180" w:type="dxa"/>
            <w:vAlign w:val="bottom"/>
            <w:shd w:val="clear" w:color="auto" w:fill="E9E9E9"/>
          </w:tcPr>
          <w:p>
            <w:pPr>
              <w:ind w:left="520"/>
              <w:spacing w:after="0"/>
              <w:rPr>
                <w:sz w:val="20"/>
                <w:szCs w:val="20"/>
                <w:color w:val="auto"/>
              </w:rPr>
            </w:pPr>
            <w:r>
              <w:rPr>
                <w:rFonts w:ascii="Arial" w:cs="Arial" w:eastAsia="Arial" w:hAnsi="Arial"/>
                <w:sz w:val="17"/>
                <w:szCs w:val="17"/>
                <w:color w:val="auto"/>
              </w:rPr>
              <w:t>(Not for Cause)</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704,528</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w:t>
            </w:r>
          </w:p>
        </w:tc>
        <w:tc>
          <w:tcPr>
            <w:tcW w:w="3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6"/>
              <w:spacing w:after="0"/>
              <w:rPr>
                <w:sz w:val="20"/>
                <w:szCs w:val="20"/>
                <w:color w:val="auto"/>
              </w:rPr>
            </w:pPr>
            <w:r>
              <w:rPr>
                <w:rFonts w:ascii="Arial" w:cs="Arial" w:eastAsia="Arial" w:hAnsi="Arial"/>
                <w:sz w:val="17"/>
                <w:szCs w:val="17"/>
                <w:color w:val="auto"/>
                <w:w w:val="96"/>
              </w:rPr>
              <w:t>203,800 (8)</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E9E9E9"/>
          </w:tcPr>
          <w:p>
            <w:pPr>
              <w:jc w:val="right"/>
              <w:ind w:right="40"/>
              <w:spacing w:after="0"/>
              <w:rPr>
                <w:sz w:val="20"/>
                <w:szCs w:val="20"/>
                <w:color w:val="auto"/>
              </w:rPr>
            </w:pPr>
            <w:r>
              <w:rPr>
                <w:rFonts w:ascii="Arial" w:cs="Arial" w:eastAsia="Arial" w:hAnsi="Arial"/>
                <w:sz w:val="17"/>
                <w:szCs w:val="17"/>
                <w:color w:val="auto"/>
                <w:w w:val="96"/>
              </w:rPr>
              <w:t>3,149,010 (8)</w:t>
            </w:r>
          </w:p>
        </w:tc>
        <w:tc>
          <w:tcPr>
            <w:tcW w:w="1160" w:type="dxa"/>
            <w:vAlign w:val="bottom"/>
            <w:shd w:val="clear" w:color="auto" w:fill="E9E9E9"/>
          </w:tcPr>
          <w:p>
            <w:pPr>
              <w:jc w:val="right"/>
              <w:ind w:right="277"/>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E9E9E9"/>
          </w:tcPr>
          <w:p>
            <w:pPr>
              <w:spacing w:after="0"/>
              <w:rPr>
                <w:sz w:val="21"/>
                <w:szCs w:val="21"/>
                <w:color w:val="auto"/>
              </w:rPr>
            </w:pP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3,962,700</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(10)</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8,020,038</w:t>
            </w:r>
          </w:p>
        </w:tc>
        <w:tc>
          <w:tcPr>
            <w:tcW w:w="320" w:type="dxa"/>
            <w:vAlign w:val="bottom"/>
            <w:shd w:val="clear" w:color="auto" w:fill="E9E9E9"/>
          </w:tcPr>
          <w:p>
            <w:pPr>
              <w:spacing w:after="0"/>
              <w:rPr>
                <w:sz w:val="21"/>
                <w:szCs w:val="21"/>
                <w:color w:val="auto"/>
              </w:rPr>
            </w:pPr>
          </w:p>
        </w:tc>
      </w:tr>
      <w:tr>
        <w:trPr>
          <w:trHeight w:val="260"/>
        </w:trPr>
        <w:tc>
          <w:tcPr>
            <w:tcW w:w="2180" w:type="dxa"/>
            <w:vAlign w:val="bottom"/>
            <w:shd w:val="clear" w:color="auto" w:fill="E9E9E9"/>
          </w:tcPr>
          <w:p>
            <w:pPr>
              <w:ind w:left="260"/>
              <w:spacing w:after="0"/>
              <w:rPr>
                <w:sz w:val="20"/>
                <w:szCs w:val="20"/>
                <w:color w:val="auto"/>
              </w:rPr>
            </w:pPr>
            <w:r>
              <w:rPr>
                <w:rFonts w:ascii="Arial" w:cs="Arial" w:eastAsia="Arial" w:hAnsi="Arial"/>
                <w:sz w:val="17"/>
                <w:szCs w:val="17"/>
                <w:color w:val="auto"/>
              </w:rPr>
              <w:t>Change in Control</w:t>
            </w:r>
          </w:p>
        </w:tc>
        <w:tc>
          <w:tcPr>
            <w:tcW w:w="200" w:type="dxa"/>
            <w:vAlign w:val="bottom"/>
            <w:shd w:val="clear" w:color="auto" w:fill="E9E9E9"/>
          </w:tcPr>
          <w:p>
            <w:pPr>
              <w:spacing w:after="0"/>
              <w:rPr>
                <w:sz w:val="22"/>
                <w:szCs w:val="22"/>
                <w:color w:val="auto"/>
              </w:rPr>
            </w:pP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E9E9E9"/>
          </w:tcPr>
          <w:p>
            <w:pPr>
              <w:spacing w:after="0"/>
              <w:rPr>
                <w:sz w:val="22"/>
                <w:szCs w:val="22"/>
                <w:color w:val="auto"/>
              </w:rPr>
            </w:pPr>
          </w:p>
        </w:tc>
        <w:tc>
          <w:tcPr>
            <w:tcW w:w="3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6"/>
              <w:spacing w:after="0"/>
              <w:rPr>
                <w:sz w:val="20"/>
                <w:szCs w:val="20"/>
                <w:color w:val="auto"/>
              </w:rPr>
            </w:pPr>
            <w:r>
              <w:rPr>
                <w:rFonts w:ascii="Arial" w:cs="Arial" w:eastAsia="Arial" w:hAnsi="Arial"/>
                <w:sz w:val="17"/>
                <w:szCs w:val="17"/>
                <w:color w:val="auto"/>
                <w:w w:val="96"/>
              </w:rPr>
              <w:t>203,800 (8)</w:t>
            </w:r>
          </w:p>
        </w:tc>
        <w:tc>
          <w:tcPr>
            <w:tcW w:w="200" w:type="dxa"/>
            <w:vAlign w:val="bottom"/>
            <w:shd w:val="clear" w:color="auto" w:fill="E9E9E9"/>
          </w:tcPr>
          <w:p>
            <w:pPr>
              <w:spacing w:after="0"/>
              <w:rPr>
                <w:sz w:val="22"/>
                <w:szCs w:val="22"/>
                <w:color w:val="auto"/>
              </w:rPr>
            </w:pPr>
          </w:p>
        </w:tc>
        <w:tc>
          <w:tcPr>
            <w:tcW w:w="1120" w:type="dxa"/>
            <w:vAlign w:val="bottom"/>
            <w:shd w:val="clear" w:color="auto" w:fill="E9E9E9"/>
          </w:tcPr>
          <w:p>
            <w:pPr>
              <w:jc w:val="right"/>
              <w:ind w:right="2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E9E9E9"/>
          </w:tcPr>
          <w:p>
            <w:pPr>
              <w:jc w:val="right"/>
              <w:ind w:right="277"/>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1,956,387</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(11)</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757,150</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(12)</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2,917,337</w:t>
            </w:r>
          </w:p>
        </w:tc>
        <w:tc>
          <w:tcPr>
            <w:tcW w:w="320" w:type="dxa"/>
            <w:vAlign w:val="bottom"/>
            <w:shd w:val="clear" w:color="auto" w:fill="E9E9E9"/>
          </w:tcPr>
          <w:p>
            <w:pPr>
              <w:spacing w:after="0"/>
              <w:rPr>
                <w:sz w:val="22"/>
                <w:szCs w:val="22"/>
                <w:color w:val="auto"/>
              </w:rPr>
            </w:pPr>
          </w:p>
        </w:tc>
      </w:tr>
      <w:tr>
        <w:trPr>
          <w:trHeight w:val="233"/>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22"/>
        </w:trPr>
        <w:tc>
          <w:tcPr>
            <w:tcW w:w="2180" w:type="dxa"/>
            <w:vAlign w:val="bottom"/>
            <w:shd w:val="clear" w:color="auto" w:fill="E9E9E9"/>
          </w:tcPr>
          <w:p>
            <w:pPr>
              <w:spacing w:after="0"/>
              <w:rPr>
                <w:sz w:val="20"/>
                <w:szCs w:val="20"/>
                <w:color w:val="auto"/>
              </w:rPr>
            </w:pPr>
            <w:r>
              <w:rPr>
                <w:rFonts w:ascii="Arial" w:cs="Arial" w:eastAsia="Arial" w:hAnsi="Arial"/>
                <w:sz w:val="17"/>
                <w:szCs w:val="17"/>
                <w:b w:val="1"/>
                <w:bCs w:val="1"/>
                <w:color w:val="auto"/>
              </w:rPr>
              <w:t>B. T. Crutcher</w:t>
            </w:r>
          </w:p>
        </w:tc>
        <w:tc>
          <w:tcPr>
            <w:tcW w:w="200" w:type="dxa"/>
            <w:vAlign w:val="bottom"/>
            <w:shd w:val="clear" w:color="auto" w:fill="E9E9E9"/>
          </w:tcPr>
          <w:p>
            <w:pPr>
              <w:spacing w:after="0"/>
              <w:rPr>
                <w:sz w:val="19"/>
                <w:szCs w:val="19"/>
                <w:color w:val="auto"/>
              </w:rPr>
            </w:pPr>
          </w:p>
        </w:tc>
        <w:tc>
          <w:tcPr>
            <w:tcW w:w="76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00" w:type="dxa"/>
            <w:vAlign w:val="bottom"/>
            <w:shd w:val="clear" w:color="auto" w:fill="E9E9E9"/>
          </w:tcPr>
          <w:p>
            <w:pPr>
              <w:spacing w:after="0"/>
              <w:rPr>
                <w:sz w:val="19"/>
                <w:szCs w:val="19"/>
                <w:color w:val="auto"/>
              </w:rPr>
            </w:pPr>
          </w:p>
        </w:tc>
        <w:tc>
          <w:tcPr>
            <w:tcW w:w="620" w:type="dxa"/>
            <w:vAlign w:val="bottom"/>
            <w:shd w:val="clear" w:color="auto" w:fill="E9E9E9"/>
          </w:tcPr>
          <w:p>
            <w:pPr>
              <w:spacing w:after="0"/>
              <w:rPr>
                <w:sz w:val="19"/>
                <w:szCs w:val="19"/>
                <w:color w:val="auto"/>
              </w:rPr>
            </w:pPr>
          </w:p>
        </w:tc>
        <w:tc>
          <w:tcPr>
            <w:tcW w:w="34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1120" w:type="dxa"/>
            <w:vAlign w:val="bottom"/>
            <w:shd w:val="clear" w:color="auto" w:fill="E9E9E9"/>
          </w:tcPr>
          <w:p>
            <w:pPr>
              <w:spacing w:after="0"/>
              <w:rPr>
                <w:sz w:val="19"/>
                <w:szCs w:val="19"/>
                <w:color w:val="auto"/>
              </w:rPr>
            </w:pPr>
          </w:p>
        </w:tc>
        <w:tc>
          <w:tcPr>
            <w:tcW w:w="116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860" w:type="dxa"/>
            <w:vAlign w:val="bottom"/>
            <w:shd w:val="clear" w:color="auto" w:fill="E9E9E9"/>
          </w:tcPr>
          <w:p>
            <w:pPr>
              <w:spacing w:after="0"/>
              <w:rPr>
                <w:sz w:val="19"/>
                <w:szCs w:val="19"/>
                <w:color w:val="auto"/>
              </w:rPr>
            </w:pPr>
          </w:p>
        </w:tc>
        <w:tc>
          <w:tcPr>
            <w:tcW w:w="440" w:type="dxa"/>
            <w:vAlign w:val="bottom"/>
            <w:shd w:val="clear" w:color="auto" w:fill="E9E9E9"/>
          </w:tcPr>
          <w:p>
            <w:pPr>
              <w:spacing w:after="0"/>
              <w:rPr>
                <w:sz w:val="19"/>
                <w:szCs w:val="19"/>
                <w:color w:val="auto"/>
              </w:rPr>
            </w:pPr>
          </w:p>
        </w:tc>
        <w:tc>
          <w:tcPr>
            <w:tcW w:w="220" w:type="dxa"/>
            <w:vAlign w:val="bottom"/>
            <w:shd w:val="clear" w:color="auto" w:fill="E9E9E9"/>
          </w:tcPr>
          <w:p>
            <w:pPr>
              <w:spacing w:after="0"/>
              <w:rPr>
                <w:sz w:val="19"/>
                <w:szCs w:val="19"/>
                <w:color w:val="auto"/>
              </w:rPr>
            </w:pPr>
          </w:p>
        </w:tc>
        <w:tc>
          <w:tcPr>
            <w:tcW w:w="860" w:type="dxa"/>
            <w:vAlign w:val="bottom"/>
            <w:shd w:val="clear" w:color="auto" w:fill="E9E9E9"/>
          </w:tcPr>
          <w:p>
            <w:pPr>
              <w:spacing w:after="0"/>
              <w:rPr>
                <w:sz w:val="19"/>
                <w:szCs w:val="19"/>
                <w:color w:val="auto"/>
              </w:rPr>
            </w:pPr>
          </w:p>
        </w:tc>
        <w:tc>
          <w:tcPr>
            <w:tcW w:w="44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860" w:type="dxa"/>
            <w:vAlign w:val="bottom"/>
            <w:shd w:val="clear" w:color="auto" w:fill="E9E9E9"/>
          </w:tcPr>
          <w:p>
            <w:pPr>
              <w:spacing w:after="0"/>
              <w:rPr>
                <w:sz w:val="19"/>
                <w:szCs w:val="19"/>
                <w:color w:val="auto"/>
              </w:rPr>
            </w:pPr>
          </w:p>
        </w:tc>
        <w:tc>
          <w:tcPr>
            <w:tcW w:w="320" w:type="dxa"/>
            <w:vAlign w:val="bottom"/>
            <w:shd w:val="clear" w:color="auto" w:fill="E9E9E9"/>
          </w:tcPr>
          <w:p>
            <w:pPr>
              <w:spacing w:after="0"/>
              <w:rPr>
                <w:sz w:val="19"/>
                <w:szCs w:val="19"/>
                <w:color w:val="auto"/>
              </w:rPr>
            </w:pPr>
          </w:p>
        </w:tc>
      </w:tr>
      <w:tr>
        <w:trPr>
          <w:trHeight w:val="241"/>
        </w:trPr>
        <w:tc>
          <w:tcPr>
            <w:tcW w:w="2180" w:type="dxa"/>
            <w:vAlign w:val="bottom"/>
            <w:shd w:val="clear" w:color="auto" w:fill="E9E9E9"/>
          </w:tcPr>
          <w:p>
            <w:pPr>
              <w:ind w:left="260"/>
              <w:spacing w:after="0"/>
              <w:rPr>
                <w:sz w:val="20"/>
                <w:szCs w:val="20"/>
                <w:color w:val="auto"/>
              </w:rPr>
            </w:pPr>
            <w:r>
              <w:rPr>
                <w:rFonts w:ascii="Arial" w:cs="Arial" w:eastAsia="Arial" w:hAnsi="Arial"/>
                <w:sz w:val="17"/>
                <w:szCs w:val="17"/>
                <w:color w:val="auto"/>
              </w:rPr>
              <w:t>Disability</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10,750 (1)</w:t>
            </w:r>
          </w:p>
        </w:tc>
        <w:tc>
          <w:tcPr>
            <w:tcW w:w="300" w:type="dxa"/>
            <w:vAlign w:val="bottom"/>
            <w:shd w:val="clear" w:color="auto" w:fill="E9E9E9"/>
          </w:tcPr>
          <w:p>
            <w:pPr>
              <w:spacing w:after="0"/>
              <w:rPr>
                <w:sz w:val="20"/>
                <w:szCs w:val="20"/>
                <w:color w:val="auto"/>
              </w:rPr>
            </w:pPr>
          </w:p>
        </w:tc>
        <w:tc>
          <w:tcPr>
            <w:tcW w:w="960" w:type="dxa"/>
            <w:vAlign w:val="bottom"/>
            <w:gridSpan w:val="2"/>
            <w:shd w:val="clear" w:color="auto" w:fill="E9E9E9"/>
          </w:tcPr>
          <w:p>
            <w:pPr>
              <w:jc w:val="right"/>
              <w:ind w:right="256"/>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spacing w:after="0"/>
              <w:rPr>
                <w:sz w:val="20"/>
                <w:szCs w:val="20"/>
                <w:color w:val="auto"/>
              </w:rPr>
            </w:pPr>
          </w:p>
        </w:tc>
        <w:tc>
          <w:tcPr>
            <w:tcW w:w="1120" w:type="dxa"/>
            <w:vAlign w:val="bottom"/>
            <w:shd w:val="clear" w:color="auto" w:fill="E9E9E9"/>
          </w:tcPr>
          <w:p>
            <w:pPr>
              <w:jc w:val="right"/>
              <w:ind w:right="2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E9E9E9"/>
          </w:tcPr>
          <w:p>
            <w:pPr>
              <w:jc w:val="right"/>
              <w:ind w:right="277"/>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12,356,031</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(3)</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1,684,600</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(4)</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8"/>
              </w:rPr>
              <w:t>14,051,381</w:t>
            </w:r>
          </w:p>
        </w:tc>
        <w:tc>
          <w:tcPr>
            <w:tcW w:w="320" w:type="dxa"/>
            <w:vAlign w:val="bottom"/>
            <w:shd w:val="clear" w:color="auto" w:fill="E9E9E9"/>
          </w:tcPr>
          <w:p>
            <w:pPr>
              <w:spacing w:after="0"/>
              <w:rPr>
                <w:sz w:val="20"/>
                <w:szCs w:val="20"/>
                <w:color w:val="auto"/>
              </w:rPr>
            </w:pPr>
          </w:p>
        </w:tc>
      </w:tr>
      <w:tr>
        <w:trPr>
          <w:trHeight w:val="245"/>
        </w:trPr>
        <w:tc>
          <w:tcPr>
            <w:tcW w:w="2180" w:type="dxa"/>
            <w:vAlign w:val="bottom"/>
            <w:shd w:val="clear" w:color="auto" w:fill="E9E9E9"/>
          </w:tcPr>
          <w:p>
            <w:pPr>
              <w:ind w:left="260"/>
              <w:spacing w:after="0"/>
              <w:rPr>
                <w:sz w:val="20"/>
                <w:szCs w:val="20"/>
                <w:color w:val="auto"/>
              </w:rPr>
            </w:pPr>
            <w:r>
              <w:rPr>
                <w:rFonts w:ascii="Arial" w:cs="Arial" w:eastAsia="Arial" w:hAnsi="Arial"/>
                <w:sz w:val="17"/>
                <w:szCs w:val="17"/>
                <w:color w:val="auto"/>
              </w:rPr>
              <w:t>Death</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1,816 (5)</w:t>
            </w:r>
          </w:p>
        </w:tc>
        <w:tc>
          <w:tcPr>
            <w:tcW w:w="300" w:type="dxa"/>
            <w:vAlign w:val="bottom"/>
            <w:shd w:val="clear" w:color="auto" w:fill="E9E9E9"/>
          </w:tcPr>
          <w:p>
            <w:pPr>
              <w:spacing w:after="0"/>
              <w:rPr>
                <w:sz w:val="21"/>
                <w:szCs w:val="21"/>
                <w:color w:val="auto"/>
              </w:rPr>
            </w:pPr>
          </w:p>
        </w:tc>
        <w:tc>
          <w:tcPr>
            <w:tcW w:w="960" w:type="dxa"/>
            <w:vAlign w:val="bottom"/>
            <w:gridSpan w:val="2"/>
            <w:shd w:val="clear" w:color="auto" w:fill="E9E9E9"/>
          </w:tcPr>
          <w:p>
            <w:pPr>
              <w:jc w:val="right"/>
              <w:ind w:right="256"/>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spacing w:after="0"/>
              <w:rPr>
                <w:sz w:val="21"/>
                <w:szCs w:val="21"/>
                <w:color w:val="auto"/>
              </w:rPr>
            </w:pPr>
          </w:p>
        </w:tc>
        <w:tc>
          <w:tcPr>
            <w:tcW w:w="1120" w:type="dxa"/>
            <w:vAlign w:val="bottom"/>
            <w:shd w:val="clear" w:color="auto" w:fill="E9E9E9"/>
          </w:tcPr>
          <w:p>
            <w:pPr>
              <w:jc w:val="right"/>
              <w:ind w:right="2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E9E9E9"/>
          </w:tcPr>
          <w:p>
            <w:pPr>
              <w:jc w:val="right"/>
              <w:ind w:right="37"/>
              <w:spacing w:after="0"/>
              <w:rPr>
                <w:sz w:val="20"/>
                <w:szCs w:val="20"/>
                <w:color w:val="auto"/>
              </w:rPr>
            </w:pPr>
            <w:r>
              <w:rPr>
                <w:rFonts w:ascii="Arial" w:cs="Arial" w:eastAsia="Arial" w:hAnsi="Arial"/>
                <w:sz w:val="17"/>
                <w:szCs w:val="17"/>
                <w:color w:val="auto"/>
              </w:rPr>
              <w:t>$367,874 (6)</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12,356,031</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(7)</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1,684,600</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(4)</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8"/>
              </w:rPr>
              <w:t>14,410,321</w:t>
            </w:r>
          </w:p>
        </w:tc>
        <w:tc>
          <w:tcPr>
            <w:tcW w:w="320" w:type="dxa"/>
            <w:vAlign w:val="bottom"/>
            <w:shd w:val="clear" w:color="auto" w:fill="E9E9E9"/>
          </w:tcPr>
          <w:p>
            <w:pPr>
              <w:spacing w:after="0"/>
              <w:rPr>
                <w:sz w:val="21"/>
                <w:szCs w:val="21"/>
                <w:color w:val="auto"/>
              </w:rPr>
            </w:pPr>
          </w:p>
        </w:tc>
      </w:tr>
      <w:tr>
        <w:trPr>
          <w:trHeight w:val="245"/>
        </w:trPr>
        <w:tc>
          <w:tcPr>
            <w:tcW w:w="2180" w:type="dxa"/>
            <w:vAlign w:val="bottom"/>
            <w:shd w:val="clear" w:color="auto" w:fill="E9E9E9"/>
          </w:tcPr>
          <w:p>
            <w:pPr>
              <w:ind w:left="260"/>
              <w:spacing w:after="0"/>
              <w:rPr>
                <w:sz w:val="20"/>
                <w:szCs w:val="20"/>
                <w:color w:val="auto"/>
              </w:rPr>
            </w:pPr>
            <w:r>
              <w:rPr>
                <w:rFonts w:ascii="Arial" w:cs="Arial" w:eastAsia="Arial" w:hAnsi="Arial"/>
                <w:sz w:val="17"/>
                <w:szCs w:val="17"/>
                <w:color w:val="auto"/>
              </w:rPr>
              <w:t>Involuntary Termination</w:t>
            </w:r>
          </w:p>
        </w:tc>
        <w:tc>
          <w:tcPr>
            <w:tcW w:w="20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620" w:type="dxa"/>
            <w:vAlign w:val="bottom"/>
            <w:shd w:val="clear" w:color="auto" w:fill="E9E9E9"/>
          </w:tcPr>
          <w:p>
            <w:pPr>
              <w:spacing w:after="0"/>
              <w:rPr>
                <w:sz w:val="21"/>
                <w:szCs w:val="21"/>
                <w:color w:val="auto"/>
              </w:rPr>
            </w:pPr>
          </w:p>
        </w:tc>
        <w:tc>
          <w:tcPr>
            <w:tcW w:w="3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1120" w:type="dxa"/>
            <w:vAlign w:val="bottom"/>
            <w:shd w:val="clear" w:color="auto" w:fill="E9E9E9"/>
          </w:tcPr>
          <w:p>
            <w:pPr>
              <w:spacing w:after="0"/>
              <w:rPr>
                <w:sz w:val="21"/>
                <w:szCs w:val="21"/>
                <w:color w:val="auto"/>
              </w:rPr>
            </w:pPr>
          </w:p>
        </w:tc>
        <w:tc>
          <w:tcPr>
            <w:tcW w:w="116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r>
      <w:tr>
        <w:trPr>
          <w:trHeight w:val="245"/>
        </w:trPr>
        <w:tc>
          <w:tcPr>
            <w:tcW w:w="2180" w:type="dxa"/>
            <w:vAlign w:val="bottom"/>
            <w:shd w:val="clear" w:color="auto" w:fill="E9E9E9"/>
          </w:tcPr>
          <w:p>
            <w:pPr>
              <w:ind w:left="520"/>
              <w:spacing w:after="0"/>
              <w:rPr>
                <w:sz w:val="20"/>
                <w:szCs w:val="20"/>
                <w:color w:val="auto"/>
              </w:rPr>
            </w:pPr>
            <w:r>
              <w:rPr>
                <w:rFonts w:ascii="Arial" w:cs="Arial" w:eastAsia="Arial" w:hAnsi="Arial"/>
                <w:sz w:val="17"/>
                <w:szCs w:val="17"/>
                <w:color w:val="auto"/>
              </w:rPr>
              <w:t>for Cause</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3,595</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w:t>
            </w:r>
          </w:p>
        </w:tc>
        <w:tc>
          <w:tcPr>
            <w:tcW w:w="300" w:type="dxa"/>
            <w:vAlign w:val="bottom"/>
            <w:shd w:val="clear" w:color="auto" w:fill="E9E9E9"/>
          </w:tcPr>
          <w:p>
            <w:pPr>
              <w:spacing w:after="0"/>
              <w:rPr>
                <w:sz w:val="21"/>
                <w:szCs w:val="21"/>
                <w:color w:val="auto"/>
              </w:rPr>
            </w:pPr>
          </w:p>
        </w:tc>
        <w:tc>
          <w:tcPr>
            <w:tcW w:w="960" w:type="dxa"/>
            <w:vAlign w:val="bottom"/>
            <w:gridSpan w:val="2"/>
            <w:shd w:val="clear" w:color="auto" w:fill="E9E9E9"/>
          </w:tcPr>
          <w:p>
            <w:pPr>
              <w:jc w:val="right"/>
              <w:ind w:right="256"/>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spacing w:after="0"/>
              <w:rPr>
                <w:sz w:val="21"/>
                <w:szCs w:val="21"/>
                <w:color w:val="auto"/>
              </w:rPr>
            </w:pPr>
          </w:p>
        </w:tc>
        <w:tc>
          <w:tcPr>
            <w:tcW w:w="1120" w:type="dxa"/>
            <w:vAlign w:val="bottom"/>
            <w:shd w:val="clear" w:color="auto" w:fill="E9E9E9"/>
          </w:tcPr>
          <w:p>
            <w:pPr>
              <w:jc w:val="right"/>
              <w:ind w:right="2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E9E9E9"/>
          </w:tcPr>
          <w:p>
            <w:pPr>
              <w:jc w:val="right"/>
              <w:ind w:right="277"/>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E9E9E9"/>
          </w:tcPr>
          <w:p>
            <w:pPr>
              <w:spacing w:after="0"/>
              <w:rPr>
                <w:sz w:val="21"/>
                <w:szCs w:val="21"/>
                <w:color w:val="auto"/>
              </w:rPr>
            </w:pP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3,595</w:t>
            </w:r>
          </w:p>
        </w:tc>
        <w:tc>
          <w:tcPr>
            <w:tcW w:w="320" w:type="dxa"/>
            <w:vAlign w:val="bottom"/>
            <w:shd w:val="clear" w:color="auto" w:fill="E9E9E9"/>
          </w:tcPr>
          <w:p>
            <w:pPr>
              <w:spacing w:after="0"/>
              <w:rPr>
                <w:sz w:val="21"/>
                <w:szCs w:val="21"/>
                <w:color w:val="auto"/>
              </w:rPr>
            </w:pPr>
          </w:p>
        </w:tc>
      </w:tr>
      <w:tr>
        <w:trPr>
          <w:trHeight w:val="245"/>
        </w:trPr>
        <w:tc>
          <w:tcPr>
            <w:tcW w:w="2180" w:type="dxa"/>
            <w:vAlign w:val="bottom"/>
            <w:shd w:val="clear" w:color="auto" w:fill="E9E9E9"/>
          </w:tcPr>
          <w:p>
            <w:pPr>
              <w:ind w:left="260"/>
              <w:spacing w:after="0"/>
              <w:rPr>
                <w:sz w:val="20"/>
                <w:szCs w:val="20"/>
                <w:color w:val="auto"/>
              </w:rPr>
            </w:pPr>
            <w:r>
              <w:rPr>
                <w:rFonts w:ascii="Arial" w:cs="Arial" w:eastAsia="Arial" w:hAnsi="Arial"/>
                <w:sz w:val="17"/>
                <w:szCs w:val="17"/>
                <w:color w:val="auto"/>
              </w:rPr>
              <w:t>Resignation; Involuntary</w:t>
            </w:r>
          </w:p>
        </w:tc>
        <w:tc>
          <w:tcPr>
            <w:tcW w:w="20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620" w:type="dxa"/>
            <w:vAlign w:val="bottom"/>
            <w:shd w:val="clear" w:color="auto" w:fill="E9E9E9"/>
          </w:tcPr>
          <w:p>
            <w:pPr>
              <w:spacing w:after="0"/>
              <w:rPr>
                <w:sz w:val="21"/>
                <w:szCs w:val="21"/>
                <w:color w:val="auto"/>
              </w:rPr>
            </w:pPr>
          </w:p>
        </w:tc>
        <w:tc>
          <w:tcPr>
            <w:tcW w:w="3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1120" w:type="dxa"/>
            <w:vAlign w:val="bottom"/>
            <w:shd w:val="clear" w:color="auto" w:fill="E9E9E9"/>
          </w:tcPr>
          <w:p>
            <w:pPr>
              <w:spacing w:after="0"/>
              <w:rPr>
                <w:sz w:val="21"/>
                <w:szCs w:val="21"/>
                <w:color w:val="auto"/>
              </w:rPr>
            </w:pPr>
          </w:p>
        </w:tc>
        <w:tc>
          <w:tcPr>
            <w:tcW w:w="116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r>
      <w:tr>
        <w:trPr>
          <w:trHeight w:val="245"/>
        </w:trPr>
        <w:tc>
          <w:tcPr>
            <w:tcW w:w="2180" w:type="dxa"/>
            <w:vAlign w:val="bottom"/>
            <w:shd w:val="clear" w:color="auto" w:fill="E9E9E9"/>
          </w:tcPr>
          <w:p>
            <w:pPr>
              <w:ind w:left="520"/>
              <w:spacing w:after="0"/>
              <w:rPr>
                <w:sz w:val="20"/>
                <w:szCs w:val="20"/>
                <w:color w:val="auto"/>
              </w:rPr>
            </w:pPr>
            <w:r>
              <w:rPr>
                <w:rFonts w:ascii="Arial" w:cs="Arial" w:eastAsia="Arial" w:hAnsi="Arial"/>
                <w:sz w:val="17"/>
                <w:szCs w:val="17"/>
                <w:color w:val="auto"/>
              </w:rPr>
              <w:t>Termination</w:t>
            </w:r>
          </w:p>
        </w:tc>
        <w:tc>
          <w:tcPr>
            <w:tcW w:w="20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620" w:type="dxa"/>
            <w:vAlign w:val="bottom"/>
            <w:shd w:val="clear" w:color="auto" w:fill="E9E9E9"/>
          </w:tcPr>
          <w:p>
            <w:pPr>
              <w:spacing w:after="0"/>
              <w:rPr>
                <w:sz w:val="21"/>
                <w:szCs w:val="21"/>
                <w:color w:val="auto"/>
              </w:rPr>
            </w:pPr>
          </w:p>
        </w:tc>
        <w:tc>
          <w:tcPr>
            <w:tcW w:w="3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1120" w:type="dxa"/>
            <w:vAlign w:val="bottom"/>
            <w:shd w:val="clear" w:color="auto" w:fill="E9E9E9"/>
          </w:tcPr>
          <w:p>
            <w:pPr>
              <w:spacing w:after="0"/>
              <w:rPr>
                <w:sz w:val="21"/>
                <w:szCs w:val="21"/>
                <w:color w:val="auto"/>
              </w:rPr>
            </w:pPr>
          </w:p>
        </w:tc>
        <w:tc>
          <w:tcPr>
            <w:tcW w:w="116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r>
      <w:tr>
        <w:trPr>
          <w:trHeight w:val="245"/>
        </w:trPr>
        <w:tc>
          <w:tcPr>
            <w:tcW w:w="2180" w:type="dxa"/>
            <w:vAlign w:val="bottom"/>
            <w:shd w:val="clear" w:color="auto" w:fill="E9E9E9"/>
          </w:tcPr>
          <w:p>
            <w:pPr>
              <w:ind w:left="520"/>
              <w:spacing w:after="0"/>
              <w:rPr>
                <w:sz w:val="20"/>
                <w:szCs w:val="20"/>
                <w:color w:val="auto"/>
              </w:rPr>
            </w:pPr>
            <w:r>
              <w:rPr>
                <w:rFonts w:ascii="Arial" w:cs="Arial" w:eastAsia="Arial" w:hAnsi="Arial"/>
                <w:sz w:val="17"/>
                <w:szCs w:val="17"/>
                <w:color w:val="auto"/>
              </w:rPr>
              <w:t>(Not for Cause)</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3,595</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w:t>
            </w:r>
          </w:p>
        </w:tc>
        <w:tc>
          <w:tcPr>
            <w:tcW w:w="300" w:type="dxa"/>
            <w:vAlign w:val="bottom"/>
            <w:shd w:val="clear" w:color="auto" w:fill="E9E9E9"/>
          </w:tcPr>
          <w:p>
            <w:pPr>
              <w:spacing w:after="0"/>
              <w:rPr>
                <w:sz w:val="21"/>
                <w:szCs w:val="21"/>
                <w:color w:val="auto"/>
              </w:rPr>
            </w:pPr>
          </w:p>
        </w:tc>
        <w:tc>
          <w:tcPr>
            <w:tcW w:w="960" w:type="dxa"/>
            <w:vAlign w:val="bottom"/>
            <w:gridSpan w:val="2"/>
            <w:shd w:val="clear" w:color="auto" w:fill="E9E9E9"/>
          </w:tcPr>
          <w:p>
            <w:pPr>
              <w:jc w:val="right"/>
              <w:ind w:right="256"/>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spacing w:after="0"/>
              <w:rPr>
                <w:sz w:val="21"/>
                <w:szCs w:val="21"/>
                <w:color w:val="auto"/>
              </w:rPr>
            </w:pPr>
          </w:p>
        </w:tc>
        <w:tc>
          <w:tcPr>
            <w:tcW w:w="1120" w:type="dxa"/>
            <w:vAlign w:val="bottom"/>
            <w:shd w:val="clear" w:color="auto" w:fill="E9E9E9"/>
          </w:tcPr>
          <w:p>
            <w:pPr>
              <w:jc w:val="right"/>
              <w:ind w:right="2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E9E9E9"/>
          </w:tcPr>
          <w:p>
            <w:pPr>
              <w:jc w:val="right"/>
              <w:ind w:right="277"/>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E9E9E9"/>
          </w:tcPr>
          <w:p>
            <w:pPr>
              <w:spacing w:after="0"/>
              <w:rPr>
                <w:sz w:val="21"/>
                <w:szCs w:val="21"/>
                <w:color w:val="auto"/>
              </w:rPr>
            </w:pP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698,100</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(10)</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701,695</w:t>
            </w:r>
          </w:p>
        </w:tc>
        <w:tc>
          <w:tcPr>
            <w:tcW w:w="320" w:type="dxa"/>
            <w:vAlign w:val="bottom"/>
            <w:shd w:val="clear" w:color="auto" w:fill="E9E9E9"/>
          </w:tcPr>
          <w:p>
            <w:pPr>
              <w:spacing w:after="0"/>
              <w:rPr>
                <w:sz w:val="21"/>
                <w:szCs w:val="21"/>
                <w:color w:val="auto"/>
              </w:rPr>
            </w:pPr>
          </w:p>
        </w:tc>
      </w:tr>
      <w:tr>
        <w:trPr>
          <w:trHeight w:val="260"/>
        </w:trPr>
        <w:tc>
          <w:tcPr>
            <w:tcW w:w="2180" w:type="dxa"/>
            <w:vAlign w:val="bottom"/>
            <w:shd w:val="clear" w:color="auto" w:fill="E9E9E9"/>
          </w:tcPr>
          <w:p>
            <w:pPr>
              <w:ind w:left="260"/>
              <w:spacing w:after="0"/>
              <w:rPr>
                <w:sz w:val="20"/>
                <w:szCs w:val="20"/>
                <w:color w:val="auto"/>
              </w:rPr>
            </w:pPr>
            <w:r>
              <w:rPr>
                <w:rFonts w:ascii="Arial" w:cs="Arial" w:eastAsia="Arial" w:hAnsi="Arial"/>
                <w:sz w:val="17"/>
                <w:szCs w:val="17"/>
                <w:color w:val="auto"/>
              </w:rPr>
              <w:t>Change in Control</w:t>
            </w:r>
          </w:p>
        </w:tc>
        <w:tc>
          <w:tcPr>
            <w:tcW w:w="200" w:type="dxa"/>
            <w:vAlign w:val="bottom"/>
            <w:shd w:val="clear" w:color="auto" w:fill="E9E9E9"/>
          </w:tcPr>
          <w:p>
            <w:pPr>
              <w:spacing w:after="0"/>
              <w:rPr>
                <w:sz w:val="22"/>
                <w:szCs w:val="22"/>
                <w:color w:val="auto"/>
              </w:rPr>
            </w:pP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E9E9E9"/>
          </w:tcPr>
          <w:p>
            <w:pPr>
              <w:spacing w:after="0"/>
              <w:rPr>
                <w:sz w:val="22"/>
                <w:szCs w:val="22"/>
                <w:color w:val="auto"/>
              </w:rPr>
            </w:pPr>
          </w:p>
        </w:tc>
        <w:tc>
          <w:tcPr>
            <w:tcW w:w="300" w:type="dxa"/>
            <w:vAlign w:val="bottom"/>
            <w:shd w:val="clear" w:color="auto" w:fill="E9E9E9"/>
          </w:tcPr>
          <w:p>
            <w:pPr>
              <w:spacing w:after="0"/>
              <w:rPr>
                <w:sz w:val="22"/>
                <w:szCs w:val="22"/>
                <w:color w:val="auto"/>
              </w:rPr>
            </w:pPr>
          </w:p>
        </w:tc>
        <w:tc>
          <w:tcPr>
            <w:tcW w:w="960" w:type="dxa"/>
            <w:vAlign w:val="bottom"/>
            <w:gridSpan w:val="2"/>
            <w:shd w:val="clear" w:color="auto" w:fill="E9E9E9"/>
          </w:tcPr>
          <w:p>
            <w:pPr>
              <w:jc w:val="right"/>
              <w:ind w:right="256"/>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spacing w:after="0"/>
              <w:rPr>
                <w:sz w:val="22"/>
                <w:szCs w:val="22"/>
                <w:color w:val="auto"/>
              </w:rPr>
            </w:pPr>
          </w:p>
        </w:tc>
        <w:tc>
          <w:tcPr>
            <w:tcW w:w="1120" w:type="dxa"/>
            <w:vAlign w:val="bottom"/>
            <w:shd w:val="clear" w:color="auto" w:fill="E9E9E9"/>
          </w:tcPr>
          <w:p>
            <w:pPr>
              <w:jc w:val="right"/>
              <w:ind w:right="2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E9E9E9"/>
          </w:tcPr>
          <w:p>
            <w:pPr>
              <w:jc w:val="right"/>
              <w:ind w:right="277"/>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1,029,687</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(11)</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398,500</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(12)</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1,428,187</w:t>
            </w:r>
          </w:p>
        </w:tc>
        <w:tc>
          <w:tcPr>
            <w:tcW w:w="320" w:type="dxa"/>
            <w:vAlign w:val="bottom"/>
            <w:shd w:val="clear" w:color="auto" w:fill="E9E9E9"/>
          </w:tcPr>
          <w:p>
            <w:pPr>
              <w:spacing w:after="0"/>
              <w:rPr>
                <w:sz w:val="22"/>
                <w:szCs w:val="22"/>
                <w:color w:val="auto"/>
              </w:rPr>
            </w:pPr>
          </w:p>
        </w:tc>
      </w:tr>
      <w:tr>
        <w:trPr>
          <w:trHeight w:val="233"/>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22"/>
        </w:trPr>
        <w:tc>
          <w:tcPr>
            <w:tcW w:w="2180" w:type="dxa"/>
            <w:vAlign w:val="bottom"/>
            <w:shd w:val="clear" w:color="auto" w:fill="E9E9E9"/>
          </w:tcPr>
          <w:p>
            <w:pPr>
              <w:spacing w:after="0"/>
              <w:rPr>
                <w:sz w:val="20"/>
                <w:szCs w:val="20"/>
                <w:color w:val="auto"/>
              </w:rPr>
            </w:pPr>
            <w:r>
              <w:rPr>
                <w:rFonts w:ascii="Arial" w:cs="Arial" w:eastAsia="Arial" w:hAnsi="Arial"/>
                <w:sz w:val="17"/>
                <w:szCs w:val="17"/>
                <w:b w:val="1"/>
                <w:bCs w:val="1"/>
                <w:color w:val="auto"/>
              </w:rPr>
              <w:t>R. G. Delagi</w:t>
            </w:r>
          </w:p>
        </w:tc>
        <w:tc>
          <w:tcPr>
            <w:tcW w:w="200" w:type="dxa"/>
            <w:vAlign w:val="bottom"/>
            <w:shd w:val="clear" w:color="auto" w:fill="E9E9E9"/>
          </w:tcPr>
          <w:p>
            <w:pPr>
              <w:spacing w:after="0"/>
              <w:rPr>
                <w:sz w:val="19"/>
                <w:szCs w:val="19"/>
                <w:color w:val="auto"/>
              </w:rPr>
            </w:pPr>
          </w:p>
        </w:tc>
        <w:tc>
          <w:tcPr>
            <w:tcW w:w="76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00" w:type="dxa"/>
            <w:vAlign w:val="bottom"/>
            <w:shd w:val="clear" w:color="auto" w:fill="E9E9E9"/>
          </w:tcPr>
          <w:p>
            <w:pPr>
              <w:spacing w:after="0"/>
              <w:rPr>
                <w:sz w:val="19"/>
                <w:szCs w:val="19"/>
                <w:color w:val="auto"/>
              </w:rPr>
            </w:pPr>
          </w:p>
        </w:tc>
        <w:tc>
          <w:tcPr>
            <w:tcW w:w="620" w:type="dxa"/>
            <w:vAlign w:val="bottom"/>
            <w:shd w:val="clear" w:color="auto" w:fill="E9E9E9"/>
          </w:tcPr>
          <w:p>
            <w:pPr>
              <w:spacing w:after="0"/>
              <w:rPr>
                <w:sz w:val="19"/>
                <w:szCs w:val="19"/>
                <w:color w:val="auto"/>
              </w:rPr>
            </w:pPr>
          </w:p>
        </w:tc>
        <w:tc>
          <w:tcPr>
            <w:tcW w:w="34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1120" w:type="dxa"/>
            <w:vAlign w:val="bottom"/>
            <w:shd w:val="clear" w:color="auto" w:fill="E9E9E9"/>
          </w:tcPr>
          <w:p>
            <w:pPr>
              <w:spacing w:after="0"/>
              <w:rPr>
                <w:sz w:val="19"/>
                <w:szCs w:val="19"/>
                <w:color w:val="auto"/>
              </w:rPr>
            </w:pPr>
          </w:p>
        </w:tc>
        <w:tc>
          <w:tcPr>
            <w:tcW w:w="116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860" w:type="dxa"/>
            <w:vAlign w:val="bottom"/>
            <w:shd w:val="clear" w:color="auto" w:fill="E9E9E9"/>
          </w:tcPr>
          <w:p>
            <w:pPr>
              <w:spacing w:after="0"/>
              <w:rPr>
                <w:sz w:val="19"/>
                <w:szCs w:val="19"/>
                <w:color w:val="auto"/>
              </w:rPr>
            </w:pPr>
          </w:p>
        </w:tc>
        <w:tc>
          <w:tcPr>
            <w:tcW w:w="440" w:type="dxa"/>
            <w:vAlign w:val="bottom"/>
            <w:shd w:val="clear" w:color="auto" w:fill="E9E9E9"/>
          </w:tcPr>
          <w:p>
            <w:pPr>
              <w:spacing w:after="0"/>
              <w:rPr>
                <w:sz w:val="19"/>
                <w:szCs w:val="19"/>
                <w:color w:val="auto"/>
              </w:rPr>
            </w:pPr>
          </w:p>
        </w:tc>
        <w:tc>
          <w:tcPr>
            <w:tcW w:w="220" w:type="dxa"/>
            <w:vAlign w:val="bottom"/>
            <w:shd w:val="clear" w:color="auto" w:fill="E9E9E9"/>
          </w:tcPr>
          <w:p>
            <w:pPr>
              <w:spacing w:after="0"/>
              <w:rPr>
                <w:sz w:val="19"/>
                <w:szCs w:val="19"/>
                <w:color w:val="auto"/>
              </w:rPr>
            </w:pPr>
          </w:p>
        </w:tc>
        <w:tc>
          <w:tcPr>
            <w:tcW w:w="860" w:type="dxa"/>
            <w:vAlign w:val="bottom"/>
            <w:shd w:val="clear" w:color="auto" w:fill="E9E9E9"/>
          </w:tcPr>
          <w:p>
            <w:pPr>
              <w:spacing w:after="0"/>
              <w:rPr>
                <w:sz w:val="19"/>
                <w:szCs w:val="19"/>
                <w:color w:val="auto"/>
              </w:rPr>
            </w:pPr>
          </w:p>
        </w:tc>
        <w:tc>
          <w:tcPr>
            <w:tcW w:w="44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860" w:type="dxa"/>
            <w:vAlign w:val="bottom"/>
            <w:shd w:val="clear" w:color="auto" w:fill="E9E9E9"/>
          </w:tcPr>
          <w:p>
            <w:pPr>
              <w:spacing w:after="0"/>
              <w:rPr>
                <w:sz w:val="19"/>
                <w:szCs w:val="19"/>
                <w:color w:val="auto"/>
              </w:rPr>
            </w:pPr>
          </w:p>
        </w:tc>
        <w:tc>
          <w:tcPr>
            <w:tcW w:w="320" w:type="dxa"/>
            <w:vAlign w:val="bottom"/>
            <w:shd w:val="clear" w:color="auto" w:fill="E9E9E9"/>
          </w:tcPr>
          <w:p>
            <w:pPr>
              <w:spacing w:after="0"/>
              <w:rPr>
                <w:sz w:val="19"/>
                <w:szCs w:val="19"/>
                <w:color w:val="auto"/>
              </w:rPr>
            </w:pPr>
          </w:p>
        </w:tc>
      </w:tr>
      <w:tr>
        <w:trPr>
          <w:trHeight w:val="241"/>
        </w:trPr>
        <w:tc>
          <w:tcPr>
            <w:tcW w:w="2180" w:type="dxa"/>
            <w:vAlign w:val="bottom"/>
            <w:shd w:val="clear" w:color="auto" w:fill="E9E9E9"/>
          </w:tcPr>
          <w:p>
            <w:pPr>
              <w:ind w:left="260"/>
              <w:spacing w:after="0"/>
              <w:rPr>
                <w:sz w:val="20"/>
                <w:szCs w:val="20"/>
                <w:color w:val="auto"/>
              </w:rPr>
            </w:pPr>
            <w:r>
              <w:rPr>
                <w:rFonts w:ascii="Arial" w:cs="Arial" w:eastAsia="Arial" w:hAnsi="Arial"/>
                <w:sz w:val="17"/>
                <w:szCs w:val="17"/>
                <w:color w:val="auto"/>
              </w:rPr>
              <w:t>Disability</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w w:val="96"/>
              </w:rPr>
              <w:t>1,967,335 (1)</w:t>
            </w:r>
          </w:p>
        </w:tc>
        <w:tc>
          <w:tcPr>
            <w:tcW w:w="1260" w:type="dxa"/>
            <w:vAlign w:val="bottom"/>
            <w:gridSpan w:val="3"/>
            <w:shd w:val="clear" w:color="auto" w:fill="E9E9E9"/>
          </w:tcPr>
          <w:p>
            <w:pPr>
              <w:jc w:val="right"/>
              <w:ind w:right="16"/>
              <w:spacing w:after="0"/>
              <w:rPr>
                <w:sz w:val="20"/>
                <w:szCs w:val="20"/>
                <w:color w:val="auto"/>
              </w:rPr>
            </w:pPr>
            <w:r>
              <w:rPr>
                <w:rFonts w:ascii="Arial" w:cs="Arial" w:eastAsia="Arial" w:hAnsi="Arial"/>
                <w:sz w:val="17"/>
                <w:szCs w:val="17"/>
                <w:color w:val="auto"/>
              </w:rPr>
              <w:t>$522,241 (2)</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E9E9E9"/>
          </w:tcPr>
          <w:p>
            <w:pPr>
              <w:jc w:val="right"/>
              <w:ind w:right="40"/>
              <w:spacing w:after="0"/>
              <w:rPr>
                <w:sz w:val="20"/>
                <w:szCs w:val="20"/>
                <w:color w:val="auto"/>
              </w:rPr>
            </w:pPr>
            <w:r>
              <w:rPr>
                <w:rFonts w:ascii="Arial" w:cs="Arial" w:eastAsia="Arial" w:hAnsi="Arial"/>
                <w:sz w:val="17"/>
                <w:szCs w:val="17"/>
                <w:color w:val="auto"/>
                <w:w w:val="96"/>
              </w:rPr>
              <w:t>2,868,315 (2)</w:t>
            </w:r>
          </w:p>
        </w:tc>
        <w:tc>
          <w:tcPr>
            <w:tcW w:w="1160" w:type="dxa"/>
            <w:vAlign w:val="bottom"/>
            <w:shd w:val="clear" w:color="auto" w:fill="E9E9E9"/>
          </w:tcPr>
          <w:p>
            <w:pPr>
              <w:jc w:val="right"/>
              <w:ind w:right="277"/>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9,176,987</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(3)</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3,614,500</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(4)</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8"/>
              </w:rPr>
              <w:t>18,149,378</w:t>
            </w:r>
          </w:p>
        </w:tc>
        <w:tc>
          <w:tcPr>
            <w:tcW w:w="320" w:type="dxa"/>
            <w:vAlign w:val="bottom"/>
            <w:shd w:val="clear" w:color="auto" w:fill="E9E9E9"/>
          </w:tcPr>
          <w:p>
            <w:pPr>
              <w:spacing w:after="0"/>
              <w:rPr>
                <w:sz w:val="20"/>
                <w:szCs w:val="20"/>
                <w:color w:val="auto"/>
              </w:rPr>
            </w:pPr>
          </w:p>
        </w:tc>
      </w:tr>
      <w:tr>
        <w:trPr>
          <w:trHeight w:val="245"/>
        </w:trPr>
        <w:tc>
          <w:tcPr>
            <w:tcW w:w="2180" w:type="dxa"/>
            <w:vAlign w:val="bottom"/>
            <w:shd w:val="clear" w:color="auto" w:fill="E9E9E9"/>
          </w:tcPr>
          <w:p>
            <w:pPr>
              <w:ind w:left="260"/>
              <w:spacing w:after="0"/>
              <w:rPr>
                <w:sz w:val="20"/>
                <w:szCs w:val="20"/>
                <w:color w:val="auto"/>
              </w:rPr>
            </w:pPr>
            <w:r>
              <w:rPr>
                <w:rFonts w:ascii="Arial" w:cs="Arial" w:eastAsia="Arial" w:hAnsi="Arial"/>
                <w:sz w:val="17"/>
                <w:szCs w:val="17"/>
                <w:color w:val="auto"/>
              </w:rPr>
              <w:t>Death</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366,469 (5)</w:t>
            </w:r>
          </w:p>
        </w:tc>
        <w:tc>
          <w:tcPr>
            <w:tcW w:w="1260" w:type="dxa"/>
            <w:vAlign w:val="bottom"/>
            <w:gridSpan w:val="3"/>
            <w:shd w:val="clear" w:color="auto" w:fill="E9E9E9"/>
          </w:tcPr>
          <w:p>
            <w:pPr>
              <w:jc w:val="right"/>
              <w:ind w:right="16"/>
              <w:spacing w:after="0"/>
              <w:rPr>
                <w:sz w:val="20"/>
                <w:szCs w:val="20"/>
                <w:color w:val="auto"/>
              </w:rPr>
            </w:pPr>
            <w:r>
              <w:rPr>
                <w:rFonts w:ascii="Arial" w:cs="Arial" w:eastAsia="Arial" w:hAnsi="Arial"/>
                <w:sz w:val="17"/>
                <w:szCs w:val="17"/>
                <w:color w:val="auto"/>
              </w:rPr>
              <w:t>$134,012 (5)</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E9E9E9"/>
          </w:tcPr>
          <w:p>
            <w:pPr>
              <w:jc w:val="right"/>
              <w:ind w:right="40"/>
              <w:spacing w:after="0"/>
              <w:rPr>
                <w:sz w:val="20"/>
                <w:szCs w:val="20"/>
                <w:color w:val="auto"/>
              </w:rPr>
            </w:pPr>
            <w:r>
              <w:rPr>
                <w:rFonts w:ascii="Arial" w:cs="Arial" w:eastAsia="Arial" w:hAnsi="Arial"/>
                <w:sz w:val="17"/>
                <w:szCs w:val="17"/>
                <w:color w:val="auto"/>
                <w:w w:val="96"/>
              </w:rPr>
              <w:t>1,276,641 (5)</w:t>
            </w:r>
          </w:p>
        </w:tc>
        <w:tc>
          <w:tcPr>
            <w:tcW w:w="1160" w:type="dxa"/>
            <w:vAlign w:val="bottom"/>
            <w:shd w:val="clear" w:color="auto" w:fill="E9E9E9"/>
          </w:tcPr>
          <w:p>
            <w:pPr>
              <w:jc w:val="right"/>
              <w:ind w:right="277"/>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9,176,987</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(7)</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3,614,500</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(4)</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8"/>
              </w:rPr>
              <w:t>14,568,609</w:t>
            </w:r>
          </w:p>
        </w:tc>
        <w:tc>
          <w:tcPr>
            <w:tcW w:w="320" w:type="dxa"/>
            <w:vAlign w:val="bottom"/>
            <w:shd w:val="clear" w:color="auto" w:fill="E9E9E9"/>
          </w:tcPr>
          <w:p>
            <w:pPr>
              <w:spacing w:after="0"/>
              <w:rPr>
                <w:sz w:val="21"/>
                <w:szCs w:val="21"/>
                <w:color w:val="auto"/>
              </w:rPr>
            </w:pPr>
          </w:p>
        </w:tc>
      </w:tr>
      <w:tr>
        <w:trPr>
          <w:trHeight w:val="245"/>
        </w:trPr>
        <w:tc>
          <w:tcPr>
            <w:tcW w:w="2180" w:type="dxa"/>
            <w:vAlign w:val="bottom"/>
            <w:shd w:val="clear" w:color="auto" w:fill="E9E9E9"/>
          </w:tcPr>
          <w:p>
            <w:pPr>
              <w:ind w:left="260"/>
              <w:spacing w:after="0"/>
              <w:rPr>
                <w:sz w:val="20"/>
                <w:szCs w:val="20"/>
                <w:color w:val="auto"/>
              </w:rPr>
            </w:pPr>
            <w:r>
              <w:rPr>
                <w:rFonts w:ascii="Arial" w:cs="Arial" w:eastAsia="Arial" w:hAnsi="Arial"/>
                <w:sz w:val="17"/>
                <w:szCs w:val="17"/>
                <w:color w:val="auto"/>
              </w:rPr>
              <w:t>Involuntary Termination</w:t>
            </w:r>
          </w:p>
        </w:tc>
        <w:tc>
          <w:tcPr>
            <w:tcW w:w="20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620" w:type="dxa"/>
            <w:vAlign w:val="bottom"/>
            <w:shd w:val="clear" w:color="auto" w:fill="E9E9E9"/>
          </w:tcPr>
          <w:p>
            <w:pPr>
              <w:spacing w:after="0"/>
              <w:rPr>
                <w:sz w:val="21"/>
                <w:szCs w:val="21"/>
                <w:color w:val="auto"/>
              </w:rPr>
            </w:pPr>
          </w:p>
        </w:tc>
        <w:tc>
          <w:tcPr>
            <w:tcW w:w="3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1120" w:type="dxa"/>
            <w:vAlign w:val="bottom"/>
            <w:shd w:val="clear" w:color="auto" w:fill="E9E9E9"/>
          </w:tcPr>
          <w:p>
            <w:pPr>
              <w:spacing w:after="0"/>
              <w:rPr>
                <w:sz w:val="21"/>
                <w:szCs w:val="21"/>
                <w:color w:val="auto"/>
              </w:rPr>
            </w:pPr>
          </w:p>
        </w:tc>
        <w:tc>
          <w:tcPr>
            <w:tcW w:w="116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r>
      <w:tr>
        <w:trPr>
          <w:trHeight w:val="245"/>
        </w:trPr>
        <w:tc>
          <w:tcPr>
            <w:tcW w:w="2180" w:type="dxa"/>
            <w:vAlign w:val="bottom"/>
            <w:shd w:val="clear" w:color="auto" w:fill="E9E9E9"/>
          </w:tcPr>
          <w:p>
            <w:pPr>
              <w:ind w:left="520"/>
              <w:spacing w:after="0"/>
              <w:rPr>
                <w:sz w:val="20"/>
                <w:szCs w:val="20"/>
                <w:color w:val="auto"/>
              </w:rPr>
            </w:pPr>
            <w:r>
              <w:rPr>
                <w:rFonts w:ascii="Arial" w:cs="Arial" w:eastAsia="Arial" w:hAnsi="Arial"/>
                <w:sz w:val="17"/>
                <w:szCs w:val="17"/>
                <w:color w:val="auto"/>
              </w:rPr>
              <w:t>for Cause</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654,966</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w:t>
            </w:r>
          </w:p>
        </w:tc>
        <w:tc>
          <w:tcPr>
            <w:tcW w:w="1260" w:type="dxa"/>
            <w:vAlign w:val="bottom"/>
            <w:gridSpan w:val="3"/>
            <w:shd w:val="clear" w:color="auto" w:fill="E9E9E9"/>
          </w:tcPr>
          <w:p>
            <w:pPr>
              <w:jc w:val="right"/>
              <w:ind w:right="16"/>
              <w:spacing w:after="0"/>
              <w:rPr>
                <w:sz w:val="20"/>
                <w:szCs w:val="20"/>
                <w:color w:val="auto"/>
              </w:rPr>
            </w:pPr>
            <w:r>
              <w:rPr>
                <w:rFonts w:ascii="Arial" w:cs="Arial" w:eastAsia="Arial" w:hAnsi="Arial"/>
                <w:sz w:val="17"/>
                <w:szCs w:val="17"/>
                <w:color w:val="auto"/>
              </w:rPr>
              <w:t>$240,593 (8)</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E9E9E9"/>
          </w:tcPr>
          <w:p>
            <w:pPr>
              <w:jc w:val="right"/>
              <w:ind w:right="40"/>
              <w:spacing w:after="0"/>
              <w:rPr>
                <w:sz w:val="20"/>
                <w:szCs w:val="20"/>
                <w:color w:val="auto"/>
              </w:rPr>
            </w:pPr>
            <w:r>
              <w:rPr>
                <w:rFonts w:ascii="Arial" w:cs="Arial" w:eastAsia="Arial" w:hAnsi="Arial"/>
                <w:sz w:val="17"/>
                <w:szCs w:val="17"/>
                <w:color w:val="auto"/>
                <w:w w:val="96"/>
              </w:rPr>
              <w:t>2,280,544 (8)</w:t>
            </w:r>
          </w:p>
        </w:tc>
        <w:tc>
          <w:tcPr>
            <w:tcW w:w="1160" w:type="dxa"/>
            <w:vAlign w:val="bottom"/>
            <w:shd w:val="clear" w:color="auto" w:fill="E9E9E9"/>
          </w:tcPr>
          <w:p>
            <w:pPr>
              <w:jc w:val="right"/>
              <w:ind w:right="277"/>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E9E9E9"/>
          </w:tcPr>
          <w:p>
            <w:pPr>
              <w:spacing w:after="0"/>
              <w:rPr>
                <w:sz w:val="21"/>
                <w:szCs w:val="21"/>
                <w:color w:val="auto"/>
              </w:rPr>
            </w:pP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3,176,103</w:t>
            </w:r>
          </w:p>
        </w:tc>
        <w:tc>
          <w:tcPr>
            <w:tcW w:w="320" w:type="dxa"/>
            <w:vAlign w:val="bottom"/>
            <w:shd w:val="clear" w:color="auto" w:fill="E9E9E9"/>
          </w:tcPr>
          <w:p>
            <w:pPr>
              <w:spacing w:after="0"/>
              <w:rPr>
                <w:sz w:val="21"/>
                <w:szCs w:val="21"/>
                <w:color w:val="auto"/>
              </w:rPr>
            </w:pPr>
          </w:p>
        </w:tc>
      </w:tr>
      <w:tr>
        <w:trPr>
          <w:trHeight w:val="245"/>
        </w:trPr>
        <w:tc>
          <w:tcPr>
            <w:tcW w:w="2180" w:type="dxa"/>
            <w:vAlign w:val="bottom"/>
            <w:shd w:val="clear" w:color="auto" w:fill="E9E9E9"/>
          </w:tcPr>
          <w:p>
            <w:pPr>
              <w:ind w:left="260"/>
              <w:spacing w:after="0"/>
              <w:rPr>
                <w:sz w:val="20"/>
                <w:szCs w:val="20"/>
                <w:color w:val="auto"/>
              </w:rPr>
            </w:pPr>
            <w:r>
              <w:rPr>
                <w:rFonts w:ascii="Arial" w:cs="Arial" w:eastAsia="Arial" w:hAnsi="Arial"/>
                <w:sz w:val="17"/>
                <w:szCs w:val="17"/>
                <w:color w:val="auto"/>
              </w:rPr>
              <w:t>Resignation; Involuntary</w:t>
            </w:r>
          </w:p>
        </w:tc>
        <w:tc>
          <w:tcPr>
            <w:tcW w:w="20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620" w:type="dxa"/>
            <w:vAlign w:val="bottom"/>
            <w:shd w:val="clear" w:color="auto" w:fill="E9E9E9"/>
          </w:tcPr>
          <w:p>
            <w:pPr>
              <w:spacing w:after="0"/>
              <w:rPr>
                <w:sz w:val="21"/>
                <w:szCs w:val="21"/>
                <w:color w:val="auto"/>
              </w:rPr>
            </w:pPr>
          </w:p>
        </w:tc>
        <w:tc>
          <w:tcPr>
            <w:tcW w:w="3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1120" w:type="dxa"/>
            <w:vAlign w:val="bottom"/>
            <w:shd w:val="clear" w:color="auto" w:fill="E9E9E9"/>
          </w:tcPr>
          <w:p>
            <w:pPr>
              <w:spacing w:after="0"/>
              <w:rPr>
                <w:sz w:val="21"/>
                <w:szCs w:val="21"/>
                <w:color w:val="auto"/>
              </w:rPr>
            </w:pPr>
          </w:p>
        </w:tc>
        <w:tc>
          <w:tcPr>
            <w:tcW w:w="116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r>
      <w:tr>
        <w:trPr>
          <w:trHeight w:val="245"/>
        </w:trPr>
        <w:tc>
          <w:tcPr>
            <w:tcW w:w="2180" w:type="dxa"/>
            <w:vAlign w:val="bottom"/>
            <w:shd w:val="clear" w:color="auto" w:fill="E9E9E9"/>
          </w:tcPr>
          <w:p>
            <w:pPr>
              <w:ind w:left="520"/>
              <w:spacing w:after="0"/>
              <w:rPr>
                <w:sz w:val="20"/>
                <w:szCs w:val="20"/>
                <w:color w:val="auto"/>
              </w:rPr>
            </w:pPr>
            <w:r>
              <w:rPr>
                <w:rFonts w:ascii="Arial" w:cs="Arial" w:eastAsia="Arial" w:hAnsi="Arial"/>
                <w:sz w:val="17"/>
                <w:szCs w:val="17"/>
                <w:color w:val="auto"/>
              </w:rPr>
              <w:t>Termination</w:t>
            </w:r>
          </w:p>
        </w:tc>
        <w:tc>
          <w:tcPr>
            <w:tcW w:w="20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620" w:type="dxa"/>
            <w:vAlign w:val="bottom"/>
            <w:shd w:val="clear" w:color="auto" w:fill="E9E9E9"/>
          </w:tcPr>
          <w:p>
            <w:pPr>
              <w:spacing w:after="0"/>
              <w:rPr>
                <w:sz w:val="21"/>
                <w:szCs w:val="21"/>
                <w:color w:val="auto"/>
              </w:rPr>
            </w:pPr>
          </w:p>
        </w:tc>
        <w:tc>
          <w:tcPr>
            <w:tcW w:w="3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1120" w:type="dxa"/>
            <w:vAlign w:val="bottom"/>
            <w:shd w:val="clear" w:color="auto" w:fill="E9E9E9"/>
          </w:tcPr>
          <w:p>
            <w:pPr>
              <w:spacing w:after="0"/>
              <w:rPr>
                <w:sz w:val="21"/>
                <w:szCs w:val="21"/>
                <w:color w:val="auto"/>
              </w:rPr>
            </w:pPr>
          </w:p>
        </w:tc>
        <w:tc>
          <w:tcPr>
            <w:tcW w:w="116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r>
      <w:tr>
        <w:trPr>
          <w:trHeight w:val="245"/>
        </w:trPr>
        <w:tc>
          <w:tcPr>
            <w:tcW w:w="2180" w:type="dxa"/>
            <w:vAlign w:val="bottom"/>
            <w:shd w:val="clear" w:color="auto" w:fill="E9E9E9"/>
          </w:tcPr>
          <w:p>
            <w:pPr>
              <w:ind w:left="520"/>
              <w:spacing w:after="0"/>
              <w:rPr>
                <w:sz w:val="20"/>
                <w:szCs w:val="20"/>
                <w:color w:val="auto"/>
              </w:rPr>
            </w:pPr>
            <w:r>
              <w:rPr>
                <w:rFonts w:ascii="Arial" w:cs="Arial" w:eastAsia="Arial" w:hAnsi="Arial"/>
                <w:sz w:val="17"/>
                <w:szCs w:val="17"/>
                <w:color w:val="auto"/>
              </w:rPr>
              <w:t>(Not for Cause)</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654,966</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w:t>
            </w:r>
          </w:p>
        </w:tc>
        <w:tc>
          <w:tcPr>
            <w:tcW w:w="3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6"/>
              <w:spacing w:after="0"/>
              <w:rPr>
                <w:sz w:val="20"/>
                <w:szCs w:val="20"/>
                <w:color w:val="auto"/>
              </w:rPr>
            </w:pPr>
            <w:r>
              <w:rPr>
                <w:rFonts w:ascii="Arial" w:cs="Arial" w:eastAsia="Arial" w:hAnsi="Arial"/>
                <w:sz w:val="17"/>
                <w:szCs w:val="17"/>
                <w:color w:val="auto"/>
                <w:w w:val="96"/>
              </w:rPr>
              <w:t>240,593 (8)</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E9E9E9"/>
          </w:tcPr>
          <w:p>
            <w:pPr>
              <w:jc w:val="right"/>
              <w:ind w:right="40"/>
              <w:spacing w:after="0"/>
              <w:rPr>
                <w:sz w:val="20"/>
                <w:szCs w:val="20"/>
                <w:color w:val="auto"/>
              </w:rPr>
            </w:pPr>
            <w:r>
              <w:rPr>
                <w:rFonts w:ascii="Arial" w:cs="Arial" w:eastAsia="Arial" w:hAnsi="Arial"/>
                <w:sz w:val="17"/>
                <w:szCs w:val="17"/>
                <w:color w:val="auto"/>
                <w:w w:val="96"/>
              </w:rPr>
              <w:t>2,280,544 (8)</w:t>
            </w:r>
          </w:p>
        </w:tc>
        <w:tc>
          <w:tcPr>
            <w:tcW w:w="1160" w:type="dxa"/>
            <w:vAlign w:val="bottom"/>
            <w:shd w:val="clear" w:color="auto" w:fill="E9E9E9"/>
          </w:tcPr>
          <w:p>
            <w:pPr>
              <w:jc w:val="right"/>
              <w:ind w:right="277"/>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E9E9E9"/>
          </w:tcPr>
          <w:p>
            <w:pPr>
              <w:spacing w:after="0"/>
              <w:rPr>
                <w:sz w:val="21"/>
                <w:szCs w:val="21"/>
                <w:color w:val="auto"/>
              </w:rPr>
            </w:pP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2,017,500</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(10)</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5,193,603</w:t>
            </w:r>
          </w:p>
        </w:tc>
        <w:tc>
          <w:tcPr>
            <w:tcW w:w="320" w:type="dxa"/>
            <w:vAlign w:val="bottom"/>
            <w:shd w:val="clear" w:color="auto" w:fill="E9E9E9"/>
          </w:tcPr>
          <w:p>
            <w:pPr>
              <w:spacing w:after="0"/>
              <w:rPr>
                <w:sz w:val="21"/>
                <w:szCs w:val="21"/>
                <w:color w:val="auto"/>
              </w:rPr>
            </w:pPr>
          </w:p>
        </w:tc>
      </w:tr>
      <w:tr>
        <w:trPr>
          <w:trHeight w:val="260"/>
        </w:trPr>
        <w:tc>
          <w:tcPr>
            <w:tcW w:w="2180" w:type="dxa"/>
            <w:vAlign w:val="bottom"/>
            <w:shd w:val="clear" w:color="auto" w:fill="E9E9E9"/>
          </w:tcPr>
          <w:p>
            <w:pPr>
              <w:ind w:left="260"/>
              <w:spacing w:after="0"/>
              <w:rPr>
                <w:sz w:val="20"/>
                <w:szCs w:val="20"/>
                <w:color w:val="auto"/>
              </w:rPr>
            </w:pPr>
            <w:r>
              <w:rPr>
                <w:rFonts w:ascii="Arial" w:cs="Arial" w:eastAsia="Arial" w:hAnsi="Arial"/>
                <w:sz w:val="17"/>
                <w:szCs w:val="17"/>
                <w:color w:val="auto"/>
              </w:rPr>
              <w:t>Change in Control</w:t>
            </w:r>
          </w:p>
        </w:tc>
        <w:tc>
          <w:tcPr>
            <w:tcW w:w="200" w:type="dxa"/>
            <w:vAlign w:val="bottom"/>
            <w:shd w:val="clear" w:color="auto" w:fill="E9E9E9"/>
          </w:tcPr>
          <w:p>
            <w:pPr>
              <w:spacing w:after="0"/>
              <w:rPr>
                <w:sz w:val="22"/>
                <w:szCs w:val="22"/>
                <w:color w:val="auto"/>
              </w:rPr>
            </w:pP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E9E9E9"/>
          </w:tcPr>
          <w:p>
            <w:pPr>
              <w:spacing w:after="0"/>
              <w:rPr>
                <w:sz w:val="22"/>
                <w:szCs w:val="22"/>
                <w:color w:val="auto"/>
              </w:rPr>
            </w:pPr>
          </w:p>
        </w:tc>
        <w:tc>
          <w:tcPr>
            <w:tcW w:w="3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6"/>
              <w:spacing w:after="0"/>
              <w:rPr>
                <w:sz w:val="20"/>
                <w:szCs w:val="20"/>
                <w:color w:val="auto"/>
              </w:rPr>
            </w:pPr>
            <w:r>
              <w:rPr>
                <w:rFonts w:ascii="Arial" w:cs="Arial" w:eastAsia="Arial" w:hAnsi="Arial"/>
                <w:sz w:val="17"/>
                <w:szCs w:val="17"/>
                <w:color w:val="auto"/>
                <w:w w:val="96"/>
              </w:rPr>
              <w:t>240,593 (8)</w:t>
            </w:r>
          </w:p>
        </w:tc>
        <w:tc>
          <w:tcPr>
            <w:tcW w:w="200" w:type="dxa"/>
            <w:vAlign w:val="bottom"/>
            <w:shd w:val="clear" w:color="auto" w:fill="E9E9E9"/>
          </w:tcPr>
          <w:p>
            <w:pPr>
              <w:spacing w:after="0"/>
              <w:rPr>
                <w:sz w:val="22"/>
                <w:szCs w:val="22"/>
                <w:color w:val="auto"/>
              </w:rPr>
            </w:pPr>
          </w:p>
        </w:tc>
        <w:tc>
          <w:tcPr>
            <w:tcW w:w="1120" w:type="dxa"/>
            <w:vAlign w:val="bottom"/>
            <w:shd w:val="clear" w:color="auto" w:fill="E9E9E9"/>
          </w:tcPr>
          <w:p>
            <w:pPr>
              <w:jc w:val="right"/>
              <w:ind w:right="2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E9E9E9"/>
          </w:tcPr>
          <w:p>
            <w:pPr>
              <w:jc w:val="right"/>
              <w:ind w:right="277"/>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2,265,287</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(11)</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876,700</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(12)</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3,382,580</w:t>
            </w:r>
          </w:p>
        </w:tc>
        <w:tc>
          <w:tcPr>
            <w:tcW w:w="320" w:type="dxa"/>
            <w:vAlign w:val="bottom"/>
            <w:shd w:val="clear" w:color="auto" w:fill="E9E9E9"/>
          </w:tcPr>
          <w:p>
            <w:pPr>
              <w:spacing w:after="0"/>
              <w:rPr>
                <w:sz w:val="22"/>
                <w:szCs w:val="22"/>
                <w:color w:val="auto"/>
              </w:rPr>
            </w:pPr>
          </w:p>
        </w:tc>
      </w:tr>
      <w:tr>
        <w:trPr>
          <w:trHeight w:val="233"/>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22"/>
        </w:trPr>
        <w:tc>
          <w:tcPr>
            <w:tcW w:w="2180" w:type="dxa"/>
            <w:vAlign w:val="bottom"/>
            <w:shd w:val="clear" w:color="auto" w:fill="E9E9E9"/>
          </w:tcPr>
          <w:p>
            <w:pPr>
              <w:spacing w:after="0"/>
              <w:rPr>
                <w:sz w:val="20"/>
                <w:szCs w:val="20"/>
                <w:color w:val="auto"/>
              </w:rPr>
            </w:pPr>
            <w:r>
              <w:rPr>
                <w:rFonts w:ascii="Arial" w:cs="Arial" w:eastAsia="Arial" w:hAnsi="Arial"/>
                <w:sz w:val="17"/>
                <w:szCs w:val="17"/>
                <w:b w:val="1"/>
                <w:bCs w:val="1"/>
                <w:color w:val="auto"/>
              </w:rPr>
              <w:t xml:space="preserve">K. J. Ritchie </w:t>
            </w:r>
            <w:r>
              <w:rPr>
                <w:rFonts w:ascii="Arial" w:cs="Arial" w:eastAsia="Arial" w:hAnsi="Arial"/>
                <w:sz w:val="17"/>
                <w:szCs w:val="17"/>
                <w:color w:val="auto"/>
              </w:rPr>
              <w:t>(13)</w:t>
            </w:r>
          </w:p>
        </w:tc>
        <w:tc>
          <w:tcPr>
            <w:tcW w:w="200" w:type="dxa"/>
            <w:vAlign w:val="bottom"/>
            <w:shd w:val="clear" w:color="auto" w:fill="E9E9E9"/>
          </w:tcPr>
          <w:p>
            <w:pPr>
              <w:spacing w:after="0"/>
              <w:rPr>
                <w:sz w:val="19"/>
                <w:szCs w:val="19"/>
                <w:color w:val="auto"/>
              </w:rPr>
            </w:pPr>
          </w:p>
        </w:tc>
        <w:tc>
          <w:tcPr>
            <w:tcW w:w="76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00" w:type="dxa"/>
            <w:vAlign w:val="bottom"/>
            <w:shd w:val="clear" w:color="auto" w:fill="E9E9E9"/>
          </w:tcPr>
          <w:p>
            <w:pPr>
              <w:spacing w:after="0"/>
              <w:rPr>
                <w:sz w:val="19"/>
                <w:szCs w:val="19"/>
                <w:color w:val="auto"/>
              </w:rPr>
            </w:pPr>
          </w:p>
        </w:tc>
        <w:tc>
          <w:tcPr>
            <w:tcW w:w="620" w:type="dxa"/>
            <w:vAlign w:val="bottom"/>
            <w:shd w:val="clear" w:color="auto" w:fill="E9E9E9"/>
          </w:tcPr>
          <w:p>
            <w:pPr>
              <w:spacing w:after="0"/>
              <w:rPr>
                <w:sz w:val="19"/>
                <w:szCs w:val="19"/>
                <w:color w:val="auto"/>
              </w:rPr>
            </w:pPr>
          </w:p>
        </w:tc>
        <w:tc>
          <w:tcPr>
            <w:tcW w:w="34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1120" w:type="dxa"/>
            <w:vAlign w:val="bottom"/>
            <w:shd w:val="clear" w:color="auto" w:fill="E9E9E9"/>
          </w:tcPr>
          <w:p>
            <w:pPr>
              <w:spacing w:after="0"/>
              <w:rPr>
                <w:sz w:val="19"/>
                <w:szCs w:val="19"/>
                <w:color w:val="auto"/>
              </w:rPr>
            </w:pPr>
          </w:p>
        </w:tc>
        <w:tc>
          <w:tcPr>
            <w:tcW w:w="116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860" w:type="dxa"/>
            <w:vAlign w:val="bottom"/>
            <w:shd w:val="clear" w:color="auto" w:fill="E9E9E9"/>
          </w:tcPr>
          <w:p>
            <w:pPr>
              <w:spacing w:after="0"/>
              <w:rPr>
                <w:sz w:val="19"/>
                <w:szCs w:val="19"/>
                <w:color w:val="auto"/>
              </w:rPr>
            </w:pPr>
          </w:p>
        </w:tc>
        <w:tc>
          <w:tcPr>
            <w:tcW w:w="440" w:type="dxa"/>
            <w:vAlign w:val="bottom"/>
            <w:shd w:val="clear" w:color="auto" w:fill="E9E9E9"/>
          </w:tcPr>
          <w:p>
            <w:pPr>
              <w:spacing w:after="0"/>
              <w:rPr>
                <w:sz w:val="19"/>
                <w:szCs w:val="19"/>
                <w:color w:val="auto"/>
              </w:rPr>
            </w:pPr>
          </w:p>
        </w:tc>
        <w:tc>
          <w:tcPr>
            <w:tcW w:w="220" w:type="dxa"/>
            <w:vAlign w:val="bottom"/>
            <w:shd w:val="clear" w:color="auto" w:fill="E9E9E9"/>
          </w:tcPr>
          <w:p>
            <w:pPr>
              <w:spacing w:after="0"/>
              <w:rPr>
                <w:sz w:val="19"/>
                <w:szCs w:val="19"/>
                <w:color w:val="auto"/>
              </w:rPr>
            </w:pPr>
          </w:p>
        </w:tc>
        <w:tc>
          <w:tcPr>
            <w:tcW w:w="860" w:type="dxa"/>
            <w:vAlign w:val="bottom"/>
            <w:shd w:val="clear" w:color="auto" w:fill="E9E9E9"/>
          </w:tcPr>
          <w:p>
            <w:pPr>
              <w:spacing w:after="0"/>
              <w:rPr>
                <w:sz w:val="19"/>
                <w:szCs w:val="19"/>
                <w:color w:val="auto"/>
              </w:rPr>
            </w:pPr>
          </w:p>
        </w:tc>
        <w:tc>
          <w:tcPr>
            <w:tcW w:w="44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860" w:type="dxa"/>
            <w:vAlign w:val="bottom"/>
            <w:shd w:val="clear" w:color="auto" w:fill="E9E9E9"/>
          </w:tcPr>
          <w:p>
            <w:pPr>
              <w:spacing w:after="0"/>
              <w:rPr>
                <w:sz w:val="19"/>
                <w:szCs w:val="19"/>
                <w:color w:val="auto"/>
              </w:rPr>
            </w:pPr>
          </w:p>
        </w:tc>
        <w:tc>
          <w:tcPr>
            <w:tcW w:w="320" w:type="dxa"/>
            <w:vAlign w:val="bottom"/>
            <w:shd w:val="clear" w:color="auto" w:fill="E9E9E9"/>
          </w:tcPr>
          <w:p>
            <w:pPr>
              <w:spacing w:after="0"/>
              <w:rPr>
                <w:sz w:val="19"/>
                <w:szCs w:val="19"/>
                <w:color w:val="auto"/>
              </w:rPr>
            </w:pPr>
          </w:p>
        </w:tc>
      </w:tr>
      <w:tr>
        <w:trPr>
          <w:trHeight w:val="241"/>
        </w:trPr>
        <w:tc>
          <w:tcPr>
            <w:tcW w:w="2180" w:type="dxa"/>
            <w:vAlign w:val="bottom"/>
            <w:shd w:val="clear" w:color="auto" w:fill="E9E9E9"/>
          </w:tcPr>
          <w:p>
            <w:pPr>
              <w:ind w:left="260"/>
              <w:spacing w:after="0"/>
              <w:rPr>
                <w:sz w:val="20"/>
                <w:szCs w:val="20"/>
                <w:color w:val="auto"/>
              </w:rPr>
            </w:pPr>
            <w:r>
              <w:rPr>
                <w:rFonts w:ascii="Arial" w:cs="Arial" w:eastAsia="Arial" w:hAnsi="Arial"/>
                <w:sz w:val="17"/>
                <w:szCs w:val="17"/>
                <w:color w:val="auto"/>
              </w:rPr>
              <w:t>Disability</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w w:val="96"/>
              </w:rPr>
              <w:t>2,027,654 (1)</w:t>
            </w:r>
          </w:p>
        </w:tc>
        <w:tc>
          <w:tcPr>
            <w:tcW w:w="1260" w:type="dxa"/>
            <w:vAlign w:val="bottom"/>
            <w:gridSpan w:val="3"/>
            <w:shd w:val="clear" w:color="auto" w:fill="E9E9E9"/>
          </w:tcPr>
          <w:p>
            <w:pPr>
              <w:jc w:val="right"/>
              <w:ind w:right="16"/>
              <w:spacing w:after="0"/>
              <w:rPr>
                <w:sz w:val="20"/>
                <w:szCs w:val="20"/>
                <w:color w:val="auto"/>
              </w:rPr>
            </w:pPr>
            <w:r>
              <w:rPr>
                <w:rFonts w:ascii="Arial" w:cs="Arial" w:eastAsia="Arial" w:hAnsi="Arial"/>
                <w:sz w:val="17"/>
                <w:szCs w:val="17"/>
                <w:color w:val="auto"/>
              </w:rPr>
              <w:t>$926,549 (2)</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E9E9E9"/>
          </w:tcPr>
          <w:p>
            <w:pPr>
              <w:jc w:val="right"/>
              <w:ind w:right="40"/>
              <w:spacing w:after="0"/>
              <w:rPr>
                <w:sz w:val="20"/>
                <w:szCs w:val="20"/>
                <w:color w:val="auto"/>
              </w:rPr>
            </w:pPr>
            <w:r>
              <w:rPr>
                <w:rFonts w:ascii="Arial" w:cs="Arial" w:eastAsia="Arial" w:hAnsi="Arial"/>
                <w:sz w:val="17"/>
                <w:szCs w:val="17"/>
                <w:color w:val="auto"/>
                <w:w w:val="96"/>
              </w:rPr>
              <w:t>5,703,808 (2)</w:t>
            </w:r>
          </w:p>
        </w:tc>
        <w:tc>
          <w:tcPr>
            <w:tcW w:w="1160" w:type="dxa"/>
            <w:vAlign w:val="bottom"/>
            <w:shd w:val="clear" w:color="auto" w:fill="E9E9E9"/>
          </w:tcPr>
          <w:p>
            <w:pPr>
              <w:jc w:val="right"/>
              <w:ind w:right="277"/>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7,979,999</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(3)</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6,756,000</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(4)</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8"/>
              </w:rPr>
              <w:t>23,394,010</w:t>
            </w:r>
          </w:p>
        </w:tc>
        <w:tc>
          <w:tcPr>
            <w:tcW w:w="320" w:type="dxa"/>
            <w:vAlign w:val="bottom"/>
            <w:shd w:val="clear" w:color="auto" w:fill="E9E9E9"/>
          </w:tcPr>
          <w:p>
            <w:pPr>
              <w:spacing w:after="0"/>
              <w:rPr>
                <w:sz w:val="20"/>
                <w:szCs w:val="20"/>
                <w:color w:val="auto"/>
              </w:rPr>
            </w:pPr>
          </w:p>
        </w:tc>
      </w:tr>
      <w:tr>
        <w:trPr>
          <w:trHeight w:val="245"/>
        </w:trPr>
        <w:tc>
          <w:tcPr>
            <w:tcW w:w="2180" w:type="dxa"/>
            <w:vAlign w:val="bottom"/>
            <w:shd w:val="clear" w:color="auto" w:fill="E9E9E9"/>
          </w:tcPr>
          <w:p>
            <w:pPr>
              <w:ind w:left="260"/>
              <w:spacing w:after="0"/>
              <w:rPr>
                <w:sz w:val="20"/>
                <w:szCs w:val="20"/>
                <w:color w:val="auto"/>
              </w:rPr>
            </w:pPr>
            <w:r>
              <w:rPr>
                <w:rFonts w:ascii="Arial" w:cs="Arial" w:eastAsia="Arial" w:hAnsi="Arial"/>
                <w:sz w:val="17"/>
                <w:szCs w:val="17"/>
                <w:color w:val="auto"/>
              </w:rPr>
              <w:t>Death</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844,115 (5)</w:t>
            </w:r>
          </w:p>
        </w:tc>
        <w:tc>
          <w:tcPr>
            <w:tcW w:w="1260" w:type="dxa"/>
            <w:vAlign w:val="bottom"/>
            <w:gridSpan w:val="3"/>
            <w:shd w:val="clear" w:color="auto" w:fill="E9E9E9"/>
          </w:tcPr>
          <w:p>
            <w:pPr>
              <w:jc w:val="right"/>
              <w:ind w:right="16"/>
              <w:spacing w:after="0"/>
              <w:rPr>
                <w:sz w:val="20"/>
                <w:szCs w:val="20"/>
                <w:color w:val="auto"/>
              </w:rPr>
            </w:pPr>
            <w:r>
              <w:rPr>
                <w:rFonts w:ascii="Arial" w:cs="Arial" w:eastAsia="Arial" w:hAnsi="Arial"/>
                <w:sz w:val="17"/>
                <w:szCs w:val="17"/>
                <w:color w:val="auto"/>
              </w:rPr>
              <w:t>$293,002 (5)</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E9E9E9"/>
          </w:tcPr>
          <w:p>
            <w:pPr>
              <w:jc w:val="right"/>
              <w:ind w:right="40"/>
              <w:spacing w:after="0"/>
              <w:rPr>
                <w:sz w:val="20"/>
                <w:szCs w:val="20"/>
                <w:color w:val="auto"/>
              </w:rPr>
            </w:pPr>
            <w:r>
              <w:rPr>
                <w:rFonts w:ascii="Arial" w:cs="Arial" w:eastAsia="Arial" w:hAnsi="Arial"/>
                <w:sz w:val="17"/>
                <w:szCs w:val="17"/>
                <w:color w:val="auto"/>
                <w:w w:val="96"/>
              </w:rPr>
              <w:t>3,113,996 (5)</w:t>
            </w:r>
          </w:p>
        </w:tc>
        <w:tc>
          <w:tcPr>
            <w:tcW w:w="1160" w:type="dxa"/>
            <w:vAlign w:val="bottom"/>
            <w:shd w:val="clear" w:color="auto" w:fill="E9E9E9"/>
          </w:tcPr>
          <w:p>
            <w:pPr>
              <w:jc w:val="right"/>
              <w:ind w:right="277"/>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7,979,999</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(7)</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6,756,000</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(4)</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8"/>
              </w:rPr>
              <w:t>23,143,940</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9"/>
              </w:rPr>
              <w:t>(14)</w:t>
            </w:r>
          </w:p>
        </w:tc>
      </w:tr>
      <w:tr>
        <w:trPr>
          <w:trHeight w:val="245"/>
        </w:trPr>
        <w:tc>
          <w:tcPr>
            <w:tcW w:w="2180" w:type="dxa"/>
            <w:vAlign w:val="bottom"/>
            <w:shd w:val="clear" w:color="auto" w:fill="E9E9E9"/>
          </w:tcPr>
          <w:p>
            <w:pPr>
              <w:ind w:left="260"/>
              <w:spacing w:after="0"/>
              <w:rPr>
                <w:sz w:val="20"/>
                <w:szCs w:val="20"/>
                <w:color w:val="auto"/>
              </w:rPr>
            </w:pPr>
            <w:r>
              <w:rPr>
                <w:rFonts w:ascii="Arial" w:cs="Arial" w:eastAsia="Arial" w:hAnsi="Arial"/>
                <w:sz w:val="17"/>
                <w:szCs w:val="17"/>
                <w:color w:val="auto"/>
              </w:rPr>
              <w:t>Involuntary Termination</w:t>
            </w:r>
          </w:p>
        </w:tc>
        <w:tc>
          <w:tcPr>
            <w:tcW w:w="20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620" w:type="dxa"/>
            <w:vAlign w:val="bottom"/>
            <w:shd w:val="clear" w:color="auto" w:fill="E9E9E9"/>
          </w:tcPr>
          <w:p>
            <w:pPr>
              <w:spacing w:after="0"/>
              <w:rPr>
                <w:sz w:val="21"/>
                <w:szCs w:val="21"/>
                <w:color w:val="auto"/>
              </w:rPr>
            </w:pPr>
          </w:p>
        </w:tc>
        <w:tc>
          <w:tcPr>
            <w:tcW w:w="3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1120" w:type="dxa"/>
            <w:vAlign w:val="bottom"/>
            <w:shd w:val="clear" w:color="auto" w:fill="E9E9E9"/>
          </w:tcPr>
          <w:p>
            <w:pPr>
              <w:spacing w:after="0"/>
              <w:rPr>
                <w:sz w:val="21"/>
                <w:szCs w:val="21"/>
                <w:color w:val="auto"/>
              </w:rPr>
            </w:pPr>
          </w:p>
        </w:tc>
        <w:tc>
          <w:tcPr>
            <w:tcW w:w="116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r>
      <w:tr>
        <w:trPr>
          <w:trHeight w:val="245"/>
        </w:trPr>
        <w:tc>
          <w:tcPr>
            <w:tcW w:w="2180" w:type="dxa"/>
            <w:vAlign w:val="bottom"/>
            <w:shd w:val="clear" w:color="auto" w:fill="E9E9E9"/>
          </w:tcPr>
          <w:p>
            <w:pPr>
              <w:ind w:left="520"/>
              <w:spacing w:after="0"/>
              <w:rPr>
                <w:sz w:val="20"/>
                <w:szCs w:val="20"/>
                <w:color w:val="auto"/>
              </w:rPr>
            </w:pPr>
            <w:r>
              <w:rPr>
                <w:rFonts w:ascii="Arial" w:cs="Arial" w:eastAsia="Arial" w:hAnsi="Arial"/>
                <w:sz w:val="17"/>
                <w:szCs w:val="17"/>
                <w:color w:val="auto"/>
              </w:rPr>
              <w:t>for Cause</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5"/>
              </w:rPr>
              <w:t>1,669,512</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w:t>
            </w:r>
          </w:p>
        </w:tc>
        <w:tc>
          <w:tcPr>
            <w:tcW w:w="1260" w:type="dxa"/>
            <w:vAlign w:val="bottom"/>
            <w:gridSpan w:val="3"/>
            <w:shd w:val="clear" w:color="auto" w:fill="E9E9E9"/>
          </w:tcPr>
          <w:p>
            <w:pPr>
              <w:jc w:val="right"/>
              <w:ind w:right="16"/>
              <w:spacing w:after="0"/>
              <w:rPr>
                <w:sz w:val="20"/>
                <w:szCs w:val="20"/>
                <w:color w:val="auto"/>
              </w:rPr>
            </w:pPr>
            <w:r>
              <w:rPr>
                <w:rFonts w:ascii="Arial" w:cs="Arial" w:eastAsia="Arial" w:hAnsi="Arial"/>
                <w:sz w:val="17"/>
                <w:szCs w:val="17"/>
                <w:color w:val="auto"/>
              </w:rPr>
              <w:t>$578,397 (8)</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E9E9E9"/>
          </w:tcPr>
          <w:p>
            <w:pPr>
              <w:jc w:val="right"/>
              <w:ind w:right="40"/>
              <w:spacing w:after="0"/>
              <w:rPr>
                <w:sz w:val="20"/>
                <w:szCs w:val="20"/>
                <w:color w:val="auto"/>
              </w:rPr>
            </w:pPr>
            <w:r>
              <w:rPr>
                <w:rFonts w:ascii="Arial" w:cs="Arial" w:eastAsia="Arial" w:hAnsi="Arial"/>
                <w:sz w:val="17"/>
                <w:szCs w:val="17"/>
                <w:color w:val="auto"/>
                <w:w w:val="96"/>
              </w:rPr>
              <w:t>6,160,032 (8)</w:t>
            </w:r>
          </w:p>
        </w:tc>
        <w:tc>
          <w:tcPr>
            <w:tcW w:w="1160" w:type="dxa"/>
            <w:vAlign w:val="bottom"/>
            <w:shd w:val="clear" w:color="auto" w:fill="E9E9E9"/>
          </w:tcPr>
          <w:p>
            <w:pPr>
              <w:jc w:val="right"/>
              <w:ind w:right="277"/>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E9E9E9"/>
          </w:tcPr>
          <w:p>
            <w:pPr>
              <w:spacing w:after="0"/>
              <w:rPr>
                <w:sz w:val="21"/>
                <w:szCs w:val="21"/>
                <w:color w:val="auto"/>
              </w:rPr>
            </w:pP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8,407,941</w:t>
            </w:r>
          </w:p>
        </w:tc>
        <w:tc>
          <w:tcPr>
            <w:tcW w:w="320" w:type="dxa"/>
            <w:vAlign w:val="bottom"/>
            <w:shd w:val="clear" w:color="auto" w:fill="E9E9E9"/>
          </w:tcPr>
          <w:p>
            <w:pPr>
              <w:spacing w:after="0"/>
              <w:rPr>
                <w:sz w:val="21"/>
                <w:szCs w:val="21"/>
                <w:color w:val="auto"/>
              </w:rPr>
            </w:pPr>
          </w:p>
        </w:tc>
      </w:tr>
      <w:tr>
        <w:trPr>
          <w:trHeight w:val="245"/>
        </w:trPr>
        <w:tc>
          <w:tcPr>
            <w:tcW w:w="2180" w:type="dxa"/>
            <w:vAlign w:val="bottom"/>
            <w:shd w:val="clear" w:color="auto" w:fill="E9E9E9"/>
          </w:tcPr>
          <w:p>
            <w:pPr>
              <w:ind w:left="260"/>
              <w:spacing w:after="0"/>
              <w:rPr>
                <w:sz w:val="20"/>
                <w:szCs w:val="20"/>
                <w:color w:val="auto"/>
              </w:rPr>
            </w:pPr>
            <w:r>
              <w:rPr>
                <w:rFonts w:ascii="Arial" w:cs="Arial" w:eastAsia="Arial" w:hAnsi="Arial"/>
                <w:sz w:val="17"/>
                <w:szCs w:val="17"/>
                <w:color w:val="auto"/>
              </w:rPr>
              <w:t>Resignation; Involuntary</w:t>
            </w:r>
          </w:p>
        </w:tc>
        <w:tc>
          <w:tcPr>
            <w:tcW w:w="20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620" w:type="dxa"/>
            <w:vAlign w:val="bottom"/>
            <w:shd w:val="clear" w:color="auto" w:fill="E9E9E9"/>
          </w:tcPr>
          <w:p>
            <w:pPr>
              <w:spacing w:after="0"/>
              <w:rPr>
                <w:sz w:val="21"/>
                <w:szCs w:val="21"/>
                <w:color w:val="auto"/>
              </w:rPr>
            </w:pPr>
          </w:p>
        </w:tc>
        <w:tc>
          <w:tcPr>
            <w:tcW w:w="3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1120" w:type="dxa"/>
            <w:vAlign w:val="bottom"/>
            <w:shd w:val="clear" w:color="auto" w:fill="E9E9E9"/>
          </w:tcPr>
          <w:p>
            <w:pPr>
              <w:spacing w:after="0"/>
              <w:rPr>
                <w:sz w:val="21"/>
                <w:szCs w:val="21"/>
                <w:color w:val="auto"/>
              </w:rPr>
            </w:pPr>
          </w:p>
        </w:tc>
        <w:tc>
          <w:tcPr>
            <w:tcW w:w="116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r>
      <w:tr>
        <w:trPr>
          <w:trHeight w:val="245"/>
        </w:trPr>
        <w:tc>
          <w:tcPr>
            <w:tcW w:w="2180" w:type="dxa"/>
            <w:vAlign w:val="bottom"/>
            <w:shd w:val="clear" w:color="auto" w:fill="E9E9E9"/>
          </w:tcPr>
          <w:p>
            <w:pPr>
              <w:ind w:left="520"/>
              <w:spacing w:after="0"/>
              <w:rPr>
                <w:sz w:val="20"/>
                <w:szCs w:val="20"/>
                <w:color w:val="auto"/>
              </w:rPr>
            </w:pPr>
            <w:r>
              <w:rPr>
                <w:rFonts w:ascii="Arial" w:cs="Arial" w:eastAsia="Arial" w:hAnsi="Arial"/>
                <w:sz w:val="17"/>
                <w:szCs w:val="17"/>
                <w:color w:val="auto"/>
              </w:rPr>
              <w:t>Termination</w:t>
            </w:r>
          </w:p>
        </w:tc>
        <w:tc>
          <w:tcPr>
            <w:tcW w:w="20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620" w:type="dxa"/>
            <w:vAlign w:val="bottom"/>
            <w:shd w:val="clear" w:color="auto" w:fill="E9E9E9"/>
          </w:tcPr>
          <w:p>
            <w:pPr>
              <w:spacing w:after="0"/>
              <w:rPr>
                <w:sz w:val="21"/>
                <w:szCs w:val="21"/>
                <w:color w:val="auto"/>
              </w:rPr>
            </w:pPr>
          </w:p>
        </w:tc>
        <w:tc>
          <w:tcPr>
            <w:tcW w:w="3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1120" w:type="dxa"/>
            <w:vAlign w:val="bottom"/>
            <w:shd w:val="clear" w:color="auto" w:fill="E9E9E9"/>
          </w:tcPr>
          <w:p>
            <w:pPr>
              <w:spacing w:after="0"/>
              <w:rPr>
                <w:sz w:val="21"/>
                <w:szCs w:val="21"/>
                <w:color w:val="auto"/>
              </w:rPr>
            </w:pPr>
          </w:p>
        </w:tc>
        <w:tc>
          <w:tcPr>
            <w:tcW w:w="116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r>
      <w:tr>
        <w:trPr>
          <w:trHeight w:val="245"/>
        </w:trPr>
        <w:tc>
          <w:tcPr>
            <w:tcW w:w="2180" w:type="dxa"/>
            <w:vAlign w:val="bottom"/>
            <w:shd w:val="clear" w:color="auto" w:fill="E9E9E9"/>
          </w:tcPr>
          <w:p>
            <w:pPr>
              <w:ind w:left="520"/>
              <w:spacing w:after="0"/>
              <w:rPr>
                <w:sz w:val="20"/>
                <w:szCs w:val="20"/>
                <w:color w:val="auto"/>
              </w:rPr>
            </w:pPr>
            <w:r>
              <w:rPr>
                <w:rFonts w:ascii="Arial" w:cs="Arial" w:eastAsia="Arial" w:hAnsi="Arial"/>
                <w:sz w:val="17"/>
                <w:szCs w:val="17"/>
                <w:color w:val="auto"/>
              </w:rPr>
              <w:t>(Not for Cause)</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5"/>
              </w:rPr>
              <w:t>1,669,512</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w:t>
            </w:r>
          </w:p>
        </w:tc>
        <w:tc>
          <w:tcPr>
            <w:tcW w:w="3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9E9E9"/>
          </w:tcPr>
          <w:p>
            <w:pPr>
              <w:jc w:val="right"/>
              <w:ind w:right="16"/>
              <w:spacing w:after="0"/>
              <w:rPr>
                <w:sz w:val="20"/>
                <w:szCs w:val="20"/>
                <w:color w:val="auto"/>
              </w:rPr>
            </w:pPr>
            <w:r>
              <w:rPr>
                <w:rFonts w:ascii="Arial" w:cs="Arial" w:eastAsia="Arial" w:hAnsi="Arial"/>
                <w:sz w:val="17"/>
                <w:szCs w:val="17"/>
                <w:color w:val="auto"/>
                <w:w w:val="96"/>
              </w:rPr>
              <w:t>578,397 (8)</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E9E9E9"/>
          </w:tcPr>
          <w:p>
            <w:pPr>
              <w:jc w:val="right"/>
              <w:ind w:right="40"/>
              <w:spacing w:after="0"/>
              <w:rPr>
                <w:sz w:val="20"/>
                <w:szCs w:val="20"/>
                <w:color w:val="auto"/>
              </w:rPr>
            </w:pPr>
            <w:r>
              <w:rPr>
                <w:rFonts w:ascii="Arial" w:cs="Arial" w:eastAsia="Arial" w:hAnsi="Arial"/>
                <w:sz w:val="17"/>
                <w:szCs w:val="17"/>
                <w:color w:val="auto"/>
                <w:w w:val="96"/>
              </w:rPr>
              <w:t>6,160,032 (8)</w:t>
            </w:r>
          </w:p>
        </w:tc>
        <w:tc>
          <w:tcPr>
            <w:tcW w:w="1160" w:type="dxa"/>
            <w:vAlign w:val="bottom"/>
            <w:shd w:val="clear" w:color="auto" w:fill="E9E9E9"/>
          </w:tcPr>
          <w:p>
            <w:pPr>
              <w:jc w:val="right"/>
              <w:ind w:right="277"/>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3,314,343</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(15)</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6,756,000</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(4)</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8"/>
              </w:rPr>
              <w:t>18,478,284</w:t>
            </w:r>
          </w:p>
        </w:tc>
        <w:tc>
          <w:tcPr>
            <w:tcW w:w="320" w:type="dxa"/>
            <w:vAlign w:val="bottom"/>
            <w:shd w:val="clear" w:color="auto" w:fill="E9E9E9"/>
          </w:tcPr>
          <w:p>
            <w:pPr>
              <w:spacing w:after="0"/>
              <w:rPr>
                <w:sz w:val="21"/>
                <w:szCs w:val="21"/>
                <w:color w:val="auto"/>
              </w:rPr>
            </w:pPr>
          </w:p>
        </w:tc>
      </w:tr>
      <w:tr>
        <w:trPr>
          <w:trHeight w:val="245"/>
        </w:trPr>
        <w:tc>
          <w:tcPr>
            <w:tcW w:w="2180" w:type="dxa"/>
            <w:vAlign w:val="bottom"/>
            <w:shd w:val="clear" w:color="auto" w:fill="E9E9E9"/>
          </w:tcPr>
          <w:p>
            <w:pPr>
              <w:ind w:left="260"/>
              <w:spacing w:after="0"/>
              <w:rPr>
                <w:sz w:val="20"/>
                <w:szCs w:val="20"/>
                <w:color w:val="auto"/>
              </w:rPr>
            </w:pPr>
            <w:r>
              <w:rPr>
                <w:rFonts w:ascii="Arial" w:cs="Arial" w:eastAsia="Arial" w:hAnsi="Arial"/>
                <w:sz w:val="17"/>
                <w:szCs w:val="17"/>
                <w:color w:val="auto"/>
              </w:rPr>
              <w:t>Retirement</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5"/>
              </w:rPr>
              <w:t>1,669,512</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w:t>
            </w:r>
          </w:p>
        </w:tc>
        <w:tc>
          <w:tcPr>
            <w:tcW w:w="3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578,397</w:t>
            </w:r>
          </w:p>
        </w:tc>
        <w:tc>
          <w:tcPr>
            <w:tcW w:w="340" w:type="dxa"/>
            <w:vAlign w:val="bottom"/>
            <w:shd w:val="clear" w:color="auto" w:fill="E9E9E9"/>
          </w:tcPr>
          <w:p>
            <w:pPr>
              <w:jc w:val="right"/>
              <w:ind w:right="16"/>
              <w:spacing w:after="0"/>
              <w:rPr>
                <w:sz w:val="20"/>
                <w:szCs w:val="20"/>
                <w:color w:val="auto"/>
              </w:rPr>
            </w:pPr>
            <w:r>
              <w:rPr>
                <w:rFonts w:ascii="Arial" w:cs="Arial" w:eastAsia="Arial" w:hAnsi="Arial"/>
                <w:sz w:val="17"/>
                <w:szCs w:val="17"/>
                <w:color w:val="auto"/>
              </w:rPr>
              <w:t>(8)</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E9E9E9"/>
          </w:tcPr>
          <w:p>
            <w:pPr>
              <w:jc w:val="right"/>
              <w:ind w:right="40"/>
              <w:spacing w:after="0"/>
              <w:rPr>
                <w:sz w:val="20"/>
                <w:szCs w:val="20"/>
                <w:color w:val="auto"/>
              </w:rPr>
            </w:pPr>
            <w:r>
              <w:rPr>
                <w:rFonts w:ascii="Arial" w:cs="Arial" w:eastAsia="Arial" w:hAnsi="Arial"/>
                <w:sz w:val="17"/>
                <w:szCs w:val="17"/>
                <w:color w:val="auto"/>
                <w:w w:val="96"/>
              </w:rPr>
              <w:t>6,160,032 (8)</w:t>
            </w:r>
          </w:p>
        </w:tc>
        <w:tc>
          <w:tcPr>
            <w:tcW w:w="1160" w:type="dxa"/>
            <w:vAlign w:val="bottom"/>
            <w:shd w:val="clear" w:color="auto" w:fill="E9E9E9"/>
          </w:tcPr>
          <w:p>
            <w:pPr>
              <w:jc w:val="right"/>
              <w:ind w:right="277"/>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3,314,343</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(15)</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6,756,000</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(4)</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8"/>
              </w:rPr>
              <w:t>18,478,284</w:t>
            </w:r>
          </w:p>
        </w:tc>
        <w:tc>
          <w:tcPr>
            <w:tcW w:w="320" w:type="dxa"/>
            <w:vAlign w:val="bottom"/>
            <w:shd w:val="clear" w:color="auto" w:fill="E9E9E9"/>
          </w:tcPr>
          <w:p>
            <w:pPr>
              <w:spacing w:after="0"/>
              <w:rPr>
                <w:sz w:val="21"/>
                <w:szCs w:val="21"/>
                <w:color w:val="auto"/>
              </w:rPr>
            </w:pPr>
          </w:p>
        </w:tc>
      </w:tr>
      <w:tr>
        <w:trPr>
          <w:trHeight w:val="260"/>
        </w:trPr>
        <w:tc>
          <w:tcPr>
            <w:tcW w:w="2180" w:type="dxa"/>
            <w:vAlign w:val="bottom"/>
            <w:shd w:val="clear" w:color="auto" w:fill="E9E9E9"/>
          </w:tcPr>
          <w:p>
            <w:pPr>
              <w:ind w:left="260"/>
              <w:spacing w:after="0"/>
              <w:rPr>
                <w:sz w:val="20"/>
                <w:szCs w:val="20"/>
                <w:color w:val="auto"/>
              </w:rPr>
            </w:pPr>
            <w:r>
              <w:rPr>
                <w:rFonts w:ascii="Arial" w:cs="Arial" w:eastAsia="Arial" w:hAnsi="Arial"/>
                <w:sz w:val="17"/>
                <w:szCs w:val="17"/>
                <w:color w:val="auto"/>
              </w:rPr>
              <w:t>Change in Control</w:t>
            </w:r>
          </w:p>
        </w:tc>
        <w:tc>
          <w:tcPr>
            <w:tcW w:w="200" w:type="dxa"/>
            <w:vAlign w:val="bottom"/>
            <w:shd w:val="clear" w:color="auto" w:fill="E9E9E9"/>
          </w:tcPr>
          <w:p>
            <w:pPr>
              <w:spacing w:after="0"/>
              <w:rPr>
                <w:sz w:val="22"/>
                <w:szCs w:val="22"/>
                <w:color w:val="auto"/>
              </w:rPr>
            </w:pP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E9E9E9"/>
          </w:tcPr>
          <w:p>
            <w:pPr>
              <w:spacing w:after="0"/>
              <w:rPr>
                <w:sz w:val="22"/>
                <w:szCs w:val="22"/>
                <w:color w:val="auto"/>
              </w:rPr>
            </w:pPr>
          </w:p>
        </w:tc>
        <w:tc>
          <w:tcPr>
            <w:tcW w:w="3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578,397</w:t>
            </w:r>
          </w:p>
        </w:tc>
        <w:tc>
          <w:tcPr>
            <w:tcW w:w="340" w:type="dxa"/>
            <w:vAlign w:val="bottom"/>
            <w:shd w:val="clear" w:color="auto" w:fill="E9E9E9"/>
          </w:tcPr>
          <w:p>
            <w:pPr>
              <w:jc w:val="right"/>
              <w:ind w:right="16"/>
              <w:spacing w:after="0"/>
              <w:rPr>
                <w:sz w:val="20"/>
                <w:szCs w:val="20"/>
                <w:color w:val="auto"/>
              </w:rPr>
            </w:pPr>
            <w:r>
              <w:rPr>
                <w:rFonts w:ascii="Arial" w:cs="Arial" w:eastAsia="Arial" w:hAnsi="Arial"/>
                <w:sz w:val="17"/>
                <w:szCs w:val="17"/>
                <w:color w:val="auto"/>
              </w:rPr>
              <w:t>(8)</w:t>
            </w:r>
          </w:p>
        </w:tc>
        <w:tc>
          <w:tcPr>
            <w:tcW w:w="200" w:type="dxa"/>
            <w:vAlign w:val="bottom"/>
            <w:shd w:val="clear" w:color="auto" w:fill="E9E9E9"/>
          </w:tcPr>
          <w:p>
            <w:pPr>
              <w:spacing w:after="0"/>
              <w:rPr>
                <w:sz w:val="22"/>
                <w:szCs w:val="22"/>
                <w:color w:val="auto"/>
              </w:rPr>
            </w:pPr>
          </w:p>
        </w:tc>
        <w:tc>
          <w:tcPr>
            <w:tcW w:w="1120" w:type="dxa"/>
            <w:vAlign w:val="bottom"/>
            <w:shd w:val="clear" w:color="auto" w:fill="E9E9E9"/>
          </w:tcPr>
          <w:p>
            <w:pPr>
              <w:jc w:val="right"/>
              <w:ind w:right="2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E9E9E9"/>
          </w:tcPr>
          <w:p>
            <w:pPr>
              <w:jc w:val="right"/>
              <w:ind w:right="277"/>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643,500</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(16)</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996,250</w:t>
            </w:r>
          </w:p>
        </w:tc>
        <w:tc>
          <w:tcPr>
            <w:tcW w:w="440" w:type="dxa"/>
            <w:vAlign w:val="bottom"/>
            <w:shd w:val="clear" w:color="auto" w:fill="E9E9E9"/>
          </w:tcPr>
          <w:p>
            <w:pPr>
              <w:ind w:left="20"/>
              <w:spacing w:after="0"/>
              <w:rPr>
                <w:sz w:val="20"/>
                <w:szCs w:val="20"/>
                <w:color w:val="auto"/>
              </w:rPr>
            </w:pPr>
            <w:r>
              <w:rPr>
                <w:rFonts w:ascii="Arial" w:cs="Arial" w:eastAsia="Arial" w:hAnsi="Arial"/>
                <w:sz w:val="17"/>
                <w:szCs w:val="17"/>
                <w:color w:val="auto"/>
              </w:rPr>
              <w:t>(12)</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2,218,147</w:t>
            </w:r>
          </w:p>
        </w:tc>
        <w:tc>
          <w:tcPr>
            <w:tcW w:w="320" w:type="dxa"/>
            <w:vAlign w:val="bottom"/>
            <w:shd w:val="clear" w:color="auto" w:fill="E9E9E9"/>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520"/>
          </w:cols>
          <w:pgMar w:left="240" w:top="582" w:right="139" w:bottom="1440" w:gutter="0" w:footer="0" w:header="0"/>
        </w:sectPr>
      </w:pPr>
    </w:p>
    <w:p>
      <w:pPr>
        <w:spacing w:after="0" w:line="55" w:lineRule="exact"/>
        <w:rPr>
          <w:sz w:val="20"/>
          <w:szCs w:val="20"/>
          <w:color w:val="auto"/>
        </w:rPr>
      </w:pPr>
    </w:p>
    <w:p>
      <w:pPr>
        <w:spacing w:after="0"/>
        <w:tabs>
          <w:tab w:leader="none" w:pos="95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2"/>
          <w:szCs w:val="12"/>
          <w:b w:val="1"/>
          <w:bCs w:val="1"/>
          <w:color w:val="808285"/>
        </w:rPr>
        <w:t>2013 PROXY STATEMENT •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520"/>
          </w:cols>
          <w:pgMar w:left="240" w:top="582" w:right="139" w:bottom="1440" w:gutter="0" w:footer="0" w:header="0"/>
          <w:type w:val="continuous"/>
        </w:sectPr>
      </w:pPr>
    </w:p>
    <w:bookmarkStart w:id="38" w:name="page39"/>
    <w:bookmarkEnd w:id="38"/>
    <w:p>
      <w:pPr>
        <w:ind w:left="520" w:right="60" w:hanging="517"/>
        <w:spacing w:after="0"/>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amount shown is the lump-sum benefit payable at age 65 to the named executive officer in the event of termination as of December 31, 2012, due to disability, assuming the named executive officer does not request payment of his disability benefit until age 65. The assumptions used in calculating these amounts are the same as the age-65 lump-sum assumptions used for financial reporting purposes for the company’s audited financial statements for 2012 and are described in note 5 to the 2012 pension benefits table on page 87.</w:t>
      </w:r>
    </w:p>
    <w:p>
      <w:pPr>
        <w:spacing w:after="0" w:line="225" w:lineRule="exact"/>
        <w:rPr>
          <w:rFonts w:ascii="Arial" w:cs="Arial" w:eastAsia="Arial" w:hAnsi="Arial"/>
          <w:sz w:val="17"/>
          <w:szCs w:val="17"/>
          <w:color w:val="auto"/>
        </w:rPr>
      </w:pPr>
    </w:p>
    <w:p>
      <w:pPr>
        <w:ind w:left="520" w:right="180" w:hanging="517"/>
        <w:spacing w:after="0" w:line="245"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amount shown is the lump-sum benefit payable at age 65, in the case of the Non-Qualified Defined Benefit Pension Plan, or separation from service in the case of Plan II. The assumptions used are the same as those described in note 1 above.</w:t>
      </w:r>
    </w:p>
    <w:p>
      <w:pPr>
        <w:spacing w:after="0" w:line="221" w:lineRule="exact"/>
        <w:rPr>
          <w:rFonts w:ascii="Arial" w:cs="Arial" w:eastAsia="Arial" w:hAnsi="Arial"/>
          <w:sz w:val="17"/>
          <w:szCs w:val="17"/>
          <w:color w:val="auto"/>
        </w:rPr>
      </w:pPr>
    </w:p>
    <w:p>
      <w:pPr>
        <w:ind w:left="520" w:right="20" w:hanging="517"/>
        <w:spacing w:after="0" w:line="260" w:lineRule="auto"/>
        <w:tabs>
          <w:tab w:leader="none" w:pos="5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Calculated by multiplying the number of outstanding RSUs by the closing price of TI common stock as of December 31, 2012 ($30.89). Because the executive officer will retain his RSU awards in the event of termination due to disability and they will continue to vest according to their terms, all outstanding RSUs are assumed to be vested. Please see the Outstanding Equity Awards at Fiscal Year-End 2012 table on pages 83-84 for the number of unvested RSUs as of December 31, 2012, and page 86 for a discussion of an additional outstanding RSU award held by Mr. Templeton.</w:t>
      </w:r>
    </w:p>
    <w:p>
      <w:pPr>
        <w:spacing w:after="0" w:line="210" w:lineRule="exact"/>
        <w:rPr>
          <w:rFonts w:ascii="Arial" w:cs="Arial" w:eastAsia="Arial" w:hAnsi="Arial"/>
          <w:sz w:val="16"/>
          <w:szCs w:val="16"/>
          <w:color w:val="auto"/>
        </w:rPr>
      </w:pPr>
    </w:p>
    <w:p>
      <w:pPr>
        <w:ind w:left="520" w:right="580" w:hanging="517"/>
        <w:spacing w:after="0" w:line="245"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Calculated as the difference between the grant price of all outstanding in-the-money options and the closing price of TI common stock as of December 31, 2012 ($30.89), multiplied by the number of shares under such options as of December 31, 2012.</w:t>
      </w:r>
    </w:p>
    <w:p>
      <w:pPr>
        <w:spacing w:after="0" w:line="221" w:lineRule="exact"/>
        <w:rPr>
          <w:rFonts w:ascii="Arial" w:cs="Arial" w:eastAsia="Arial" w:hAnsi="Arial"/>
          <w:sz w:val="17"/>
          <w:szCs w:val="17"/>
          <w:color w:val="auto"/>
        </w:rPr>
      </w:pPr>
    </w:p>
    <w:p>
      <w:pPr>
        <w:ind w:left="520" w:right="500" w:hanging="517"/>
        <w:spacing w:after="0" w:line="241"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Value of the benefit payable in a lump sum to the executive officer’s beneficiary calculated as required by the terms of the plan assuming the earliest possible payment date. The plan provides that in the event of death, the beneficiary receives 50 percent of the participant’s accrued benefit, reduced by the age-applicable joint and 50 percent survivor factor.</w:t>
      </w:r>
    </w:p>
    <w:p>
      <w:pPr>
        <w:spacing w:after="0" w:line="225" w:lineRule="exact"/>
        <w:rPr>
          <w:rFonts w:ascii="Arial" w:cs="Arial" w:eastAsia="Arial" w:hAnsi="Arial"/>
          <w:sz w:val="17"/>
          <w:szCs w:val="17"/>
          <w:color w:val="auto"/>
        </w:rPr>
      </w:pPr>
    </w:p>
    <w:p>
      <w:pPr>
        <w:ind w:left="520" w:hanging="517"/>
        <w:spacing w:after="0"/>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Balance as of December 31, 2012, under the non-qualified deferred compensation plan.</w:t>
      </w:r>
    </w:p>
    <w:p>
      <w:pPr>
        <w:spacing w:after="0" w:line="230" w:lineRule="exact"/>
        <w:rPr>
          <w:rFonts w:ascii="Arial" w:cs="Arial" w:eastAsia="Arial" w:hAnsi="Arial"/>
          <w:sz w:val="17"/>
          <w:szCs w:val="17"/>
          <w:color w:val="auto"/>
        </w:rPr>
      </w:pPr>
    </w:p>
    <w:p>
      <w:pPr>
        <w:ind w:left="520" w:right="320" w:hanging="517"/>
        <w:spacing w:after="0"/>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Calculated by multiplying the number of outstanding RSUs by the closing price of TI common stock as of December 31, 2012 ($30.89). All outstanding RSUs are assumed to be vested. Please see the Outstanding Equity Awards at Fiscal Year-End 2012 table on pages 83-84 for the number of unvested RSUs as of December 31, 2012, and see page 86 for a discussion of an additional outstanding RSU award held by Mr. Templeton.</w:t>
      </w:r>
    </w:p>
    <w:p>
      <w:pPr>
        <w:spacing w:after="0" w:line="225" w:lineRule="exact"/>
        <w:rPr>
          <w:rFonts w:ascii="Arial" w:cs="Arial" w:eastAsia="Arial" w:hAnsi="Arial"/>
          <w:sz w:val="17"/>
          <w:szCs w:val="17"/>
          <w:color w:val="auto"/>
        </w:rPr>
      </w:pPr>
    </w:p>
    <w:p>
      <w:pPr>
        <w:ind w:left="520" w:right="140" w:hanging="517"/>
        <w:spacing w:after="0" w:line="245"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Lump-sum value of the accrued benefit as of December 31, 2012, calculated as required by the terms of the plans assuming the earliest possible payment date.</w:t>
      </w:r>
    </w:p>
    <w:p>
      <w:pPr>
        <w:spacing w:after="0" w:line="221" w:lineRule="exact"/>
        <w:rPr>
          <w:rFonts w:ascii="Arial" w:cs="Arial" w:eastAsia="Arial" w:hAnsi="Arial"/>
          <w:sz w:val="17"/>
          <w:szCs w:val="17"/>
          <w:color w:val="auto"/>
        </w:rPr>
      </w:pPr>
    </w:p>
    <w:p>
      <w:pPr>
        <w:ind w:left="520" w:right="480" w:hanging="517"/>
        <w:spacing w:after="0" w:line="245"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Calculated by multiplying 120,000 vested RSUs by the closing price of TI common stock as of December 31, 2012 ($30.89). See page 86 for further information about this award.</w:t>
      </w:r>
    </w:p>
    <w:p>
      <w:pPr>
        <w:spacing w:after="0" w:line="221" w:lineRule="exact"/>
        <w:rPr>
          <w:rFonts w:ascii="Arial" w:cs="Arial" w:eastAsia="Arial" w:hAnsi="Arial"/>
          <w:sz w:val="17"/>
          <w:szCs w:val="17"/>
          <w:color w:val="auto"/>
        </w:rPr>
      </w:pPr>
    </w:p>
    <w:p>
      <w:pPr>
        <w:ind w:left="520" w:right="600" w:hanging="517"/>
        <w:spacing w:after="0" w:line="245"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Calculated as the difference between the grant price of all exercisable in-the-money options and the closing price of TI common stock as of December 31, 2012 ($30.89), multiplied by the number of shares under such options as of December 31, 2012.</w:t>
      </w:r>
    </w:p>
    <w:p>
      <w:pPr>
        <w:spacing w:after="0" w:line="221" w:lineRule="exact"/>
        <w:rPr>
          <w:rFonts w:ascii="Arial" w:cs="Arial" w:eastAsia="Arial" w:hAnsi="Arial"/>
          <w:sz w:val="17"/>
          <w:szCs w:val="17"/>
          <w:color w:val="auto"/>
        </w:rPr>
      </w:pPr>
    </w:p>
    <w:p>
      <w:pPr>
        <w:ind w:left="520" w:hanging="517"/>
        <w:spacing w:after="0"/>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Calculated by multiplying the number of RSUs granted prior to 2010 by the closing price of TI common stock as of December 31, 2012 ($30.89).</w:t>
      </w:r>
    </w:p>
    <w:p>
      <w:pPr>
        <w:spacing w:after="0" w:line="230" w:lineRule="exact"/>
        <w:rPr>
          <w:rFonts w:ascii="Arial" w:cs="Arial" w:eastAsia="Arial" w:hAnsi="Arial"/>
          <w:sz w:val="17"/>
          <w:szCs w:val="17"/>
          <w:color w:val="auto"/>
        </w:rPr>
      </w:pPr>
    </w:p>
    <w:p>
      <w:pPr>
        <w:ind w:left="520" w:right="80" w:hanging="517"/>
        <w:spacing w:after="0" w:line="241"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Upon a change in control meeting the pre-2010 definition (please see page 85), all outstanding options granted prior to 2010 become immediately exercisable. Calculated as the difference between the grant price of in-the-money options not already exercisable and the closing price of TI common stock as of December 31, 2012 ($30.89), multiplied by the number of those options as of December 31, 2012.</w:t>
      </w:r>
    </w:p>
    <w:p>
      <w:pPr>
        <w:spacing w:after="0" w:line="225" w:lineRule="exact"/>
        <w:rPr>
          <w:rFonts w:ascii="Arial" w:cs="Arial" w:eastAsia="Arial" w:hAnsi="Arial"/>
          <w:sz w:val="17"/>
          <w:szCs w:val="17"/>
          <w:color w:val="auto"/>
        </w:rPr>
      </w:pPr>
    </w:p>
    <w:p>
      <w:pPr>
        <w:ind w:left="520" w:hanging="517"/>
        <w:spacing w:after="0"/>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Mr. Ritchie was the only named executive officer eligible to retire as of December 31, 2012.</w:t>
      </w:r>
    </w:p>
    <w:p>
      <w:pPr>
        <w:spacing w:after="0" w:line="230" w:lineRule="exact"/>
        <w:rPr>
          <w:rFonts w:ascii="Arial" w:cs="Arial" w:eastAsia="Arial" w:hAnsi="Arial"/>
          <w:sz w:val="17"/>
          <w:szCs w:val="17"/>
          <w:color w:val="auto"/>
        </w:rPr>
      </w:pPr>
    </w:p>
    <w:p>
      <w:pPr>
        <w:ind w:left="520" w:right="440" w:hanging="517"/>
        <w:spacing w:after="0" w:line="276" w:lineRule="auto"/>
        <w:tabs>
          <w:tab w:leader="none" w:pos="5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Because Mr. Ritchie was retirement eligible, the total includes the value of the benefit payable in a lump sum ($4,156,828) under the Survivor Benefit Plan to Mr. Ritchie’s beneficiary calculated as required by the terms of the plan assuming the earliest possible payment date.</w:t>
      </w:r>
    </w:p>
    <w:p>
      <w:pPr>
        <w:spacing w:after="0" w:line="196" w:lineRule="exact"/>
        <w:rPr>
          <w:rFonts w:ascii="Arial" w:cs="Arial" w:eastAsia="Arial" w:hAnsi="Arial"/>
          <w:sz w:val="16"/>
          <w:szCs w:val="16"/>
          <w:color w:val="auto"/>
        </w:rPr>
      </w:pPr>
    </w:p>
    <w:p>
      <w:pPr>
        <w:ind w:left="520" w:right="40" w:hanging="517"/>
        <w:spacing w:after="0"/>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Because Mr. Ritchie was retirement eligible, calculated by multiplying the number of outstanding RSUs held by Mr. Ritchie at such termination by the closing price of TI common stock as of December 31, 2012 ($30.89). His RSU grants stay in effect and pay out shares according to the vesting schedule, although the number of shares is reduced according to the duration of employment over the vesting period. See page 85 for additional details.</w:t>
      </w:r>
    </w:p>
    <w:p>
      <w:pPr>
        <w:spacing w:after="0" w:line="225" w:lineRule="exact"/>
        <w:rPr>
          <w:rFonts w:ascii="Arial" w:cs="Arial" w:eastAsia="Arial" w:hAnsi="Arial"/>
          <w:sz w:val="17"/>
          <w:szCs w:val="17"/>
          <w:color w:val="auto"/>
        </w:rPr>
      </w:pPr>
    </w:p>
    <w:p>
      <w:pPr>
        <w:ind w:left="520" w:right="80" w:hanging="517"/>
        <w:spacing w:after="0" w:line="241"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Calculated by multiplying 25 percent of the number of shares under Mr. Ritchie’s outstanding pre-2010 award (because he was retirement eligible, the other 75 percent was payable at the regularly scheduled vesting date even without the effect of a change in control) by the closing price of TI common stock as of December 31, 2012 ($30.89).</w:t>
      </w:r>
    </w:p>
    <w:p>
      <w:pPr>
        <w:spacing w:after="0" w:line="244" w:lineRule="exact"/>
        <w:rPr>
          <w:sz w:val="20"/>
          <w:szCs w:val="20"/>
          <w:color w:val="auto"/>
        </w:rPr>
      </w:pPr>
    </w:p>
    <w:p>
      <w:pPr>
        <w:spacing w:after="0"/>
        <w:tabs>
          <w:tab w:leader="none" w:pos="10000" w:val="left"/>
        </w:tabs>
        <w:rPr>
          <w:sz w:val="20"/>
          <w:szCs w:val="20"/>
          <w:color w:val="auto"/>
        </w:rPr>
      </w:pPr>
      <w:r>
        <w:rPr>
          <w:rFonts w:ascii="Arial" w:cs="Arial" w:eastAsia="Arial" w:hAnsi="Arial"/>
          <w:sz w:val="13"/>
          <w:szCs w:val="13"/>
          <w:b w:val="1"/>
          <w:bCs w:val="1"/>
          <w:color w:val="808285"/>
        </w:rPr>
        <w:t>92 •  2013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Audit Committee report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of the board of directors has furnished the following report:</w:t>
      </w:r>
    </w:p>
    <w:p>
      <w:pPr>
        <w:ind w:firstLine="233"/>
        <w:spacing w:after="0"/>
        <w:rPr>
          <w:sz w:val="20"/>
          <w:szCs w:val="20"/>
          <w:color w:val="auto"/>
        </w:rPr>
      </w:pPr>
      <w:r>
        <w:rPr>
          <w:rFonts w:ascii="Arial" w:cs="Arial" w:eastAsia="Arial" w:hAnsi="Arial"/>
          <w:sz w:val="17"/>
          <w:szCs w:val="17"/>
          <w:color w:val="auto"/>
        </w:rPr>
        <w:t>As noted in the committee’s charter, TI management is responsible for preparing the company’s financial statements. The company’s independent registered public accounting firm is responsible for auditing the financial statements. The activities of the committee are in no way designed to supersede or alter those traditional responsibilities. The committee’s role does not provide any special assurances with regard to TI’s financial statements, nor does it involve a professional evaluation of the quality of the audits performed by the independent registered public accounting firm.</w:t>
      </w:r>
    </w:p>
    <w:p>
      <w:pPr>
        <w:spacing w:after="0" w:line="19" w:lineRule="exact"/>
        <w:rPr>
          <w:sz w:val="20"/>
          <w:szCs w:val="20"/>
          <w:color w:val="auto"/>
        </w:rPr>
      </w:pPr>
    </w:p>
    <w:p>
      <w:pPr>
        <w:ind w:right="740" w:firstLine="258"/>
        <w:spacing w:after="0" w:line="278" w:lineRule="auto"/>
        <w:rPr>
          <w:sz w:val="20"/>
          <w:szCs w:val="20"/>
          <w:color w:val="auto"/>
        </w:rPr>
      </w:pPr>
      <w:r>
        <w:rPr>
          <w:rFonts w:ascii="Arial" w:cs="Arial" w:eastAsia="Arial" w:hAnsi="Arial"/>
          <w:sz w:val="16"/>
          <w:szCs w:val="16"/>
          <w:color w:val="auto"/>
        </w:rPr>
        <w:t>The committee has reviewed and discussed with management and the independent accounting firm, as appropriate, (1) the audited financial statements and (2) management’s report on internal control over financial reporting and the independent accounting firm’s related opinions.</w:t>
      </w:r>
    </w:p>
    <w:p>
      <w:pPr>
        <w:ind w:right="540" w:firstLine="258"/>
        <w:spacing w:after="0" w:line="261" w:lineRule="auto"/>
        <w:rPr>
          <w:sz w:val="20"/>
          <w:szCs w:val="20"/>
          <w:color w:val="auto"/>
        </w:rPr>
      </w:pPr>
      <w:r>
        <w:rPr>
          <w:rFonts w:ascii="Arial" w:cs="Arial" w:eastAsia="Arial" w:hAnsi="Arial"/>
          <w:sz w:val="17"/>
          <w:szCs w:val="17"/>
          <w:color w:val="auto"/>
        </w:rPr>
        <w:t>The committee has discussed with the independent registered public accounting firm, Ernst &amp; Young, the required communications specified by auditing standards together with guidelines established by the SEC and the Sarbanes-Oxley Act.</w:t>
      </w:r>
    </w:p>
    <w:p>
      <w:pPr>
        <w:spacing w:after="0" w:line="1" w:lineRule="exact"/>
        <w:rPr>
          <w:sz w:val="20"/>
          <w:szCs w:val="20"/>
          <w:color w:val="auto"/>
        </w:rPr>
      </w:pPr>
    </w:p>
    <w:p>
      <w:pPr>
        <w:ind w:right="40" w:firstLine="258"/>
        <w:spacing w:after="0" w:line="249" w:lineRule="auto"/>
        <w:rPr>
          <w:sz w:val="20"/>
          <w:szCs w:val="20"/>
          <w:color w:val="auto"/>
        </w:rPr>
      </w:pPr>
      <w:r>
        <w:rPr>
          <w:rFonts w:ascii="Arial" w:cs="Arial" w:eastAsia="Arial" w:hAnsi="Arial"/>
          <w:sz w:val="17"/>
          <w:szCs w:val="17"/>
          <w:color w:val="auto"/>
        </w:rPr>
        <w:t>The committee has received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Ernst &amp; Young the firm’s independence.</w:t>
      </w:r>
    </w:p>
    <w:p>
      <w:pPr>
        <w:spacing w:after="0" w:line="12" w:lineRule="exact"/>
        <w:rPr>
          <w:sz w:val="20"/>
          <w:szCs w:val="20"/>
          <w:color w:val="auto"/>
        </w:rPr>
      </w:pPr>
    </w:p>
    <w:p>
      <w:pPr>
        <w:ind w:right="20" w:firstLine="258"/>
        <w:spacing w:after="0" w:line="261" w:lineRule="auto"/>
        <w:rPr>
          <w:sz w:val="20"/>
          <w:szCs w:val="20"/>
          <w:color w:val="auto"/>
        </w:rPr>
      </w:pPr>
      <w:r>
        <w:rPr>
          <w:rFonts w:ascii="Arial" w:cs="Arial" w:eastAsia="Arial" w:hAnsi="Arial"/>
          <w:sz w:val="17"/>
          <w:szCs w:val="17"/>
          <w:color w:val="auto"/>
        </w:rPr>
        <w:t>Based on the review and discussions referred to above, the committee recommended to the board of directors that the audited financial statements be included in the company’s annual report on Form 10-K for 2012 for filing with the SEC.</w:t>
      </w:r>
    </w:p>
    <w:p>
      <w:pPr>
        <w:spacing w:after="0" w:line="195" w:lineRule="exact"/>
        <w:rPr>
          <w:sz w:val="20"/>
          <w:szCs w:val="20"/>
          <w:color w:val="auto"/>
        </w:rPr>
      </w:pPr>
    </w:p>
    <w:p>
      <w:pPr>
        <w:ind w:left="980"/>
        <w:spacing w:after="0"/>
        <w:tabs>
          <w:tab w:leader="none" w:pos="5000" w:val="left"/>
          <w:tab w:leader="none" w:pos="8800" w:val="left"/>
        </w:tabs>
        <w:rPr>
          <w:sz w:val="20"/>
          <w:szCs w:val="20"/>
          <w:color w:val="auto"/>
        </w:rPr>
      </w:pPr>
      <w:r>
        <w:rPr>
          <w:rFonts w:ascii="Arial" w:cs="Arial" w:eastAsia="Arial" w:hAnsi="Arial"/>
          <w:sz w:val="17"/>
          <w:szCs w:val="17"/>
          <w:color w:val="auto"/>
        </w:rPr>
        <w:t>Pamela H. Patsley, Chair</w:t>
      </w:r>
      <w:r>
        <w:rPr>
          <w:sz w:val="20"/>
          <w:szCs w:val="20"/>
          <w:color w:val="auto"/>
        </w:rPr>
        <w:tab/>
      </w:r>
      <w:r>
        <w:rPr>
          <w:rFonts w:ascii="Arial" w:cs="Arial" w:eastAsia="Arial" w:hAnsi="Arial"/>
          <w:sz w:val="17"/>
          <w:szCs w:val="17"/>
          <w:color w:val="auto"/>
        </w:rPr>
        <w:t>Ralph W. Babb, Jr.</w:t>
      </w:r>
      <w:r>
        <w:rPr>
          <w:sz w:val="20"/>
          <w:szCs w:val="20"/>
          <w:color w:val="auto"/>
        </w:rPr>
        <w:tab/>
      </w:r>
      <w:r>
        <w:rPr>
          <w:rFonts w:ascii="Arial" w:cs="Arial" w:eastAsia="Arial" w:hAnsi="Arial"/>
          <w:sz w:val="16"/>
          <w:szCs w:val="16"/>
          <w:color w:val="auto"/>
        </w:rPr>
        <w:t>Robert E. Sanchez</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 to ratify appointment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of the board has appointed Ernst &amp; Young LLP to be TI’s independent registered public accounting firm for 2013.</w:t>
      </w:r>
    </w:p>
    <w:p>
      <w:pPr>
        <w:spacing w:after="0" w:line="24" w:lineRule="exact"/>
        <w:rPr>
          <w:sz w:val="20"/>
          <w:szCs w:val="20"/>
          <w:color w:val="auto"/>
        </w:rPr>
      </w:pPr>
    </w:p>
    <w:p>
      <w:pPr>
        <w:ind w:right="60" w:firstLine="258"/>
        <w:spacing w:after="0" w:line="261" w:lineRule="auto"/>
        <w:rPr>
          <w:sz w:val="20"/>
          <w:szCs w:val="20"/>
          <w:color w:val="auto"/>
        </w:rPr>
      </w:pPr>
      <w:r>
        <w:rPr>
          <w:rFonts w:ascii="Arial" w:cs="Arial" w:eastAsia="Arial" w:hAnsi="Arial"/>
          <w:sz w:val="17"/>
          <w:szCs w:val="17"/>
          <w:color w:val="auto"/>
        </w:rPr>
        <w:t>The board asks the stockholders to ratify the appointment of Ernst &amp; Young. If the stockholders do not ratify the appointment, the Audit Committee will consider whether it should appoint another independent registered public accounting firm.</w:t>
      </w:r>
    </w:p>
    <w:p>
      <w:pPr>
        <w:spacing w:after="0" w:line="1" w:lineRule="exact"/>
        <w:rPr>
          <w:sz w:val="20"/>
          <w:szCs w:val="20"/>
          <w:color w:val="auto"/>
        </w:rPr>
      </w:pPr>
    </w:p>
    <w:p>
      <w:pPr>
        <w:ind w:right="240" w:firstLine="258"/>
        <w:spacing w:after="0" w:line="261" w:lineRule="auto"/>
        <w:rPr>
          <w:sz w:val="20"/>
          <w:szCs w:val="20"/>
          <w:color w:val="auto"/>
        </w:rPr>
      </w:pPr>
      <w:r>
        <w:rPr>
          <w:rFonts w:ascii="Arial" w:cs="Arial" w:eastAsia="Arial" w:hAnsi="Arial"/>
          <w:sz w:val="17"/>
          <w:szCs w:val="17"/>
          <w:color w:val="auto"/>
        </w:rPr>
        <w:t>Representatives of Ernst &amp; Young are expected to be present, and to be available to respond to appropriate questions, at the annual meeting. They have the opportunity to make a statement if they desire to do so; they have indicated that, as of this date, they do not.</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 has paid fees to Ernst &amp; Young for the services described below:</w:t>
      </w:r>
    </w:p>
    <w:p>
      <w:pPr>
        <w:spacing w:after="0" w:line="218" w:lineRule="exact"/>
        <w:rPr>
          <w:sz w:val="20"/>
          <w:szCs w:val="20"/>
          <w:color w:val="auto"/>
        </w:rPr>
      </w:pPr>
    </w:p>
    <w:p>
      <w:pPr>
        <w:jc w:val="both"/>
        <w:ind w:right="400"/>
        <w:spacing w:after="0" w:line="241" w:lineRule="auto"/>
        <w:rPr>
          <w:sz w:val="20"/>
          <w:szCs w:val="20"/>
          <w:color w:val="auto"/>
        </w:rPr>
      </w:pPr>
      <w:r>
        <w:rPr>
          <w:rFonts w:ascii="Arial" w:cs="Arial" w:eastAsia="Arial" w:hAnsi="Arial"/>
          <w:sz w:val="17"/>
          <w:szCs w:val="17"/>
          <w:u w:val="single" w:color="auto"/>
          <w:color w:val="auto"/>
        </w:rPr>
        <w:t>Audit fees</w:t>
      </w:r>
      <w:r>
        <w:rPr>
          <w:rFonts w:ascii="Arial" w:cs="Arial" w:eastAsia="Arial" w:hAnsi="Arial"/>
          <w:sz w:val="17"/>
          <w:szCs w:val="17"/>
          <w:color w:val="auto"/>
        </w:rPr>
        <w:t>. Ernst &amp; Young’s Audit Fees were $8,384,000 in 2012 and $8,435,000 in 2011. The services provided in exchange for these fees were our annual audit, including the audit of internal control over financial reporting, reports on Form 10-Q, assistance with public debt offerings, and statutory audits required internationally.</w:t>
      </w:r>
    </w:p>
    <w:p>
      <w:pPr>
        <w:spacing w:after="0" w:line="199" w:lineRule="exact"/>
        <w:rPr>
          <w:sz w:val="20"/>
          <w:szCs w:val="20"/>
          <w:color w:val="auto"/>
        </w:rPr>
      </w:pPr>
    </w:p>
    <w:p>
      <w:pPr>
        <w:ind w:right="460"/>
        <w:spacing w:after="0"/>
        <w:rPr>
          <w:sz w:val="20"/>
          <w:szCs w:val="20"/>
          <w:color w:val="auto"/>
        </w:rPr>
      </w:pPr>
      <w:r>
        <w:rPr>
          <w:rFonts w:ascii="Arial" w:cs="Arial" w:eastAsia="Arial" w:hAnsi="Arial"/>
          <w:sz w:val="17"/>
          <w:szCs w:val="17"/>
          <w:u w:val="single" w:color="auto"/>
          <w:color w:val="auto"/>
        </w:rPr>
        <w:t>Audit-related fees</w:t>
      </w:r>
      <w:r>
        <w:rPr>
          <w:rFonts w:ascii="Arial" w:cs="Arial" w:eastAsia="Arial" w:hAnsi="Arial"/>
          <w:sz w:val="17"/>
          <w:szCs w:val="17"/>
          <w:color w:val="auto"/>
        </w:rPr>
        <w:t>. In addition to the Audit Fees, the company paid Ernst &amp; Young $761,000 in 2012 and $846,000 in 2011. The services provided in exchange for these fees included acquisition due diligence and related procedures, employee benefit plan audits, financial reporting system access testing, access to Ernst &amp; Young’s online research tool and, for various non-U.S. subsidiaries, audits relating to compliance with local-government standards.</w:t>
      </w:r>
    </w:p>
    <w:p>
      <w:pPr>
        <w:spacing w:after="0" w:line="200"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u w:val="single" w:color="auto"/>
          <w:color w:val="auto"/>
        </w:rPr>
        <w:t>Tax fees</w:t>
      </w:r>
      <w:r>
        <w:rPr>
          <w:rFonts w:ascii="Arial" w:cs="Arial" w:eastAsia="Arial" w:hAnsi="Arial"/>
          <w:sz w:val="16"/>
          <w:szCs w:val="16"/>
          <w:color w:val="auto"/>
        </w:rPr>
        <w:t>. Ernst &amp; Young’s fees for professional services rendered for tax compliance (preparation and review of income tax returns and other tax-related filings), tax advice on U.S. and foreign tax matters, and tax assistance related to acquisitions were $4,380,000 in 2012 and $1,371,000 in 2011.</w:t>
      </w:r>
    </w:p>
    <w:p>
      <w:pPr>
        <w:spacing w:after="0" w:line="171" w:lineRule="exact"/>
        <w:rPr>
          <w:sz w:val="20"/>
          <w:szCs w:val="20"/>
          <w:color w:val="auto"/>
        </w:rPr>
      </w:pPr>
    </w:p>
    <w:p>
      <w:pPr>
        <w:ind w:right="720"/>
        <w:spacing w:after="0" w:line="245" w:lineRule="auto"/>
        <w:rPr>
          <w:sz w:val="20"/>
          <w:szCs w:val="20"/>
          <w:color w:val="auto"/>
        </w:rPr>
      </w:pPr>
      <w:r>
        <w:rPr>
          <w:rFonts w:ascii="Arial" w:cs="Arial" w:eastAsia="Arial" w:hAnsi="Arial"/>
          <w:sz w:val="17"/>
          <w:szCs w:val="17"/>
          <w:u w:val="single" w:color="auto"/>
          <w:color w:val="auto"/>
        </w:rPr>
        <w:t>All other fees</w:t>
      </w:r>
      <w:r>
        <w:rPr>
          <w:rFonts w:ascii="Arial" w:cs="Arial" w:eastAsia="Arial" w:hAnsi="Arial"/>
          <w:sz w:val="17"/>
          <w:szCs w:val="17"/>
          <w:color w:val="auto"/>
        </w:rPr>
        <w:t>. Ernst &amp; Young’s fees for all other professional services rendered were $635,000 in 2012 and $323,000 in 2011 for assistance with insurance claims, the TI Foundation audit, and training.</w:t>
      </w:r>
    </w:p>
    <w:p>
      <w:pPr>
        <w:spacing w:after="0" w:line="195" w:lineRule="exact"/>
        <w:rPr>
          <w:sz w:val="20"/>
          <w:szCs w:val="20"/>
          <w:color w:val="auto"/>
        </w:rPr>
      </w:pPr>
    </w:p>
    <w:p>
      <w:pPr>
        <w:ind w:right="400"/>
        <w:spacing w:after="0" w:line="245" w:lineRule="auto"/>
        <w:rPr>
          <w:sz w:val="20"/>
          <w:szCs w:val="20"/>
          <w:color w:val="auto"/>
        </w:rPr>
      </w:pPr>
      <w:r>
        <w:rPr>
          <w:rFonts w:ascii="Arial" w:cs="Arial" w:eastAsia="Arial" w:hAnsi="Arial"/>
          <w:sz w:val="17"/>
          <w:szCs w:val="17"/>
          <w:u w:val="single" w:color="auto"/>
          <w:color w:val="auto"/>
        </w:rPr>
        <w:t>Pre-approval policy</w:t>
      </w:r>
      <w:r>
        <w:rPr>
          <w:rFonts w:ascii="Arial" w:cs="Arial" w:eastAsia="Arial" w:hAnsi="Arial"/>
          <w:sz w:val="17"/>
          <w:szCs w:val="17"/>
          <w:color w:val="auto"/>
        </w:rPr>
        <w:t>. The Audit Committee is required to pre-approve the audit and non-audit services to be performed by the independent registered public accounting firm in order to assure that the provision of such services does not impair the firm’s independence.</w:t>
      </w:r>
    </w:p>
    <w:p>
      <w:pPr>
        <w:spacing w:after="0" w:line="14" w:lineRule="exact"/>
        <w:rPr>
          <w:sz w:val="20"/>
          <w:szCs w:val="20"/>
          <w:color w:val="auto"/>
        </w:rPr>
      </w:pPr>
    </w:p>
    <w:p>
      <w:pPr>
        <w:ind w:right="140" w:firstLine="258"/>
        <w:spacing w:after="0" w:line="241" w:lineRule="auto"/>
        <w:rPr>
          <w:sz w:val="20"/>
          <w:szCs w:val="20"/>
          <w:color w:val="auto"/>
        </w:rPr>
      </w:pPr>
      <w:r>
        <w:rPr>
          <w:rFonts w:ascii="Arial" w:cs="Arial" w:eastAsia="Arial" w:hAnsi="Arial"/>
          <w:sz w:val="17"/>
          <w:szCs w:val="17"/>
          <w:color w:val="auto"/>
        </w:rPr>
        <w:t>Annually the independent registered public accounting firm and the director of internal audits present to the Audit Committee services expected to be performed by the firm over the next 12 months. The Audit Committee reviews and, as it deems appropriate, pre-approves those services. The services and estimated fees are presented to the Audit Committee for consideration in the following categories: Audit, Audit-related, Tax and All other (each as defined in Schedule 14A of the Securities Exchange Act). For each service listed in those categories, the Committee receives detailed documentation indicating the specific services to be provided. The term of any pre-approval is 12 months from the date of pre-approval, unless the Audit Committee specifically provides for a different period. The Audit Committee reviews on at least a quarterly basis the services provided to date by the firm and the fees incurred</w:t>
      </w:r>
    </w:p>
    <w:p>
      <w:pPr>
        <w:spacing w:after="0" w:line="221" w:lineRule="exact"/>
        <w:rPr>
          <w:sz w:val="20"/>
          <w:szCs w:val="20"/>
          <w:color w:val="auto"/>
        </w:rPr>
      </w:pPr>
    </w:p>
    <w:p>
      <w:pPr>
        <w:spacing w:after="0"/>
        <w:tabs>
          <w:tab w:leader="none" w:pos="95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2"/>
          <w:szCs w:val="12"/>
          <w:b w:val="1"/>
          <w:bCs w:val="1"/>
          <w:color w:val="808285"/>
        </w:rPr>
        <w:t>2013 PROXY STATEMENT •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40" w:name="page41"/>
    <w:bookmarkEnd w:id="40"/>
    <w:p>
      <w:pPr>
        <w:ind w:right="900"/>
        <w:spacing w:after="0" w:line="245" w:lineRule="auto"/>
        <w:rPr>
          <w:sz w:val="20"/>
          <w:szCs w:val="20"/>
          <w:color w:val="auto"/>
        </w:rPr>
      </w:pPr>
      <w:r>
        <w:rPr>
          <w:rFonts w:ascii="Arial" w:cs="Arial" w:eastAsia="Arial" w:hAnsi="Arial"/>
          <w:sz w:val="17"/>
          <w:szCs w:val="17"/>
          <w:color w:val="auto"/>
        </w:rPr>
        <w:t>for those services. The Audit Committee may revise the list of pre-approved services and related fees from time to time, based on subsequent determinations.</w:t>
      </w:r>
    </w:p>
    <w:p>
      <w:pPr>
        <w:spacing w:after="0" w:line="14" w:lineRule="exact"/>
        <w:rPr>
          <w:sz w:val="20"/>
          <w:szCs w:val="20"/>
          <w:color w:val="auto"/>
        </w:rPr>
      </w:pPr>
    </w:p>
    <w:p>
      <w:pPr>
        <w:ind w:right="260" w:firstLine="258"/>
        <w:spacing w:after="0" w:line="245" w:lineRule="auto"/>
        <w:rPr>
          <w:sz w:val="20"/>
          <w:szCs w:val="20"/>
          <w:color w:val="auto"/>
        </w:rPr>
      </w:pPr>
      <w:r>
        <w:rPr>
          <w:rFonts w:ascii="Arial" w:cs="Arial" w:eastAsia="Arial" w:hAnsi="Arial"/>
          <w:sz w:val="17"/>
          <w:szCs w:val="17"/>
          <w:color w:val="auto"/>
        </w:rPr>
        <w:t>In order to respond to time-sensitive requests for services that may arise between regularly scheduled meetings of the Audit Committee, the Committee has delegated pre-approval authority to its Chair (the Audit Committee does not delegate to management its responsibilities to pre-approve services). The Chair reports pre-approval decisions to the Audit Committee and seeks ratification of such decisions at the Audit Committee’s next scheduled meeting.</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Audit Committee or its Chair pre-approved all services provided by Ernst &amp; Young during 2012.</w:t>
      </w:r>
    </w:p>
    <w:p>
      <w:pPr>
        <w:spacing w:after="0" w:line="224" w:lineRule="exact"/>
        <w:rPr>
          <w:sz w:val="20"/>
          <w:szCs w:val="20"/>
          <w:color w:val="auto"/>
        </w:rPr>
      </w:pPr>
    </w:p>
    <w:p>
      <w:pPr>
        <w:ind w:right="620" w:firstLine="258"/>
        <w:spacing w:after="0" w:line="286" w:lineRule="auto"/>
        <w:rPr>
          <w:sz w:val="20"/>
          <w:szCs w:val="20"/>
          <w:color w:val="auto"/>
        </w:rPr>
      </w:pPr>
      <w:r>
        <w:rPr>
          <w:rFonts w:ascii="Arial" w:cs="Arial" w:eastAsia="Arial" w:hAnsi="Arial"/>
          <w:sz w:val="17"/>
          <w:szCs w:val="17"/>
          <w:b w:val="1"/>
          <w:bCs w:val="1"/>
          <w:color w:val="auto"/>
        </w:rPr>
        <w:t>The board of directors recommends a vote FOR ratification of the appointment of Ernst &amp; Young LLP as the company’s independent registered public accounting firm for 2013.</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securities</w:t>
      </w:r>
    </w:p>
    <w:p>
      <w:pPr>
        <w:spacing w:after="0" w:line="225" w:lineRule="exact"/>
        <w:rPr>
          <w:sz w:val="20"/>
          <w:szCs w:val="20"/>
          <w:color w:val="auto"/>
        </w:rPr>
      </w:pPr>
    </w:p>
    <w:p>
      <w:pPr>
        <w:ind w:right="380"/>
        <w:spacing w:after="0" w:line="241" w:lineRule="auto"/>
        <w:rPr>
          <w:sz w:val="20"/>
          <w:szCs w:val="20"/>
          <w:color w:val="auto"/>
        </w:rPr>
      </w:pPr>
      <w:r>
        <w:rPr>
          <w:rFonts w:ascii="Arial" w:cs="Arial" w:eastAsia="Arial" w:hAnsi="Arial"/>
          <w:sz w:val="17"/>
          <w:szCs w:val="17"/>
          <w:color w:val="auto"/>
        </w:rPr>
        <w:t>As of February 19, 2013, 1,106,586,604 shares of TI common stock were outstanding. This is the only class of capital stock entitled to vote at the meeting. Each holder of common stock has one vote for each share held. As stated in the notice of annual meeting, holders of record of the common stock at the close of business on February 19, 2013, may vote at the meeting or any adjournment of the meeting.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225" w:lineRule="exact"/>
        <w:rPr>
          <w:sz w:val="20"/>
          <w:szCs w:val="20"/>
          <w:color w:val="auto"/>
        </w:rPr>
      </w:pPr>
    </w:p>
    <w:p>
      <w:pPr>
        <w:ind w:right="640"/>
        <w:spacing w:after="0" w:line="241" w:lineRule="auto"/>
        <w:rPr>
          <w:sz w:val="20"/>
          <w:szCs w:val="20"/>
          <w:color w:val="auto"/>
        </w:rPr>
      </w:pPr>
      <w:r>
        <w:rPr>
          <w:rFonts w:ascii="Arial" w:cs="Arial" w:eastAsia="Arial" w:hAnsi="Arial"/>
          <w:sz w:val="17"/>
          <w:szCs w:val="17"/>
          <w:color w:val="auto"/>
        </w:rPr>
        <w:t>The following table shows the only persons who have reported beneficial ownership of more than 5 percent of the common stock of the company. Persons generally “beneficially own” shares if they have the right to either vote those shares or dispose of them. More than one person may be considered to beneficially own the same shares.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80" w:type="dxa"/>
            <w:vAlign w:val="bottom"/>
          </w:tcPr>
          <w:p>
            <w:pPr>
              <w:spacing w:after="0"/>
              <w:rPr>
                <w:sz w:val="14"/>
                <w:szCs w:val="14"/>
                <w:color w:val="auto"/>
              </w:rPr>
            </w:pPr>
          </w:p>
        </w:tc>
        <w:tc>
          <w:tcPr>
            <w:tcW w:w="1340" w:type="dxa"/>
            <w:vAlign w:val="bottom"/>
            <w:gridSpan w:val="2"/>
          </w:tcPr>
          <w:p>
            <w:pPr>
              <w:jc w:val="right"/>
              <w:ind w:right="136"/>
              <w:spacing w:after="0"/>
              <w:rPr>
                <w:sz w:val="20"/>
                <w:szCs w:val="20"/>
                <w:color w:val="auto"/>
              </w:rPr>
            </w:pPr>
            <w:r>
              <w:rPr>
                <w:rFonts w:ascii="Arial" w:cs="Arial" w:eastAsia="Arial" w:hAnsi="Arial"/>
                <w:sz w:val="13"/>
                <w:szCs w:val="13"/>
                <w:b w:val="1"/>
                <w:bCs w:val="1"/>
                <w:color w:val="auto"/>
              </w:rPr>
              <w:t>Shares Owned at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Percent</w:t>
            </w:r>
          </w:p>
        </w:tc>
      </w:tr>
      <w:tr>
        <w:trPr>
          <w:trHeight w:val="233"/>
        </w:trPr>
        <w:tc>
          <w:tcPr>
            <w:tcW w:w="9380" w:type="dxa"/>
            <w:vAlign w:val="bottom"/>
          </w:tcPr>
          <w:p>
            <w:pPr>
              <w:spacing w:after="0"/>
              <w:rPr>
                <w:sz w:val="20"/>
                <w:szCs w:val="20"/>
                <w:color w:val="auto"/>
              </w:rPr>
            </w:pPr>
            <w:r>
              <w:rPr>
                <w:rFonts w:ascii="Arial" w:cs="Arial" w:eastAsia="Arial" w:hAnsi="Arial"/>
                <w:sz w:val="13"/>
                <w:szCs w:val="13"/>
                <w:b w:val="1"/>
                <w:bCs w:val="1"/>
                <w:color w:val="auto"/>
              </w:rPr>
              <w:t>Name and Address</w:t>
            </w:r>
          </w:p>
        </w:tc>
        <w:tc>
          <w:tcPr>
            <w:tcW w:w="134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w w:val="99"/>
              </w:rPr>
              <w:t>December 31, 2012</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of Class</w:t>
            </w:r>
          </w:p>
        </w:tc>
      </w:tr>
      <w:tr>
        <w:trPr>
          <w:trHeight w:val="45"/>
        </w:trPr>
        <w:tc>
          <w:tcPr>
            <w:tcW w:w="9380" w:type="dxa"/>
            <w:vAlign w:val="bottom"/>
            <w:tcBorders>
              <w:bottom w:val="single" w:sz="8" w:color="808285"/>
            </w:tcBorders>
          </w:tcPr>
          <w:p>
            <w:pPr>
              <w:spacing w:after="0"/>
              <w:rPr>
                <w:sz w:val="3"/>
                <w:szCs w:val="3"/>
                <w:color w:val="auto"/>
              </w:rPr>
            </w:pPr>
          </w:p>
        </w:tc>
        <w:tc>
          <w:tcPr>
            <w:tcW w:w="940" w:type="dxa"/>
            <w:vAlign w:val="bottom"/>
            <w:tcBorders>
              <w:bottom w:val="single" w:sz="8" w:color="808285"/>
            </w:tcBorders>
          </w:tcPr>
          <w:p>
            <w:pPr>
              <w:spacing w:after="0"/>
              <w:rPr>
                <w:sz w:val="3"/>
                <w:szCs w:val="3"/>
                <w:color w:val="auto"/>
              </w:rPr>
            </w:pPr>
          </w:p>
        </w:tc>
        <w:tc>
          <w:tcPr>
            <w:tcW w:w="400" w:type="dxa"/>
            <w:vAlign w:val="bottom"/>
            <w:tcBorders>
              <w:bottom w:val="single" w:sz="8" w:color="808285"/>
            </w:tcBorders>
          </w:tcPr>
          <w:p>
            <w:pPr>
              <w:spacing w:after="0"/>
              <w:rPr>
                <w:sz w:val="3"/>
                <w:szCs w:val="3"/>
                <w:color w:val="auto"/>
              </w:rPr>
            </w:pPr>
          </w:p>
        </w:tc>
        <w:tc>
          <w:tcPr>
            <w:tcW w:w="700" w:type="dxa"/>
            <w:vAlign w:val="bottom"/>
            <w:tcBorders>
              <w:bottom w:val="single" w:sz="8" w:color="808285"/>
            </w:tcBorders>
          </w:tcPr>
          <w:p>
            <w:pPr>
              <w:spacing w:after="0"/>
              <w:rPr>
                <w:sz w:val="3"/>
                <w:szCs w:val="3"/>
                <w:color w:val="auto"/>
              </w:rPr>
            </w:pPr>
          </w:p>
        </w:tc>
      </w:tr>
      <w:tr>
        <w:trPr>
          <w:trHeight w:val="218"/>
        </w:trPr>
        <w:tc>
          <w:tcPr>
            <w:tcW w:w="9380" w:type="dxa"/>
            <w:vAlign w:val="bottom"/>
            <w:shd w:val="clear" w:color="auto" w:fill="E9E9E9"/>
          </w:tcPr>
          <w:p>
            <w:pPr>
              <w:spacing w:after="0"/>
              <w:rPr>
                <w:sz w:val="20"/>
                <w:szCs w:val="20"/>
                <w:color w:val="auto"/>
              </w:rPr>
            </w:pPr>
            <w:r>
              <w:rPr>
                <w:rFonts w:ascii="Arial" w:cs="Arial" w:eastAsia="Arial" w:hAnsi="Arial"/>
                <w:sz w:val="17"/>
                <w:szCs w:val="17"/>
                <w:color w:val="auto"/>
              </w:rPr>
              <w:t>Capital World Investors (1)</w:t>
            </w:r>
          </w:p>
        </w:tc>
        <w:tc>
          <w:tcPr>
            <w:tcW w:w="940" w:type="dxa"/>
            <w:vAlign w:val="bottom"/>
            <w:shd w:val="clear" w:color="auto" w:fill="E9E9E9"/>
          </w:tcPr>
          <w:p>
            <w:pPr>
              <w:spacing w:after="0"/>
              <w:rPr>
                <w:sz w:val="18"/>
                <w:szCs w:val="18"/>
                <w:color w:val="auto"/>
              </w:rPr>
            </w:pPr>
          </w:p>
        </w:tc>
        <w:tc>
          <w:tcPr>
            <w:tcW w:w="400" w:type="dxa"/>
            <w:vAlign w:val="bottom"/>
            <w:shd w:val="clear" w:color="auto" w:fill="E9E9E9"/>
          </w:tcPr>
          <w:p>
            <w:pPr>
              <w:spacing w:after="0"/>
              <w:rPr>
                <w:sz w:val="18"/>
                <w:szCs w:val="18"/>
                <w:color w:val="auto"/>
              </w:rPr>
            </w:pPr>
          </w:p>
        </w:tc>
        <w:tc>
          <w:tcPr>
            <w:tcW w:w="700" w:type="dxa"/>
            <w:vAlign w:val="bottom"/>
            <w:shd w:val="clear" w:color="auto" w:fill="E9E9E9"/>
          </w:tcPr>
          <w:p>
            <w:pPr>
              <w:spacing w:after="0"/>
              <w:rPr>
                <w:sz w:val="18"/>
                <w:szCs w:val="18"/>
                <w:color w:val="auto"/>
              </w:rPr>
            </w:pPr>
          </w:p>
        </w:tc>
      </w:tr>
      <w:tr>
        <w:trPr>
          <w:trHeight w:val="233"/>
        </w:trPr>
        <w:tc>
          <w:tcPr>
            <w:tcW w:w="9380" w:type="dxa"/>
            <w:vAlign w:val="bottom"/>
            <w:shd w:val="clear" w:color="auto" w:fill="E9E9E9"/>
          </w:tcPr>
          <w:p>
            <w:pPr>
              <w:spacing w:after="0"/>
              <w:rPr>
                <w:sz w:val="20"/>
                <w:szCs w:val="20"/>
                <w:color w:val="auto"/>
              </w:rPr>
            </w:pPr>
            <w:r>
              <w:rPr>
                <w:rFonts w:ascii="Arial" w:cs="Arial" w:eastAsia="Arial" w:hAnsi="Arial"/>
                <w:sz w:val="17"/>
                <w:szCs w:val="17"/>
                <w:color w:val="auto"/>
              </w:rPr>
              <w:t>333 South Hope Street</w:t>
            </w:r>
          </w:p>
        </w:tc>
        <w:tc>
          <w:tcPr>
            <w:tcW w:w="940" w:type="dxa"/>
            <w:vAlign w:val="bottom"/>
            <w:shd w:val="clear" w:color="auto" w:fill="E9E9E9"/>
          </w:tcPr>
          <w:p>
            <w:pPr>
              <w:spacing w:after="0"/>
              <w:rPr>
                <w:sz w:val="20"/>
                <w:szCs w:val="20"/>
                <w:color w:val="auto"/>
              </w:rPr>
            </w:pPr>
          </w:p>
        </w:tc>
        <w:tc>
          <w:tcPr>
            <w:tcW w:w="400" w:type="dxa"/>
            <w:vAlign w:val="bottom"/>
            <w:shd w:val="clear" w:color="auto" w:fill="E9E9E9"/>
          </w:tcPr>
          <w:p>
            <w:pPr>
              <w:spacing w:after="0"/>
              <w:rPr>
                <w:sz w:val="20"/>
                <w:szCs w:val="20"/>
                <w:color w:val="auto"/>
              </w:rPr>
            </w:pPr>
          </w:p>
        </w:tc>
        <w:tc>
          <w:tcPr>
            <w:tcW w:w="700" w:type="dxa"/>
            <w:vAlign w:val="bottom"/>
            <w:shd w:val="clear" w:color="auto" w:fill="E9E9E9"/>
          </w:tcPr>
          <w:p>
            <w:pPr>
              <w:spacing w:after="0"/>
              <w:rPr>
                <w:sz w:val="20"/>
                <w:szCs w:val="20"/>
                <w:color w:val="auto"/>
              </w:rPr>
            </w:pPr>
          </w:p>
        </w:tc>
      </w:tr>
      <w:tr>
        <w:trPr>
          <w:trHeight w:val="247"/>
        </w:trPr>
        <w:tc>
          <w:tcPr>
            <w:tcW w:w="9380" w:type="dxa"/>
            <w:vAlign w:val="bottom"/>
            <w:shd w:val="clear" w:color="auto" w:fill="E9E9E9"/>
          </w:tcPr>
          <w:p>
            <w:pPr>
              <w:spacing w:after="0"/>
              <w:rPr>
                <w:sz w:val="20"/>
                <w:szCs w:val="20"/>
                <w:color w:val="auto"/>
              </w:rPr>
            </w:pPr>
            <w:r>
              <w:rPr>
                <w:rFonts w:ascii="Arial" w:cs="Arial" w:eastAsia="Arial" w:hAnsi="Arial"/>
                <w:sz w:val="17"/>
                <w:szCs w:val="17"/>
                <w:color w:val="auto"/>
              </w:rPr>
              <w:t>Los Angeles, CA 90071</w:t>
            </w:r>
          </w:p>
        </w:tc>
        <w:tc>
          <w:tcPr>
            <w:tcW w:w="94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116,618,462</w:t>
            </w:r>
          </w:p>
        </w:tc>
        <w:tc>
          <w:tcPr>
            <w:tcW w:w="400" w:type="dxa"/>
            <w:vAlign w:val="bottom"/>
            <w:shd w:val="clear" w:color="auto" w:fill="E9E9E9"/>
          </w:tcPr>
          <w:p>
            <w:pPr>
              <w:jc w:val="right"/>
              <w:ind w:right="56"/>
              <w:spacing w:after="0"/>
              <w:rPr>
                <w:sz w:val="20"/>
                <w:szCs w:val="20"/>
                <w:color w:val="auto"/>
              </w:rPr>
            </w:pPr>
            <w:r>
              <w:rPr>
                <w:rFonts w:ascii="Arial" w:cs="Arial" w:eastAsia="Arial" w:hAnsi="Arial"/>
                <w:sz w:val="17"/>
                <w:szCs w:val="17"/>
                <w:color w:val="auto"/>
              </w:rPr>
              <w:t>(2)</w:t>
            </w:r>
          </w:p>
        </w:tc>
        <w:tc>
          <w:tcPr>
            <w:tcW w:w="7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10.40%</w:t>
            </w:r>
          </w:p>
        </w:tc>
      </w:tr>
      <w:tr>
        <w:trPr>
          <w:trHeight w:val="233"/>
        </w:trPr>
        <w:tc>
          <w:tcPr>
            <w:tcW w:w="9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18"/>
        </w:trPr>
        <w:tc>
          <w:tcPr>
            <w:tcW w:w="9380" w:type="dxa"/>
            <w:vAlign w:val="bottom"/>
            <w:shd w:val="clear" w:color="auto" w:fill="E9E9E9"/>
          </w:tcPr>
          <w:p>
            <w:pPr>
              <w:spacing w:after="0"/>
              <w:rPr>
                <w:sz w:val="20"/>
                <w:szCs w:val="20"/>
                <w:color w:val="auto"/>
              </w:rPr>
            </w:pPr>
            <w:r>
              <w:rPr>
                <w:rFonts w:ascii="Arial" w:cs="Arial" w:eastAsia="Arial" w:hAnsi="Arial"/>
                <w:sz w:val="17"/>
                <w:szCs w:val="17"/>
                <w:color w:val="auto"/>
              </w:rPr>
              <w:t>Capital Research Global Investors (1)</w:t>
            </w:r>
          </w:p>
        </w:tc>
        <w:tc>
          <w:tcPr>
            <w:tcW w:w="940" w:type="dxa"/>
            <w:vAlign w:val="bottom"/>
            <w:shd w:val="clear" w:color="auto" w:fill="E9E9E9"/>
          </w:tcPr>
          <w:p>
            <w:pPr>
              <w:spacing w:after="0"/>
              <w:rPr>
                <w:sz w:val="18"/>
                <w:szCs w:val="18"/>
                <w:color w:val="auto"/>
              </w:rPr>
            </w:pPr>
          </w:p>
        </w:tc>
        <w:tc>
          <w:tcPr>
            <w:tcW w:w="400" w:type="dxa"/>
            <w:vAlign w:val="bottom"/>
            <w:shd w:val="clear" w:color="auto" w:fill="E9E9E9"/>
          </w:tcPr>
          <w:p>
            <w:pPr>
              <w:spacing w:after="0"/>
              <w:rPr>
                <w:sz w:val="18"/>
                <w:szCs w:val="18"/>
                <w:color w:val="auto"/>
              </w:rPr>
            </w:pPr>
          </w:p>
        </w:tc>
        <w:tc>
          <w:tcPr>
            <w:tcW w:w="700" w:type="dxa"/>
            <w:vAlign w:val="bottom"/>
            <w:shd w:val="clear" w:color="auto" w:fill="E9E9E9"/>
          </w:tcPr>
          <w:p>
            <w:pPr>
              <w:spacing w:after="0"/>
              <w:rPr>
                <w:sz w:val="18"/>
                <w:szCs w:val="18"/>
                <w:color w:val="auto"/>
              </w:rPr>
            </w:pPr>
          </w:p>
        </w:tc>
      </w:tr>
      <w:tr>
        <w:trPr>
          <w:trHeight w:val="233"/>
        </w:trPr>
        <w:tc>
          <w:tcPr>
            <w:tcW w:w="9380" w:type="dxa"/>
            <w:vAlign w:val="bottom"/>
            <w:shd w:val="clear" w:color="auto" w:fill="E9E9E9"/>
          </w:tcPr>
          <w:p>
            <w:pPr>
              <w:spacing w:after="0"/>
              <w:rPr>
                <w:sz w:val="20"/>
                <w:szCs w:val="20"/>
                <w:color w:val="auto"/>
              </w:rPr>
            </w:pPr>
            <w:r>
              <w:rPr>
                <w:rFonts w:ascii="Arial" w:cs="Arial" w:eastAsia="Arial" w:hAnsi="Arial"/>
                <w:sz w:val="17"/>
                <w:szCs w:val="17"/>
                <w:color w:val="auto"/>
              </w:rPr>
              <w:t>333 South Hope Street</w:t>
            </w:r>
          </w:p>
        </w:tc>
        <w:tc>
          <w:tcPr>
            <w:tcW w:w="940" w:type="dxa"/>
            <w:vAlign w:val="bottom"/>
            <w:shd w:val="clear" w:color="auto" w:fill="E9E9E9"/>
          </w:tcPr>
          <w:p>
            <w:pPr>
              <w:spacing w:after="0"/>
              <w:rPr>
                <w:sz w:val="20"/>
                <w:szCs w:val="20"/>
                <w:color w:val="auto"/>
              </w:rPr>
            </w:pPr>
          </w:p>
        </w:tc>
        <w:tc>
          <w:tcPr>
            <w:tcW w:w="400" w:type="dxa"/>
            <w:vAlign w:val="bottom"/>
            <w:shd w:val="clear" w:color="auto" w:fill="E9E9E9"/>
          </w:tcPr>
          <w:p>
            <w:pPr>
              <w:spacing w:after="0"/>
              <w:rPr>
                <w:sz w:val="20"/>
                <w:szCs w:val="20"/>
                <w:color w:val="auto"/>
              </w:rPr>
            </w:pPr>
          </w:p>
        </w:tc>
        <w:tc>
          <w:tcPr>
            <w:tcW w:w="700" w:type="dxa"/>
            <w:vAlign w:val="bottom"/>
            <w:shd w:val="clear" w:color="auto" w:fill="E9E9E9"/>
          </w:tcPr>
          <w:p>
            <w:pPr>
              <w:spacing w:after="0"/>
              <w:rPr>
                <w:sz w:val="20"/>
                <w:szCs w:val="20"/>
                <w:color w:val="auto"/>
              </w:rPr>
            </w:pPr>
          </w:p>
        </w:tc>
      </w:tr>
      <w:tr>
        <w:trPr>
          <w:trHeight w:val="247"/>
        </w:trPr>
        <w:tc>
          <w:tcPr>
            <w:tcW w:w="9380" w:type="dxa"/>
            <w:vAlign w:val="bottom"/>
            <w:shd w:val="clear" w:color="auto" w:fill="E9E9E9"/>
          </w:tcPr>
          <w:p>
            <w:pPr>
              <w:spacing w:after="0"/>
              <w:rPr>
                <w:sz w:val="20"/>
                <w:szCs w:val="20"/>
                <w:color w:val="auto"/>
              </w:rPr>
            </w:pPr>
            <w:r>
              <w:rPr>
                <w:rFonts w:ascii="Arial" w:cs="Arial" w:eastAsia="Arial" w:hAnsi="Arial"/>
                <w:sz w:val="17"/>
                <w:szCs w:val="17"/>
                <w:color w:val="auto"/>
              </w:rPr>
              <w:t>Los Angeles, CA 90071</w:t>
            </w:r>
          </w:p>
        </w:tc>
        <w:tc>
          <w:tcPr>
            <w:tcW w:w="9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67,962,000</w:t>
            </w:r>
          </w:p>
        </w:tc>
        <w:tc>
          <w:tcPr>
            <w:tcW w:w="400" w:type="dxa"/>
            <w:vAlign w:val="bottom"/>
            <w:shd w:val="clear" w:color="auto" w:fill="E9E9E9"/>
          </w:tcPr>
          <w:p>
            <w:pPr>
              <w:jc w:val="right"/>
              <w:ind w:right="56"/>
              <w:spacing w:after="0"/>
              <w:rPr>
                <w:sz w:val="20"/>
                <w:szCs w:val="20"/>
                <w:color w:val="auto"/>
              </w:rPr>
            </w:pPr>
            <w:r>
              <w:rPr>
                <w:rFonts w:ascii="Arial" w:cs="Arial" w:eastAsia="Arial" w:hAnsi="Arial"/>
                <w:sz w:val="17"/>
                <w:szCs w:val="17"/>
                <w:color w:val="auto"/>
              </w:rPr>
              <w:t>(3)</w:t>
            </w:r>
          </w:p>
        </w:tc>
        <w:tc>
          <w:tcPr>
            <w:tcW w:w="7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6.10%</w:t>
            </w:r>
          </w:p>
        </w:tc>
      </w:tr>
      <w:tr>
        <w:trPr>
          <w:trHeight w:val="233"/>
        </w:trPr>
        <w:tc>
          <w:tcPr>
            <w:tcW w:w="9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18"/>
        </w:trPr>
        <w:tc>
          <w:tcPr>
            <w:tcW w:w="9380" w:type="dxa"/>
            <w:vAlign w:val="bottom"/>
            <w:shd w:val="clear" w:color="auto" w:fill="E9E9E9"/>
          </w:tcPr>
          <w:p>
            <w:pPr>
              <w:spacing w:after="0"/>
              <w:rPr>
                <w:sz w:val="20"/>
                <w:szCs w:val="20"/>
                <w:color w:val="auto"/>
              </w:rPr>
            </w:pPr>
            <w:r>
              <w:rPr>
                <w:rFonts w:ascii="Arial" w:cs="Arial" w:eastAsia="Arial" w:hAnsi="Arial"/>
                <w:sz w:val="17"/>
                <w:szCs w:val="17"/>
                <w:color w:val="auto"/>
              </w:rPr>
              <w:t>BlackRock, Inc.</w:t>
            </w:r>
          </w:p>
        </w:tc>
        <w:tc>
          <w:tcPr>
            <w:tcW w:w="940" w:type="dxa"/>
            <w:vAlign w:val="bottom"/>
            <w:shd w:val="clear" w:color="auto" w:fill="E9E9E9"/>
          </w:tcPr>
          <w:p>
            <w:pPr>
              <w:spacing w:after="0"/>
              <w:rPr>
                <w:sz w:val="18"/>
                <w:szCs w:val="18"/>
                <w:color w:val="auto"/>
              </w:rPr>
            </w:pPr>
          </w:p>
        </w:tc>
        <w:tc>
          <w:tcPr>
            <w:tcW w:w="400" w:type="dxa"/>
            <w:vAlign w:val="bottom"/>
            <w:shd w:val="clear" w:color="auto" w:fill="E9E9E9"/>
          </w:tcPr>
          <w:p>
            <w:pPr>
              <w:spacing w:after="0"/>
              <w:rPr>
                <w:sz w:val="18"/>
                <w:szCs w:val="18"/>
                <w:color w:val="auto"/>
              </w:rPr>
            </w:pPr>
          </w:p>
        </w:tc>
        <w:tc>
          <w:tcPr>
            <w:tcW w:w="700" w:type="dxa"/>
            <w:vAlign w:val="bottom"/>
            <w:shd w:val="clear" w:color="auto" w:fill="E9E9E9"/>
          </w:tcPr>
          <w:p>
            <w:pPr>
              <w:spacing w:after="0"/>
              <w:rPr>
                <w:sz w:val="18"/>
                <w:szCs w:val="18"/>
                <w:color w:val="auto"/>
              </w:rPr>
            </w:pPr>
          </w:p>
        </w:tc>
      </w:tr>
      <w:tr>
        <w:trPr>
          <w:trHeight w:val="233"/>
        </w:trPr>
        <w:tc>
          <w:tcPr>
            <w:tcW w:w="9380" w:type="dxa"/>
            <w:vAlign w:val="bottom"/>
            <w:shd w:val="clear" w:color="auto" w:fill="E9E9E9"/>
          </w:tcPr>
          <w:p>
            <w:pPr>
              <w:spacing w:after="0"/>
              <w:rPr>
                <w:sz w:val="20"/>
                <w:szCs w:val="20"/>
                <w:color w:val="auto"/>
              </w:rPr>
            </w:pPr>
            <w:r>
              <w:rPr>
                <w:rFonts w:ascii="Arial" w:cs="Arial" w:eastAsia="Arial" w:hAnsi="Arial"/>
                <w:sz w:val="17"/>
                <w:szCs w:val="17"/>
                <w:color w:val="auto"/>
              </w:rPr>
              <w:t>40 East 52nd Street</w:t>
            </w:r>
          </w:p>
        </w:tc>
        <w:tc>
          <w:tcPr>
            <w:tcW w:w="940" w:type="dxa"/>
            <w:vAlign w:val="bottom"/>
            <w:shd w:val="clear" w:color="auto" w:fill="E9E9E9"/>
          </w:tcPr>
          <w:p>
            <w:pPr>
              <w:spacing w:after="0"/>
              <w:rPr>
                <w:sz w:val="20"/>
                <w:szCs w:val="20"/>
                <w:color w:val="auto"/>
              </w:rPr>
            </w:pPr>
          </w:p>
        </w:tc>
        <w:tc>
          <w:tcPr>
            <w:tcW w:w="400" w:type="dxa"/>
            <w:vAlign w:val="bottom"/>
            <w:shd w:val="clear" w:color="auto" w:fill="E9E9E9"/>
          </w:tcPr>
          <w:p>
            <w:pPr>
              <w:spacing w:after="0"/>
              <w:rPr>
                <w:sz w:val="20"/>
                <w:szCs w:val="20"/>
                <w:color w:val="auto"/>
              </w:rPr>
            </w:pPr>
          </w:p>
        </w:tc>
        <w:tc>
          <w:tcPr>
            <w:tcW w:w="700" w:type="dxa"/>
            <w:vAlign w:val="bottom"/>
            <w:shd w:val="clear" w:color="auto" w:fill="E9E9E9"/>
          </w:tcPr>
          <w:p>
            <w:pPr>
              <w:spacing w:after="0"/>
              <w:rPr>
                <w:sz w:val="20"/>
                <w:szCs w:val="20"/>
                <w:color w:val="auto"/>
              </w:rPr>
            </w:pPr>
          </w:p>
        </w:tc>
      </w:tr>
      <w:tr>
        <w:trPr>
          <w:trHeight w:val="247"/>
        </w:trPr>
        <w:tc>
          <w:tcPr>
            <w:tcW w:w="9380" w:type="dxa"/>
            <w:vAlign w:val="bottom"/>
            <w:shd w:val="clear" w:color="auto" w:fill="E9E9E9"/>
          </w:tcPr>
          <w:p>
            <w:pPr>
              <w:spacing w:after="0"/>
              <w:rPr>
                <w:sz w:val="20"/>
                <w:szCs w:val="20"/>
                <w:color w:val="auto"/>
              </w:rPr>
            </w:pPr>
            <w:r>
              <w:rPr>
                <w:rFonts w:ascii="Arial" w:cs="Arial" w:eastAsia="Arial" w:hAnsi="Arial"/>
                <w:sz w:val="17"/>
                <w:szCs w:val="17"/>
                <w:color w:val="auto"/>
              </w:rPr>
              <w:t>New York, NY 10022</w:t>
            </w:r>
          </w:p>
        </w:tc>
        <w:tc>
          <w:tcPr>
            <w:tcW w:w="9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61,637,232</w:t>
            </w:r>
          </w:p>
        </w:tc>
        <w:tc>
          <w:tcPr>
            <w:tcW w:w="400" w:type="dxa"/>
            <w:vAlign w:val="bottom"/>
            <w:shd w:val="clear" w:color="auto" w:fill="E9E9E9"/>
          </w:tcPr>
          <w:p>
            <w:pPr>
              <w:jc w:val="right"/>
              <w:ind w:right="56"/>
              <w:spacing w:after="0"/>
              <w:rPr>
                <w:sz w:val="20"/>
                <w:szCs w:val="20"/>
                <w:color w:val="auto"/>
              </w:rPr>
            </w:pPr>
            <w:r>
              <w:rPr>
                <w:rFonts w:ascii="Arial" w:cs="Arial" w:eastAsia="Arial" w:hAnsi="Arial"/>
                <w:sz w:val="17"/>
                <w:szCs w:val="17"/>
                <w:color w:val="auto"/>
              </w:rPr>
              <w:t>(4)</w:t>
            </w:r>
          </w:p>
        </w:tc>
        <w:tc>
          <w:tcPr>
            <w:tcW w:w="7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5.50%</w:t>
            </w:r>
          </w:p>
        </w:tc>
      </w:tr>
      <w:tr>
        <w:trPr>
          <w:trHeight w:val="233"/>
        </w:trPr>
        <w:tc>
          <w:tcPr>
            <w:tcW w:w="9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18"/>
        </w:trPr>
        <w:tc>
          <w:tcPr>
            <w:tcW w:w="9380" w:type="dxa"/>
            <w:vAlign w:val="bottom"/>
            <w:shd w:val="clear" w:color="auto" w:fill="E9E9E9"/>
          </w:tcPr>
          <w:p>
            <w:pPr>
              <w:spacing w:after="0"/>
              <w:rPr>
                <w:sz w:val="20"/>
                <w:szCs w:val="20"/>
                <w:color w:val="auto"/>
              </w:rPr>
            </w:pPr>
            <w:r>
              <w:rPr>
                <w:rFonts w:ascii="Arial" w:cs="Arial" w:eastAsia="Arial" w:hAnsi="Arial"/>
                <w:sz w:val="17"/>
                <w:szCs w:val="17"/>
                <w:color w:val="auto"/>
              </w:rPr>
              <w:t>PRIMECAP Management Company</w:t>
            </w:r>
          </w:p>
        </w:tc>
        <w:tc>
          <w:tcPr>
            <w:tcW w:w="940" w:type="dxa"/>
            <w:vAlign w:val="bottom"/>
            <w:shd w:val="clear" w:color="auto" w:fill="E9E9E9"/>
          </w:tcPr>
          <w:p>
            <w:pPr>
              <w:spacing w:after="0"/>
              <w:rPr>
                <w:sz w:val="18"/>
                <w:szCs w:val="18"/>
                <w:color w:val="auto"/>
              </w:rPr>
            </w:pPr>
          </w:p>
        </w:tc>
        <w:tc>
          <w:tcPr>
            <w:tcW w:w="400" w:type="dxa"/>
            <w:vAlign w:val="bottom"/>
            <w:shd w:val="clear" w:color="auto" w:fill="E9E9E9"/>
          </w:tcPr>
          <w:p>
            <w:pPr>
              <w:spacing w:after="0"/>
              <w:rPr>
                <w:sz w:val="18"/>
                <w:szCs w:val="18"/>
                <w:color w:val="auto"/>
              </w:rPr>
            </w:pPr>
          </w:p>
        </w:tc>
        <w:tc>
          <w:tcPr>
            <w:tcW w:w="700" w:type="dxa"/>
            <w:vAlign w:val="bottom"/>
            <w:shd w:val="clear" w:color="auto" w:fill="E9E9E9"/>
          </w:tcPr>
          <w:p>
            <w:pPr>
              <w:spacing w:after="0"/>
              <w:rPr>
                <w:sz w:val="18"/>
                <w:szCs w:val="18"/>
                <w:color w:val="auto"/>
              </w:rPr>
            </w:pPr>
          </w:p>
        </w:tc>
      </w:tr>
      <w:tr>
        <w:trPr>
          <w:trHeight w:val="233"/>
        </w:trPr>
        <w:tc>
          <w:tcPr>
            <w:tcW w:w="9380" w:type="dxa"/>
            <w:vAlign w:val="bottom"/>
            <w:shd w:val="clear" w:color="auto" w:fill="E9E9E9"/>
          </w:tcPr>
          <w:p>
            <w:pPr>
              <w:spacing w:after="0"/>
              <w:rPr>
                <w:sz w:val="20"/>
                <w:szCs w:val="20"/>
                <w:color w:val="auto"/>
              </w:rPr>
            </w:pPr>
            <w:r>
              <w:rPr>
                <w:rFonts w:ascii="Arial" w:cs="Arial" w:eastAsia="Arial" w:hAnsi="Arial"/>
                <w:sz w:val="17"/>
                <w:szCs w:val="17"/>
                <w:color w:val="auto"/>
              </w:rPr>
              <w:t>225 South Lake Ave., # 400</w:t>
            </w:r>
          </w:p>
        </w:tc>
        <w:tc>
          <w:tcPr>
            <w:tcW w:w="940" w:type="dxa"/>
            <w:vAlign w:val="bottom"/>
            <w:shd w:val="clear" w:color="auto" w:fill="E9E9E9"/>
          </w:tcPr>
          <w:p>
            <w:pPr>
              <w:spacing w:after="0"/>
              <w:rPr>
                <w:sz w:val="20"/>
                <w:szCs w:val="20"/>
                <w:color w:val="auto"/>
              </w:rPr>
            </w:pPr>
          </w:p>
        </w:tc>
        <w:tc>
          <w:tcPr>
            <w:tcW w:w="400" w:type="dxa"/>
            <w:vAlign w:val="bottom"/>
            <w:shd w:val="clear" w:color="auto" w:fill="E9E9E9"/>
          </w:tcPr>
          <w:p>
            <w:pPr>
              <w:spacing w:after="0"/>
              <w:rPr>
                <w:sz w:val="20"/>
                <w:szCs w:val="20"/>
                <w:color w:val="auto"/>
              </w:rPr>
            </w:pPr>
          </w:p>
        </w:tc>
        <w:tc>
          <w:tcPr>
            <w:tcW w:w="700" w:type="dxa"/>
            <w:vAlign w:val="bottom"/>
            <w:shd w:val="clear" w:color="auto" w:fill="E9E9E9"/>
          </w:tcPr>
          <w:p>
            <w:pPr>
              <w:spacing w:after="0"/>
              <w:rPr>
                <w:sz w:val="20"/>
                <w:szCs w:val="20"/>
                <w:color w:val="auto"/>
              </w:rPr>
            </w:pPr>
          </w:p>
        </w:tc>
      </w:tr>
      <w:tr>
        <w:trPr>
          <w:trHeight w:val="247"/>
        </w:trPr>
        <w:tc>
          <w:tcPr>
            <w:tcW w:w="9380" w:type="dxa"/>
            <w:vAlign w:val="bottom"/>
            <w:shd w:val="clear" w:color="auto" w:fill="E9E9E9"/>
          </w:tcPr>
          <w:p>
            <w:pPr>
              <w:spacing w:after="0"/>
              <w:rPr>
                <w:sz w:val="20"/>
                <w:szCs w:val="20"/>
                <w:color w:val="auto"/>
              </w:rPr>
            </w:pPr>
            <w:r>
              <w:rPr>
                <w:rFonts w:ascii="Arial" w:cs="Arial" w:eastAsia="Arial" w:hAnsi="Arial"/>
                <w:sz w:val="17"/>
                <w:szCs w:val="17"/>
                <w:color w:val="auto"/>
              </w:rPr>
              <w:t>Pasadena, CA 91101</w:t>
            </w:r>
          </w:p>
        </w:tc>
        <w:tc>
          <w:tcPr>
            <w:tcW w:w="9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57,763,753</w:t>
            </w:r>
          </w:p>
        </w:tc>
        <w:tc>
          <w:tcPr>
            <w:tcW w:w="400" w:type="dxa"/>
            <w:vAlign w:val="bottom"/>
            <w:shd w:val="clear" w:color="auto" w:fill="E9E9E9"/>
          </w:tcPr>
          <w:p>
            <w:pPr>
              <w:jc w:val="right"/>
              <w:ind w:right="56"/>
              <w:spacing w:after="0"/>
              <w:rPr>
                <w:sz w:val="20"/>
                <w:szCs w:val="20"/>
                <w:color w:val="auto"/>
              </w:rPr>
            </w:pPr>
            <w:r>
              <w:rPr>
                <w:rFonts w:ascii="Arial" w:cs="Arial" w:eastAsia="Arial" w:hAnsi="Arial"/>
                <w:sz w:val="17"/>
                <w:szCs w:val="17"/>
                <w:color w:val="auto"/>
              </w:rPr>
              <w:t>(5)</w:t>
            </w:r>
          </w:p>
        </w:tc>
        <w:tc>
          <w:tcPr>
            <w:tcW w:w="7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5.15%</w:t>
            </w:r>
          </w:p>
        </w:tc>
      </w:tr>
    </w:tbl>
    <w:p>
      <w:pPr>
        <w:spacing w:after="0" w:line="236" w:lineRule="exact"/>
        <w:rPr>
          <w:sz w:val="20"/>
          <w:szCs w:val="20"/>
          <w:color w:val="auto"/>
        </w:rPr>
      </w:pPr>
    </w:p>
    <w:p>
      <w:pPr>
        <w:ind w:left="420" w:hanging="417"/>
        <w:spacing w:after="0"/>
        <w:tabs>
          <w:tab w:leader="none" w:pos="4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division of Capital Research and Management Company (CRMC).</w:t>
      </w:r>
    </w:p>
    <w:p>
      <w:pPr>
        <w:spacing w:after="0" w:line="230" w:lineRule="exact"/>
        <w:rPr>
          <w:rFonts w:ascii="Arial" w:cs="Arial" w:eastAsia="Arial" w:hAnsi="Arial"/>
          <w:sz w:val="17"/>
          <w:szCs w:val="17"/>
          <w:color w:val="auto"/>
        </w:rPr>
      </w:pPr>
    </w:p>
    <w:p>
      <w:pPr>
        <w:ind w:left="420" w:right="100" w:hanging="417"/>
        <w:spacing w:after="0" w:line="241" w:lineRule="auto"/>
        <w:tabs>
          <w:tab w:leader="none" w:pos="4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TI understands that Capital World Investors is deemed to be the beneficial owner of these shares as a result of CRMC acting as an investment advisor to various investment companies. Capital World Investors has sole voting power for 97,165,962 and sole dispositive power for 116,618,462 of these shares.</w:t>
      </w:r>
    </w:p>
    <w:p>
      <w:pPr>
        <w:spacing w:after="0" w:line="225" w:lineRule="exact"/>
        <w:rPr>
          <w:rFonts w:ascii="Arial" w:cs="Arial" w:eastAsia="Arial" w:hAnsi="Arial"/>
          <w:sz w:val="17"/>
          <w:szCs w:val="17"/>
          <w:color w:val="auto"/>
        </w:rPr>
      </w:pPr>
    </w:p>
    <w:p>
      <w:pPr>
        <w:ind w:left="420" w:right="80" w:hanging="417"/>
        <w:spacing w:after="0" w:line="241" w:lineRule="auto"/>
        <w:tabs>
          <w:tab w:leader="none" w:pos="4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TI understands that Capital Research Global Investors is deemed to be the beneficial owner of these shares as a result of CRMC acting as an investment advisor to various investment companies. Capital Research Global Investors has sole dispositive power and sole voting power for these shares.</w:t>
      </w:r>
    </w:p>
    <w:p>
      <w:pPr>
        <w:spacing w:after="0" w:line="225" w:lineRule="exact"/>
        <w:rPr>
          <w:rFonts w:ascii="Arial" w:cs="Arial" w:eastAsia="Arial" w:hAnsi="Arial"/>
          <w:sz w:val="17"/>
          <w:szCs w:val="17"/>
          <w:color w:val="auto"/>
        </w:rPr>
      </w:pPr>
    </w:p>
    <w:p>
      <w:pPr>
        <w:ind w:left="420" w:hanging="417"/>
        <w:spacing w:after="0"/>
        <w:tabs>
          <w:tab w:leader="none" w:pos="4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TI understands that BlackRock, Inc. has sole dispositive power and sole voting power for these shares.</w:t>
      </w:r>
    </w:p>
    <w:p>
      <w:pPr>
        <w:spacing w:after="0" w:line="230" w:lineRule="exact"/>
        <w:rPr>
          <w:rFonts w:ascii="Arial" w:cs="Arial" w:eastAsia="Arial" w:hAnsi="Arial"/>
          <w:sz w:val="17"/>
          <w:szCs w:val="17"/>
          <w:color w:val="auto"/>
        </w:rPr>
      </w:pPr>
    </w:p>
    <w:p>
      <w:pPr>
        <w:ind w:left="420" w:right="240" w:hanging="417"/>
        <w:spacing w:after="0" w:line="245" w:lineRule="auto"/>
        <w:tabs>
          <w:tab w:leader="none" w:pos="4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TI understands that PRIMECAP Management Company has sole voting power for 14,737,028 and sole dispositive power for 57,763,753 of these shares.</w:t>
      </w:r>
    </w:p>
    <w:p>
      <w:pPr>
        <w:spacing w:after="0" w:line="240" w:lineRule="exact"/>
        <w:rPr>
          <w:sz w:val="20"/>
          <w:szCs w:val="20"/>
          <w:color w:val="auto"/>
        </w:rPr>
      </w:pPr>
    </w:p>
    <w:p>
      <w:pPr>
        <w:spacing w:after="0"/>
        <w:tabs>
          <w:tab w:leader="none" w:pos="10000" w:val="left"/>
        </w:tabs>
        <w:rPr>
          <w:sz w:val="20"/>
          <w:szCs w:val="20"/>
          <w:color w:val="auto"/>
        </w:rPr>
      </w:pPr>
      <w:r>
        <w:rPr>
          <w:rFonts w:ascii="Arial" w:cs="Arial" w:eastAsia="Arial" w:hAnsi="Arial"/>
          <w:sz w:val="13"/>
          <w:szCs w:val="13"/>
          <w:b w:val="1"/>
          <w:bCs w:val="1"/>
          <w:color w:val="808285"/>
        </w:rPr>
        <w:t>94 •  2013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Security ownership of directors and management</w:t>
      </w:r>
    </w:p>
    <w:p>
      <w:pPr>
        <w:spacing w:after="0" w:line="225"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The following table shows the beneficial ownership of TI common stock by directors, the named executive officers and all executive officers and directors as a group. Each director and named executive officer has sole voting power (except for shares obtainable within 60 days, shares subject to RSUs and shares credited to deferred compensation accounts as detailed in the footnotes to the table) and sole investment power with respect to the shares owned. The table excludes shares held by a family member if a director or executive officer has disclaimed beneficial ownership. No director or executive officer has pledged shares of TI common stock.</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4220" w:type="dxa"/>
            <w:vAlign w:val="bottom"/>
          </w:tcPr>
          <w:p>
            <w:pPr>
              <w:jc w:val="right"/>
              <w:ind w:right="138"/>
              <w:spacing w:after="0"/>
              <w:rPr>
                <w:sz w:val="20"/>
                <w:szCs w:val="20"/>
                <w:color w:val="auto"/>
              </w:rPr>
            </w:pPr>
            <w:r>
              <w:rPr>
                <w:rFonts w:ascii="Arial" w:cs="Arial" w:eastAsia="Arial" w:hAnsi="Arial"/>
                <w:sz w:val="13"/>
                <w:szCs w:val="13"/>
                <w:b w:val="1"/>
                <w:bCs w:val="1"/>
                <w:color w:val="auto"/>
              </w:rPr>
              <w:t>Shares Owned at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Percent</w:t>
            </w:r>
          </w:p>
        </w:tc>
      </w:tr>
      <w:tr>
        <w:trPr>
          <w:trHeight w:val="233"/>
        </w:trPr>
        <w:tc>
          <w:tcPr>
            <w:tcW w:w="4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6120" w:type="dxa"/>
            <w:vAlign w:val="bottom"/>
          </w:tcPr>
          <w:p>
            <w:pPr>
              <w:spacing w:after="0"/>
              <w:rPr>
                <w:sz w:val="20"/>
                <w:szCs w:val="20"/>
                <w:color w:val="auto"/>
              </w:rPr>
            </w:pPr>
          </w:p>
        </w:tc>
        <w:tc>
          <w:tcPr>
            <w:tcW w:w="4220" w:type="dxa"/>
            <w:vAlign w:val="bottom"/>
          </w:tcPr>
          <w:p>
            <w:pPr>
              <w:jc w:val="right"/>
              <w:ind w:right="78"/>
              <w:spacing w:after="0"/>
              <w:rPr>
                <w:sz w:val="20"/>
                <w:szCs w:val="20"/>
                <w:color w:val="auto"/>
              </w:rPr>
            </w:pPr>
            <w:r>
              <w:rPr>
                <w:rFonts w:ascii="Arial" w:cs="Arial" w:eastAsia="Arial" w:hAnsi="Arial"/>
                <w:sz w:val="13"/>
                <w:szCs w:val="13"/>
                <w:b w:val="1"/>
                <w:bCs w:val="1"/>
                <w:color w:val="auto"/>
              </w:rPr>
              <w:t>December 31, 2012</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of Class</w:t>
            </w:r>
          </w:p>
        </w:tc>
      </w:tr>
      <w:tr>
        <w:trPr>
          <w:trHeight w:val="45"/>
        </w:trPr>
        <w:tc>
          <w:tcPr>
            <w:tcW w:w="6520" w:type="dxa"/>
            <w:vAlign w:val="bottom"/>
            <w:tcBorders>
              <w:bottom w:val="single" w:sz="8" w:color="808285"/>
            </w:tcBorders>
            <w:gridSpan w:val="2"/>
          </w:tcPr>
          <w:p>
            <w:pPr>
              <w:spacing w:after="0"/>
              <w:rPr>
                <w:sz w:val="3"/>
                <w:szCs w:val="3"/>
                <w:color w:val="auto"/>
              </w:rPr>
            </w:pPr>
          </w:p>
        </w:tc>
        <w:tc>
          <w:tcPr>
            <w:tcW w:w="4220" w:type="dxa"/>
            <w:vAlign w:val="bottom"/>
            <w:tcBorders>
              <w:bottom w:val="single" w:sz="8" w:color="808285"/>
            </w:tcBorders>
          </w:tcPr>
          <w:p>
            <w:pPr>
              <w:spacing w:after="0"/>
              <w:rPr>
                <w:sz w:val="3"/>
                <w:szCs w:val="3"/>
                <w:color w:val="auto"/>
              </w:rPr>
            </w:pPr>
          </w:p>
        </w:tc>
        <w:tc>
          <w:tcPr>
            <w:tcW w:w="680" w:type="dxa"/>
            <w:vAlign w:val="bottom"/>
            <w:tcBorders>
              <w:bottom w:val="single" w:sz="8" w:color="808285"/>
            </w:tcBorders>
          </w:tcPr>
          <w:p>
            <w:pPr>
              <w:spacing w:after="0"/>
              <w:rPr>
                <w:sz w:val="3"/>
                <w:szCs w:val="3"/>
                <w:color w:val="auto"/>
              </w:rPr>
            </w:pPr>
          </w:p>
        </w:tc>
      </w:tr>
      <w:tr>
        <w:trPr>
          <w:trHeight w:val="233"/>
        </w:trPr>
        <w:tc>
          <w:tcPr>
            <w:tcW w:w="6520" w:type="dxa"/>
            <w:vAlign w:val="bottom"/>
            <w:gridSpan w:val="2"/>
            <w:shd w:val="clear" w:color="auto" w:fill="E9E9E9"/>
          </w:tcPr>
          <w:p>
            <w:pPr>
              <w:spacing w:after="0"/>
              <w:rPr>
                <w:sz w:val="20"/>
                <w:szCs w:val="20"/>
                <w:color w:val="auto"/>
              </w:rPr>
            </w:pPr>
            <w:r>
              <w:rPr>
                <w:rFonts w:ascii="Arial" w:cs="Arial" w:eastAsia="Arial" w:hAnsi="Arial"/>
                <w:sz w:val="17"/>
                <w:szCs w:val="17"/>
                <w:b w:val="1"/>
                <w:bCs w:val="1"/>
                <w:color w:val="auto"/>
              </w:rPr>
              <w:t>Directors (1)</w:t>
            </w:r>
          </w:p>
        </w:tc>
        <w:tc>
          <w:tcPr>
            <w:tcW w:w="4220" w:type="dxa"/>
            <w:vAlign w:val="bottom"/>
            <w:shd w:val="clear" w:color="auto" w:fill="E9E9E9"/>
          </w:tcPr>
          <w:p>
            <w:pPr>
              <w:spacing w:after="0"/>
              <w:rPr>
                <w:sz w:val="20"/>
                <w:szCs w:val="20"/>
                <w:color w:val="auto"/>
              </w:rPr>
            </w:pPr>
          </w:p>
        </w:tc>
        <w:tc>
          <w:tcPr>
            <w:tcW w:w="680" w:type="dxa"/>
            <w:vAlign w:val="bottom"/>
            <w:shd w:val="clear" w:color="auto" w:fill="E9E9E9"/>
          </w:tcPr>
          <w:p>
            <w:pPr>
              <w:spacing w:after="0"/>
              <w:rPr>
                <w:sz w:val="20"/>
                <w:szCs w:val="20"/>
                <w:color w:val="auto"/>
              </w:rPr>
            </w:pPr>
          </w:p>
        </w:tc>
      </w:tr>
      <w:tr>
        <w:trPr>
          <w:trHeight w:val="225"/>
        </w:trPr>
        <w:tc>
          <w:tcPr>
            <w:tcW w:w="6520" w:type="dxa"/>
            <w:vAlign w:val="bottom"/>
            <w:gridSpan w:val="2"/>
          </w:tcPr>
          <w:p>
            <w:pPr>
              <w:spacing w:after="0"/>
              <w:rPr>
                <w:sz w:val="20"/>
                <w:szCs w:val="20"/>
                <w:color w:val="auto"/>
              </w:rPr>
            </w:pPr>
            <w:r>
              <w:rPr>
                <w:rFonts w:ascii="Arial" w:cs="Arial" w:eastAsia="Arial" w:hAnsi="Arial"/>
                <w:sz w:val="17"/>
                <w:szCs w:val="17"/>
                <w:color w:val="auto"/>
              </w:rPr>
              <w:t>R. W. Babb, Jr.</w:t>
            </w:r>
          </w:p>
        </w:tc>
        <w:tc>
          <w:tcPr>
            <w:tcW w:w="4220" w:type="dxa"/>
            <w:vAlign w:val="bottom"/>
          </w:tcPr>
          <w:p>
            <w:pPr>
              <w:jc w:val="right"/>
              <w:ind w:right="78"/>
              <w:spacing w:after="0"/>
              <w:rPr>
                <w:sz w:val="20"/>
                <w:szCs w:val="20"/>
                <w:color w:val="auto"/>
              </w:rPr>
            </w:pPr>
            <w:r>
              <w:rPr>
                <w:rFonts w:ascii="Arial" w:cs="Arial" w:eastAsia="Arial" w:hAnsi="Arial"/>
                <w:sz w:val="17"/>
                <w:szCs w:val="17"/>
                <w:color w:val="auto"/>
              </w:rPr>
              <w:t>24,993</w:t>
            </w:r>
          </w:p>
        </w:tc>
        <w:tc>
          <w:tcPr>
            <w:tcW w:w="680" w:type="dxa"/>
            <w:vAlign w:val="bottom"/>
          </w:tcPr>
          <w:p>
            <w:pPr>
              <w:jc w:val="right"/>
              <w:ind w:right="118"/>
              <w:spacing w:after="0"/>
              <w:rPr>
                <w:sz w:val="20"/>
                <w:szCs w:val="20"/>
                <w:color w:val="auto"/>
              </w:rPr>
            </w:pPr>
            <w:r>
              <w:rPr>
                <w:rFonts w:ascii="Arial" w:cs="Arial" w:eastAsia="Arial" w:hAnsi="Arial"/>
                <w:sz w:val="17"/>
                <w:szCs w:val="17"/>
                <w:color w:val="auto"/>
              </w:rPr>
              <w:t>*</w:t>
            </w:r>
          </w:p>
        </w:tc>
      </w:tr>
      <w:tr>
        <w:trPr>
          <w:trHeight w:val="240"/>
        </w:trPr>
        <w:tc>
          <w:tcPr>
            <w:tcW w:w="652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M. A. Blinn</w:t>
            </w:r>
          </w:p>
        </w:tc>
        <w:tc>
          <w:tcPr>
            <w:tcW w:w="422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w:t>
            </w:r>
          </w:p>
        </w:tc>
        <w:tc>
          <w:tcPr>
            <w:tcW w:w="680" w:type="dxa"/>
            <w:vAlign w:val="bottom"/>
            <w:shd w:val="clear" w:color="auto" w:fill="E9E9E9"/>
          </w:tcPr>
          <w:p>
            <w:pPr>
              <w:jc w:val="right"/>
              <w:ind w:right="118"/>
              <w:spacing w:after="0"/>
              <w:rPr>
                <w:sz w:val="20"/>
                <w:szCs w:val="20"/>
                <w:color w:val="auto"/>
              </w:rPr>
            </w:pPr>
            <w:r>
              <w:rPr>
                <w:rFonts w:ascii="Arial" w:cs="Arial" w:eastAsia="Arial" w:hAnsi="Arial"/>
                <w:sz w:val="17"/>
                <w:szCs w:val="17"/>
                <w:color w:val="auto"/>
              </w:rPr>
              <w:t>*</w:t>
            </w:r>
          </w:p>
        </w:tc>
      </w:tr>
      <w:tr>
        <w:trPr>
          <w:trHeight w:val="225"/>
        </w:trPr>
        <w:tc>
          <w:tcPr>
            <w:tcW w:w="6520" w:type="dxa"/>
            <w:vAlign w:val="bottom"/>
            <w:gridSpan w:val="2"/>
          </w:tcPr>
          <w:p>
            <w:pPr>
              <w:spacing w:after="0"/>
              <w:rPr>
                <w:sz w:val="20"/>
                <w:szCs w:val="20"/>
                <w:color w:val="auto"/>
              </w:rPr>
            </w:pPr>
            <w:r>
              <w:rPr>
                <w:rFonts w:ascii="Arial" w:cs="Arial" w:eastAsia="Arial" w:hAnsi="Arial"/>
                <w:sz w:val="17"/>
                <w:szCs w:val="17"/>
                <w:color w:val="auto"/>
              </w:rPr>
              <w:t>D. A. Carp</w:t>
            </w:r>
          </w:p>
        </w:tc>
        <w:tc>
          <w:tcPr>
            <w:tcW w:w="4220" w:type="dxa"/>
            <w:vAlign w:val="bottom"/>
          </w:tcPr>
          <w:p>
            <w:pPr>
              <w:jc w:val="right"/>
              <w:ind w:right="78"/>
              <w:spacing w:after="0"/>
              <w:rPr>
                <w:sz w:val="20"/>
                <w:szCs w:val="20"/>
                <w:color w:val="auto"/>
              </w:rPr>
            </w:pPr>
            <w:r>
              <w:rPr>
                <w:rFonts w:ascii="Arial" w:cs="Arial" w:eastAsia="Arial" w:hAnsi="Arial"/>
                <w:sz w:val="17"/>
                <w:szCs w:val="17"/>
                <w:color w:val="auto"/>
              </w:rPr>
              <w:t>138,083</w:t>
            </w:r>
          </w:p>
        </w:tc>
        <w:tc>
          <w:tcPr>
            <w:tcW w:w="680" w:type="dxa"/>
            <w:vAlign w:val="bottom"/>
          </w:tcPr>
          <w:p>
            <w:pPr>
              <w:jc w:val="right"/>
              <w:ind w:right="118"/>
              <w:spacing w:after="0"/>
              <w:rPr>
                <w:sz w:val="20"/>
                <w:szCs w:val="20"/>
                <w:color w:val="auto"/>
              </w:rPr>
            </w:pPr>
            <w:r>
              <w:rPr>
                <w:rFonts w:ascii="Arial" w:cs="Arial" w:eastAsia="Arial" w:hAnsi="Arial"/>
                <w:sz w:val="17"/>
                <w:szCs w:val="17"/>
                <w:color w:val="auto"/>
              </w:rPr>
              <w:t>*</w:t>
            </w:r>
          </w:p>
        </w:tc>
      </w:tr>
      <w:tr>
        <w:trPr>
          <w:trHeight w:val="240"/>
        </w:trPr>
        <w:tc>
          <w:tcPr>
            <w:tcW w:w="652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C. S. Cox</w:t>
            </w:r>
          </w:p>
        </w:tc>
        <w:tc>
          <w:tcPr>
            <w:tcW w:w="422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86,209</w:t>
            </w:r>
          </w:p>
        </w:tc>
        <w:tc>
          <w:tcPr>
            <w:tcW w:w="680" w:type="dxa"/>
            <w:vAlign w:val="bottom"/>
            <w:shd w:val="clear" w:color="auto" w:fill="E9E9E9"/>
          </w:tcPr>
          <w:p>
            <w:pPr>
              <w:jc w:val="right"/>
              <w:ind w:right="118"/>
              <w:spacing w:after="0"/>
              <w:rPr>
                <w:sz w:val="20"/>
                <w:szCs w:val="20"/>
                <w:color w:val="auto"/>
              </w:rPr>
            </w:pPr>
            <w:r>
              <w:rPr>
                <w:rFonts w:ascii="Arial" w:cs="Arial" w:eastAsia="Arial" w:hAnsi="Arial"/>
                <w:sz w:val="17"/>
                <w:szCs w:val="17"/>
                <w:color w:val="auto"/>
              </w:rPr>
              <w:t>*</w:t>
            </w:r>
          </w:p>
        </w:tc>
      </w:tr>
      <w:tr>
        <w:trPr>
          <w:trHeight w:val="225"/>
        </w:trPr>
        <w:tc>
          <w:tcPr>
            <w:tcW w:w="6520" w:type="dxa"/>
            <w:vAlign w:val="bottom"/>
            <w:gridSpan w:val="2"/>
          </w:tcPr>
          <w:p>
            <w:pPr>
              <w:spacing w:after="0"/>
              <w:rPr>
                <w:sz w:val="20"/>
                <w:szCs w:val="20"/>
                <w:color w:val="auto"/>
              </w:rPr>
            </w:pPr>
            <w:r>
              <w:rPr>
                <w:rFonts w:ascii="Arial" w:cs="Arial" w:eastAsia="Arial" w:hAnsi="Arial"/>
                <w:sz w:val="17"/>
                <w:szCs w:val="17"/>
                <w:color w:val="auto"/>
              </w:rPr>
              <w:t>P. H. Patsley</w:t>
            </w:r>
          </w:p>
        </w:tc>
        <w:tc>
          <w:tcPr>
            <w:tcW w:w="4220" w:type="dxa"/>
            <w:vAlign w:val="bottom"/>
          </w:tcPr>
          <w:p>
            <w:pPr>
              <w:jc w:val="right"/>
              <w:ind w:right="78"/>
              <w:spacing w:after="0"/>
              <w:rPr>
                <w:sz w:val="20"/>
                <w:szCs w:val="20"/>
                <w:color w:val="auto"/>
              </w:rPr>
            </w:pPr>
            <w:r>
              <w:rPr>
                <w:rFonts w:ascii="Arial" w:cs="Arial" w:eastAsia="Arial" w:hAnsi="Arial"/>
                <w:sz w:val="17"/>
                <w:szCs w:val="17"/>
                <w:color w:val="auto"/>
              </w:rPr>
              <w:t>113,976</w:t>
            </w:r>
          </w:p>
        </w:tc>
        <w:tc>
          <w:tcPr>
            <w:tcW w:w="680" w:type="dxa"/>
            <w:vAlign w:val="bottom"/>
          </w:tcPr>
          <w:p>
            <w:pPr>
              <w:jc w:val="right"/>
              <w:ind w:right="118"/>
              <w:spacing w:after="0"/>
              <w:rPr>
                <w:sz w:val="20"/>
                <w:szCs w:val="20"/>
                <w:color w:val="auto"/>
              </w:rPr>
            </w:pPr>
            <w:r>
              <w:rPr>
                <w:rFonts w:ascii="Arial" w:cs="Arial" w:eastAsia="Arial" w:hAnsi="Arial"/>
                <w:sz w:val="17"/>
                <w:szCs w:val="17"/>
                <w:color w:val="auto"/>
              </w:rPr>
              <w:t>*</w:t>
            </w:r>
          </w:p>
        </w:tc>
      </w:tr>
      <w:tr>
        <w:trPr>
          <w:trHeight w:val="240"/>
        </w:trPr>
        <w:tc>
          <w:tcPr>
            <w:tcW w:w="652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R. E. Sanchez</w:t>
            </w:r>
          </w:p>
        </w:tc>
        <w:tc>
          <w:tcPr>
            <w:tcW w:w="422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8,129</w:t>
            </w:r>
          </w:p>
        </w:tc>
        <w:tc>
          <w:tcPr>
            <w:tcW w:w="680" w:type="dxa"/>
            <w:vAlign w:val="bottom"/>
            <w:shd w:val="clear" w:color="auto" w:fill="E9E9E9"/>
          </w:tcPr>
          <w:p>
            <w:pPr>
              <w:jc w:val="right"/>
              <w:ind w:right="118"/>
              <w:spacing w:after="0"/>
              <w:rPr>
                <w:sz w:val="20"/>
                <w:szCs w:val="20"/>
                <w:color w:val="auto"/>
              </w:rPr>
            </w:pPr>
            <w:r>
              <w:rPr>
                <w:rFonts w:ascii="Arial" w:cs="Arial" w:eastAsia="Arial" w:hAnsi="Arial"/>
                <w:sz w:val="17"/>
                <w:szCs w:val="17"/>
                <w:color w:val="auto"/>
              </w:rPr>
              <w:t>*</w:t>
            </w:r>
          </w:p>
        </w:tc>
      </w:tr>
      <w:tr>
        <w:trPr>
          <w:trHeight w:val="225"/>
        </w:trPr>
        <w:tc>
          <w:tcPr>
            <w:tcW w:w="6520" w:type="dxa"/>
            <w:vAlign w:val="bottom"/>
            <w:gridSpan w:val="2"/>
          </w:tcPr>
          <w:p>
            <w:pPr>
              <w:spacing w:after="0"/>
              <w:rPr>
                <w:sz w:val="20"/>
                <w:szCs w:val="20"/>
                <w:color w:val="auto"/>
              </w:rPr>
            </w:pPr>
            <w:r>
              <w:rPr>
                <w:rFonts w:ascii="Arial" w:cs="Arial" w:eastAsia="Arial" w:hAnsi="Arial"/>
                <w:sz w:val="17"/>
                <w:szCs w:val="17"/>
                <w:color w:val="auto"/>
              </w:rPr>
              <w:t>W. R. Sanders</w:t>
            </w:r>
          </w:p>
        </w:tc>
        <w:tc>
          <w:tcPr>
            <w:tcW w:w="4220" w:type="dxa"/>
            <w:vAlign w:val="bottom"/>
          </w:tcPr>
          <w:p>
            <w:pPr>
              <w:jc w:val="right"/>
              <w:ind w:right="78"/>
              <w:spacing w:after="0"/>
              <w:rPr>
                <w:sz w:val="20"/>
                <w:szCs w:val="20"/>
                <w:color w:val="auto"/>
              </w:rPr>
            </w:pPr>
            <w:r>
              <w:rPr>
                <w:rFonts w:ascii="Arial" w:cs="Arial" w:eastAsia="Arial" w:hAnsi="Arial"/>
                <w:sz w:val="17"/>
                <w:szCs w:val="17"/>
                <w:color w:val="auto"/>
              </w:rPr>
              <w:t>91,671</w:t>
            </w:r>
          </w:p>
        </w:tc>
        <w:tc>
          <w:tcPr>
            <w:tcW w:w="680" w:type="dxa"/>
            <w:vAlign w:val="bottom"/>
          </w:tcPr>
          <w:p>
            <w:pPr>
              <w:jc w:val="right"/>
              <w:ind w:right="118"/>
              <w:spacing w:after="0"/>
              <w:rPr>
                <w:sz w:val="20"/>
                <w:szCs w:val="20"/>
                <w:color w:val="auto"/>
              </w:rPr>
            </w:pPr>
            <w:r>
              <w:rPr>
                <w:rFonts w:ascii="Arial" w:cs="Arial" w:eastAsia="Arial" w:hAnsi="Arial"/>
                <w:sz w:val="17"/>
                <w:szCs w:val="17"/>
                <w:color w:val="auto"/>
              </w:rPr>
              <w:t>*</w:t>
            </w:r>
          </w:p>
        </w:tc>
      </w:tr>
      <w:tr>
        <w:trPr>
          <w:trHeight w:val="240"/>
        </w:trPr>
        <w:tc>
          <w:tcPr>
            <w:tcW w:w="652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R. J. Simmons</w:t>
            </w:r>
          </w:p>
        </w:tc>
        <w:tc>
          <w:tcPr>
            <w:tcW w:w="422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120,285</w:t>
            </w:r>
          </w:p>
        </w:tc>
        <w:tc>
          <w:tcPr>
            <w:tcW w:w="680" w:type="dxa"/>
            <w:vAlign w:val="bottom"/>
            <w:shd w:val="clear" w:color="auto" w:fill="E9E9E9"/>
          </w:tcPr>
          <w:p>
            <w:pPr>
              <w:jc w:val="right"/>
              <w:ind w:right="118"/>
              <w:spacing w:after="0"/>
              <w:rPr>
                <w:sz w:val="20"/>
                <w:szCs w:val="20"/>
                <w:color w:val="auto"/>
              </w:rPr>
            </w:pPr>
            <w:r>
              <w:rPr>
                <w:rFonts w:ascii="Arial" w:cs="Arial" w:eastAsia="Arial" w:hAnsi="Arial"/>
                <w:sz w:val="17"/>
                <w:szCs w:val="17"/>
                <w:color w:val="auto"/>
              </w:rPr>
              <w:t>*</w:t>
            </w:r>
          </w:p>
        </w:tc>
      </w:tr>
      <w:tr>
        <w:trPr>
          <w:trHeight w:val="225"/>
        </w:trPr>
        <w:tc>
          <w:tcPr>
            <w:tcW w:w="6520" w:type="dxa"/>
            <w:vAlign w:val="bottom"/>
            <w:gridSpan w:val="2"/>
          </w:tcPr>
          <w:p>
            <w:pPr>
              <w:spacing w:after="0"/>
              <w:rPr>
                <w:sz w:val="20"/>
                <w:szCs w:val="20"/>
                <w:color w:val="auto"/>
              </w:rPr>
            </w:pPr>
            <w:r>
              <w:rPr>
                <w:rFonts w:ascii="Arial" w:cs="Arial" w:eastAsia="Arial" w:hAnsi="Arial"/>
                <w:sz w:val="17"/>
                <w:szCs w:val="17"/>
                <w:color w:val="auto"/>
              </w:rPr>
              <w:t>R. K. Templeton</w:t>
            </w:r>
          </w:p>
        </w:tc>
        <w:tc>
          <w:tcPr>
            <w:tcW w:w="4220" w:type="dxa"/>
            <w:vAlign w:val="bottom"/>
          </w:tcPr>
          <w:p>
            <w:pPr>
              <w:jc w:val="right"/>
              <w:ind w:right="78"/>
              <w:spacing w:after="0"/>
              <w:rPr>
                <w:sz w:val="20"/>
                <w:szCs w:val="20"/>
                <w:color w:val="auto"/>
              </w:rPr>
            </w:pPr>
            <w:r>
              <w:rPr>
                <w:rFonts w:ascii="Arial" w:cs="Arial" w:eastAsia="Arial" w:hAnsi="Arial"/>
                <w:sz w:val="17"/>
                <w:szCs w:val="17"/>
                <w:color w:val="auto"/>
              </w:rPr>
              <w:t>4,763,975</w:t>
            </w:r>
          </w:p>
        </w:tc>
        <w:tc>
          <w:tcPr>
            <w:tcW w:w="680" w:type="dxa"/>
            <w:vAlign w:val="bottom"/>
          </w:tcPr>
          <w:p>
            <w:pPr>
              <w:jc w:val="right"/>
              <w:ind w:right="118"/>
              <w:spacing w:after="0"/>
              <w:rPr>
                <w:sz w:val="20"/>
                <w:szCs w:val="20"/>
                <w:color w:val="auto"/>
              </w:rPr>
            </w:pPr>
            <w:r>
              <w:rPr>
                <w:rFonts w:ascii="Arial" w:cs="Arial" w:eastAsia="Arial" w:hAnsi="Arial"/>
                <w:sz w:val="17"/>
                <w:szCs w:val="17"/>
                <w:color w:val="auto"/>
              </w:rPr>
              <w:t>*</w:t>
            </w:r>
          </w:p>
        </w:tc>
      </w:tr>
      <w:tr>
        <w:trPr>
          <w:trHeight w:val="240"/>
        </w:trPr>
        <w:tc>
          <w:tcPr>
            <w:tcW w:w="652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C. T. Whitman</w:t>
            </w:r>
          </w:p>
        </w:tc>
        <w:tc>
          <w:tcPr>
            <w:tcW w:w="422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105,590</w:t>
            </w:r>
          </w:p>
        </w:tc>
        <w:tc>
          <w:tcPr>
            <w:tcW w:w="680" w:type="dxa"/>
            <w:vAlign w:val="bottom"/>
            <w:shd w:val="clear" w:color="auto" w:fill="E9E9E9"/>
          </w:tcPr>
          <w:p>
            <w:pPr>
              <w:jc w:val="right"/>
              <w:ind w:right="118"/>
              <w:spacing w:after="0"/>
              <w:rPr>
                <w:sz w:val="20"/>
                <w:szCs w:val="20"/>
                <w:color w:val="auto"/>
              </w:rPr>
            </w:pPr>
            <w:r>
              <w:rPr>
                <w:rFonts w:ascii="Arial" w:cs="Arial" w:eastAsia="Arial" w:hAnsi="Arial"/>
                <w:sz w:val="17"/>
                <w:szCs w:val="17"/>
                <w:color w:val="auto"/>
              </w:rPr>
              <w:t>*</w:t>
            </w:r>
          </w:p>
        </w:tc>
      </w:tr>
      <w:tr>
        <w:trPr>
          <w:trHeight w:val="233"/>
        </w:trPr>
        <w:tc>
          <w:tcPr>
            <w:tcW w:w="6520" w:type="dxa"/>
            <w:vAlign w:val="bottom"/>
            <w:gridSpan w:val="2"/>
          </w:tcPr>
          <w:p>
            <w:pPr>
              <w:spacing w:after="0"/>
              <w:rPr>
                <w:sz w:val="20"/>
                <w:szCs w:val="20"/>
                <w:color w:val="auto"/>
              </w:rPr>
            </w:pPr>
          </w:p>
        </w:tc>
        <w:tc>
          <w:tcPr>
            <w:tcW w:w="42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3"/>
        </w:trPr>
        <w:tc>
          <w:tcPr>
            <w:tcW w:w="6520" w:type="dxa"/>
            <w:vAlign w:val="bottom"/>
            <w:gridSpan w:val="2"/>
            <w:shd w:val="clear" w:color="auto" w:fill="E9E9E9"/>
          </w:tcPr>
          <w:p>
            <w:pPr>
              <w:spacing w:after="0"/>
              <w:rPr>
                <w:sz w:val="20"/>
                <w:szCs w:val="20"/>
                <w:color w:val="auto"/>
              </w:rPr>
            </w:pPr>
            <w:r>
              <w:rPr>
                <w:rFonts w:ascii="Arial" w:cs="Arial" w:eastAsia="Arial" w:hAnsi="Arial"/>
                <w:sz w:val="17"/>
                <w:szCs w:val="17"/>
                <w:b w:val="1"/>
                <w:bCs w:val="1"/>
                <w:color w:val="auto"/>
              </w:rPr>
              <w:t>Management (2)</w:t>
            </w:r>
          </w:p>
        </w:tc>
        <w:tc>
          <w:tcPr>
            <w:tcW w:w="4220" w:type="dxa"/>
            <w:vAlign w:val="bottom"/>
            <w:shd w:val="clear" w:color="auto" w:fill="E9E9E9"/>
          </w:tcPr>
          <w:p>
            <w:pPr>
              <w:spacing w:after="0"/>
              <w:rPr>
                <w:sz w:val="20"/>
                <w:szCs w:val="20"/>
                <w:color w:val="auto"/>
              </w:rPr>
            </w:pPr>
          </w:p>
        </w:tc>
        <w:tc>
          <w:tcPr>
            <w:tcW w:w="680" w:type="dxa"/>
            <w:vAlign w:val="bottom"/>
            <w:shd w:val="clear" w:color="auto" w:fill="E9E9E9"/>
          </w:tcPr>
          <w:p>
            <w:pPr>
              <w:spacing w:after="0"/>
              <w:rPr>
                <w:sz w:val="20"/>
                <w:szCs w:val="20"/>
                <w:color w:val="auto"/>
              </w:rPr>
            </w:pPr>
          </w:p>
        </w:tc>
      </w:tr>
      <w:tr>
        <w:trPr>
          <w:trHeight w:val="225"/>
        </w:trPr>
        <w:tc>
          <w:tcPr>
            <w:tcW w:w="6520" w:type="dxa"/>
            <w:vAlign w:val="bottom"/>
            <w:gridSpan w:val="2"/>
          </w:tcPr>
          <w:p>
            <w:pPr>
              <w:spacing w:after="0"/>
              <w:rPr>
                <w:sz w:val="20"/>
                <w:szCs w:val="20"/>
                <w:color w:val="auto"/>
              </w:rPr>
            </w:pPr>
            <w:r>
              <w:rPr>
                <w:rFonts w:ascii="Arial" w:cs="Arial" w:eastAsia="Arial" w:hAnsi="Arial"/>
                <w:sz w:val="17"/>
                <w:szCs w:val="17"/>
                <w:color w:val="auto"/>
              </w:rPr>
              <w:t>K. P. March</w:t>
            </w:r>
          </w:p>
        </w:tc>
        <w:tc>
          <w:tcPr>
            <w:tcW w:w="4220" w:type="dxa"/>
            <w:vAlign w:val="bottom"/>
          </w:tcPr>
          <w:p>
            <w:pPr>
              <w:jc w:val="right"/>
              <w:ind w:right="78"/>
              <w:spacing w:after="0"/>
              <w:rPr>
                <w:sz w:val="20"/>
                <w:szCs w:val="20"/>
                <w:color w:val="auto"/>
              </w:rPr>
            </w:pPr>
            <w:r>
              <w:rPr>
                <w:rFonts w:ascii="Arial" w:cs="Arial" w:eastAsia="Arial" w:hAnsi="Arial"/>
                <w:sz w:val="17"/>
                <w:szCs w:val="17"/>
                <w:color w:val="auto"/>
              </w:rPr>
              <w:t>1,188,655</w:t>
            </w:r>
          </w:p>
        </w:tc>
        <w:tc>
          <w:tcPr>
            <w:tcW w:w="680" w:type="dxa"/>
            <w:vAlign w:val="bottom"/>
          </w:tcPr>
          <w:p>
            <w:pPr>
              <w:jc w:val="right"/>
              <w:ind w:right="118"/>
              <w:spacing w:after="0"/>
              <w:rPr>
                <w:sz w:val="20"/>
                <w:szCs w:val="20"/>
                <w:color w:val="auto"/>
              </w:rPr>
            </w:pPr>
            <w:r>
              <w:rPr>
                <w:rFonts w:ascii="Arial" w:cs="Arial" w:eastAsia="Arial" w:hAnsi="Arial"/>
                <w:sz w:val="17"/>
                <w:szCs w:val="17"/>
                <w:color w:val="auto"/>
              </w:rPr>
              <w:t>*</w:t>
            </w:r>
          </w:p>
        </w:tc>
      </w:tr>
      <w:tr>
        <w:trPr>
          <w:trHeight w:val="240"/>
        </w:trPr>
        <w:tc>
          <w:tcPr>
            <w:tcW w:w="652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B. T. Crutcher</w:t>
            </w:r>
          </w:p>
        </w:tc>
        <w:tc>
          <w:tcPr>
            <w:tcW w:w="422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735,969</w:t>
            </w:r>
          </w:p>
        </w:tc>
        <w:tc>
          <w:tcPr>
            <w:tcW w:w="680" w:type="dxa"/>
            <w:vAlign w:val="bottom"/>
            <w:shd w:val="clear" w:color="auto" w:fill="E9E9E9"/>
          </w:tcPr>
          <w:p>
            <w:pPr>
              <w:jc w:val="right"/>
              <w:ind w:right="118"/>
              <w:spacing w:after="0"/>
              <w:rPr>
                <w:sz w:val="20"/>
                <w:szCs w:val="20"/>
                <w:color w:val="auto"/>
              </w:rPr>
            </w:pPr>
            <w:r>
              <w:rPr>
                <w:rFonts w:ascii="Arial" w:cs="Arial" w:eastAsia="Arial" w:hAnsi="Arial"/>
                <w:sz w:val="17"/>
                <w:szCs w:val="17"/>
                <w:color w:val="auto"/>
              </w:rPr>
              <w:t>*</w:t>
            </w:r>
          </w:p>
        </w:tc>
      </w:tr>
      <w:tr>
        <w:trPr>
          <w:trHeight w:val="225"/>
        </w:trPr>
        <w:tc>
          <w:tcPr>
            <w:tcW w:w="6520" w:type="dxa"/>
            <w:vAlign w:val="bottom"/>
            <w:gridSpan w:val="2"/>
          </w:tcPr>
          <w:p>
            <w:pPr>
              <w:spacing w:after="0"/>
              <w:rPr>
                <w:sz w:val="20"/>
                <w:szCs w:val="20"/>
                <w:color w:val="auto"/>
              </w:rPr>
            </w:pPr>
            <w:r>
              <w:rPr>
                <w:rFonts w:ascii="Arial" w:cs="Arial" w:eastAsia="Arial" w:hAnsi="Arial"/>
                <w:sz w:val="17"/>
                <w:szCs w:val="17"/>
                <w:color w:val="auto"/>
              </w:rPr>
              <w:t>R. G. Delagi</w:t>
            </w:r>
          </w:p>
        </w:tc>
        <w:tc>
          <w:tcPr>
            <w:tcW w:w="4220" w:type="dxa"/>
            <w:vAlign w:val="bottom"/>
          </w:tcPr>
          <w:p>
            <w:pPr>
              <w:jc w:val="right"/>
              <w:ind w:right="78"/>
              <w:spacing w:after="0"/>
              <w:rPr>
                <w:sz w:val="20"/>
                <w:szCs w:val="20"/>
                <w:color w:val="auto"/>
              </w:rPr>
            </w:pPr>
            <w:r>
              <w:rPr>
                <w:rFonts w:ascii="Arial" w:cs="Arial" w:eastAsia="Arial" w:hAnsi="Arial"/>
                <w:sz w:val="17"/>
                <w:szCs w:val="17"/>
                <w:color w:val="auto"/>
              </w:rPr>
              <w:t>728,451</w:t>
            </w:r>
          </w:p>
        </w:tc>
        <w:tc>
          <w:tcPr>
            <w:tcW w:w="680" w:type="dxa"/>
            <w:vAlign w:val="bottom"/>
          </w:tcPr>
          <w:p>
            <w:pPr>
              <w:jc w:val="right"/>
              <w:ind w:right="118"/>
              <w:spacing w:after="0"/>
              <w:rPr>
                <w:sz w:val="20"/>
                <w:szCs w:val="20"/>
                <w:color w:val="auto"/>
              </w:rPr>
            </w:pPr>
            <w:r>
              <w:rPr>
                <w:rFonts w:ascii="Arial" w:cs="Arial" w:eastAsia="Arial" w:hAnsi="Arial"/>
                <w:sz w:val="17"/>
                <w:szCs w:val="17"/>
                <w:color w:val="auto"/>
              </w:rPr>
              <w:t>*</w:t>
            </w:r>
          </w:p>
        </w:tc>
      </w:tr>
      <w:tr>
        <w:trPr>
          <w:trHeight w:val="240"/>
        </w:trPr>
        <w:tc>
          <w:tcPr>
            <w:tcW w:w="652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K. J. Ritchie</w:t>
            </w:r>
          </w:p>
        </w:tc>
        <w:tc>
          <w:tcPr>
            <w:tcW w:w="422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1,339,345</w:t>
            </w:r>
          </w:p>
        </w:tc>
        <w:tc>
          <w:tcPr>
            <w:tcW w:w="680" w:type="dxa"/>
            <w:vAlign w:val="bottom"/>
            <w:shd w:val="clear" w:color="auto" w:fill="E9E9E9"/>
          </w:tcPr>
          <w:p>
            <w:pPr>
              <w:jc w:val="right"/>
              <w:ind w:right="118"/>
              <w:spacing w:after="0"/>
              <w:rPr>
                <w:sz w:val="20"/>
                <w:szCs w:val="20"/>
                <w:color w:val="auto"/>
              </w:rPr>
            </w:pPr>
            <w:r>
              <w:rPr>
                <w:rFonts w:ascii="Arial" w:cs="Arial" w:eastAsia="Arial" w:hAnsi="Arial"/>
                <w:sz w:val="17"/>
                <w:szCs w:val="17"/>
                <w:color w:val="auto"/>
              </w:rPr>
              <w:t>*</w:t>
            </w:r>
          </w:p>
        </w:tc>
      </w:tr>
      <w:tr>
        <w:trPr>
          <w:trHeight w:val="233"/>
        </w:trPr>
        <w:tc>
          <w:tcPr>
            <w:tcW w:w="6520" w:type="dxa"/>
            <w:vAlign w:val="bottom"/>
            <w:gridSpan w:val="2"/>
          </w:tcPr>
          <w:p>
            <w:pPr>
              <w:spacing w:after="0"/>
              <w:rPr>
                <w:sz w:val="20"/>
                <w:szCs w:val="20"/>
                <w:color w:val="auto"/>
              </w:rPr>
            </w:pPr>
          </w:p>
        </w:tc>
        <w:tc>
          <w:tcPr>
            <w:tcW w:w="42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3"/>
        </w:trPr>
        <w:tc>
          <w:tcPr>
            <w:tcW w:w="652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All executive officers and directors as a group (3)</w:t>
            </w:r>
          </w:p>
        </w:tc>
        <w:tc>
          <w:tcPr>
            <w:tcW w:w="422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14,100,313</w:t>
            </w: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1.27%</w:t>
            </w:r>
          </w:p>
        </w:tc>
      </w:tr>
      <w:tr>
        <w:trPr>
          <w:trHeight w:val="451"/>
        </w:trPr>
        <w:tc>
          <w:tcPr>
            <w:tcW w:w="400" w:type="dxa"/>
            <w:vAlign w:val="bottom"/>
          </w:tcPr>
          <w:p>
            <w:pPr>
              <w:spacing w:after="0"/>
              <w:rPr>
                <w:sz w:val="20"/>
                <w:szCs w:val="20"/>
                <w:color w:val="auto"/>
              </w:rPr>
            </w:pPr>
            <w:r>
              <w:rPr>
                <w:rFonts w:ascii="Arial" w:cs="Arial" w:eastAsia="Arial" w:hAnsi="Arial"/>
                <w:sz w:val="17"/>
                <w:szCs w:val="17"/>
                <w:color w:val="auto"/>
              </w:rPr>
              <w:t>*</w:t>
            </w:r>
          </w:p>
        </w:tc>
        <w:tc>
          <w:tcPr>
            <w:tcW w:w="6120" w:type="dxa"/>
            <w:vAlign w:val="bottom"/>
          </w:tcPr>
          <w:p>
            <w:pPr>
              <w:ind w:left="60"/>
              <w:spacing w:after="0"/>
              <w:rPr>
                <w:sz w:val="20"/>
                <w:szCs w:val="20"/>
                <w:color w:val="auto"/>
              </w:rPr>
            </w:pPr>
            <w:r>
              <w:rPr>
                <w:rFonts w:ascii="Arial" w:cs="Arial" w:eastAsia="Arial" w:hAnsi="Arial"/>
                <w:sz w:val="17"/>
                <w:szCs w:val="17"/>
                <w:color w:val="auto"/>
              </w:rPr>
              <w:t>less than 1 percent</w:t>
            </w:r>
          </w:p>
        </w:tc>
        <w:tc>
          <w:tcPr>
            <w:tcW w:w="42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63" w:lineRule="exact"/>
        <w:rPr>
          <w:sz w:val="20"/>
          <w:szCs w:val="20"/>
          <w:color w:val="auto"/>
        </w:rPr>
      </w:pPr>
    </w:p>
    <w:p>
      <w:pPr>
        <w:ind w:left="460" w:hanging="457"/>
        <w:spacing w:after="0"/>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Included in the shares owned shown above are:</w:t>
      </w:r>
    </w:p>
    <w:p>
      <w:pPr>
        <w:spacing w:after="0" w:line="276" w:lineRule="exact"/>
        <w:rPr>
          <w:sz w:val="20"/>
          <w:szCs w:val="20"/>
          <w:color w:val="auto"/>
        </w:rPr>
      </w:pPr>
    </w:p>
    <w:tbl>
      <w:tblPr>
        <w:tblLayout w:type="fixed"/>
        <w:tblInd w:w="42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jc w:val="center"/>
              <w:ind w:left="43"/>
              <w:spacing w:after="0"/>
              <w:rPr>
                <w:sz w:val="20"/>
                <w:szCs w:val="20"/>
                <w:color w:val="auto"/>
              </w:rPr>
            </w:pPr>
            <w:r>
              <w:rPr>
                <w:rFonts w:ascii="Arial" w:cs="Arial" w:eastAsia="Arial" w:hAnsi="Arial"/>
                <w:sz w:val="13"/>
                <w:szCs w:val="13"/>
                <w:b w:val="1"/>
                <w:bCs w:val="1"/>
                <w:color w:val="auto"/>
                <w:w w:val="96"/>
              </w:rPr>
              <w:t>Shares</w:t>
            </w:r>
          </w:p>
        </w:tc>
      </w:tr>
      <w:tr>
        <w:trPr>
          <w:trHeight w:val="233"/>
        </w:trPr>
        <w:tc>
          <w:tcPr>
            <w:tcW w:w="39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20" w:type="dxa"/>
            <w:vAlign w:val="bottom"/>
          </w:tcPr>
          <w:p>
            <w:pPr>
              <w:jc w:val="center"/>
              <w:ind w:left="63"/>
              <w:spacing w:after="0"/>
              <w:rPr>
                <w:sz w:val="20"/>
                <w:szCs w:val="20"/>
                <w:color w:val="auto"/>
              </w:rPr>
            </w:pPr>
            <w:r>
              <w:rPr>
                <w:rFonts w:ascii="Arial" w:cs="Arial" w:eastAsia="Arial" w:hAnsi="Arial"/>
                <w:sz w:val="13"/>
                <w:szCs w:val="13"/>
                <w:b w:val="1"/>
                <w:bCs w:val="1"/>
                <w:color w:val="auto"/>
                <w:w w:val="98"/>
              </w:rPr>
              <w:t>Credited</w:t>
            </w:r>
          </w:p>
        </w:tc>
      </w:tr>
      <w:tr>
        <w:trPr>
          <w:trHeight w:val="233"/>
        </w:trPr>
        <w:tc>
          <w:tcPr>
            <w:tcW w:w="3920" w:type="dxa"/>
            <w:vAlign w:val="bottom"/>
          </w:tcPr>
          <w:p>
            <w:pPr>
              <w:spacing w:after="0"/>
              <w:rPr>
                <w:sz w:val="20"/>
                <w:szCs w:val="20"/>
                <w:color w:val="auto"/>
              </w:rPr>
            </w:pPr>
          </w:p>
        </w:tc>
        <w:tc>
          <w:tcPr>
            <w:tcW w:w="3760" w:type="dxa"/>
            <w:vAlign w:val="bottom"/>
          </w:tcPr>
          <w:p>
            <w:pPr>
              <w:jc w:val="center"/>
              <w:ind w:left="2501"/>
              <w:spacing w:after="0"/>
              <w:rPr>
                <w:sz w:val="20"/>
                <w:szCs w:val="20"/>
                <w:color w:val="auto"/>
              </w:rPr>
            </w:pPr>
            <w:r>
              <w:rPr>
                <w:rFonts w:ascii="Arial" w:cs="Arial" w:eastAsia="Arial" w:hAnsi="Arial"/>
                <w:sz w:val="13"/>
                <w:szCs w:val="13"/>
                <w:b w:val="1"/>
                <w:bCs w:val="1"/>
                <w:color w:val="auto"/>
                <w:w w:val="96"/>
              </w:rPr>
              <w:t>Shares</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Shares</w:t>
            </w:r>
          </w:p>
        </w:tc>
        <w:tc>
          <w:tcPr>
            <w:tcW w:w="1120" w:type="dxa"/>
            <w:vAlign w:val="bottom"/>
          </w:tcPr>
          <w:p>
            <w:pPr>
              <w:spacing w:after="0"/>
              <w:rPr>
                <w:sz w:val="20"/>
                <w:szCs w:val="20"/>
                <w:color w:val="auto"/>
              </w:rPr>
            </w:pPr>
          </w:p>
        </w:tc>
        <w:tc>
          <w:tcPr>
            <w:tcW w:w="1020" w:type="dxa"/>
            <w:vAlign w:val="bottom"/>
          </w:tcPr>
          <w:p>
            <w:pPr>
              <w:jc w:val="center"/>
              <w:ind w:left="43"/>
              <w:spacing w:after="0"/>
              <w:rPr>
                <w:sz w:val="20"/>
                <w:szCs w:val="20"/>
                <w:color w:val="auto"/>
              </w:rPr>
            </w:pPr>
            <w:r>
              <w:rPr>
                <w:rFonts w:ascii="Arial" w:cs="Arial" w:eastAsia="Arial" w:hAnsi="Arial"/>
                <w:sz w:val="13"/>
                <w:szCs w:val="13"/>
                <w:b w:val="1"/>
                <w:bCs w:val="1"/>
                <w:color w:val="auto"/>
              </w:rPr>
              <w:t>to Deferred</w:t>
            </w:r>
          </w:p>
        </w:tc>
      </w:tr>
      <w:tr>
        <w:trPr>
          <w:trHeight w:val="233"/>
        </w:trPr>
        <w:tc>
          <w:tcPr>
            <w:tcW w:w="3920" w:type="dxa"/>
            <w:vAlign w:val="bottom"/>
          </w:tcPr>
          <w:p>
            <w:pPr>
              <w:spacing w:after="0"/>
              <w:rPr>
                <w:sz w:val="20"/>
                <w:szCs w:val="20"/>
                <w:color w:val="auto"/>
              </w:rPr>
            </w:pPr>
          </w:p>
        </w:tc>
        <w:tc>
          <w:tcPr>
            <w:tcW w:w="3760" w:type="dxa"/>
            <w:vAlign w:val="bottom"/>
          </w:tcPr>
          <w:p>
            <w:pPr>
              <w:jc w:val="center"/>
              <w:ind w:left="2501"/>
              <w:spacing w:after="0"/>
              <w:rPr>
                <w:sz w:val="20"/>
                <w:szCs w:val="20"/>
                <w:color w:val="auto"/>
              </w:rPr>
            </w:pPr>
            <w:r>
              <w:rPr>
                <w:rFonts w:ascii="Arial" w:cs="Arial" w:eastAsia="Arial" w:hAnsi="Arial"/>
                <w:sz w:val="13"/>
                <w:szCs w:val="13"/>
                <w:b w:val="1"/>
                <w:bCs w:val="1"/>
                <w:color w:val="auto"/>
                <w:w w:val="98"/>
              </w:rPr>
              <w:t>Obtainable</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9"/>
              </w:rPr>
              <w:t>Credited to</w:t>
            </w:r>
          </w:p>
        </w:tc>
        <w:tc>
          <w:tcPr>
            <w:tcW w:w="1120" w:type="dxa"/>
            <w:vAlign w:val="bottom"/>
          </w:tcPr>
          <w:p>
            <w:pPr>
              <w:jc w:val="right"/>
              <w:ind w:right="320"/>
              <w:spacing w:after="0"/>
              <w:rPr>
                <w:sz w:val="20"/>
                <w:szCs w:val="20"/>
                <w:color w:val="auto"/>
              </w:rPr>
            </w:pPr>
            <w:r>
              <w:rPr>
                <w:rFonts w:ascii="Arial" w:cs="Arial" w:eastAsia="Arial" w:hAnsi="Arial"/>
                <w:sz w:val="13"/>
                <w:szCs w:val="13"/>
                <w:b w:val="1"/>
                <w:bCs w:val="1"/>
                <w:color w:val="auto"/>
              </w:rPr>
              <w:t>RSUs</w:t>
            </w:r>
          </w:p>
        </w:tc>
        <w:tc>
          <w:tcPr>
            <w:tcW w:w="1020" w:type="dxa"/>
            <w:vAlign w:val="bottom"/>
          </w:tcPr>
          <w:p>
            <w:pPr>
              <w:jc w:val="center"/>
              <w:ind w:left="43"/>
              <w:spacing w:after="0"/>
              <w:rPr>
                <w:sz w:val="20"/>
                <w:szCs w:val="20"/>
                <w:color w:val="auto"/>
              </w:rPr>
            </w:pPr>
            <w:r>
              <w:rPr>
                <w:rFonts w:ascii="Arial" w:cs="Arial" w:eastAsia="Arial" w:hAnsi="Arial"/>
                <w:sz w:val="13"/>
                <w:szCs w:val="13"/>
                <w:b w:val="1"/>
                <w:bCs w:val="1"/>
                <w:color w:val="auto"/>
                <w:w w:val="99"/>
              </w:rPr>
              <w:t>Compensation</w:t>
            </w:r>
          </w:p>
        </w:tc>
      </w:tr>
      <w:tr>
        <w:trPr>
          <w:trHeight w:val="233"/>
        </w:trPr>
        <w:tc>
          <w:tcPr>
            <w:tcW w:w="3920" w:type="dxa"/>
            <w:vAlign w:val="bottom"/>
          </w:tcPr>
          <w:p>
            <w:pPr>
              <w:spacing w:after="0"/>
              <w:rPr>
                <w:sz w:val="20"/>
                <w:szCs w:val="20"/>
                <w:color w:val="auto"/>
              </w:rPr>
            </w:pPr>
            <w:r>
              <w:rPr>
                <w:rFonts w:ascii="Arial" w:cs="Arial" w:eastAsia="Arial" w:hAnsi="Arial"/>
                <w:sz w:val="13"/>
                <w:szCs w:val="13"/>
                <w:b w:val="1"/>
                <w:bCs w:val="1"/>
                <w:color w:val="auto"/>
              </w:rPr>
              <w:t>Directors (a)</w:t>
            </w:r>
          </w:p>
        </w:tc>
        <w:tc>
          <w:tcPr>
            <w:tcW w:w="3760" w:type="dxa"/>
            <w:vAlign w:val="bottom"/>
          </w:tcPr>
          <w:p>
            <w:pPr>
              <w:jc w:val="center"/>
              <w:ind w:left="2501"/>
              <w:spacing w:after="0"/>
              <w:rPr>
                <w:sz w:val="20"/>
                <w:szCs w:val="20"/>
                <w:color w:val="auto"/>
              </w:rPr>
            </w:pPr>
            <w:r>
              <w:rPr>
                <w:rFonts w:ascii="Arial" w:cs="Arial" w:eastAsia="Arial" w:hAnsi="Arial"/>
                <w:sz w:val="13"/>
                <w:szCs w:val="13"/>
                <w:b w:val="1"/>
                <w:bCs w:val="1"/>
                <w:color w:val="auto"/>
                <w:w w:val="99"/>
              </w:rPr>
              <w:t>within 60 Days</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8"/>
              </w:rPr>
              <w:t>401(k) Account</w:t>
            </w:r>
          </w:p>
        </w:tc>
        <w:tc>
          <w:tcPr>
            <w:tcW w:w="1120" w:type="dxa"/>
            <w:vAlign w:val="bottom"/>
          </w:tcPr>
          <w:p>
            <w:pPr>
              <w:jc w:val="right"/>
              <w:ind w:right="60"/>
              <w:spacing w:after="0"/>
              <w:rPr>
                <w:sz w:val="20"/>
                <w:szCs w:val="20"/>
                <w:color w:val="auto"/>
              </w:rPr>
            </w:pPr>
            <w:r>
              <w:rPr>
                <w:rFonts w:ascii="Arial" w:cs="Arial" w:eastAsia="Arial" w:hAnsi="Arial"/>
                <w:sz w:val="13"/>
                <w:szCs w:val="13"/>
                <w:b w:val="1"/>
                <w:bCs w:val="1"/>
                <w:color w:val="auto"/>
              </w:rPr>
              <w:t>(in Shares) (b)</w:t>
            </w:r>
          </w:p>
        </w:tc>
        <w:tc>
          <w:tcPr>
            <w:tcW w:w="1020" w:type="dxa"/>
            <w:vAlign w:val="bottom"/>
          </w:tcPr>
          <w:p>
            <w:pPr>
              <w:jc w:val="center"/>
              <w:ind w:left="43"/>
              <w:spacing w:after="0"/>
              <w:rPr>
                <w:sz w:val="20"/>
                <w:szCs w:val="20"/>
                <w:color w:val="auto"/>
              </w:rPr>
            </w:pPr>
            <w:r>
              <w:rPr>
                <w:rFonts w:ascii="Arial" w:cs="Arial" w:eastAsia="Arial" w:hAnsi="Arial"/>
                <w:sz w:val="13"/>
                <w:szCs w:val="13"/>
                <w:b w:val="1"/>
                <w:bCs w:val="1"/>
                <w:color w:val="auto"/>
                <w:w w:val="99"/>
              </w:rPr>
              <w:t>Accounts (c)</w:t>
            </w:r>
          </w:p>
        </w:tc>
      </w:tr>
      <w:tr>
        <w:trPr>
          <w:trHeight w:val="45"/>
        </w:trPr>
        <w:tc>
          <w:tcPr>
            <w:tcW w:w="3920" w:type="dxa"/>
            <w:vAlign w:val="bottom"/>
            <w:tcBorders>
              <w:bottom w:val="single" w:sz="8" w:color="808285"/>
            </w:tcBorders>
          </w:tcPr>
          <w:p>
            <w:pPr>
              <w:spacing w:after="0"/>
              <w:rPr>
                <w:sz w:val="3"/>
                <w:szCs w:val="3"/>
                <w:color w:val="auto"/>
              </w:rPr>
            </w:pPr>
          </w:p>
        </w:tc>
        <w:tc>
          <w:tcPr>
            <w:tcW w:w="3760" w:type="dxa"/>
            <w:vAlign w:val="bottom"/>
            <w:tcBorders>
              <w:bottom w:val="single" w:sz="8" w:color="808285"/>
            </w:tcBorders>
          </w:tcPr>
          <w:p>
            <w:pPr>
              <w:spacing w:after="0"/>
              <w:rPr>
                <w:sz w:val="3"/>
                <w:szCs w:val="3"/>
                <w:color w:val="auto"/>
              </w:rPr>
            </w:pPr>
          </w:p>
        </w:tc>
        <w:tc>
          <w:tcPr>
            <w:tcW w:w="1180" w:type="dxa"/>
            <w:vAlign w:val="bottom"/>
            <w:tcBorders>
              <w:bottom w:val="single" w:sz="8" w:color="808285"/>
            </w:tcBorders>
          </w:tcPr>
          <w:p>
            <w:pPr>
              <w:spacing w:after="0"/>
              <w:rPr>
                <w:sz w:val="3"/>
                <w:szCs w:val="3"/>
                <w:color w:val="auto"/>
              </w:rPr>
            </w:pPr>
          </w:p>
        </w:tc>
        <w:tc>
          <w:tcPr>
            <w:tcW w:w="1120" w:type="dxa"/>
            <w:vAlign w:val="bottom"/>
            <w:tcBorders>
              <w:bottom w:val="single" w:sz="8" w:color="808285"/>
            </w:tcBorders>
          </w:tcPr>
          <w:p>
            <w:pPr>
              <w:spacing w:after="0"/>
              <w:rPr>
                <w:sz w:val="3"/>
                <w:szCs w:val="3"/>
                <w:color w:val="auto"/>
              </w:rPr>
            </w:pPr>
          </w:p>
        </w:tc>
        <w:tc>
          <w:tcPr>
            <w:tcW w:w="1020" w:type="dxa"/>
            <w:vAlign w:val="bottom"/>
            <w:tcBorders>
              <w:bottom w:val="single" w:sz="8" w:color="808285"/>
            </w:tcBorders>
          </w:tcPr>
          <w:p>
            <w:pPr>
              <w:spacing w:after="0"/>
              <w:rPr>
                <w:sz w:val="3"/>
                <w:szCs w:val="3"/>
                <w:color w:val="auto"/>
              </w:rPr>
            </w:pPr>
          </w:p>
        </w:tc>
      </w:tr>
      <w:tr>
        <w:trPr>
          <w:trHeight w:val="233"/>
        </w:trPr>
        <w:tc>
          <w:tcPr>
            <w:tcW w:w="3920" w:type="dxa"/>
            <w:vAlign w:val="bottom"/>
            <w:shd w:val="clear" w:color="auto" w:fill="E9E9E9"/>
          </w:tcPr>
          <w:p>
            <w:pPr>
              <w:spacing w:after="0"/>
              <w:rPr>
                <w:sz w:val="20"/>
                <w:szCs w:val="20"/>
                <w:color w:val="auto"/>
              </w:rPr>
            </w:pPr>
            <w:r>
              <w:rPr>
                <w:rFonts w:ascii="Arial" w:cs="Arial" w:eastAsia="Arial" w:hAnsi="Arial"/>
                <w:sz w:val="17"/>
                <w:szCs w:val="17"/>
                <w:color w:val="auto"/>
              </w:rPr>
              <w:t>R. W. Babb, Jr.</w:t>
            </w:r>
          </w:p>
        </w:tc>
        <w:tc>
          <w:tcPr>
            <w:tcW w:w="3760" w:type="dxa"/>
            <w:vAlign w:val="bottom"/>
            <w:shd w:val="clear" w:color="auto" w:fill="E9E9E9"/>
          </w:tcPr>
          <w:p>
            <w:pPr>
              <w:jc w:val="right"/>
              <w:ind w:right="61"/>
              <w:spacing w:after="0"/>
              <w:rPr>
                <w:sz w:val="20"/>
                <w:szCs w:val="20"/>
                <w:color w:val="auto"/>
              </w:rPr>
            </w:pPr>
            <w:r>
              <w:rPr>
                <w:rFonts w:ascii="Arial" w:cs="Arial" w:eastAsia="Arial" w:hAnsi="Arial"/>
                <w:sz w:val="17"/>
                <w:szCs w:val="17"/>
                <w:color w:val="auto"/>
              </w:rPr>
              <w:t>8,040</w:t>
            </w:r>
          </w:p>
        </w:tc>
        <w:tc>
          <w:tcPr>
            <w:tcW w:w="1180" w:type="dxa"/>
            <w:vAlign w:val="bottom"/>
            <w:shd w:val="clear" w:color="auto" w:fill="E9E9E9"/>
          </w:tcPr>
          <w:p>
            <w:pPr>
              <w:jc w:val="right"/>
              <w:ind w:right="241"/>
              <w:spacing w:after="0"/>
              <w:rPr>
                <w:sz w:val="20"/>
                <w:szCs w:val="20"/>
                <w:color w:val="auto"/>
              </w:rPr>
            </w:pPr>
            <w:r>
              <w:rPr>
                <w:rFonts w:ascii="Arial" w:cs="Arial" w:eastAsia="Arial" w:hAnsi="Arial"/>
                <w:sz w:val="17"/>
                <w:szCs w:val="17"/>
                <w:color w:val="auto"/>
              </w:rPr>
              <w:t>—</w:t>
            </w:r>
          </w:p>
        </w:tc>
        <w:tc>
          <w:tcPr>
            <w:tcW w:w="1120" w:type="dxa"/>
            <w:vAlign w:val="bottom"/>
            <w:shd w:val="clear" w:color="auto" w:fill="E9E9E9"/>
          </w:tcPr>
          <w:p>
            <w:pPr>
              <w:jc w:val="right"/>
              <w:ind w:right="220"/>
              <w:spacing w:after="0"/>
              <w:rPr>
                <w:sz w:val="20"/>
                <w:szCs w:val="20"/>
                <w:color w:val="auto"/>
              </w:rPr>
            </w:pPr>
            <w:r>
              <w:rPr>
                <w:rFonts w:ascii="Arial" w:cs="Arial" w:eastAsia="Arial" w:hAnsi="Arial"/>
                <w:sz w:val="17"/>
                <w:szCs w:val="17"/>
                <w:color w:val="auto"/>
              </w:rPr>
              <w:t>7,977</w:t>
            </w:r>
          </w:p>
        </w:tc>
        <w:tc>
          <w:tcPr>
            <w:tcW w:w="1020" w:type="dxa"/>
            <w:vAlign w:val="bottom"/>
            <w:shd w:val="clear" w:color="auto" w:fill="E9E9E9"/>
          </w:tcPr>
          <w:p>
            <w:pPr>
              <w:jc w:val="right"/>
              <w:ind w:right="103"/>
              <w:spacing w:after="0"/>
              <w:rPr>
                <w:sz w:val="20"/>
                <w:szCs w:val="20"/>
                <w:color w:val="auto"/>
              </w:rPr>
            </w:pPr>
            <w:r>
              <w:rPr>
                <w:rFonts w:ascii="Arial" w:cs="Arial" w:eastAsia="Arial" w:hAnsi="Arial"/>
                <w:sz w:val="17"/>
                <w:szCs w:val="17"/>
                <w:color w:val="auto"/>
              </w:rPr>
              <w:t>7,976</w:t>
            </w:r>
          </w:p>
        </w:tc>
      </w:tr>
      <w:tr>
        <w:trPr>
          <w:trHeight w:val="225"/>
        </w:trPr>
        <w:tc>
          <w:tcPr>
            <w:tcW w:w="3920" w:type="dxa"/>
            <w:vAlign w:val="bottom"/>
          </w:tcPr>
          <w:p>
            <w:pPr>
              <w:spacing w:after="0"/>
              <w:rPr>
                <w:sz w:val="20"/>
                <w:szCs w:val="20"/>
                <w:color w:val="auto"/>
              </w:rPr>
            </w:pPr>
            <w:r>
              <w:rPr>
                <w:rFonts w:ascii="Arial" w:cs="Arial" w:eastAsia="Arial" w:hAnsi="Arial"/>
                <w:sz w:val="17"/>
                <w:szCs w:val="17"/>
                <w:color w:val="auto"/>
              </w:rPr>
              <w:t>D. A. Carp</w:t>
            </w:r>
          </w:p>
        </w:tc>
        <w:tc>
          <w:tcPr>
            <w:tcW w:w="3760" w:type="dxa"/>
            <w:vAlign w:val="bottom"/>
          </w:tcPr>
          <w:p>
            <w:pPr>
              <w:jc w:val="right"/>
              <w:ind w:right="61"/>
              <w:spacing w:after="0"/>
              <w:rPr>
                <w:sz w:val="20"/>
                <w:szCs w:val="20"/>
                <w:color w:val="auto"/>
              </w:rPr>
            </w:pPr>
            <w:r>
              <w:rPr>
                <w:rFonts w:ascii="Arial" w:cs="Arial" w:eastAsia="Arial" w:hAnsi="Arial"/>
                <w:sz w:val="17"/>
                <w:szCs w:val="17"/>
                <w:color w:val="auto"/>
              </w:rPr>
              <w:t>79,290</w:t>
            </w:r>
          </w:p>
        </w:tc>
        <w:tc>
          <w:tcPr>
            <w:tcW w:w="1180" w:type="dxa"/>
            <w:vAlign w:val="bottom"/>
          </w:tcPr>
          <w:p>
            <w:pPr>
              <w:jc w:val="right"/>
              <w:ind w:right="241"/>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20"/>
              <w:spacing w:after="0"/>
              <w:rPr>
                <w:sz w:val="20"/>
                <w:szCs w:val="20"/>
                <w:color w:val="auto"/>
              </w:rPr>
            </w:pPr>
            <w:r>
              <w:rPr>
                <w:rFonts w:ascii="Arial" w:cs="Arial" w:eastAsia="Arial" w:hAnsi="Arial"/>
                <w:sz w:val="17"/>
                <w:szCs w:val="17"/>
                <w:color w:val="auto"/>
              </w:rPr>
              <w:t>24,641</w:t>
            </w:r>
          </w:p>
        </w:tc>
        <w:tc>
          <w:tcPr>
            <w:tcW w:w="1020" w:type="dxa"/>
            <w:vAlign w:val="bottom"/>
          </w:tcPr>
          <w:p>
            <w:pPr>
              <w:jc w:val="right"/>
              <w:ind w:right="103"/>
              <w:spacing w:after="0"/>
              <w:rPr>
                <w:sz w:val="20"/>
                <w:szCs w:val="20"/>
                <w:color w:val="auto"/>
              </w:rPr>
            </w:pPr>
            <w:r>
              <w:rPr>
                <w:rFonts w:ascii="Arial" w:cs="Arial" w:eastAsia="Arial" w:hAnsi="Arial"/>
                <w:sz w:val="17"/>
                <w:szCs w:val="17"/>
                <w:color w:val="auto"/>
              </w:rPr>
              <w:t>34,152</w:t>
            </w:r>
          </w:p>
        </w:tc>
      </w:tr>
      <w:tr>
        <w:trPr>
          <w:trHeight w:val="240"/>
        </w:trPr>
        <w:tc>
          <w:tcPr>
            <w:tcW w:w="3920" w:type="dxa"/>
            <w:vAlign w:val="bottom"/>
            <w:shd w:val="clear" w:color="auto" w:fill="E9E9E9"/>
          </w:tcPr>
          <w:p>
            <w:pPr>
              <w:spacing w:after="0"/>
              <w:rPr>
                <w:sz w:val="20"/>
                <w:szCs w:val="20"/>
                <w:color w:val="auto"/>
              </w:rPr>
            </w:pPr>
            <w:r>
              <w:rPr>
                <w:rFonts w:ascii="Arial" w:cs="Arial" w:eastAsia="Arial" w:hAnsi="Arial"/>
                <w:sz w:val="17"/>
                <w:szCs w:val="17"/>
                <w:color w:val="auto"/>
              </w:rPr>
              <w:t>C. S. Cox</w:t>
            </w:r>
          </w:p>
        </w:tc>
        <w:tc>
          <w:tcPr>
            <w:tcW w:w="3760" w:type="dxa"/>
            <w:vAlign w:val="bottom"/>
            <w:shd w:val="clear" w:color="auto" w:fill="E9E9E9"/>
          </w:tcPr>
          <w:p>
            <w:pPr>
              <w:jc w:val="right"/>
              <w:ind w:right="61"/>
              <w:spacing w:after="0"/>
              <w:rPr>
                <w:sz w:val="20"/>
                <w:szCs w:val="20"/>
                <w:color w:val="auto"/>
              </w:rPr>
            </w:pPr>
            <w:r>
              <w:rPr>
                <w:rFonts w:ascii="Arial" w:cs="Arial" w:eastAsia="Arial" w:hAnsi="Arial"/>
                <w:sz w:val="17"/>
                <w:szCs w:val="17"/>
                <w:color w:val="auto"/>
              </w:rPr>
              <w:t>64,290</w:t>
            </w:r>
          </w:p>
        </w:tc>
        <w:tc>
          <w:tcPr>
            <w:tcW w:w="1180" w:type="dxa"/>
            <w:vAlign w:val="bottom"/>
            <w:shd w:val="clear" w:color="auto" w:fill="E9E9E9"/>
          </w:tcPr>
          <w:p>
            <w:pPr>
              <w:jc w:val="right"/>
              <w:ind w:right="241"/>
              <w:spacing w:after="0"/>
              <w:rPr>
                <w:sz w:val="20"/>
                <w:szCs w:val="20"/>
                <w:color w:val="auto"/>
              </w:rPr>
            </w:pPr>
            <w:r>
              <w:rPr>
                <w:rFonts w:ascii="Arial" w:cs="Arial" w:eastAsia="Arial" w:hAnsi="Arial"/>
                <w:sz w:val="17"/>
                <w:szCs w:val="17"/>
                <w:color w:val="auto"/>
              </w:rPr>
              <w:t>—</w:t>
            </w:r>
          </w:p>
        </w:tc>
        <w:tc>
          <w:tcPr>
            <w:tcW w:w="1120" w:type="dxa"/>
            <w:vAlign w:val="bottom"/>
            <w:shd w:val="clear" w:color="auto" w:fill="E9E9E9"/>
          </w:tcPr>
          <w:p>
            <w:pPr>
              <w:jc w:val="right"/>
              <w:ind w:right="220"/>
              <w:spacing w:after="0"/>
              <w:rPr>
                <w:sz w:val="20"/>
                <w:szCs w:val="20"/>
                <w:color w:val="auto"/>
              </w:rPr>
            </w:pPr>
            <w:r>
              <w:rPr>
                <w:rFonts w:ascii="Arial" w:cs="Arial" w:eastAsia="Arial" w:hAnsi="Arial"/>
                <w:sz w:val="17"/>
                <w:szCs w:val="17"/>
                <w:color w:val="auto"/>
              </w:rPr>
              <w:t>17,977</w:t>
            </w:r>
          </w:p>
        </w:tc>
        <w:tc>
          <w:tcPr>
            <w:tcW w:w="1020" w:type="dxa"/>
            <w:vAlign w:val="bottom"/>
            <w:shd w:val="clear" w:color="auto" w:fill="E9E9E9"/>
          </w:tcPr>
          <w:p>
            <w:pPr>
              <w:jc w:val="right"/>
              <w:ind w:right="103"/>
              <w:spacing w:after="0"/>
              <w:rPr>
                <w:sz w:val="20"/>
                <w:szCs w:val="20"/>
                <w:color w:val="auto"/>
              </w:rPr>
            </w:pPr>
            <w:r>
              <w:rPr>
                <w:rFonts w:ascii="Arial" w:cs="Arial" w:eastAsia="Arial" w:hAnsi="Arial"/>
                <w:sz w:val="17"/>
                <w:szCs w:val="17"/>
                <w:color w:val="auto"/>
              </w:rPr>
              <w:t>803</w:t>
            </w:r>
          </w:p>
        </w:tc>
      </w:tr>
      <w:tr>
        <w:trPr>
          <w:trHeight w:val="225"/>
        </w:trPr>
        <w:tc>
          <w:tcPr>
            <w:tcW w:w="3920" w:type="dxa"/>
            <w:vAlign w:val="bottom"/>
          </w:tcPr>
          <w:p>
            <w:pPr>
              <w:spacing w:after="0"/>
              <w:rPr>
                <w:sz w:val="20"/>
                <w:szCs w:val="20"/>
                <w:color w:val="auto"/>
              </w:rPr>
            </w:pPr>
            <w:r>
              <w:rPr>
                <w:rFonts w:ascii="Arial" w:cs="Arial" w:eastAsia="Arial" w:hAnsi="Arial"/>
                <w:sz w:val="17"/>
                <w:szCs w:val="17"/>
                <w:color w:val="auto"/>
              </w:rPr>
              <w:t>P. H. Patsley</w:t>
            </w:r>
          </w:p>
        </w:tc>
        <w:tc>
          <w:tcPr>
            <w:tcW w:w="3760" w:type="dxa"/>
            <w:vAlign w:val="bottom"/>
          </w:tcPr>
          <w:p>
            <w:pPr>
              <w:jc w:val="right"/>
              <w:ind w:right="61"/>
              <w:spacing w:after="0"/>
              <w:rPr>
                <w:sz w:val="20"/>
                <w:szCs w:val="20"/>
                <w:color w:val="auto"/>
              </w:rPr>
            </w:pPr>
            <w:r>
              <w:rPr>
                <w:rFonts w:ascii="Arial" w:cs="Arial" w:eastAsia="Arial" w:hAnsi="Arial"/>
                <w:sz w:val="17"/>
                <w:szCs w:val="17"/>
                <w:color w:val="auto"/>
              </w:rPr>
              <w:t>64,290</w:t>
            </w:r>
          </w:p>
        </w:tc>
        <w:tc>
          <w:tcPr>
            <w:tcW w:w="1180" w:type="dxa"/>
            <w:vAlign w:val="bottom"/>
          </w:tcPr>
          <w:p>
            <w:pPr>
              <w:jc w:val="right"/>
              <w:ind w:right="241"/>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20"/>
              <w:spacing w:after="0"/>
              <w:rPr>
                <w:sz w:val="20"/>
                <w:szCs w:val="20"/>
                <w:color w:val="auto"/>
              </w:rPr>
            </w:pPr>
            <w:r>
              <w:rPr>
                <w:rFonts w:ascii="Arial" w:cs="Arial" w:eastAsia="Arial" w:hAnsi="Arial"/>
                <w:sz w:val="17"/>
                <w:szCs w:val="17"/>
                <w:color w:val="auto"/>
              </w:rPr>
              <w:t>12,977</w:t>
            </w:r>
          </w:p>
        </w:tc>
        <w:tc>
          <w:tcPr>
            <w:tcW w:w="1020" w:type="dxa"/>
            <w:vAlign w:val="bottom"/>
          </w:tcPr>
          <w:p>
            <w:pPr>
              <w:jc w:val="right"/>
              <w:ind w:right="103"/>
              <w:spacing w:after="0"/>
              <w:rPr>
                <w:sz w:val="20"/>
                <w:szCs w:val="20"/>
                <w:color w:val="auto"/>
              </w:rPr>
            </w:pPr>
            <w:r>
              <w:rPr>
                <w:rFonts w:ascii="Arial" w:cs="Arial" w:eastAsia="Arial" w:hAnsi="Arial"/>
                <w:sz w:val="17"/>
                <w:szCs w:val="17"/>
                <w:color w:val="auto"/>
              </w:rPr>
              <w:t>31,709</w:t>
            </w:r>
          </w:p>
        </w:tc>
      </w:tr>
      <w:tr>
        <w:trPr>
          <w:trHeight w:val="240"/>
        </w:trPr>
        <w:tc>
          <w:tcPr>
            <w:tcW w:w="3920" w:type="dxa"/>
            <w:vAlign w:val="bottom"/>
            <w:shd w:val="clear" w:color="auto" w:fill="E9E9E9"/>
          </w:tcPr>
          <w:p>
            <w:pPr>
              <w:spacing w:after="0"/>
              <w:rPr>
                <w:sz w:val="20"/>
                <w:szCs w:val="20"/>
                <w:color w:val="auto"/>
              </w:rPr>
            </w:pPr>
            <w:r>
              <w:rPr>
                <w:rFonts w:ascii="Arial" w:cs="Arial" w:eastAsia="Arial" w:hAnsi="Arial"/>
                <w:sz w:val="17"/>
                <w:szCs w:val="17"/>
                <w:color w:val="auto"/>
              </w:rPr>
              <w:t>R. E. Sanchez</w:t>
            </w:r>
          </w:p>
        </w:tc>
        <w:tc>
          <w:tcPr>
            <w:tcW w:w="3760" w:type="dxa"/>
            <w:vAlign w:val="bottom"/>
            <w:shd w:val="clear" w:color="auto" w:fill="E9E9E9"/>
          </w:tcPr>
          <w:p>
            <w:pPr>
              <w:jc w:val="right"/>
              <w:ind w:right="61"/>
              <w:spacing w:after="0"/>
              <w:rPr>
                <w:sz w:val="20"/>
                <w:szCs w:val="20"/>
                <w:color w:val="auto"/>
              </w:rPr>
            </w:pPr>
            <w:r>
              <w:rPr>
                <w:rFonts w:ascii="Arial" w:cs="Arial" w:eastAsia="Arial" w:hAnsi="Arial"/>
                <w:sz w:val="17"/>
                <w:szCs w:val="17"/>
                <w:color w:val="auto"/>
              </w:rPr>
              <w:t>3,039</w:t>
            </w:r>
          </w:p>
        </w:tc>
        <w:tc>
          <w:tcPr>
            <w:tcW w:w="1180" w:type="dxa"/>
            <w:vAlign w:val="bottom"/>
            <w:shd w:val="clear" w:color="auto" w:fill="E9E9E9"/>
          </w:tcPr>
          <w:p>
            <w:pPr>
              <w:jc w:val="right"/>
              <w:ind w:right="241"/>
              <w:spacing w:after="0"/>
              <w:rPr>
                <w:sz w:val="20"/>
                <w:szCs w:val="20"/>
                <w:color w:val="auto"/>
              </w:rPr>
            </w:pPr>
            <w:r>
              <w:rPr>
                <w:rFonts w:ascii="Arial" w:cs="Arial" w:eastAsia="Arial" w:hAnsi="Arial"/>
                <w:sz w:val="17"/>
                <w:szCs w:val="17"/>
                <w:color w:val="auto"/>
              </w:rPr>
              <w:t>—</w:t>
            </w:r>
          </w:p>
        </w:tc>
        <w:tc>
          <w:tcPr>
            <w:tcW w:w="1120" w:type="dxa"/>
            <w:vAlign w:val="bottom"/>
            <w:shd w:val="clear" w:color="auto" w:fill="E9E9E9"/>
          </w:tcPr>
          <w:p>
            <w:pPr>
              <w:jc w:val="right"/>
              <w:ind w:right="220"/>
              <w:spacing w:after="0"/>
              <w:rPr>
                <w:sz w:val="20"/>
                <w:szCs w:val="20"/>
                <w:color w:val="auto"/>
              </w:rPr>
            </w:pPr>
            <w:r>
              <w:rPr>
                <w:rFonts w:ascii="Arial" w:cs="Arial" w:eastAsia="Arial" w:hAnsi="Arial"/>
                <w:sz w:val="17"/>
                <w:szCs w:val="17"/>
                <w:color w:val="auto"/>
              </w:rPr>
              <w:t>5,090</w:t>
            </w:r>
          </w:p>
        </w:tc>
        <w:tc>
          <w:tcPr>
            <w:tcW w:w="1020" w:type="dxa"/>
            <w:vAlign w:val="bottom"/>
            <w:shd w:val="clear" w:color="auto" w:fill="E9E9E9"/>
          </w:tcPr>
          <w:p>
            <w:pPr>
              <w:jc w:val="right"/>
              <w:ind w:right="103"/>
              <w:spacing w:after="0"/>
              <w:rPr>
                <w:sz w:val="20"/>
                <w:szCs w:val="20"/>
                <w:color w:val="auto"/>
              </w:rPr>
            </w:pPr>
            <w:r>
              <w:rPr>
                <w:rFonts w:ascii="Arial" w:cs="Arial" w:eastAsia="Arial" w:hAnsi="Arial"/>
                <w:sz w:val="17"/>
                <w:szCs w:val="17"/>
                <w:color w:val="auto"/>
              </w:rPr>
              <w:t>—</w:t>
            </w:r>
          </w:p>
        </w:tc>
      </w:tr>
      <w:tr>
        <w:trPr>
          <w:trHeight w:val="225"/>
        </w:trPr>
        <w:tc>
          <w:tcPr>
            <w:tcW w:w="3920" w:type="dxa"/>
            <w:vAlign w:val="bottom"/>
          </w:tcPr>
          <w:p>
            <w:pPr>
              <w:spacing w:after="0"/>
              <w:rPr>
                <w:sz w:val="20"/>
                <w:szCs w:val="20"/>
                <w:color w:val="auto"/>
              </w:rPr>
            </w:pPr>
            <w:r>
              <w:rPr>
                <w:rFonts w:ascii="Arial" w:cs="Arial" w:eastAsia="Arial" w:hAnsi="Arial"/>
                <w:sz w:val="17"/>
                <w:szCs w:val="17"/>
                <w:color w:val="auto"/>
              </w:rPr>
              <w:t>W. R. Sanders</w:t>
            </w:r>
          </w:p>
        </w:tc>
        <w:tc>
          <w:tcPr>
            <w:tcW w:w="3760" w:type="dxa"/>
            <w:vAlign w:val="bottom"/>
          </w:tcPr>
          <w:p>
            <w:pPr>
              <w:jc w:val="right"/>
              <w:ind w:right="61"/>
              <w:spacing w:after="0"/>
              <w:rPr>
                <w:sz w:val="20"/>
                <w:szCs w:val="20"/>
                <w:color w:val="auto"/>
              </w:rPr>
            </w:pPr>
            <w:r>
              <w:rPr>
                <w:rFonts w:ascii="Arial" w:cs="Arial" w:eastAsia="Arial" w:hAnsi="Arial"/>
                <w:sz w:val="17"/>
                <w:szCs w:val="17"/>
                <w:color w:val="auto"/>
              </w:rPr>
              <w:t>59,040</w:t>
            </w:r>
          </w:p>
        </w:tc>
        <w:tc>
          <w:tcPr>
            <w:tcW w:w="1180" w:type="dxa"/>
            <w:vAlign w:val="bottom"/>
          </w:tcPr>
          <w:p>
            <w:pPr>
              <w:jc w:val="right"/>
              <w:ind w:right="241"/>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20"/>
              <w:spacing w:after="0"/>
              <w:rPr>
                <w:sz w:val="20"/>
                <w:szCs w:val="20"/>
                <w:color w:val="auto"/>
              </w:rPr>
            </w:pPr>
            <w:r>
              <w:rPr>
                <w:rFonts w:ascii="Arial" w:cs="Arial" w:eastAsia="Arial" w:hAnsi="Arial"/>
                <w:sz w:val="17"/>
                <w:szCs w:val="17"/>
                <w:color w:val="auto"/>
              </w:rPr>
              <w:t>20,577</w:t>
            </w:r>
          </w:p>
        </w:tc>
        <w:tc>
          <w:tcPr>
            <w:tcW w:w="1020" w:type="dxa"/>
            <w:vAlign w:val="bottom"/>
          </w:tcPr>
          <w:p>
            <w:pPr>
              <w:jc w:val="right"/>
              <w:ind w:right="103"/>
              <w:spacing w:after="0"/>
              <w:rPr>
                <w:sz w:val="20"/>
                <w:szCs w:val="20"/>
                <w:color w:val="auto"/>
              </w:rPr>
            </w:pPr>
            <w:r>
              <w:rPr>
                <w:rFonts w:ascii="Arial" w:cs="Arial" w:eastAsia="Arial" w:hAnsi="Arial"/>
                <w:sz w:val="17"/>
                <w:szCs w:val="17"/>
                <w:color w:val="auto"/>
              </w:rPr>
              <w:t>1,454</w:t>
            </w:r>
          </w:p>
        </w:tc>
      </w:tr>
      <w:tr>
        <w:trPr>
          <w:trHeight w:val="240"/>
        </w:trPr>
        <w:tc>
          <w:tcPr>
            <w:tcW w:w="3920" w:type="dxa"/>
            <w:vAlign w:val="bottom"/>
            <w:shd w:val="clear" w:color="auto" w:fill="E9E9E9"/>
          </w:tcPr>
          <w:p>
            <w:pPr>
              <w:spacing w:after="0"/>
              <w:rPr>
                <w:sz w:val="20"/>
                <w:szCs w:val="20"/>
                <w:color w:val="auto"/>
              </w:rPr>
            </w:pPr>
            <w:r>
              <w:rPr>
                <w:rFonts w:ascii="Arial" w:cs="Arial" w:eastAsia="Arial" w:hAnsi="Arial"/>
                <w:sz w:val="17"/>
                <w:szCs w:val="17"/>
                <w:color w:val="auto"/>
              </w:rPr>
              <w:t>R. J. Simmons</w:t>
            </w:r>
          </w:p>
        </w:tc>
        <w:tc>
          <w:tcPr>
            <w:tcW w:w="3760" w:type="dxa"/>
            <w:vAlign w:val="bottom"/>
            <w:shd w:val="clear" w:color="auto" w:fill="E9E9E9"/>
          </w:tcPr>
          <w:p>
            <w:pPr>
              <w:jc w:val="right"/>
              <w:ind w:right="61"/>
              <w:spacing w:after="0"/>
              <w:rPr>
                <w:sz w:val="20"/>
                <w:szCs w:val="20"/>
                <w:color w:val="auto"/>
              </w:rPr>
            </w:pPr>
            <w:r>
              <w:rPr>
                <w:rFonts w:ascii="Arial" w:cs="Arial" w:eastAsia="Arial" w:hAnsi="Arial"/>
                <w:sz w:val="17"/>
                <w:szCs w:val="17"/>
                <w:color w:val="auto"/>
              </w:rPr>
              <w:t>79,290</w:t>
            </w:r>
          </w:p>
        </w:tc>
        <w:tc>
          <w:tcPr>
            <w:tcW w:w="1180" w:type="dxa"/>
            <w:vAlign w:val="bottom"/>
            <w:shd w:val="clear" w:color="auto" w:fill="E9E9E9"/>
          </w:tcPr>
          <w:p>
            <w:pPr>
              <w:jc w:val="right"/>
              <w:ind w:right="241"/>
              <w:spacing w:after="0"/>
              <w:rPr>
                <w:sz w:val="20"/>
                <w:szCs w:val="20"/>
                <w:color w:val="auto"/>
              </w:rPr>
            </w:pPr>
            <w:r>
              <w:rPr>
                <w:rFonts w:ascii="Arial" w:cs="Arial" w:eastAsia="Arial" w:hAnsi="Arial"/>
                <w:sz w:val="17"/>
                <w:szCs w:val="17"/>
                <w:color w:val="auto"/>
              </w:rPr>
              <w:t>—</w:t>
            </w:r>
          </w:p>
        </w:tc>
        <w:tc>
          <w:tcPr>
            <w:tcW w:w="1120" w:type="dxa"/>
            <w:vAlign w:val="bottom"/>
            <w:shd w:val="clear" w:color="auto" w:fill="E9E9E9"/>
          </w:tcPr>
          <w:p>
            <w:pPr>
              <w:jc w:val="right"/>
              <w:ind w:right="220"/>
              <w:spacing w:after="0"/>
              <w:rPr>
                <w:sz w:val="20"/>
                <w:szCs w:val="20"/>
                <w:color w:val="auto"/>
              </w:rPr>
            </w:pPr>
            <w:r>
              <w:rPr>
                <w:rFonts w:ascii="Arial" w:cs="Arial" w:eastAsia="Arial" w:hAnsi="Arial"/>
                <w:sz w:val="17"/>
                <w:szCs w:val="17"/>
                <w:color w:val="auto"/>
              </w:rPr>
              <w:t>23,977</w:t>
            </w:r>
          </w:p>
        </w:tc>
        <w:tc>
          <w:tcPr>
            <w:tcW w:w="1020" w:type="dxa"/>
            <w:vAlign w:val="bottom"/>
            <w:shd w:val="clear" w:color="auto" w:fill="E9E9E9"/>
          </w:tcPr>
          <w:p>
            <w:pPr>
              <w:jc w:val="right"/>
              <w:ind w:right="103"/>
              <w:spacing w:after="0"/>
              <w:rPr>
                <w:sz w:val="20"/>
                <w:szCs w:val="20"/>
                <w:color w:val="auto"/>
              </w:rPr>
            </w:pPr>
            <w:r>
              <w:rPr>
                <w:rFonts w:ascii="Arial" w:cs="Arial" w:eastAsia="Arial" w:hAnsi="Arial"/>
                <w:sz w:val="17"/>
                <w:szCs w:val="17"/>
                <w:color w:val="auto"/>
              </w:rPr>
              <w:t>17,018</w:t>
            </w:r>
          </w:p>
        </w:tc>
      </w:tr>
      <w:tr>
        <w:trPr>
          <w:trHeight w:val="225"/>
        </w:trPr>
        <w:tc>
          <w:tcPr>
            <w:tcW w:w="3920" w:type="dxa"/>
            <w:vAlign w:val="bottom"/>
          </w:tcPr>
          <w:p>
            <w:pPr>
              <w:spacing w:after="0"/>
              <w:rPr>
                <w:sz w:val="20"/>
                <w:szCs w:val="20"/>
                <w:color w:val="auto"/>
              </w:rPr>
            </w:pPr>
            <w:r>
              <w:rPr>
                <w:rFonts w:ascii="Arial" w:cs="Arial" w:eastAsia="Arial" w:hAnsi="Arial"/>
                <w:sz w:val="17"/>
                <w:szCs w:val="17"/>
                <w:color w:val="auto"/>
              </w:rPr>
              <w:t>R. K. Templeton</w:t>
            </w:r>
          </w:p>
        </w:tc>
        <w:tc>
          <w:tcPr>
            <w:tcW w:w="3760" w:type="dxa"/>
            <w:vAlign w:val="bottom"/>
          </w:tcPr>
          <w:p>
            <w:pPr>
              <w:jc w:val="right"/>
              <w:ind w:right="61"/>
              <w:spacing w:after="0"/>
              <w:rPr>
                <w:sz w:val="20"/>
                <w:szCs w:val="20"/>
                <w:color w:val="auto"/>
              </w:rPr>
            </w:pPr>
            <w:r>
              <w:rPr>
                <w:rFonts w:ascii="Arial" w:cs="Arial" w:eastAsia="Arial" w:hAnsi="Arial"/>
                <w:sz w:val="17"/>
                <w:szCs w:val="17"/>
                <w:color w:val="auto"/>
              </w:rPr>
              <w:t>3,503,422</w:t>
            </w:r>
          </w:p>
        </w:tc>
        <w:tc>
          <w:tcPr>
            <w:tcW w:w="1180" w:type="dxa"/>
            <w:vAlign w:val="bottom"/>
          </w:tcPr>
          <w:p>
            <w:pPr>
              <w:jc w:val="right"/>
              <w:ind w:right="241"/>
              <w:spacing w:after="0"/>
              <w:rPr>
                <w:sz w:val="20"/>
                <w:szCs w:val="20"/>
                <w:color w:val="auto"/>
              </w:rPr>
            </w:pPr>
            <w:r>
              <w:rPr>
                <w:rFonts w:ascii="Arial" w:cs="Arial" w:eastAsia="Arial" w:hAnsi="Arial"/>
                <w:sz w:val="17"/>
                <w:szCs w:val="17"/>
                <w:color w:val="auto"/>
              </w:rPr>
              <w:t>12,266</w:t>
            </w:r>
          </w:p>
        </w:tc>
        <w:tc>
          <w:tcPr>
            <w:tcW w:w="1120" w:type="dxa"/>
            <w:vAlign w:val="bottom"/>
          </w:tcPr>
          <w:p>
            <w:pPr>
              <w:jc w:val="right"/>
              <w:ind w:right="220"/>
              <w:spacing w:after="0"/>
              <w:rPr>
                <w:sz w:val="20"/>
                <w:szCs w:val="20"/>
                <w:color w:val="auto"/>
              </w:rPr>
            </w:pPr>
            <w:r>
              <w:rPr>
                <w:rFonts w:ascii="Arial" w:cs="Arial" w:eastAsia="Arial" w:hAnsi="Arial"/>
                <w:sz w:val="17"/>
                <w:szCs w:val="17"/>
                <w:color w:val="auto"/>
              </w:rPr>
              <w:t>829,821</w:t>
            </w:r>
          </w:p>
        </w:tc>
        <w:tc>
          <w:tcPr>
            <w:tcW w:w="1020" w:type="dxa"/>
            <w:vAlign w:val="bottom"/>
          </w:tcPr>
          <w:p>
            <w:pPr>
              <w:jc w:val="right"/>
              <w:ind w:right="103"/>
              <w:spacing w:after="0"/>
              <w:rPr>
                <w:sz w:val="20"/>
                <w:szCs w:val="20"/>
                <w:color w:val="auto"/>
              </w:rPr>
            </w:pPr>
            <w:r>
              <w:rPr>
                <w:rFonts w:ascii="Arial" w:cs="Arial" w:eastAsia="Arial" w:hAnsi="Arial"/>
                <w:sz w:val="17"/>
                <w:szCs w:val="17"/>
                <w:color w:val="auto"/>
              </w:rPr>
              <w:t>—</w:t>
            </w:r>
          </w:p>
        </w:tc>
      </w:tr>
      <w:tr>
        <w:trPr>
          <w:trHeight w:val="240"/>
        </w:trPr>
        <w:tc>
          <w:tcPr>
            <w:tcW w:w="3920" w:type="dxa"/>
            <w:vAlign w:val="bottom"/>
            <w:shd w:val="clear" w:color="auto" w:fill="E9E9E9"/>
          </w:tcPr>
          <w:p>
            <w:pPr>
              <w:spacing w:after="0"/>
              <w:rPr>
                <w:sz w:val="20"/>
                <w:szCs w:val="20"/>
                <w:color w:val="auto"/>
              </w:rPr>
            </w:pPr>
            <w:r>
              <w:rPr>
                <w:rFonts w:ascii="Arial" w:cs="Arial" w:eastAsia="Arial" w:hAnsi="Arial"/>
                <w:sz w:val="17"/>
                <w:szCs w:val="17"/>
                <w:color w:val="auto"/>
              </w:rPr>
              <w:t>C. T. Whitman</w:t>
            </w:r>
          </w:p>
        </w:tc>
        <w:tc>
          <w:tcPr>
            <w:tcW w:w="3760" w:type="dxa"/>
            <w:vAlign w:val="bottom"/>
            <w:shd w:val="clear" w:color="auto" w:fill="E9E9E9"/>
          </w:tcPr>
          <w:p>
            <w:pPr>
              <w:jc w:val="right"/>
              <w:ind w:right="61"/>
              <w:spacing w:after="0"/>
              <w:rPr>
                <w:sz w:val="20"/>
                <w:szCs w:val="20"/>
                <w:color w:val="auto"/>
              </w:rPr>
            </w:pPr>
            <w:r>
              <w:rPr>
                <w:rFonts w:ascii="Arial" w:cs="Arial" w:eastAsia="Arial" w:hAnsi="Arial"/>
                <w:sz w:val="17"/>
                <w:szCs w:val="17"/>
                <w:color w:val="auto"/>
              </w:rPr>
              <w:t>79,290</w:t>
            </w:r>
          </w:p>
        </w:tc>
        <w:tc>
          <w:tcPr>
            <w:tcW w:w="1180" w:type="dxa"/>
            <w:vAlign w:val="bottom"/>
            <w:shd w:val="clear" w:color="auto" w:fill="E9E9E9"/>
          </w:tcPr>
          <w:p>
            <w:pPr>
              <w:jc w:val="right"/>
              <w:ind w:right="241"/>
              <w:spacing w:after="0"/>
              <w:rPr>
                <w:sz w:val="20"/>
                <w:szCs w:val="20"/>
                <w:color w:val="auto"/>
              </w:rPr>
            </w:pPr>
            <w:r>
              <w:rPr>
                <w:rFonts w:ascii="Arial" w:cs="Arial" w:eastAsia="Arial" w:hAnsi="Arial"/>
                <w:sz w:val="17"/>
                <w:szCs w:val="17"/>
                <w:color w:val="auto"/>
              </w:rPr>
              <w:t>—</w:t>
            </w:r>
          </w:p>
        </w:tc>
        <w:tc>
          <w:tcPr>
            <w:tcW w:w="1120" w:type="dxa"/>
            <w:vAlign w:val="bottom"/>
            <w:shd w:val="clear" w:color="auto" w:fill="E9E9E9"/>
          </w:tcPr>
          <w:p>
            <w:pPr>
              <w:jc w:val="right"/>
              <w:ind w:right="220"/>
              <w:spacing w:after="0"/>
              <w:rPr>
                <w:sz w:val="20"/>
                <w:szCs w:val="20"/>
                <w:color w:val="auto"/>
              </w:rPr>
            </w:pPr>
            <w:r>
              <w:rPr>
                <w:rFonts w:ascii="Arial" w:cs="Arial" w:eastAsia="Arial" w:hAnsi="Arial"/>
                <w:sz w:val="17"/>
                <w:szCs w:val="17"/>
                <w:color w:val="auto"/>
              </w:rPr>
              <w:t>17,977</w:t>
            </w:r>
          </w:p>
        </w:tc>
        <w:tc>
          <w:tcPr>
            <w:tcW w:w="1020" w:type="dxa"/>
            <w:vAlign w:val="bottom"/>
            <w:shd w:val="clear" w:color="auto" w:fill="E9E9E9"/>
          </w:tcPr>
          <w:p>
            <w:pPr>
              <w:jc w:val="right"/>
              <w:ind w:right="103"/>
              <w:spacing w:after="0"/>
              <w:rPr>
                <w:sz w:val="20"/>
                <w:szCs w:val="20"/>
                <w:color w:val="auto"/>
              </w:rPr>
            </w:pPr>
            <w:r>
              <w:rPr>
                <w:rFonts w:ascii="Arial" w:cs="Arial" w:eastAsia="Arial" w:hAnsi="Arial"/>
                <w:sz w:val="17"/>
                <w:szCs w:val="17"/>
                <w:color w:val="auto"/>
              </w:rPr>
              <w:t>7,323</w:t>
            </w:r>
          </w:p>
        </w:tc>
      </w:tr>
    </w:tbl>
    <w:p>
      <w:pPr>
        <w:spacing w:after="0" w:line="236" w:lineRule="exact"/>
        <w:rPr>
          <w:sz w:val="20"/>
          <w:szCs w:val="20"/>
          <w:color w:val="auto"/>
        </w:rPr>
      </w:pPr>
    </w:p>
    <w:p>
      <w:pPr>
        <w:ind w:left="900" w:right="520" w:hanging="470"/>
        <w:spacing w:after="0" w:line="245"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Mr. Blinn was elected to the board effective February 21, 2013. On that date he was granted 2,000 RSUs pursuant to the 2009 Director Compensation Plan. For a discussion of that plan, please see pages 64-65.</w:t>
      </w:r>
    </w:p>
    <w:p>
      <w:pPr>
        <w:spacing w:after="0" w:line="221" w:lineRule="exact"/>
        <w:rPr>
          <w:rFonts w:ascii="Arial" w:cs="Arial" w:eastAsia="Arial" w:hAnsi="Arial"/>
          <w:sz w:val="17"/>
          <w:szCs w:val="17"/>
          <w:color w:val="auto"/>
        </w:rPr>
      </w:pPr>
    </w:p>
    <w:p>
      <w:pPr>
        <w:jc w:val="both"/>
        <w:ind w:left="900" w:right="220" w:hanging="470"/>
        <w:spacing w:after="0" w:line="241"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non-employee directors’ RSUs granted before 2007 are settled in TI common stock generally upon the director’s termination of service provided he or she has served at least eight years or has reached the company’s retirement age for directors. RSUs granted after 2006 are settled in TI common stock generally upon the fourth anniversary of the grant date.</w:t>
      </w:r>
    </w:p>
    <w:p>
      <w:pPr>
        <w:spacing w:after="0" w:line="225" w:lineRule="exact"/>
        <w:rPr>
          <w:rFonts w:ascii="Arial" w:cs="Arial" w:eastAsia="Arial" w:hAnsi="Arial"/>
          <w:sz w:val="17"/>
          <w:szCs w:val="17"/>
          <w:color w:val="auto"/>
        </w:rPr>
      </w:pPr>
    </w:p>
    <w:p>
      <w:pPr>
        <w:ind w:left="900" w:hanging="470"/>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shares in deferred compensation accounts are issued following the director’s termination of service.</w:t>
      </w:r>
    </w:p>
    <w:p>
      <w:pPr>
        <w:sectPr>
          <w:pgSz w:w="11900" w:h="16838" w:orient="portrait"/>
          <w:cols w:equalWidth="0" w:num="1">
            <w:col w:w="11420"/>
          </w:cols>
          <w:pgMar w:left="240" w:top="562" w:right="239" w:bottom="1440" w:gutter="0" w:footer="0" w:header="0"/>
        </w:sectPr>
      </w:pPr>
    </w:p>
    <w:p>
      <w:pPr>
        <w:spacing w:after="0" w:line="250" w:lineRule="exact"/>
        <w:rPr>
          <w:sz w:val="20"/>
          <w:szCs w:val="20"/>
          <w:color w:val="auto"/>
        </w:rPr>
      </w:pPr>
    </w:p>
    <w:p>
      <w:pPr>
        <w:spacing w:after="0"/>
        <w:tabs>
          <w:tab w:leader="none" w:pos="95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2"/>
          <w:szCs w:val="12"/>
          <w:b w:val="1"/>
          <w:bCs w:val="1"/>
          <w:color w:val="808285"/>
        </w:rPr>
        <w:t>2013 PROXY STATEMENT •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type w:val="continuous"/>
        </w:sectPr>
      </w:pPr>
    </w:p>
    <w:bookmarkStart w:id="42" w:name="page43"/>
    <w:bookmarkEnd w:id="42"/>
    <w:p>
      <w:pPr>
        <w:ind w:left="460" w:hanging="457"/>
        <w:spacing w:after="0"/>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Included in the shares owned shown above are:</w:t>
      </w:r>
    </w:p>
    <w:p>
      <w:pPr>
        <w:spacing w:after="0" w:line="276"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4460" w:type="dxa"/>
            <w:vAlign w:val="bottom"/>
          </w:tcPr>
          <w:p>
            <w:pPr>
              <w:jc w:val="center"/>
              <w:ind w:left="3284"/>
              <w:spacing w:after="0"/>
              <w:rPr>
                <w:sz w:val="20"/>
                <w:szCs w:val="20"/>
                <w:color w:val="auto"/>
              </w:rPr>
            </w:pPr>
            <w:r>
              <w:rPr>
                <w:rFonts w:ascii="Arial" w:cs="Arial" w:eastAsia="Arial" w:hAnsi="Arial"/>
                <w:sz w:val="13"/>
                <w:szCs w:val="13"/>
                <w:b w:val="1"/>
                <w:bCs w:val="1"/>
                <w:color w:val="auto"/>
                <w:w w:val="96"/>
              </w:rPr>
              <w:t>Shares</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rPr>
              <w:t>Shares</w:t>
            </w:r>
          </w:p>
        </w:tc>
        <w:tc>
          <w:tcPr>
            <w:tcW w:w="780" w:type="dxa"/>
            <w:vAlign w:val="bottom"/>
          </w:tcPr>
          <w:p>
            <w:pPr>
              <w:spacing w:after="0"/>
              <w:rPr>
                <w:sz w:val="14"/>
                <w:szCs w:val="14"/>
                <w:color w:val="auto"/>
              </w:rPr>
            </w:pPr>
          </w:p>
        </w:tc>
      </w:tr>
      <w:tr>
        <w:trPr>
          <w:trHeight w:val="233"/>
        </w:trPr>
        <w:tc>
          <w:tcPr>
            <w:tcW w:w="4520" w:type="dxa"/>
            <w:vAlign w:val="bottom"/>
          </w:tcPr>
          <w:p>
            <w:pPr>
              <w:spacing w:after="0"/>
              <w:rPr>
                <w:sz w:val="20"/>
                <w:szCs w:val="20"/>
                <w:color w:val="auto"/>
              </w:rPr>
            </w:pPr>
          </w:p>
        </w:tc>
        <w:tc>
          <w:tcPr>
            <w:tcW w:w="4460" w:type="dxa"/>
            <w:vAlign w:val="bottom"/>
          </w:tcPr>
          <w:p>
            <w:pPr>
              <w:jc w:val="center"/>
              <w:ind w:left="3284"/>
              <w:spacing w:after="0"/>
              <w:rPr>
                <w:sz w:val="20"/>
                <w:szCs w:val="20"/>
                <w:color w:val="auto"/>
              </w:rPr>
            </w:pPr>
            <w:r>
              <w:rPr>
                <w:rFonts w:ascii="Arial" w:cs="Arial" w:eastAsia="Arial" w:hAnsi="Arial"/>
                <w:sz w:val="13"/>
                <w:szCs w:val="13"/>
                <w:b w:val="1"/>
                <w:bCs w:val="1"/>
                <w:color w:val="auto"/>
                <w:w w:val="98"/>
              </w:rPr>
              <w:t>Obtainable</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9"/>
              </w:rPr>
              <w:t>Credited to</w:t>
            </w:r>
          </w:p>
        </w:tc>
        <w:tc>
          <w:tcPr>
            <w:tcW w:w="780" w:type="dxa"/>
            <w:vAlign w:val="bottom"/>
          </w:tcPr>
          <w:p>
            <w:pPr>
              <w:jc w:val="center"/>
              <w:ind w:left="42"/>
              <w:spacing w:after="0"/>
              <w:rPr>
                <w:sz w:val="20"/>
                <w:szCs w:val="20"/>
                <w:color w:val="auto"/>
              </w:rPr>
            </w:pPr>
            <w:r>
              <w:rPr>
                <w:rFonts w:ascii="Arial" w:cs="Arial" w:eastAsia="Arial" w:hAnsi="Arial"/>
                <w:sz w:val="13"/>
                <w:szCs w:val="13"/>
                <w:b w:val="1"/>
                <w:bCs w:val="1"/>
                <w:color w:val="auto"/>
                <w:w w:val="97"/>
              </w:rPr>
              <w:t>RSUs</w:t>
            </w:r>
          </w:p>
        </w:tc>
      </w:tr>
      <w:tr>
        <w:trPr>
          <w:trHeight w:val="233"/>
        </w:trPr>
        <w:tc>
          <w:tcPr>
            <w:tcW w:w="4520" w:type="dxa"/>
            <w:vAlign w:val="bottom"/>
          </w:tcPr>
          <w:p>
            <w:pPr>
              <w:spacing w:after="0"/>
              <w:rPr>
                <w:sz w:val="20"/>
                <w:szCs w:val="20"/>
                <w:color w:val="auto"/>
              </w:rPr>
            </w:pPr>
            <w:r>
              <w:rPr>
                <w:rFonts w:ascii="Arial" w:cs="Arial" w:eastAsia="Arial" w:hAnsi="Arial"/>
                <w:sz w:val="13"/>
                <w:szCs w:val="13"/>
                <w:b w:val="1"/>
                <w:bCs w:val="1"/>
                <w:color w:val="auto"/>
              </w:rPr>
              <w:t>Executive Officer</w:t>
            </w:r>
          </w:p>
        </w:tc>
        <w:tc>
          <w:tcPr>
            <w:tcW w:w="4460" w:type="dxa"/>
            <w:vAlign w:val="bottom"/>
          </w:tcPr>
          <w:p>
            <w:pPr>
              <w:jc w:val="center"/>
              <w:ind w:left="3284"/>
              <w:spacing w:after="0"/>
              <w:rPr>
                <w:sz w:val="20"/>
                <w:szCs w:val="20"/>
                <w:color w:val="auto"/>
              </w:rPr>
            </w:pPr>
            <w:r>
              <w:rPr>
                <w:rFonts w:ascii="Arial" w:cs="Arial" w:eastAsia="Arial" w:hAnsi="Arial"/>
                <w:sz w:val="13"/>
                <w:szCs w:val="13"/>
                <w:b w:val="1"/>
                <w:bCs w:val="1"/>
                <w:color w:val="auto"/>
                <w:w w:val="99"/>
              </w:rPr>
              <w:t>within 60 Days</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8"/>
              </w:rPr>
              <w:t>401(k) Account</w:t>
            </w:r>
          </w:p>
        </w:tc>
        <w:tc>
          <w:tcPr>
            <w:tcW w:w="780" w:type="dxa"/>
            <w:vAlign w:val="bottom"/>
          </w:tcPr>
          <w:p>
            <w:pPr>
              <w:jc w:val="center"/>
              <w:ind w:left="42"/>
              <w:spacing w:after="0"/>
              <w:rPr>
                <w:sz w:val="20"/>
                <w:szCs w:val="20"/>
                <w:color w:val="auto"/>
              </w:rPr>
            </w:pPr>
            <w:r>
              <w:rPr>
                <w:rFonts w:ascii="Arial" w:cs="Arial" w:eastAsia="Arial" w:hAnsi="Arial"/>
                <w:sz w:val="13"/>
                <w:szCs w:val="13"/>
                <w:b w:val="1"/>
                <w:bCs w:val="1"/>
                <w:color w:val="auto"/>
                <w:w w:val="98"/>
              </w:rPr>
              <w:t>(in Shares)</w:t>
            </w:r>
          </w:p>
        </w:tc>
      </w:tr>
      <w:tr>
        <w:trPr>
          <w:trHeight w:val="45"/>
        </w:trPr>
        <w:tc>
          <w:tcPr>
            <w:tcW w:w="4520" w:type="dxa"/>
            <w:vAlign w:val="bottom"/>
            <w:tcBorders>
              <w:bottom w:val="single" w:sz="8" w:color="808285"/>
            </w:tcBorders>
          </w:tcPr>
          <w:p>
            <w:pPr>
              <w:spacing w:after="0"/>
              <w:rPr>
                <w:sz w:val="3"/>
                <w:szCs w:val="3"/>
                <w:color w:val="auto"/>
              </w:rPr>
            </w:pPr>
          </w:p>
        </w:tc>
        <w:tc>
          <w:tcPr>
            <w:tcW w:w="4460" w:type="dxa"/>
            <w:vAlign w:val="bottom"/>
            <w:tcBorders>
              <w:bottom w:val="single" w:sz="8" w:color="808285"/>
            </w:tcBorders>
          </w:tcPr>
          <w:p>
            <w:pPr>
              <w:spacing w:after="0"/>
              <w:rPr>
                <w:sz w:val="3"/>
                <w:szCs w:val="3"/>
                <w:color w:val="auto"/>
              </w:rPr>
            </w:pPr>
          </w:p>
        </w:tc>
        <w:tc>
          <w:tcPr>
            <w:tcW w:w="1140" w:type="dxa"/>
            <w:vAlign w:val="bottom"/>
            <w:tcBorders>
              <w:bottom w:val="single" w:sz="8" w:color="808285"/>
            </w:tcBorders>
          </w:tcPr>
          <w:p>
            <w:pPr>
              <w:spacing w:after="0"/>
              <w:rPr>
                <w:sz w:val="3"/>
                <w:szCs w:val="3"/>
                <w:color w:val="auto"/>
              </w:rPr>
            </w:pPr>
          </w:p>
        </w:tc>
        <w:tc>
          <w:tcPr>
            <w:tcW w:w="780" w:type="dxa"/>
            <w:vAlign w:val="bottom"/>
            <w:tcBorders>
              <w:bottom w:val="single" w:sz="8" w:color="808285"/>
            </w:tcBorders>
          </w:tcPr>
          <w:p>
            <w:pPr>
              <w:spacing w:after="0"/>
              <w:rPr>
                <w:sz w:val="3"/>
                <w:szCs w:val="3"/>
                <w:color w:val="auto"/>
              </w:rPr>
            </w:pPr>
          </w:p>
        </w:tc>
      </w:tr>
      <w:tr>
        <w:trPr>
          <w:trHeight w:val="233"/>
        </w:trPr>
        <w:tc>
          <w:tcPr>
            <w:tcW w:w="4520" w:type="dxa"/>
            <w:vAlign w:val="bottom"/>
            <w:shd w:val="clear" w:color="auto" w:fill="E9E9E9"/>
          </w:tcPr>
          <w:p>
            <w:pPr>
              <w:spacing w:after="0"/>
              <w:rPr>
                <w:sz w:val="20"/>
                <w:szCs w:val="20"/>
                <w:color w:val="auto"/>
              </w:rPr>
            </w:pPr>
            <w:r>
              <w:rPr>
                <w:rFonts w:ascii="Arial" w:cs="Arial" w:eastAsia="Arial" w:hAnsi="Arial"/>
                <w:sz w:val="17"/>
                <w:szCs w:val="17"/>
                <w:color w:val="auto"/>
              </w:rPr>
              <w:t>K. P. March</w:t>
            </w:r>
          </w:p>
        </w:tc>
        <w:tc>
          <w:tcPr>
            <w:tcW w:w="4460" w:type="dxa"/>
            <w:vAlign w:val="bottom"/>
            <w:shd w:val="clear" w:color="auto" w:fill="E9E9E9"/>
          </w:tcPr>
          <w:p>
            <w:pPr>
              <w:jc w:val="right"/>
              <w:ind w:right="164"/>
              <w:spacing w:after="0"/>
              <w:rPr>
                <w:sz w:val="20"/>
                <w:szCs w:val="20"/>
                <w:color w:val="auto"/>
              </w:rPr>
            </w:pPr>
            <w:r>
              <w:rPr>
                <w:rFonts w:ascii="Arial" w:cs="Arial" w:eastAsia="Arial" w:hAnsi="Arial"/>
                <w:sz w:val="17"/>
                <w:szCs w:val="17"/>
                <w:color w:val="auto"/>
              </w:rPr>
              <w:t>872,398</w:t>
            </w:r>
          </w:p>
        </w:tc>
        <w:tc>
          <w:tcPr>
            <w:tcW w:w="1140" w:type="dxa"/>
            <w:vAlign w:val="bottom"/>
            <w:shd w:val="clear" w:color="auto" w:fill="E9E9E9"/>
          </w:tcPr>
          <w:p>
            <w:pPr>
              <w:jc w:val="right"/>
              <w:ind w:right="204"/>
              <w:spacing w:after="0"/>
              <w:rPr>
                <w:sz w:val="20"/>
                <w:szCs w:val="20"/>
                <w:color w:val="auto"/>
              </w:rPr>
            </w:pPr>
            <w:r>
              <w:rPr>
                <w:rFonts w:ascii="Arial" w:cs="Arial" w:eastAsia="Arial" w:hAnsi="Arial"/>
                <w:sz w:val="17"/>
                <w:szCs w:val="17"/>
                <w:color w:val="auto"/>
              </w:rPr>
              <w:t>1,977</w:t>
            </w:r>
          </w:p>
        </w:tc>
        <w:tc>
          <w:tcPr>
            <w:tcW w:w="780" w:type="dxa"/>
            <w:vAlign w:val="bottom"/>
            <w:shd w:val="clear" w:color="auto" w:fill="E9E9E9"/>
          </w:tcPr>
          <w:p>
            <w:pPr>
              <w:jc w:val="center"/>
              <w:ind w:left="42"/>
              <w:spacing w:after="0"/>
              <w:rPr>
                <w:sz w:val="20"/>
                <w:szCs w:val="20"/>
                <w:color w:val="auto"/>
              </w:rPr>
            </w:pPr>
            <w:r>
              <w:rPr>
                <w:rFonts w:ascii="Arial" w:cs="Arial" w:eastAsia="Arial" w:hAnsi="Arial"/>
                <w:sz w:val="17"/>
                <w:szCs w:val="17"/>
                <w:color w:val="auto"/>
              </w:rPr>
              <w:t>212,919</w:t>
            </w:r>
          </w:p>
        </w:tc>
      </w:tr>
      <w:tr>
        <w:trPr>
          <w:trHeight w:val="225"/>
        </w:trPr>
        <w:tc>
          <w:tcPr>
            <w:tcW w:w="4520" w:type="dxa"/>
            <w:vAlign w:val="bottom"/>
          </w:tcPr>
          <w:p>
            <w:pPr>
              <w:spacing w:after="0"/>
              <w:rPr>
                <w:sz w:val="20"/>
                <w:szCs w:val="20"/>
                <w:color w:val="auto"/>
              </w:rPr>
            </w:pPr>
            <w:r>
              <w:rPr>
                <w:rFonts w:ascii="Arial" w:cs="Arial" w:eastAsia="Arial" w:hAnsi="Arial"/>
                <w:sz w:val="17"/>
                <w:szCs w:val="17"/>
                <w:color w:val="auto"/>
              </w:rPr>
              <w:t>B. T. Crutcher</w:t>
            </w:r>
          </w:p>
        </w:tc>
        <w:tc>
          <w:tcPr>
            <w:tcW w:w="4460" w:type="dxa"/>
            <w:vAlign w:val="bottom"/>
          </w:tcPr>
          <w:p>
            <w:pPr>
              <w:jc w:val="right"/>
              <w:ind w:right="164"/>
              <w:spacing w:after="0"/>
              <w:rPr>
                <w:sz w:val="20"/>
                <w:szCs w:val="20"/>
                <w:color w:val="auto"/>
              </w:rPr>
            </w:pPr>
            <w:r>
              <w:rPr>
                <w:rFonts w:ascii="Arial" w:cs="Arial" w:eastAsia="Arial" w:hAnsi="Arial"/>
                <w:sz w:val="17"/>
                <w:szCs w:val="17"/>
                <w:color w:val="auto"/>
              </w:rPr>
              <w:t>333,835</w:t>
            </w:r>
          </w:p>
        </w:tc>
        <w:tc>
          <w:tcPr>
            <w:tcW w:w="1140" w:type="dxa"/>
            <w:vAlign w:val="bottom"/>
          </w:tcPr>
          <w:p>
            <w:pPr>
              <w:jc w:val="right"/>
              <w:ind w:right="204"/>
              <w:spacing w:after="0"/>
              <w:rPr>
                <w:sz w:val="20"/>
                <w:szCs w:val="20"/>
                <w:color w:val="auto"/>
              </w:rPr>
            </w:pPr>
            <w:r>
              <w:rPr>
                <w:rFonts w:ascii="Arial" w:cs="Arial" w:eastAsia="Arial" w:hAnsi="Arial"/>
                <w:sz w:val="17"/>
                <w:szCs w:val="17"/>
                <w:color w:val="auto"/>
              </w:rPr>
              <w:t>1,907</w:t>
            </w:r>
          </w:p>
        </w:tc>
        <w:tc>
          <w:tcPr>
            <w:tcW w:w="780" w:type="dxa"/>
            <w:vAlign w:val="bottom"/>
          </w:tcPr>
          <w:p>
            <w:pPr>
              <w:jc w:val="center"/>
              <w:ind w:left="42"/>
              <w:spacing w:after="0"/>
              <w:rPr>
                <w:sz w:val="20"/>
                <w:szCs w:val="20"/>
                <w:color w:val="auto"/>
              </w:rPr>
            </w:pPr>
            <w:r>
              <w:rPr>
                <w:rFonts w:ascii="Arial" w:cs="Arial" w:eastAsia="Arial" w:hAnsi="Arial"/>
                <w:sz w:val="17"/>
                <w:szCs w:val="17"/>
                <w:color w:val="auto"/>
              </w:rPr>
              <w:t>400,001</w:t>
            </w:r>
          </w:p>
        </w:tc>
      </w:tr>
      <w:tr>
        <w:trPr>
          <w:trHeight w:val="240"/>
        </w:trPr>
        <w:tc>
          <w:tcPr>
            <w:tcW w:w="4520" w:type="dxa"/>
            <w:vAlign w:val="bottom"/>
            <w:shd w:val="clear" w:color="auto" w:fill="E9E9E9"/>
          </w:tcPr>
          <w:p>
            <w:pPr>
              <w:spacing w:after="0"/>
              <w:rPr>
                <w:sz w:val="20"/>
                <w:szCs w:val="20"/>
                <w:color w:val="auto"/>
              </w:rPr>
            </w:pPr>
            <w:r>
              <w:rPr>
                <w:rFonts w:ascii="Arial" w:cs="Arial" w:eastAsia="Arial" w:hAnsi="Arial"/>
                <w:sz w:val="17"/>
                <w:szCs w:val="17"/>
                <w:color w:val="auto"/>
              </w:rPr>
              <w:t>R. G. Delagi</w:t>
            </w:r>
          </w:p>
        </w:tc>
        <w:tc>
          <w:tcPr>
            <w:tcW w:w="4460" w:type="dxa"/>
            <w:vAlign w:val="bottom"/>
            <w:shd w:val="clear" w:color="auto" w:fill="E9E9E9"/>
          </w:tcPr>
          <w:p>
            <w:pPr>
              <w:jc w:val="right"/>
              <w:ind w:right="164"/>
              <w:spacing w:after="0"/>
              <w:rPr>
                <w:sz w:val="20"/>
                <w:szCs w:val="20"/>
                <w:color w:val="auto"/>
              </w:rPr>
            </w:pPr>
            <w:r>
              <w:rPr>
                <w:rFonts w:ascii="Arial" w:cs="Arial" w:eastAsia="Arial" w:hAnsi="Arial"/>
                <w:sz w:val="17"/>
                <w:szCs w:val="17"/>
                <w:color w:val="auto"/>
              </w:rPr>
              <w:t>417,931</w:t>
            </w:r>
          </w:p>
        </w:tc>
        <w:tc>
          <w:tcPr>
            <w:tcW w:w="1140" w:type="dxa"/>
            <w:vAlign w:val="bottom"/>
            <w:shd w:val="clear" w:color="auto" w:fill="E9E9E9"/>
          </w:tcPr>
          <w:p>
            <w:pPr>
              <w:jc w:val="right"/>
              <w:ind w:right="204"/>
              <w:spacing w:after="0"/>
              <w:rPr>
                <w:sz w:val="20"/>
                <w:szCs w:val="20"/>
                <w:color w:val="auto"/>
              </w:rPr>
            </w:pPr>
            <w:r>
              <w:rPr>
                <w:rFonts w:ascii="Arial" w:cs="Arial" w:eastAsia="Arial" w:hAnsi="Arial"/>
                <w:sz w:val="17"/>
                <w:szCs w:val="17"/>
                <w:color w:val="auto"/>
              </w:rPr>
              <w:t>11,448</w:t>
            </w:r>
          </w:p>
        </w:tc>
        <w:tc>
          <w:tcPr>
            <w:tcW w:w="780" w:type="dxa"/>
            <w:vAlign w:val="bottom"/>
            <w:shd w:val="clear" w:color="auto" w:fill="E9E9E9"/>
          </w:tcPr>
          <w:p>
            <w:pPr>
              <w:jc w:val="center"/>
              <w:ind w:left="42"/>
              <w:spacing w:after="0"/>
              <w:rPr>
                <w:sz w:val="20"/>
                <w:szCs w:val="20"/>
                <w:color w:val="auto"/>
              </w:rPr>
            </w:pPr>
            <w:r>
              <w:rPr>
                <w:rFonts w:ascii="Arial" w:cs="Arial" w:eastAsia="Arial" w:hAnsi="Arial"/>
                <w:sz w:val="17"/>
                <w:szCs w:val="17"/>
                <w:color w:val="auto"/>
              </w:rPr>
              <w:t>297,086</w:t>
            </w:r>
          </w:p>
        </w:tc>
      </w:tr>
      <w:tr>
        <w:trPr>
          <w:trHeight w:val="218"/>
        </w:trPr>
        <w:tc>
          <w:tcPr>
            <w:tcW w:w="4520" w:type="dxa"/>
            <w:vAlign w:val="bottom"/>
          </w:tcPr>
          <w:p>
            <w:pPr>
              <w:spacing w:after="0"/>
              <w:rPr>
                <w:sz w:val="20"/>
                <w:szCs w:val="20"/>
                <w:color w:val="auto"/>
              </w:rPr>
            </w:pPr>
            <w:r>
              <w:rPr>
                <w:rFonts w:ascii="Arial" w:cs="Arial" w:eastAsia="Arial" w:hAnsi="Arial"/>
                <w:sz w:val="17"/>
                <w:szCs w:val="17"/>
                <w:color w:val="auto"/>
              </w:rPr>
              <w:t>K. J. Ritchie</w:t>
            </w:r>
          </w:p>
        </w:tc>
        <w:tc>
          <w:tcPr>
            <w:tcW w:w="4460" w:type="dxa"/>
            <w:vAlign w:val="bottom"/>
          </w:tcPr>
          <w:p>
            <w:pPr>
              <w:jc w:val="right"/>
              <w:ind w:right="164"/>
              <w:spacing w:after="0"/>
              <w:rPr>
                <w:sz w:val="20"/>
                <w:szCs w:val="20"/>
                <w:color w:val="auto"/>
              </w:rPr>
            </w:pPr>
            <w:r>
              <w:rPr>
                <w:rFonts w:ascii="Arial" w:cs="Arial" w:eastAsia="Arial" w:hAnsi="Arial"/>
                <w:sz w:val="17"/>
                <w:szCs w:val="17"/>
                <w:color w:val="auto"/>
              </w:rPr>
              <w:t>1,065,625</w:t>
            </w:r>
          </w:p>
        </w:tc>
        <w:tc>
          <w:tcPr>
            <w:tcW w:w="1140" w:type="dxa"/>
            <w:vAlign w:val="bottom"/>
          </w:tcPr>
          <w:p>
            <w:pPr>
              <w:jc w:val="right"/>
              <w:ind w:right="204"/>
              <w:spacing w:after="0"/>
              <w:rPr>
                <w:sz w:val="20"/>
                <w:szCs w:val="20"/>
                <w:color w:val="auto"/>
              </w:rPr>
            </w:pPr>
            <w:r>
              <w:rPr>
                <w:rFonts w:ascii="Arial" w:cs="Arial" w:eastAsia="Arial" w:hAnsi="Arial"/>
                <w:sz w:val="17"/>
                <w:szCs w:val="17"/>
                <w:color w:val="auto"/>
              </w:rPr>
              <w:t>8,601</w:t>
            </w:r>
          </w:p>
        </w:tc>
        <w:tc>
          <w:tcPr>
            <w:tcW w:w="780" w:type="dxa"/>
            <w:vAlign w:val="bottom"/>
          </w:tcPr>
          <w:p>
            <w:pPr>
              <w:jc w:val="center"/>
              <w:ind w:left="42"/>
              <w:spacing w:after="0"/>
              <w:rPr>
                <w:sz w:val="20"/>
                <w:szCs w:val="20"/>
                <w:color w:val="auto"/>
              </w:rPr>
            </w:pPr>
            <w:r>
              <w:rPr>
                <w:rFonts w:ascii="Arial" w:cs="Arial" w:eastAsia="Arial" w:hAnsi="Arial"/>
                <w:sz w:val="17"/>
                <w:szCs w:val="17"/>
                <w:color w:val="auto"/>
              </w:rPr>
              <w:t>258,336</w:t>
            </w:r>
          </w:p>
        </w:tc>
      </w:tr>
    </w:tbl>
    <w:p>
      <w:pPr>
        <w:spacing w:after="0" w:line="250" w:lineRule="exact"/>
        <w:rPr>
          <w:sz w:val="20"/>
          <w:szCs w:val="20"/>
          <w:color w:val="auto"/>
        </w:rPr>
      </w:pPr>
    </w:p>
    <w:p>
      <w:pPr>
        <w:ind w:left="460" w:hanging="457"/>
        <w:spacing w:after="0"/>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Includes:</w:t>
      </w:r>
    </w:p>
    <w:p>
      <w:pPr>
        <w:spacing w:after="0" w:line="269" w:lineRule="exact"/>
        <w:rPr>
          <w:rFonts w:ascii="Arial" w:cs="Arial" w:eastAsia="Arial" w:hAnsi="Arial"/>
          <w:sz w:val="17"/>
          <w:szCs w:val="17"/>
          <w:color w:val="auto"/>
        </w:rPr>
      </w:pPr>
    </w:p>
    <w:p>
      <w:pPr>
        <w:ind w:left="980" w:hanging="460"/>
        <w:spacing w:after="0"/>
        <w:tabs>
          <w:tab w:leader="none" w:pos="9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9,901,788 shares obtainable within 60 days;</w:t>
      </w:r>
    </w:p>
    <w:p>
      <w:pPr>
        <w:spacing w:after="0" w:line="269" w:lineRule="exact"/>
        <w:rPr>
          <w:rFonts w:ascii="Arial" w:cs="Arial" w:eastAsia="Arial" w:hAnsi="Arial"/>
          <w:sz w:val="17"/>
          <w:szCs w:val="17"/>
          <w:color w:val="auto"/>
        </w:rPr>
      </w:pPr>
    </w:p>
    <w:p>
      <w:pPr>
        <w:ind w:left="980" w:hanging="460"/>
        <w:spacing w:after="0"/>
        <w:tabs>
          <w:tab w:leader="none" w:pos="9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45,650 shares credited to 401(k) accounts;</w:t>
      </w:r>
    </w:p>
    <w:p>
      <w:pPr>
        <w:spacing w:after="0" w:line="230" w:lineRule="exact"/>
        <w:rPr>
          <w:rFonts w:ascii="Arial" w:cs="Arial" w:eastAsia="Arial" w:hAnsi="Arial"/>
          <w:sz w:val="17"/>
          <w:szCs w:val="17"/>
          <w:color w:val="auto"/>
        </w:rPr>
      </w:pPr>
    </w:p>
    <w:p>
      <w:pPr>
        <w:ind w:left="980" w:hanging="460"/>
        <w:spacing w:after="0"/>
        <w:tabs>
          <w:tab w:leader="none" w:pos="9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3,466,177 shares subject to RSU awards; for the terms of these RSUs, please see pages 65 and 85; and</w:t>
      </w:r>
    </w:p>
    <w:p>
      <w:pPr>
        <w:spacing w:after="0" w:line="230" w:lineRule="exact"/>
        <w:rPr>
          <w:rFonts w:ascii="Arial" w:cs="Arial" w:eastAsia="Arial" w:hAnsi="Arial"/>
          <w:sz w:val="17"/>
          <w:szCs w:val="17"/>
          <w:color w:val="auto"/>
        </w:rPr>
      </w:pPr>
    </w:p>
    <w:p>
      <w:pPr>
        <w:ind w:left="980" w:right="20" w:hanging="460"/>
        <w:spacing w:after="0" w:line="245" w:lineRule="auto"/>
        <w:tabs>
          <w:tab w:leader="none" w:pos="9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100,435 shares credited to certain non-employee directors’ deferred compensation accounts; shares in deferred compensation accounts are issued following a director’s termination of service.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person transactions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no reportable related person transactions.</w:t>
      </w:r>
    </w:p>
    <w:p>
      <w:pPr>
        <w:ind w:right="100" w:firstLine="233"/>
        <w:spacing w:after="0" w:line="237" w:lineRule="auto"/>
        <w:rPr>
          <w:sz w:val="20"/>
          <w:szCs w:val="20"/>
          <w:color w:val="auto"/>
        </w:rPr>
      </w:pPr>
      <w:r>
        <w:rPr>
          <w:rFonts w:ascii="Arial" w:cs="Arial" w:eastAsia="Arial" w:hAnsi="Arial"/>
          <w:sz w:val="17"/>
          <w:szCs w:val="17"/>
          <w:color w:val="auto"/>
        </w:rPr>
        <w:t>Because we believe that company transactions with directors and executive officers of TI or with persons related to TI directors and executive officers present a heightened risk of creating or appearing to create a conflict of interest, we have a written related person transaction policy that has been approved by the board of directors. The policy states that TI directors and executive officers should obtain the approvals specified below in connection with any related person transaction. The policy applies to transactions in which:</w:t>
      </w:r>
    </w:p>
    <w:p>
      <w:pPr>
        <w:spacing w:after="0" w:line="1" w:lineRule="exact"/>
        <w:rPr>
          <w:sz w:val="20"/>
          <w:szCs w:val="20"/>
          <w:color w:val="auto"/>
        </w:rPr>
      </w:pPr>
    </w:p>
    <w:p>
      <w:pPr>
        <w:ind w:left="540" w:hanging="343"/>
        <w:spacing w:after="0"/>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TI or any TI subsidiary is or will be a participant;</w:t>
      </w:r>
    </w:p>
    <w:p>
      <w:pPr>
        <w:ind w:left="540" w:hanging="343"/>
        <w:spacing w:after="0" w:line="237"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amount involved exceeds or is expected to exceed $100,000 in a fiscal year; and</w:t>
      </w:r>
    </w:p>
    <w:p>
      <w:pPr>
        <w:ind w:left="540" w:hanging="343"/>
        <w:spacing w:after="0" w:line="237"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of the following (a “related person”) has or will have a direct or indirect interest:</w:t>
      </w:r>
    </w:p>
    <w:p>
      <w:pPr>
        <w:ind w:left="940" w:hanging="407"/>
        <w:spacing w:after="0" w:line="237" w:lineRule="auto"/>
        <w:tabs>
          <w:tab w:leader="none" w:pos="9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 TI director or executive officer, or an Immediate Family Member of a director or executive officer;</w:t>
      </w:r>
    </w:p>
    <w:p>
      <w:pPr>
        <w:ind w:left="940" w:right="460" w:hanging="407"/>
        <w:spacing w:after="0" w:line="252" w:lineRule="auto"/>
        <w:tabs>
          <w:tab w:leader="none" w:pos="9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 stockholder owning more than 5 percent of the common stock of TI or an Immediate Family Member of such stockholder, or, if the 5 percent stockholder is not a natural person, any person or entity designated in the Form 13G or 13D filed under the SEC rules and regulations by the 5 percent stockholder as having an ownership interest in TI stock (individually or collectively, a “5 percent holder”); or</w:t>
      </w:r>
    </w:p>
    <w:p>
      <w:pPr>
        <w:spacing w:after="0" w:line="1" w:lineRule="exact"/>
        <w:rPr>
          <w:rFonts w:ascii="Arial" w:cs="Arial" w:eastAsia="Arial" w:hAnsi="Arial"/>
          <w:sz w:val="16"/>
          <w:szCs w:val="16"/>
          <w:color w:val="auto"/>
        </w:rPr>
      </w:pPr>
    </w:p>
    <w:p>
      <w:pPr>
        <w:ind w:left="940" w:right="260" w:hanging="407"/>
        <w:spacing w:after="0" w:line="245" w:lineRule="auto"/>
        <w:tabs>
          <w:tab w:leader="none" w:pos="9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 entity in which someone listed in (a) or (b) above has a 5 percent or greater ownership interest, by which someone listed in (a) or (b) is employed, or of which someone listed in (a) or (b) is a director, principal or partner.</w:t>
      </w:r>
    </w:p>
    <w:p>
      <w:pPr>
        <w:spacing w:after="0" w:line="195" w:lineRule="exact"/>
        <w:rPr>
          <w:sz w:val="20"/>
          <w:szCs w:val="20"/>
          <w:color w:val="auto"/>
        </w:rPr>
      </w:pPr>
    </w:p>
    <w:p>
      <w:pPr>
        <w:ind w:right="20" w:firstLine="233"/>
        <w:spacing w:after="0" w:line="237" w:lineRule="auto"/>
        <w:rPr>
          <w:sz w:val="20"/>
          <w:szCs w:val="20"/>
          <w:color w:val="auto"/>
        </w:rPr>
      </w:pPr>
      <w:r>
        <w:rPr>
          <w:rFonts w:ascii="Arial" w:cs="Arial" w:eastAsia="Arial" w:hAnsi="Arial"/>
          <w:sz w:val="17"/>
          <w:szCs w:val="17"/>
          <w:color w:val="auto"/>
        </w:rPr>
        <w:t>For purposes of the policy, an “Immediate Family Member” is any child, stepchild, parent, stepparent, spouse, sibling, mother-in-law, father-in-law, son-in-law, daughter-in-law, brother-in-law, sister-in-law or any person (other than a tenant or employee) sharing the household of a TI director, executive officer or 5 percent holder.</w:t>
      </w:r>
    </w:p>
    <w:p>
      <w:pPr>
        <w:spacing w:after="0" w:line="2" w:lineRule="exact"/>
        <w:rPr>
          <w:sz w:val="20"/>
          <w:szCs w:val="20"/>
          <w:color w:val="auto"/>
        </w:rPr>
      </w:pPr>
    </w:p>
    <w:p>
      <w:pPr>
        <w:ind w:right="300" w:firstLine="233"/>
        <w:spacing w:after="0" w:line="245" w:lineRule="auto"/>
        <w:rPr>
          <w:sz w:val="20"/>
          <w:szCs w:val="20"/>
          <w:color w:val="auto"/>
        </w:rPr>
      </w:pPr>
      <w:r>
        <w:rPr>
          <w:rFonts w:ascii="Arial" w:cs="Arial" w:eastAsia="Arial" w:hAnsi="Arial"/>
          <w:sz w:val="17"/>
          <w:szCs w:val="17"/>
          <w:color w:val="auto"/>
        </w:rPr>
        <w:t>The policy specifies that a related person transaction includes, but is not limited to, any financial transaction, arrangement or relationship (including any indebtedness or guarantee of indebtedness) or any series of similar transactions or arrangements.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The required approvals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tcPr>
          <w:p>
            <w:pPr>
              <w:spacing w:after="0"/>
              <w:rPr>
                <w:sz w:val="20"/>
                <w:szCs w:val="20"/>
                <w:color w:val="auto"/>
              </w:rPr>
            </w:pPr>
            <w:r>
              <w:rPr>
                <w:rFonts w:ascii="Arial" w:cs="Arial" w:eastAsia="Arial" w:hAnsi="Arial"/>
                <w:sz w:val="13"/>
                <w:szCs w:val="13"/>
                <w:b w:val="1"/>
                <w:bCs w:val="1"/>
                <w:color w:val="auto"/>
              </w:rPr>
              <w:t>Arrangement involving:</w:t>
            </w:r>
          </w:p>
        </w:tc>
        <w:tc>
          <w:tcPr>
            <w:tcW w:w="5780" w:type="dxa"/>
            <w:vAlign w:val="bottom"/>
          </w:tcPr>
          <w:p>
            <w:pPr>
              <w:ind w:left="2300"/>
              <w:spacing w:after="0"/>
              <w:rPr>
                <w:sz w:val="20"/>
                <w:szCs w:val="20"/>
                <w:color w:val="auto"/>
              </w:rPr>
            </w:pPr>
            <w:r>
              <w:rPr>
                <w:rFonts w:ascii="Arial" w:cs="Arial" w:eastAsia="Arial" w:hAnsi="Arial"/>
                <w:sz w:val="13"/>
                <w:szCs w:val="13"/>
                <w:b w:val="1"/>
                <w:bCs w:val="1"/>
                <w:color w:val="auto"/>
              </w:rPr>
              <w:t>Approval required by:</w:t>
            </w:r>
          </w:p>
        </w:tc>
      </w:tr>
      <w:tr>
        <w:trPr>
          <w:trHeight w:val="45"/>
        </w:trPr>
        <w:tc>
          <w:tcPr>
            <w:tcW w:w="5640" w:type="dxa"/>
            <w:vAlign w:val="bottom"/>
            <w:tcBorders>
              <w:bottom w:val="single" w:sz="8" w:color="808285"/>
            </w:tcBorders>
          </w:tcPr>
          <w:p>
            <w:pPr>
              <w:spacing w:after="0"/>
              <w:rPr>
                <w:sz w:val="3"/>
                <w:szCs w:val="3"/>
                <w:color w:val="auto"/>
              </w:rPr>
            </w:pPr>
          </w:p>
        </w:tc>
        <w:tc>
          <w:tcPr>
            <w:tcW w:w="5780" w:type="dxa"/>
            <w:vAlign w:val="bottom"/>
            <w:tcBorders>
              <w:bottom w:val="single" w:sz="8" w:color="808285"/>
            </w:tcBorders>
          </w:tcPr>
          <w:p>
            <w:pPr>
              <w:spacing w:after="0"/>
              <w:rPr>
                <w:sz w:val="3"/>
                <w:szCs w:val="3"/>
                <w:color w:val="auto"/>
              </w:rPr>
            </w:pPr>
          </w:p>
        </w:tc>
      </w:tr>
      <w:tr>
        <w:trPr>
          <w:trHeight w:val="197"/>
        </w:trPr>
        <w:tc>
          <w:tcPr>
            <w:tcW w:w="5640" w:type="dxa"/>
            <w:vAlign w:val="bottom"/>
            <w:shd w:val="clear" w:color="auto" w:fill="E9E9E9"/>
          </w:tcPr>
          <w:p>
            <w:pPr>
              <w:spacing w:after="0"/>
              <w:rPr>
                <w:sz w:val="20"/>
                <w:szCs w:val="20"/>
                <w:color w:val="auto"/>
              </w:rPr>
            </w:pPr>
            <w:r>
              <w:rPr>
                <w:rFonts w:ascii="Arial" w:cs="Arial" w:eastAsia="Arial" w:hAnsi="Arial"/>
                <w:sz w:val="17"/>
                <w:szCs w:val="17"/>
                <w:color w:val="auto"/>
              </w:rPr>
              <w:t>Executive officer who is also a member of the TI board, an Immediate</w:t>
            </w:r>
          </w:p>
        </w:tc>
        <w:tc>
          <w:tcPr>
            <w:tcW w:w="5780" w:type="dxa"/>
            <w:vAlign w:val="bottom"/>
            <w:shd w:val="clear" w:color="auto" w:fill="E9E9E9"/>
          </w:tcPr>
          <w:p>
            <w:pPr>
              <w:ind w:left="140"/>
              <w:spacing w:after="0"/>
              <w:rPr>
                <w:sz w:val="20"/>
                <w:szCs w:val="20"/>
                <w:color w:val="auto"/>
              </w:rPr>
            </w:pPr>
            <w:r>
              <w:rPr>
                <w:rFonts w:ascii="Arial" w:cs="Arial" w:eastAsia="Arial" w:hAnsi="Arial"/>
                <w:sz w:val="17"/>
                <w:szCs w:val="17"/>
                <w:color w:val="auto"/>
              </w:rPr>
              <w:t>G&amp;SR Committee</w:t>
            </w:r>
          </w:p>
        </w:tc>
      </w:tr>
      <w:tr>
        <w:trPr>
          <w:trHeight w:val="194"/>
        </w:trPr>
        <w:tc>
          <w:tcPr>
            <w:tcW w:w="5640" w:type="dxa"/>
            <w:vAlign w:val="bottom"/>
            <w:shd w:val="clear" w:color="auto" w:fill="E9E9E9"/>
          </w:tcPr>
          <w:p>
            <w:pPr>
              <w:spacing w:after="0" w:line="194" w:lineRule="exact"/>
              <w:rPr>
                <w:sz w:val="20"/>
                <w:szCs w:val="20"/>
                <w:color w:val="auto"/>
              </w:rPr>
            </w:pPr>
            <w:r>
              <w:rPr>
                <w:rFonts w:ascii="Arial" w:cs="Arial" w:eastAsia="Arial" w:hAnsi="Arial"/>
                <w:sz w:val="17"/>
                <w:szCs w:val="17"/>
                <w:color w:val="auto"/>
              </w:rPr>
              <w:t>Family Member of such person, or an entity in which any of the foregoing</w:t>
            </w:r>
          </w:p>
        </w:tc>
        <w:tc>
          <w:tcPr>
            <w:tcW w:w="5780" w:type="dxa"/>
            <w:vAlign w:val="bottom"/>
            <w:shd w:val="clear" w:color="auto" w:fill="E9E9E9"/>
          </w:tcPr>
          <w:p>
            <w:pPr>
              <w:spacing w:after="0"/>
              <w:rPr>
                <w:sz w:val="16"/>
                <w:szCs w:val="16"/>
                <w:color w:val="auto"/>
              </w:rPr>
            </w:pPr>
          </w:p>
        </w:tc>
      </w:tr>
      <w:tr>
        <w:trPr>
          <w:trHeight w:val="191"/>
        </w:trPr>
        <w:tc>
          <w:tcPr>
            <w:tcW w:w="5640" w:type="dxa"/>
            <w:vAlign w:val="bottom"/>
            <w:shd w:val="clear" w:color="auto" w:fill="E9E9E9"/>
          </w:tcPr>
          <w:p>
            <w:pPr>
              <w:spacing w:after="0" w:line="191" w:lineRule="exact"/>
              <w:rPr>
                <w:sz w:val="20"/>
                <w:szCs w:val="20"/>
                <w:color w:val="auto"/>
              </w:rPr>
            </w:pPr>
            <w:r>
              <w:rPr>
                <w:rFonts w:ascii="Arial" w:cs="Arial" w:eastAsia="Arial" w:hAnsi="Arial"/>
                <w:sz w:val="17"/>
                <w:szCs w:val="17"/>
                <w:color w:val="auto"/>
              </w:rPr>
              <w:t>has a 5 percent or greater ownership interest</w:t>
            </w:r>
          </w:p>
        </w:tc>
        <w:tc>
          <w:tcPr>
            <w:tcW w:w="5780" w:type="dxa"/>
            <w:vAlign w:val="bottom"/>
            <w:shd w:val="clear" w:color="auto" w:fill="E9E9E9"/>
          </w:tcPr>
          <w:p>
            <w:pPr>
              <w:spacing w:after="0"/>
              <w:rPr>
                <w:sz w:val="16"/>
                <w:szCs w:val="16"/>
                <w:color w:val="auto"/>
              </w:rPr>
            </w:pPr>
          </w:p>
        </w:tc>
      </w:tr>
      <w:tr>
        <w:trPr>
          <w:trHeight w:val="233"/>
        </w:trPr>
        <w:tc>
          <w:tcPr>
            <w:tcW w:w="5640" w:type="dxa"/>
            <w:vAlign w:val="bottom"/>
          </w:tcPr>
          <w:p>
            <w:pPr>
              <w:spacing w:after="0"/>
              <w:rPr>
                <w:sz w:val="20"/>
                <w:szCs w:val="20"/>
                <w:color w:val="auto"/>
              </w:rPr>
            </w:pPr>
          </w:p>
        </w:tc>
        <w:tc>
          <w:tcPr>
            <w:tcW w:w="5780" w:type="dxa"/>
            <w:vAlign w:val="bottom"/>
          </w:tcPr>
          <w:p>
            <w:pPr>
              <w:spacing w:after="0"/>
              <w:rPr>
                <w:sz w:val="20"/>
                <w:szCs w:val="20"/>
                <w:color w:val="auto"/>
              </w:rPr>
            </w:pPr>
          </w:p>
        </w:tc>
      </w:tr>
      <w:tr>
        <w:trPr>
          <w:trHeight w:val="197"/>
        </w:trPr>
        <w:tc>
          <w:tcPr>
            <w:tcW w:w="5640" w:type="dxa"/>
            <w:vAlign w:val="bottom"/>
            <w:shd w:val="clear" w:color="auto" w:fill="E9E9E9"/>
          </w:tcPr>
          <w:p>
            <w:pPr>
              <w:spacing w:after="0"/>
              <w:rPr>
                <w:sz w:val="20"/>
                <w:szCs w:val="20"/>
                <w:color w:val="auto"/>
              </w:rPr>
            </w:pPr>
            <w:r>
              <w:rPr>
                <w:rFonts w:ascii="Arial" w:cs="Arial" w:eastAsia="Arial" w:hAnsi="Arial"/>
                <w:sz w:val="17"/>
                <w:szCs w:val="17"/>
                <w:color w:val="auto"/>
              </w:rPr>
              <w:t>Chair of the G&amp;SR Committee, chief compliance officer, any of his or her</w:t>
            </w:r>
          </w:p>
        </w:tc>
        <w:tc>
          <w:tcPr>
            <w:tcW w:w="5780" w:type="dxa"/>
            <w:vAlign w:val="bottom"/>
            <w:shd w:val="clear" w:color="auto" w:fill="E9E9E9"/>
          </w:tcPr>
          <w:p>
            <w:pPr>
              <w:ind w:left="140"/>
              <w:spacing w:after="0"/>
              <w:rPr>
                <w:sz w:val="20"/>
                <w:szCs w:val="20"/>
                <w:color w:val="auto"/>
              </w:rPr>
            </w:pPr>
            <w:r>
              <w:rPr>
                <w:rFonts w:ascii="Arial" w:cs="Arial" w:eastAsia="Arial" w:hAnsi="Arial"/>
                <w:sz w:val="17"/>
                <w:szCs w:val="17"/>
                <w:color w:val="auto"/>
              </w:rPr>
              <w:t>G&amp;SR Committee</w:t>
            </w:r>
          </w:p>
        </w:tc>
      </w:tr>
      <w:tr>
        <w:trPr>
          <w:trHeight w:val="194"/>
        </w:trPr>
        <w:tc>
          <w:tcPr>
            <w:tcW w:w="5640" w:type="dxa"/>
            <w:vAlign w:val="bottom"/>
            <w:shd w:val="clear" w:color="auto" w:fill="E9E9E9"/>
          </w:tcPr>
          <w:p>
            <w:pPr>
              <w:spacing w:after="0" w:line="194" w:lineRule="exact"/>
              <w:rPr>
                <w:sz w:val="20"/>
                <w:szCs w:val="20"/>
                <w:color w:val="auto"/>
              </w:rPr>
            </w:pPr>
            <w:r>
              <w:rPr>
                <w:rFonts w:ascii="Arial" w:cs="Arial" w:eastAsia="Arial" w:hAnsi="Arial"/>
                <w:sz w:val="17"/>
                <w:szCs w:val="17"/>
                <w:color w:val="auto"/>
              </w:rPr>
              <w:t>Immediate Family Members, or an entity in which any of the foregoing has</w:t>
            </w:r>
          </w:p>
        </w:tc>
        <w:tc>
          <w:tcPr>
            <w:tcW w:w="5780" w:type="dxa"/>
            <w:vAlign w:val="bottom"/>
            <w:shd w:val="clear" w:color="auto" w:fill="E9E9E9"/>
          </w:tcPr>
          <w:p>
            <w:pPr>
              <w:spacing w:after="0"/>
              <w:rPr>
                <w:sz w:val="16"/>
                <w:szCs w:val="16"/>
                <w:color w:val="auto"/>
              </w:rPr>
            </w:pPr>
          </w:p>
        </w:tc>
      </w:tr>
      <w:tr>
        <w:trPr>
          <w:trHeight w:val="191"/>
        </w:trPr>
        <w:tc>
          <w:tcPr>
            <w:tcW w:w="5640" w:type="dxa"/>
            <w:vAlign w:val="bottom"/>
            <w:shd w:val="clear" w:color="auto" w:fill="E9E9E9"/>
          </w:tcPr>
          <w:p>
            <w:pPr>
              <w:spacing w:after="0" w:line="191" w:lineRule="exact"/>
              <w:rPr>
                <w:sz w:val="20"/>
                <w:szCs w:val="20"/>
                <w:color w:val="auto"/>
              </w:rPr>
            </w:pPr>
            <w:r>
              <w:rPr>
                <w:rFonts w:ascii="Arial" w:cs="Arial" w:eastAsia="Arial" w:hAnsi="Arial"/>
                <w:sz w:val="17"/>
                <w:szCs w:val="17"/>
                <w:color w:val="auto"/>
              </w:rPr>
              <w:t>a 5 percent or greater ownership interest</w:t>
            </w:r>
          </w:p>
        </w:tc>
        <w:tc>
          <w:tcPr>
            <w:tcW w:w="5780" w:type="dxa"/>
            <w:vAlign w:val="bottom"/>
            <w:shd w:val="clear" w:color="auto" w:fill="E9E9E9"/>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2335" cy="3689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2335" cy="36893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p>
      <w:pPr>
        <w:spacing w:after="0" w:line="236"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Any other director or executive officer, an Immediate Family Member of such person, or an entity in which any of the foregoing has a 5 percent or greater ownership interest</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right="660"/>
        <w:spacing w:after="0" w:line="245" w:lineRule="auto"/>
        <w:rPr>
          <w:sz w:val="20"/>
          <w:szCs w:val="20"/>
          <w:color w:val="auto"/>
        </w:rPr>
      </w:pPr>
      <w:r>
        <w:rPr>
          <w:rFonts w:ascii="Arial" w:cs="Arial" w:eastAsia="Arial" w:hAnsi="Arial"/>
          <w:sz w:val="17"/>
          <w:szCs w:val="17"/>
          <w:color w:val="auto"/>
        </w:rPr>
        <w:t>Chief compliance officer in consultation with the Chair of the G&amp;SR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-3667760</wp:posOffset>
            </wp:positionH>
            <wp:positionV relativeFrom="paragraph">
              <wp:posOffset>261620</wp:posOffset>
            </wp:positionV>
            <wp:extent cx="7252335" cy="1231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2335" cy="123190"/>
                    </a:xfrm>
                    <a:prstGeom prst="rect">
                      <a:avLst/>
                    </a:prstGeom>
                    <a:noFill/>
                  </pic:spPr>
                </pic:pic>
              </a:graphicData>
            </a:graphic>
          </wp:anchor>
        </w:drawing>
      </w:r>
    </w:p>
    <w:p>
      <w:pPr>
        <w:spacing w:after="0" w:line="389" w:lineRule="exact"/>
        <w:rPr>
          <w:sz w:val="20"/>
          <w:szCs w:val="20"/>
          <w:color w:val="auto"/>
        </w:rPr>
      </w:pPr>
    </w:p>
    <w:p>
      <w:pPr>
        <w:sectPr>
          <w:pgSz w:w="11900" w:h="16838" w:orient="portrait"/>
          <w:cols w:equalWidth="0" w:num="2">
            <w:col w:w="5420" w:space="360"/>
            <w:col w:w="5640"/>
          </w:cols>
          <w:pgMar w:left="240" w:top="388" w:right="239" w:bottom="1440" w:gutter="0" w:footer="0" w:header="0"/>
          <w:type w:val="continuous"/>
        </w:sectPr>
      </w:pPr>
    </w:p>
    <w:p>
      <w:pPr>
        <w:spacing w:after="0" w:line="25" w:lineRule="exact"/>
        <w:rPr>
          <w:sz w:val="20"/>
          <w:szCs w:val="20"/>
          <w:color w:val="auto"/>
        </w:rPr>
      </w:pPr>
    </w:p>
    <w:p>
      <w:pPr>
        <w:spacing w:after="0"/>
        <w:tabs>
          <w:tab w:leader="none" w:pos="5760" w:val="left"/>
        </w:tabs>
        <w:rPr>
          <w:sz w:val="20"/>
          <w:szCs w:val="20"/>
          <w:color w:val="auto"/>
        </w:rPr>
      </w:pPr>
      <w:r>
        <w:rPr>
          <w:rFonts w:ascii="Arial" w:cs="Arial" w:eastAsia="Arial" w:hAnsi="Arial"/>
          <w:sz w:val="17"/>
          <w:szCs w:val="17"/>
          <w:color w:val="auto"/>
        </w:rPr>
        <w:t>A 5 percent holder</w:t>
      </w:r>
      <w:r>
        <w:rPr>
          <w:sz w:val="20"/>
          <w:szCs w:val="20"/>
          <w:color w:val="auto"/>
        </w:rPr>
        <w:tab/>
      </w:r>
      <w:r>
        <w:rPr>
          <w:rFonts w:ascii="Arial" w:cs="Arial" w:eastAsia="Arial" w:hAnsi="Arial"/>
          <w:sz w:val="16"/>
          <w:szCs w:val="16"/>
          <w:color w:val="auto"/>
        </w:rPr>
        <w:t>G&amp;SR Committee</w:t>
      </w:r>
    </w:p>
    <w:p>
      <w:pPr>
        <w:sectPr>
          <w:pgSz w:w="11900" w:h="16838" w:orient="portrait"/>
          <w:cols w:equalWidth="0" w:num="1">
            <w:col w:w="11420"/>
          </w:cols>
          <w:pgMar w:left="240" w:top="388" w:right="239" w:bottom="1440" w:gutter="0" w:footer="0" w:header="0"/>
          <w:type w:val="continuous"/>
        </w:sectPr>
      </w:pPr>
    </w:p>
    <w:p>
      <w:pPr>
        <w:spacing w:after="0" w:line="250" w:lineRule="exact"/>
        <w:rPr>
          <w:sz w:val="20"/>
          <w:szCs w:val="20"/>
          <w:color w:val="auto"/>
        </w:rPr>
      </w:pPr>
    </w:p>
    <w:p>
      <w:pPr>
        <w:spacing w:after="0"/>
        <w:tabs>
          <w:tab w:leader="none" w:pos="10000" w:val="left"/>
        </w:tabs>
        <w:rPr>
          <w:sz w:val="20"/>
          <w:szCs w:val="20"/>
          <w:color w:val="auto"/>
        </w:rPr>
      </w:pPr>
      <w:r>
        <w:rPr>
          <w:rFonts w:ascii="Arial" w:cs="Arial" w:eastAsia="Arial" w:hAnsi="Arial"/>
          <w:sz w:val="13"/>
          <w:szCs w:val="13"/>
          <w:b w:val="1"/>
          <w:bCs w:val="1"/>
          <w:color w:val="808285"/>
        </w:rPr>
        <w:t>96 •  2013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type w:val="continuous"/>
        </w:sectPr>
      </w:pPr>
    </w:p>
    <w:bookmarkStart w:id="43" w:name="page44"/>
    <w:bookmarkEnd w:id="43"/>
    <w:p>
      <w:pPr>
        <w:ind w:right="480"/>
        <w:spacing w:after="0" w:line="237" w:lineRule="auto"/>
        <w:rPr>
          <w:sz w:val="20"/>
          <w:szCs w:val="20"/>
          <w:color w:val="auto"/>
        </w:rPr>
      </w:pPr>
      <w:r>
        <w:rPr>
          <w:rFonts w:ascii="Arial" w:cs="Arial" w:eastAsia="Arial" w:hAnsi="Arial"/>
          <w:sz w:val="17"/>
          <w:szCs w:val="17"/>
          <w:color w:val="auto"/>
        </w:rPr>
        <w:t>No member of the G&amp;SR Committee will participate in the consideration of a related person arrangement in which such member or any of his or her Immediate Family Members is the related person.</w:t>
      </w:r>
    </w:p>
    <w:p>
      <w:pPr>
        <w:spacing w:after="0" w:line="2" w:lineRule="exact"/>
        <w:rPr>
          <w:sz w:val="20"/>
          <w:szCs w:val="20"/>
          <w:color w:val="auto"/>
        </w:rPr>
      </w:pPr>
    </w:p>
    <w:p>
      <w:pPr>
        <w:ind w:firstLine="233"/>
        <w:spacing w:after="0" w:line="237" w:lineRule="auto"/>
        <w:rPr>
          <w:sz w:val="20"/>
          <w:szCs w:val="20"/>
          <w:color w:val="auto"/>
        </w:rPr>
      </w:pPr>
      <w:r>
        <w:rPr>
          <w:rFonts w:ascii="Arial" w:cs="Arial" w:eastAsia="Arial" w:hAnsi="Arial"/>
          <w:sz w:val="17"/>
          <w:szCs w:val="17"/>
          <w:color w:val="auto"/>
        </w:rPr>
        <w:t>The approving body or persons will consider all of the relevant facts and circumstances available to them, including (if applicable) but not limited to: the benefits to the company of the arrangement; the impact on a director’s independence; the availability of other sources for comparable products or services; the terms of the arrangement; and the terms available to unrelated third parties or to employees generally. The primary consideration is whether the transaction between TI and the related person (a) was the result of undue influence from the related person or (b) could adversely influence or appear to adversely influence the judgment, decisions or actions of the director or executive officer in meeting TI responsibilities or create obligations to other organizations that may come in conflict with responsibilities to TI.</w:t>
      </w:r>
    </w:p>
    <w:p>
      <w:pPr>
        <w:spacing w:after="0" w:line="5" w:lineRule="exact"/>
        <w:rPr>
          <w:sz w:val="20"/>
          <w:szCs w:val="20"/>
          <w:color w:val="auto"/>
        </w:rPr>
      </w:pPr>
    </w:p>
    <w:p>
      <w:pPr>
        <w:ind w:right="360" w:firstLine="233"/>
        <w:spacing w:after="0" w:line="237" w:lineRule="auto"/>
        <w:rPr>
          <w:sz w:val="20"/>
          <w:szCs w:val="20"/>
          <w:color w:val="auto"/>
        </w:rPr>
      </w:pPr>
      <w:r>
        <w:rPr>
          <w:rFonts w:ascii="Arial" w:cs="Arial" w:eastAsia="Arial" w:hAnsi="Arial"/>
          <w:sz w:val="17"/>
          <w:szCs w:val="17"/>
          <w:color w:val="auto"/>
        </w:rPr>
        <w:t>No related person arrangement will be approved unless it is determined to be in, or not inconsistent with, the best interests of the company and its stockholders, as the approving body or persons shall determine in good faith.</w:t>
      </w:r>
    </w:p>
    <w:p>
      <w:pPr>
        <w:spacing w:after="0" w:line="2" w:lineRule="exact"/>
        <w:rPr>
          <w:sz w:val="20"/>
          <w:szCs w:val="20"/>
          <w:color w:val="auto"/>
        </w:rPr>
      </w:pPr>
    </w:p>
    <w:p>
      <w:pPr>
        <w:ind w:right="80" w:firstLine="233"/>
        <w:spacing w:after="0" w:line="241" w:lineRule="auto"/>
        <w:rPr>
          <w:sz w:val="20"/>
          <w:szCs w:val="20"/>
          <w:color w:val="auto"/>
        </w:rPr>
      </w:pPr>
      <w:r>
        <w:rPr>
          <w:rFonts w:ascii="Arial" w:cs="Arial" w:eastAsia="Arial" w:hAnsi="Arial"/>
          <w:sz w:val="17"/>
          <w:szCs w:val="17"/>
          <w:color w:val="auto"/>
        </w:rPr>
        <w:t>The chief compliance officer will provide periodic reports to the committee on related person transactions. Any related person transaction brought to the attention of the chief compliance officer or of which the chief compliance officer becomes aware that is not approved pursuant to the process set forth above shall be terminated as soon as practicable.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25"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During 2012, Mses. Cox and Simmons and Messrs. MacMillan and Sanders served on the Compensation Committee. No committee member (i) was an officer or employee of TI, (ii) was formerly an officer of TI or (iii) had any relationship requiring disclosure under the SEC’s rules governing disclosure of related person transactions (Item 404 of Regulation S-K). No executive officer of TI served as a director or member of the compensation committee of another entity, one of whose directors or executive officers served as a member of our board of directors or a member of the Compensation Committee.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solicitation</w:t>
      </w:r>
    </w:p>
    <w:p>
      <w:pPr>
        <w:spacing w:after="0" w:line="225"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The solicitation is made on behalf of our board of directors. TI will pay the cost of soliciting these proxies. We will reimburse brokerage houses and other custodians, nominees and fiduciaries for reasonable expenses they incur in sending these proxy materials to you if you are a beneficial holder of our shares.</w:t>
      </w:r>
    </w:p>
    <w:p>
      <w:pPr>
        <w:spacing w:after="0" w:line="2" w:lineRule="exact"/>
        <w:rPr>
          <w:sz w:val="20"/>
          <w:szCs w:val="20"/>
          <w:color w:val="auto"/>
        </w:rPr>
      </w:pPr>
    </w:p>
    <w:p>
      <w:pPr>
        <w:jc w:val="both"/>
        <w:ind w:right="80" w:firstLine="233"/>
        <w:spacing w:after="0" w:line="241" w:lineRule="auto"/>
        <w:rPr>
          <w:sz w:val="20"/>
          <w:szCs w:val="20"/>
          <w:color w:val="auto"/>
        </w:rPr>
      </w:pPr>
      <w:r>
        <w:rPr>
          <w:rFonts w:ascii="Arial" w:cs="Arial" w:eastAsia="Arial" w:hAnsi="Arial"/>
          <w:sz w:val="17"/>
          <w:szCs w:val="17"/>
          <w:color w:val="auto"/>
        </w:rPr>
        <w:t>Without receiving additional compensation, officials and regular employees of TI may solicit proxies personally, by telephone, fax or e-mail, from some stockholders if proxies are not promptly received. We have also hired Georgeson Inc. to assist in the solicitation of proxies at a cost of $12,000 plus out-of-pocket expenses.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 proposals for 2014</w:t>
      </w:r>
    </w:p>
    <w:p>
      <w:pPr>
        <w:spacing w:after="0" w:line="225" w:lineRule="exact"/>
        <w:rPr>
          <w:sz w:val="20"/>
          <w:szCs w:val="20"/>
          <w:color w:val="auto"/>
        </w:rPr>
      </w:pPr>
    </w:p>
    <w:p>
      <w:pPr>
        <w:ind w:right="180"/>
        <w:spacing w:after="0" w:line="237" w:lineRule="auto"/>
        <w:rPr>
          <w:sz w:val="20"/>
          <w:szCs w:val="20"/>
          <w:color w:val="auto"/>
        </w:rPr>
      </w:pPr>
      <w:r>
        <w:rPr>
          <w:rFonts w:ascii="Arial" w:cs="Arial" w:eastAsia="Arial" w:hAnsi="Arial"/>
          <w:sz w:val="17"/>
          <w:szCs w:val="17"/>
          <w:color w:val="auto"/>
        </w:rPr>
        <w:t>If you wish to submit a proposal for possible inclusion in TI’s 2014 proxy material, we must receive your notice, in accordance with the rules of the SEC, on or before November 5, 2013. Proposals are to be sent to: Texas Instruments Incorporated, 12500 TI Boulevard, MS 8658, Dallas, TX 75243, Attn: Secretary.</w:t>
      </w:r>
    </w:p>
    <w:p>
      <w:pPr>
        <w:spacing w:after="0" w:line="2" w:lineRule="exact"/>
        <w:rPr>
          <w:sz w:val="20"/>
          <w:szCs w:val="20"/>
          <w:color w:val="auto"/>
        </w:rPr>
      </w:pPr>
    </w:p>
    <w:p>
      <w:pPr>
        <w:ind w:right="100" w:firstLine="233"/>
        <w:spacing w:after="0" w:line="237" w:lineRule="auto"/>
        <w:rPr>
          <w:sz w:val="20"/>
          <w:szCs w:val="20"/>
          <w:color w:val="auto"/>
        </w:rPr>
      </w:pPr>
      <w:r>
        <w:rPr>
          <w:rFonts w:ascii="Arial" w:cs="Arial" w:eastAsia="Arial" w:hAnsi="Arial"/>
          <w:sz w:val="17"/>
          <w:szCs w:val="17"/>
          <w:color w:val="auto"/>
        </w:rPr>
        <w:t>If you wish to submit a proposal at the 2014 annual meeting (but not seek inclusion of the proposal in the company’s proxy material), we must receive your notice, in accordance with the company’s by-laws, on or before January 18, 2014.</w:t>
      </w:r>
    </w:p>
    <w:p>
      <w:pPr>
        <w:spacing w:after="0" w:line="2" w:lineRule="exact"/>
        <w:rPr>
          <w:sz w:val="20"/>
          <w:szCs w:val="20"/>
          <w:color w:val="auto"/>
        </w:rPr>
      </w:pPr>
    </w:p>
    <w:p>
      <w:pPr>
        <w:ind w:right="100" w:firstLine="233"/>
        <w:spacing w:after="0" w:line="239" w:lineRule="auto"/>
        <w:rPr>
          <w:sz w:val="20"/>
          <w:szCs w:val="20"/>
          <w:color w:val="auto"/>
        </w:rPr>
      </w:pPr>
      <w:r>
        <w:rPr>
          <w:rFonts w:ascii="Arial" w:cs="Arial" w:eastAsia="Arial" w:hAnsi="Arial"/>
          <w:sz w:val="17"/>
          <w:szCs w:val="17"/>
          <w:color w:val="auto"/>
        </w:rPr>
        <w:t>All suggestions from stockholders concerning the company’s business are welcome and will be carefully considered by TI’s management. To ensure that your suggestions receive appropriate review, the G&amp;SR Committee from time to time reviews correspondence from stockholders and management’s responses. Stockholders are thereby given access at the board level without having to resort to formal stockholder proposals. Generally, the board prefers you present your views in this manner rather than through the process of formal stockholder proposals. Please see page 60 for information on contacting the board.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Benefit plan voting</w:t>
      </w:r>
    </w:p>
    <w:p>
      <w:pPr>
        <w:spacing w:after="0" w:line="225"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If you are a participant in the TI Contribution and 401(k) Savings Plan, or the TI 401(k) Savings Plan, you are a “named fiduciary” under the plans and are entitled to direct the voting of shares allocable to your accounts under these plans. The trustee administering your plan will vote your shares in accordance with your instructions. If you wish to instruct the trustee on the voting of shares held for your accounts, you should do so by April 15, 2013, in the manner described in the notice of annual meeting.</w:t>
      </w:r>
    </w:p>
    <w:p>
      <w:pPr>
        <w:spacing w:after="0" w:line="3" w:lineRule="exact"/>
        <w:rPr>
          <w:sz w:val="20"/>
          <w:szCs w:val="20"/>
          <w:color w:val="auto"/>
        </w:rPr>
      </w:pPr>
    </w:p>
    <w:p>
      <w:pPr>
        <w:ind w:right="180" w:firstLine="224"/>
        <w:spacing w:after="0" w:line="241" w:lineRule="auto"/>
        <w:rPr>
          <w:sz w:val="20"/>
          <w:szCs w:val="20"/>
          <w:color w:val="auto"/>
        </w:rPr>
      </w:pPr>
      <w:r>
        <w:rPr>
          <w:rFonts w:ascii="Arial" w:cs="Arial" w:eastAsia="Arial" w:hAnsi="Arial"/>
          <w:sz w:val="17"/>
          <w:szCs w:val="17"/>
          <w:color w:val="auto"/>
        </w:rPr>
        <w:t>Additionally, participants under the plans are designated as “named fiduciaries” for the purpose of voting TI stock held under the plans for which no voting direction is received. TI shares held by the TI 401(k) savings plans for which no voting instructions are received by April 15, 2013, will be voted in the same proportions as the shares in the plans for which voting instructions have been received by that date.</w:t>
      </w:r>
    </w:p>
    <w:p>
      <w:pPr>
        <w:spacing w:after="0" w:line="218" w:lineRule="exact"/>
        <w:rPr>
          <w:sz w:val="20"/>
          <w:szCs w:val="20"/>
          <w:color w:val="auto"/>
        </w:rPr>
      </w:pPr>
    </w:p>
    <w:p>
      <w:pPr>
        <w:spacing w:after="0"/>
        <w:tabs>
          <w:tab w:leader="none" w:pos="95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2"/>
          <w:szCs w:val="12"/>
          <w:b w:val="1"/>
          <w:bCs w:val="1"/>
          <w:color w:val="808285"/>
        </w:rPr>
        <w:t>2013 PROXY STATEMENT •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25"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Section 16(a) of the Securities Exchange Act requires certain persons, including the company’s directors and executive officers, to file reports with the SEC regarding beneficial ownership of certain equity securities of the company. The company believes that during 2012, all reports were timely filed by its directors and executive officers.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Telephone and Internet voting</w:t>
      </w:r>
    </w:p>
    <w:p>
      <w:pPr>
        <w:spacing w:after="0" w:line="225"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u w:val="single" w:color="auto"/>
          <w:color w:val="auto"/>
        </w:rPr>
        <w:t>Registered stockholders and benefit plan participants</w:t>
      </w:r>
      <w:r>
        <w:rPr>
          <w:rFonts w:ascii="Arial" w:cs="Arial" w:eastAsia="Arial" w:hAnsi="Arial"/>
          <w:sz w:val="17"/>
          <w:szCs w:val="17"/>
          <w:color w:val="auto"/>
        </w:rPr>
        <w:t>. Stockholders with shares registered directly with Computershare (TI’s transfer agent) and participants who beneficially own shares in a TI benefit plan may vote telephonically by calling (800) 690-6903 (within the U.S. and Canada only, toll-free) or via the Internet at www.proxyvote.com.</w:t>
      </w:r>
    </w:p>
    <w:p>
      <w:pPr>
        <w:spacing w:after="0" w:line="2" w:lineRule="exact"/>
        <w:rPr>
          <w:sz w:val="20"/>
          <w:szCs w:val="20"/>
          <w:color w:val="auto"/>
        </w:rPr>
      </w:pPr>
    </w:p>
    <w:p>
      <w:pPr>
        <w:ind w:right="120" w:firstLine="230"/>
        <w:spacing w:after="0" w:line="264" w:lineRule="auto"/>
        <w:rPr>
          <w:sz w:val="20"/>
          <w:szCs w:val="20"/>
          <w:color w:val="auto"/>
        </w:rPr>
      </w:pPr>
      <w:r>
        <w:rPr>
          <w:rFonts w:ascii="Arial" w:cs="Arial" w:eastAsia="Arial" w:hAnsi="Arial"/>
          <w:sz w:val="16"/>
          <w:szCs w:val="16"/>
          <w:color w:val="auto"/>
        </w:rPr>
        <w:t>The telephone and Internet voting procedures are designed to authenticate stockholders’ identities, to allow stockholders to give their voting instructions and to confirm that stockholders’ instructions have been recorded properly. TI has been advised by counsel that the telephone and Internet voting procedures, which have been made available through Broadridge Financial Solutions, Inc., are consistent with the requirements of applicable law.</w:t>
      </w:r>
    </w:p>
    <w:p>
      <w:pPr>
        <w:spacing w:after="0" w:line="181" w:lineRule="exact"/>
        <w:rPr>
          <w:sz w:val="20"/>
          <w:szCs w:val="20"/>
          <w:color w:val="auto"/>
        </w:rPr>
      </w:pPr>
    </w:p>
    <w:p>
      <w:pPr>
        <w:jc w:val="both"/>
        <w:ind w:right="120"/>
        <w:spacing w:after="0" w:line="237" w:lineRule="auto"/>
        <w:rPr>
          <w:sz w:val="20"/>
          <w:szCs w:val="20"/>
          <w:color w:val="auto"/>
        </w:rPr>
      </w:pPr>
      <w:r>
        <w:rPr>
          <w:rFonts w:ascii="Arial" w:cs="Arial" w:eastAsia="Arial" w:hAnsi="Arial"/>
          <w:sz w:val="17"/>
          <w:szCs w:val="17"/>
          <w:u w:val="single" w:color="auto"/>
          <w:color w:val="auto"/>
        </w:rPr>
        <w:t>Stockholders with shares registered in the name of a brokerage firm or bank</w:t>
      </w:r>
      <w:r>
        <w:rPr>
          <w:rFonts w:ascii="Arial" w:cs="Arial" w:eastAsia="Arial" w:hAnsi="Arial"/>
          <w:sz w:val="17"/>
          <w:szCs w:val="17"/>
          <w:color w:val="auto"/>
        </w:rPr>
        <w:t xml:space="preserve"> . A number of brokerage firms and banks offer telephone and Internet voting options. These programs may differ from the program provided to registered stockholders and benefit plan participants. Check the information forwarded by your bank, broker or other holder of record to see which options are available to you.</w:t>
      </w:r>
    </w:p>
    <w:p>
      <w:pPr>
        <w:spacing w:after="0" w:line="2" w:lineRule="exact"/>
        <w:rPr>
          <w:sz w:val="20"/>
          <w:szCs w:val="20"/>
          <w:color w:val="auto"/>
        </w:rPr>
      </w:pPr>
    </w:p>
    <w:p>
      <w:pPr>
        <w:ind w:right="600" w:firstLine="233"/>
        <w:spacing w:after="0" w:line="245" w:lineRule="auto"/>
        <w:rPr>
          <w:sz w:val="20"/>
          <w:szCs w:val="20"/>
          <w:color w:val="auto"/>
        </w:rPr>
      </w:pPr>
      <w:r>
        <w:rPr>
          <w:rFonts w:ascii="Arial" w:cs="Arial" w:eastAsia="Arial" w:hAnsi="Arial"/>
          <w:sz w:val="17"/>
          <w:szCs w:val="17"/>
          <w:color w:val="auto"/>
        </w:rPr>
        <w:t>Stockholders voting via the Internet should understand that there may be costs associated with electronic access, such as usage charges from telephone companies and Internet access providers, that must be borne by the stockholder.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Stockholders sharing the same address</w:t>
      </w:r>
    </w:p>
    <w:p>
      <w:pPr>
        <w:spacing w:after="0" w:line="225"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To reduce the expenses of delivering duplicate materials, we take advantage of the SEC’s “householding” rules which permit us to deliver only one set of proxy materials (or one Notice of Internet Availability of Proxy Materials) to stockholders who share an address unless otherwise requested. If you share an address with another stockholder and have received only one set of these materials, you may request a separate copy at no cost to you by calling Investor Relations at 214-479-3773 or by writing to Texas Instruments Incorporated, P.O. Box 660199, MS 8657, Dallas, TX 75266-0199, Attn: Investor Relations. For future annual meetings, you may request separate materials, or request that we send only one set of materials to you if you are receiving multiple copies, by calling (800) 542-1061 or writing to Investor Relations at the address given above.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delivery of proxy materials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As an alternative to receiving printed copies of these materials in future years, we are pleased to offer stockholders the opportunity to receive proxy mailings electronically. To request electronic delivery, please vote via the Internet at www.proxyvote.com and, when prompted, enroll to receive or access proxy materials electronically in future years. After the meeting date, stockholders holding shares through a broker or bank may request electronic delivery by visiting www.icsdelivery.com/ti and entering information for each account held by a bank or broker. If you are a registered stockholder and would like to request electronic delivery, please visit www-us.computershare.com/investor or call TI Investor Relations at 214-479-3773 for more information. If you are a participant in a TI benefit plan and would like to request electronic delivery, please call TI Investor Relations for more information.</w:t>
      </w:r>
    </w:p>
    <w:p>
      <w:pPr>
        <w:spacing w:after="0" w:line="167" w:lineRule="exact"/>
        <w:rPr>
          <w:sz w:val="20"/>
          <w:szCs w:val="20"/>
          <w:color w:val="auto"/>
        </w:rPr>
      </w:pPr>
    </w:p>
    <w:p>
      <w:pPr>
        <w:ind w:right="640"/>
        <w:spacing w:after="0" w:line="270" w:lineRule="auto"/>
        <w:rPr>
          <w:sz w:val="20"/>
          <w:szCs w:val="20"/>
          <w:color w:val="auto"/>
        </w:rPr>
      </w:pPr>
      <w:r>
        <w:rPr>
          <w:rFonts w:ascii="Arial" w:cs="Arial" w:eastAsia="Arial" w:hAnsi="Arial"/>
          <w:sz w:val="17"/>
          <w:szCs w:val="17"/>
          <w:b w:val="1"/>
          <w:bCs w:val="1"/>
          <w:color w:val="auto"/>
        </w:rPr>
        <w:t>Important Notice Regarding the Availability of Proxy Materials for the Stockholder Meeting to be held on April 18, 2013. This 2013 proxy statement and the company’s 2012 annual report are accessible at: www.proxyvote.com.</w:t>
      </w:r>
    </w:p>
    <w:p>
      <w:pPr>
        <w:spacing w:after="0" w:line="17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-2540</wp:posOffset>
            </wp:positionV>
            <wp:extent cx="1944370" cy="549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944370" cy="549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Joseph F. Hubach</w:t>
      </w:r>
    </w:p>
    <w:p>
      <w:pPr>
        <w:ind w:left="5720"/>
        <w:spacing w:after="0" w:line="237" w:lineRule="auto"/>
        <w:rPr>
          <w:sz w:val="20"/>
          <w:szCs w:val="20"/>
          <w:color w:val="auto"/>
        </w:rPr>
      </w:pPr>
      <w:r>
        <w:rPr>
          <w:rFonts w:ascii="Arial" w:cs="Arial" w:eastAsia="Arial" w:hAnsi="Arial"/>
          <w:sz w:val="17"/>
          <w:szCs w:val="17"/>
          <w:color w:val="auto"/>
        </w:rPr>
        <w:t>Senior Vice President,</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Secretary and General Counsel</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March 5, 2013</w:t>
      </w:r>
    </w:p>
    <w:p>
      <w:pPr>
        <w:spacing w:after="0"/>
        <w:rPr>
          <w:sz w:val="20"/>
          <w:szCs w:val="20"/>
          <w:color w:val="auto"/>
        </w:rPr>
      </w:pPr>
      <w:r>
        <w:rPr>
          <w:rFonts w:ascii="Arial" w:cs="Arial" w:eastAsia="Arial" w:hAnsi="Arial"/>
          <w:sz w:val="17"/>
          <w:szCs w:val="17"/>
          <w:color w:val="auto"/>
        </w:rPr>
        <w:t>Dallas, Texas</w:t>
      </w:r>
    </w:p>
    <w:p>
      <w:pPr>
        <w:spacing w:after="0" w:line="224" w:lineRule="exact"/>
        <w:rPr>
          <w:sz w:val="20"/>
          <w:szCs w:val="20"/>
          <w:color w:val="auto"/>
        </w:rPr>
      </w:pPr>
    </w:p>
    <w:p>
      <w:pPr>
        <w:spacing w:after="0"/>
        <w:tabs>
          <w:tab w:leader="none" w:pos="10000" w:val="left"/>
        </w:tabs>
        <w:rPr>
          <w:sz w:val="20"/>
          <w:szCs w:val="20"/>
          <w:color w:val="auto"/>
        </w:rPr>
      </w:pPr>
      <w:r>
        <w:rPr>
          <w:rFonts w:ascii="Arial" w:cs="Arial" w:eastAsia="Arial" w:hAnsi="Arial"/>
          <w:sz w:val="13"/>
          <w:szCs w:val="13"/>
          <w:b w:val="1"/>
          <w:bCs w:val="1"/>
          <w:color w:val="808285"/>
        </w:rPr>
        <w:t>98 •  2013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Directions and other annual meeting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Directions</w:t>
      </w:r>
    </w:p>
    <w:p>
      <w:pPr>
        <w:spacing w:after="0" w:line="187"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i w:val="1"/>
          <w:iCs w:val="1"/>
          <w:color w:val="auto"/>
        </w:rPr>
        <w:t xml:space="preserve">From DFW airport: </w:t>
      </w:r>
      <w:r>
        <w:rPr>
          <w:rFonts w:ascii="Arial" w:cs="Arial" w:eastAsia="Arial" w:hAnsi="Arial"/>
          <w:sz w:val="17"/>
          <w:szCs w:val="17"/>
          <w:color w:val="auto"/>
        </w:rPr>
        <w:t>Take the North Airport exit to IH-635E. Take IH-635E to the Greenville Avenue exit. Turn right (South) on Greenville. Turn right (West)</w:t>
      </w:r>
      <w:r>
        <w:rPr>
          <w:rFonts w:ascii="Arial" w:cs="Arial" w:eastAsia="Arial" w:hAnsi="Arial"/>
          <w:sz w:val="17"/>
          <w:szCs w:val="17"/>
          <w:i w:val="1"/>
          <w:iCs w:val="1"/>
          <w:color w:val="auto"/>
        </w:rPr>
        <w:t xml:space="preserve"> </w:t>
      </w:r>
      <w:r>
        <w:rPr>
          <w:rFonts w:ascii="Arial" w:cs="Arial" w:eastAsia="Arial" w:hAnsi="Arial"/>
          <w:sz w:val="17"/>
          <w:szCs w:val="17"/>
          <w:color w:val="auto"/>
        </w:rPr>
        <w:t>on Forest Lane. Texas Instruments will be on your right at the second traffic light. Please use the North entrance to the building.</w:t>
      </w:r>
    </w:p>
    <w:p>
      <w:pPr>
        <w:spacing w:after="0" w:line="158" w:lineRule="exact"/>
        <w:rPr>
          <w:sz w:val="20"/>
          <w:szCs w:val="20"/>
          <w:color w:val="auto"/>
        </w:rPr>
      </w:pPr>
    </w:p>
    <w:p>
      <w:pPr>
        <w:jc w:val="both"/>
        <w:ind w:right="140"/>
        <w:spacing w:after="0" w:line="253" w:lineRule="auto"/>
        <w:rPr>
          <w:sz w:val="20"/>
          <w:szCs w:val="20"/>
          <w:color w:val="auto"/>
        </w:rPr>
      </w:pPr>
      <w:r>
        <w:rPr>
          <w:rFonts w:ascii="Arial" w:cs="Arial" w:eastAsia="Arial" w:hAnsi="Arial"/>
          <w:sz w:val="17"/>
          <w:szCs w:val="17"/>
          <w:i w:val="1"/>
          <w:iCs w:val="1"/>
          <w:color w:val="auto"/>
        </w:rPr>
        <w:t xml:space="preserve">From Love Field airport: </w:t>
      </w:r>
      <w:r>
        <w:rPr>
          <w:rFonts w:ascii="Arial" w:cs="Arial" w:eastAsia="Arial" w:hAnsi="Arial"/>
          <w:sz w:val="17"/>
          <w:szCs w:val="17"/>
          <w:color w:val="auto"/>
        </w:rPr>
        <w:t>Take Mockingbird Lane East to US-75N (Central Expressway). Travel North on 75N to the Forest Lane exit. Turn right (East) on</w:t>
      </w:r>
      <w:r>
        <w:rPr>
          <w:rFonts w:ascii="Arial" w:cs="Arial" w:eastAsia="Arial" w:hAnsi="Arial"/>
          <w:sz w:val="17"/>
          <w:szCs w:val="17"/>
          <w:i w:val="1"/>
          <w:iCs w:val="1"/>
          <w:color w:val="auto"/>
        </w:rPr>
        <w:t xml:space="preserve"> </w:t>
      </w:r>
      <w:r>
        <w:rPr>
          <w:rFonts w:ascii="Arial" w:cs="Arial" w:eastAsia="Arial" w:hAnsi="Arial"/>
          <w:sz w:val="17"/>
          <w:szCs w:val="17"/>
          <w:color w:val="auto"/>
        </w:rPr>
        <w:t>Forest Lane. You will pass two traffic lights. At the third light, the entrance to Texas Instruments will be on your left. Please use the North entrance to the building.</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Parking</w:t>
      </w:r>
    </w:p>
    <w:p>
      <w:pPr>
        <w:ind w:right="460"/>
        <w:spacing w:after="0" w:line="245" w:lineRule="auto"/>
        <w:rPr>
          <w:sz w:val="20"/>
          <w:szCs w:val="20"/>
          <w:color w:val="auto"/>
        </w:rPr>
      </w:pPr>
      <w:r>
        <w:rPr>
          <w:rFonts w:ascii="Arial" w:cs="Arial" w:eastAsia="Arial" w:hAnsi="Arial"/>
          <w:sz w:val="17"/>
          <w:szCs w:val="17"/>
          <w:color w:val="auto"/>
        </w:rPr>
        <w:t>There will be reserved parking for all visitors at the North Lobby. Visitors with special needs requiring assistance will be accommodated at the South Lobby entrance.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Security</w:t>
      </w:r>
    </w:p>
    <w:p>
      <w:pPr>
        <w:ind w:right="340"/>
        <w:spacing w:after="0" w:line="245" w:lineRule="auto"/>
        <w:rPr>
          <w:sz w:val="20"/>
          <w:szCs w:val="20"/>
          <w:color w:val="auto"/>
        </w:rPr>
      </w:pPr>
      <w:r>
        <w:rPr>
          <w:rFonts w:ascii="Arial" w:cs="Arial" w:eastAsia="Arial" w:hAnsi="Arial"/>
          <w:sz w:val="17"/>
          <w:szCs w:val="17"/>
          <w:color w:val="auto"/>
        </w:rPr>
        <w:t>Please be advised that TI’s security policy forbids weapons, cameras and audio/video recording devices inside TI buildings. All bags will be subject to search upon entry into the building.</w:t>
      </w:r>
    </w:p>
    <w:p>
      <w:pPr>
        <w:spacing w:after="0" w:line="214" w:lineRule="exact"/>
        <w:rPr>
          <w:sz w:val="20"/>
          <w:szCs w:val="20"/>
          <w:color w:val="auto"/>
        </w:rPr>
      </w:pPr>
    </w:p>
    <w:p>
      <w:pPr>
        <w:spacing w:after="0"/>
        <w:tabs>
          <w:tab w:leader="none" w:pos="95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2"/>
          <w:szCs w:val="12"/>
          <w:b w:val="1"/>
          <w:bCs w:val="1"/>
          <w:color w:val="808285"/>
        </w:rPr>
        <w:t>2013 PROXY STATEMENT •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73290"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46" w:name="page47"/>
    <w:bookmarkEnd w:id="46"/>
    <w:p>
      <w:pPr>
        <w:ind w:left="520"/>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482600</wp:posOffset>
            </wp:positionH>
            <wp:positionV relativeFrom="page">
              <wp:posOffset>236855</wp:posOffset>
            </wp:positionV>
            <wp:extent cx="1362075" cy="4597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1362075" cy="459740"/>
                    </a:xfrm>
                    <a:prstGeom prst="rect">
                      <a:avLst/>
                    </a:prstGeom>
                    <a:noFill/>
                  </pic:spPr>
                </pic:pic>
              </a:graphicData>
            </a:graphic>
          </wp:anchor>
        </w:drawing>
        <w:t>TEXAS INSTRUMENTS INCORPORATED</w:t>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ATTN: JANE NAHRA</w:t>
      </w:r>
    </w:p>
    <w:p>
      <w:pPr>
        <w:ind w:left="520"/>
        <w:spacing w:after="0" w:line="237" w:lineRule="auto"/>
        <w:rPr>
          <w:sz w:val="20"/>
          <w:szCs w:val="20"/>
          <w:color w:val="auto"/>
        </w:rPr>
      </w:pPr>
      <w:r>
        <w:rPr>
          <w:rFonts w:ascii="Arial" w:cs="Arial" w:eastAsia="Arial" w:hAnsi="Arial"/>
          <w:sz w:val="17"/>
          <w:szCs w:val="17"/>
          <w:b w:val="1"/>
          <w:bCs w:val="1"/>
          <w:i w:val="1"/>
          <w:iCs w:val="1"/>
          <w:color w:val="auto"/>
        </w:rPr>
        <w:t>13588 N. CENTRAL EXPRESSWAY</w:t>
      </w:r>
    </w:p>
    <w:p>
      <w:pPr>
        <w:ind w:left="520"/>
        <w:spacing w:after="0"/>
        <w:rPr>
          <w:sz w:val="20"/>
          <w:szCs w:val="20"/>
          <w:color w:val="auto"/>
        </w:rPr>
      </w:pPr>
      <w:r>
        <w:rPr>
          <w:rFonts w:ascii="Arial" w:cs="Arial" w:eastAsia="Arial" w:hAnsi="Arial"/>
          <w:sz w:val="17"/>
          <w:szCs w:val="17"/>
          <w:b w:val="1"/>
          <w:bCs w:val="1"/>
          <w:i w:val="1"/>
          <w:iCs w:val="1"/>
          <w:color w:val="auto"/>
        </w:rPr>
        <w:t>MS 3999</w:t>
      </w:r>
    </w:p>
    <w:p>
      <w:pPr>
        <w:ind w:left="520"/>
        <w:spacing w:after="0"/>
        <w:rPr>
          <w:sz w:val="20"/>
          <w:szCs w:val="20"/>
          <w:color w:val="auto"/>
        </w:rPr>
      </w:pPr>
      <w:r>
        <w:rPr>
          <w:rFonts w:ascii="Arial" w:cs="Arial" w:eastAsia="Arial" w:hAnsi="Arial"/>
          <w:sz w:val="17"/>
          <w:szCs w:val="17"/>
          <w:b w:val="1"/>
          <w:bCs w:val="1"/>
          <w:i w:val="1"/>
          <w:iCs w:val="1"/>
          <w:color w:val="auto"/>
        </w:rPr>
        <w:t>DALLAS, TX 75243</w:t>
      </w:r>
    </w:p>
    <w:p>
      <w:pPr>
        <w:spacing w:after="0" w:line="185"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 xml:space="preserve">For registered shares, your proxy must be received by 11:59 P.M. (Eastern time) on </w:t>
      </w:r>
      <w:r>
        <w:rPr>
          <w:rFonts w:ascii="Arial" w:cs="Arial" w:eastAsia="Arial" w:hAnsi="Arial"/>
          <w:sz w:val="13"/>
          <w:szCs w:val="13"/>
          <w:b w:val="1"/>
          <w:bCs w:val="1"/>
          <w:i w:val="1"/>
          <w:iCs w:val="1"/>
          <w:color w:val="auto"/>
        </w:rPr>
        <w:t>April</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3"/>
          <w:szCs w:val="13"/>
          <w:b w:val="1"/>
          <w:bCs w:val="1"/>
          <w:i w:val="1"/>
          <w:iCs w:val="1"/>
          <w:color w:val="auto"/>
        </w:rPr>
        <w:t>17, 2013.</w:t>
      </w:r>
    </w:p>
    <w:p>
      <w:pPr>
        <w:spacing w:after="0" w:line="183"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For shares allocable to a benefit plan account, your proxy must be received by 11:59 P.M.</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 xml:space="preserve">(Eastern time) on </w:t>
      </w:r>
      <w:r>
        <w:rPr>
          <w:rFonts w:ascii="Arial" w:cs="Arial" w:eastAsia="Arial" w:hAnsi="Arial"/>
          <w:sz w:val="13"/>
          <w:szCs w:val="13"/>
          <w:b w:val="1"/>
          <w:bCs w:val="1"/>
          <w:i w:val="1"/>
          <w:iCs w:val="1"/>
          <w:color w:val="auto"/>
        </w:rPr>
        <w:t>April 15, 2013</w:t>
      </w:r>
      <w:r>
        <w:rPr>
          <w:rFonts w:ascii="Arial" w:cs="Arial" w:eastAsia="Arial" w:hAnsi="Arial"/>
          <w:sz w:val="13"/>
          <w:szCs w:val="13"/>
          <w:b w:val="1"/>
          <w:bCs w:val="1"/>
          <w:color w:val="auto"/>
        </w:rPr>
        <w:t>.</w:t>
      </w:r>
    </w:p>
    <w:p>
      <w:pPr>
        <w:spacing w:after="0" w:line="183"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Use the Internet to transmit your voting instructions and for electronic delivery of information up</w:t>
      </w:r>
    </w:p>
    <w:p>
      <w:pPr>
        <w:ind w:left="5320"/>
        <w:spacing w:after="0" w:line="228" w:lineRule="auto"/>
        <w:rPr>
          <w:sz w:val="20"/>
          <w:szCs w:val="20"/>
          <w:color w:val="auto"/>
        </w:rPr>
      </w:pPr>
      <w:r>
        <w:rPr>
          <w:rFonts w:ascii="Arial" w:cs="Arial" w:eastAsia="Arial" w:hAnsi="Arial"/>
          <w:sz w:val="13"/>
          <w:szCs w:val="13"/>
          <w:color w:val="auto"/>
        </w:rPr>
        <w:t>until the applicable cut-off date and time above. Have your proxy card in hand when you access</w:t>
      </w:r>
    </w:p>
    <w:p>
      <w:pPr>
        <w:ind w:left="5320"/>
        <w:spacing w:after="0" w:line="228" w:lineRule="auto"/>
        <w:rPr>
          <w:sz w:val="20"/>
          <w:szCs w:val="20"/>
          <w:color w:val="auto"/>
        </w:rPr>
      </w:pPr>
      <w:r>
        <w:rPr>
          <w:rFonts w:ascii="Arial" w:cs="Arial" w:eastAsia="Arial" w:hAnsi="Arial"/>
          <w:sz w:val="13"/>
          <w:szCs w:val="13"/>
          <w:color w:val="auto"/>
        </w:rPr>
        <w:t>the web site and follow the instructions to obtain your records and to create an electronic voting</w:t>
      </w:r>
    </w:p>
    <w:p>
      <w:pPr>
        <w:ind w:left="5320"/>
        <w:spacing w:after="0"/>
        <w:rPr>
          <w:sz w:val="20"/>
          <w:szCs w:val="20"/>
          <w:color w:val="auto"/>
        </w:rPr>
      </w:pPr>
      <w:r>
        <w:rPr>
          <w:rFonts w:ascii="Arial" w:cs="Arial" w:eastAsia="Arial" w:hAnsi="Arial"/>
          <w:sz w:val="13"/>
          <w:szCs w:val="13"/>
          <w:color w:val="auto"/>
        </w:rPr>
        <w:t>instruction form.</w:t>
      </w:r>
    </w:p>
    <w:p>
      <w:pPr>
        <w:spacing w:after="0" w:line="183"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ELECTRONIC DELIVERY OF FUTURE PROXY MATERIALS</w:t>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If you would like to reduce the costs incurred by our company in mailing proxy materials, you can</w:t>
      </w:r>
    </w:p>
    <w:p>
      <w:pPr>
        <w:ind w:left="5320"/>
        <w:spacing w:after="0" w:line="228" w:lineRule="auto"/>
        <w:rPr>
          <w:sz w:val="20"/>
          <w:szCs w:val="20"/>
          <w:color w:val="auto"/>
        </w:rPr>
      </w:pPr>
      <w:r>
        <w:rPr>
          <w:rFonts w:ascii="Arial" w:cs="Arial" w:eastAsia="Arial" w:hAnsi="Arial"/>
          <w:sz w:val="13"/>
          <w:szCs w:val="13"/>
          <w:color w:val="auto"/>
        </w:rPr>
        <w:t>consent to receiving all future proxy statements, proxy cards and annual reports electronically via</w:t>
      </w:r>
    </w:p>
    <w:p>
      <w:pPr>
        <w:ind w:left="5320"/>
        <w:spacing w:after="0" w:line="228" w:lineRule="auto"/>
        <w:rPr>
          <w:sz w:val="20"/>
          <w:szCs w:val="20"/>
          <w:color w:val="auto"/>
        </w:rPr>
      </w:pPr>
      <w:r>
        <w:rPr>
          <w:rFonts w:ascii="Arial" w:cs="Arial" w:eastAsia="Arial" w:hAnsi="Arial"/>
          <w:sz w:val="13"/>
          <w:szCs w:val="13"/>
          <w:color w:val="auto"/>
        </w:rPr>
        <w:t>e-mail or the Internet. To sign up for electronic delivery, please follow the instructions above to</w:t>
      </w:r>
    </w:p>
    <w:p>
      <w:pPr>
        <w:ind w:left="5320"/>
        <w:spacing w:after="0" w:line="228" w:lineRule="auto"/>
        <w:rPr>
          <w:sz w:val="20"/>
          <w:szCs w:val="20"/>
          <w:color w:val="auto"/>
        </w:rPr>
      </w:pPr>
      <w:r>
        <w:rPr>
          <w:rFonts w:ascii="Arial" w:cs="Arial" w:eastAsia="Arial" w:hAnsi="Arial"/>
          <w:sz w:val="13"/>
          <w:szCs w:val="13"/>
          <w:color w:val="auto"/>
        </w:rPr>
        <w:t>vote using the Internet and, when prompted, indicate that you agree to receive or access proxy</w:t>
      </w:r>
    </w:p>
    <w:p>
      <w:pPr>
        <w:ind w:left="5320"/>
        <w:spacing w:after="0"/>
        <w:rPr>
          <w:sz w:val="20"/>
          <w:szCs w:val="20"/>
          <w:color w:val="auto"/>
        </w:rPr>
      </w:pPr>
      <w:r>
        <w:rPr>
          <w:rFonts w:ascii="Arial" w:cs="Arial" w:eastAsia="Arial" w:hAnsi="Arial"/>
          <w:sz w:val="13"/>
          <w:szCs w:val="13"/>
          <w:color w:val="auto"/>
        </w:rPr>
        <w:t>materials electronically in future years.</w:t>
      </w:r>
    </w:p>
    <w:p>
      <w:pPr>
        <w:spacing w:after="0" w:line="183"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VOTE BY PHONE - 1-800-690-6903</w:t>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Use any touch-tone telephone to transmit your voting instructions until the applicable cut-off date</w:t>
      </w:r>
    </w:p>
    <w:p>
      <w:pPr>
        <w:ind w:left="5320"/>
        <w:spacing w:after="0"/>
        <w:rPr>
          <w:sz w:val="20"/>
          <w:szCs w:val="20"/>
          <w:color w:val="auto"/>
        </w:rPr>
      </w:pPr>
      <w:r>
        <w:rPr>
          <w:rFonts w:ascii="Arial" w:cs="Arial" w:eastAsia="Arial" w:hAnsi="Arial"/>
          <w:sz w:val="13"/>
          <w:szCs w:val="13"/>
          <w:color w:val="auto"/>
        </w:rPr>
        <w:t>and time above. Have your proxy card in hand when you call and then follow the instructions.</w:t>
      </w:r>
    </w:p>
    <w:p>
      <w:pPr>
        <w:spacing w:after="0" w:line="183"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VOTE BY MAIL</w:t>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Mark, sign and date your proxy card and return it in the postage-paid envelope we have provided</w:t>
      </w:r>
    </w:p>
    <w:p>
      <w:pPr>
        <w:ind w:left="5320"/>
        <w:spacing w:after="0" w:line="228" w:lineRule="auto"/>
        <w:rPr>
          <w:sz w:val="20"/>
          <w:szCs w:val="20"/>
          <w:color w:val="auto"/>
        </w:rPr>
      </w:pPr>
      <w:r>
        <w:rPr>
          <w:rFonts w:ascii="Arial" w:cs="Arial" w:eastAsia="Arial" w:hAnsi="Arial"/>
          <w:sz w:val="13"/>
          <w:szCs w:val="13"/>
          <w:color w:val="auto"/>
        </w:rPr>
        <w:t>or return it to Vote Processing, c/o Broadridge, 51 Mercedes Way, Edgewood, NY 11717, so that</w:t>
      </w:r>
    </w:p>
    <w:p>
      <w:pPr>
        <w:ind w:left="5320"/>
        <w:spacing w:after="0"/>
        <w:rPr>
          <w:sz w:val="20"/>
          <w:szCs w:val="20"/>
          <w:color w:val="auto"/>
        </w:rPr>
      </w:pPr>
      <w:r>
        <w:rPr>
          <w:rFonts w:ascii="Arial" w:cs="Arial" w:eastAsia="Arial" w:hAnsi="Arial"/>
          <w:sz w:val="13"/>
          <w:szCs w:val="13"/>
          <w:color w:val="auto"/>
        </w:rPr>
        <w:t>it is received by the applicable date and time above.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40" w:type="dxa"/>
            <w:vAlign w:val="bottom"/>
            <w:gridSpan w:val="2"/>
          </w:tcPr>
          <w:p>
            <w:pPr>
              <w:spacing w:after="0"/>
              <w:rPr>
                <w:sz w:val="20"/>
                <w:szCs w:val="20"/>
                <w:color w:val="auto"/>
              </w:rPr>
            </w:pPr>
            <w:r>
              <w:rPr>
                <w:rFonts w:ascii="Arial" w:cs="Arial" w:eastAsia="Arial" w:hAnsi="Arial"/>
                <w:sz w:val="13"/>
                <w:szCs w:val="13"/>
                <w:color w:val="auto"/>
              </w:rPr>
              <w:t>TO VOTE, MARK BLOCKS BELOW IN BLUE OR BLACK INK AS FOLLOWS:</w:t>
            </w:r>
          </w:p>
        </w:tc>
        <w:tc>
          <w:tcPr>
            <w:tcW w:w="2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420" w:type="dxa"/>
            <w:vAlign w:val="bottom"/>
          </w:tcPr>
          <w:p>
            <w:pPr>
              <w:ind w:left="7200"/>
              <w:spacing w:after="0"/>
              <w:rPr>
                <w:sz w:val="20"/>
                <w:szCs w:val="20"/>
                <w:color w:val="auto"/>
              </w:rPr>
            </w:pPr>
            <w:r>
              <w:rPr>
                <w:rFonts w:ascii="Arial" w:cs="Arial" w:eastAsia="Arial" w:hAnsi="Arial"/>
                <w:sz w:val="13"/>
                <w:szCs w:val="13"/>
                <w:color w:val="auto"/>
              </w:rPr>
              <w:t>M53015-P34303</w:t>
            </w:r>
          </w:p>
        </w:tc>
        <w:tc>
          <w:tcPr>
            <w:tcW w:w="3080" w:type="dxa"/>
            <w:vAlign w:val="bottom"/>
            <w:gridSpan w:val="2"/>
          </w:tcPr>
          <w:p>
            <w:pPr>
              <w:jc w:val="right"/>
              <w:ind w:right="100"/>
              <w:spacing w:after="0"/>
              <w:rPr>
                <w:sz w:val="20"/>
                <w:szCs w:val="20"/>
                <w:color w:val="auto"/>
              </w:rPr>
            </w:pPr>
            <w:r>
              <w:rPr>
                <w:rFonts w:ascii="Arial" w:cs="Arial" w:eastAsia="Arial" w:hAnsi="Arial"/>
                <w:sz w:val="13"/>
                <w:szCs w:val="13"/>
                <w:color w:val="auto"/>
              </w:rPr>
              <w:t>KEEP THIS PORTION FOR YOUR RECORDS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420" w:type="dxa"/>
            <w:vAlign w:val="bottom"/>
          </w:tcPr>
          <w:p>
            <w:pPr>
              <w:ind w:left="2800"/>
              <w:spacing w:after="0"/>
              <w:rPr>
                <w:sz w:val="20"/>
                <w:szCs w:val="20"/>
                <w:color w:val="auto"/>
              </w:rPr>
            </w:pPr>
            <w:r>
              <w:rPr>
                <w:rFonts w:ascii="Arial" w:cs="Arial" w:eastAsia="Arial" w:hAnsi="Arial"/>
                <w:sz w:val="13"/>
                <w:szCs w:val="13"/>
                <w:b w:val="1"/>
                <w:bCs w:val="1"/>
                <w:color w:val="auto"/>
              </w:rPr>
              <w:t>THIS PROXY CARD IS VALID ONLY WHEN SIGNED AND DATED.</w:t>
            </w:r>
          </w:p>
        </w:tc>
        <w:tc>
          <w:tcPr>
            <w:tcW w:w="3080" w:type="dxa"/>
            <w:vAlign w:val="bottom"/>
            <w:gridSpan w:val="2"/>
          </w:tcPr>
          <w:p>
            <w:pPr>
              <w:jc w:val="right"/>
              <w:ind w:right="100"/>
              <w:spacing w:after="0"/>
              <w:rPr>
                <w:sz w:val="20"/>
                <w:szCs w:val="20"/>
                <w:color w:val="auto"/>
              </w:rPr>
            </w:pPr>
            <w:r>
              <w:rPr>
                <w:rFonts w:ascii="Arial" w:cs="Arial" w:eastAsia="Arial" w:hAnsi="Arial"/>
                <w:sz w:val="13"/>
                <w:szCs w:val="13"/>
                <w:color w:val="auto"/>
              </w:rPr>
              <w:t>DETACH AND RETURN THIS PORTION ONLY</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42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42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TEXAS INSTRUMENTS INCORPORATED</w:t>
            </w:r>
          </w:p>
        </w:tc>
        <w:tc>
          <w:tcPr>
            <w:tcW w:w="25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420" w:type="dxa"/>
            <w:vAlign w:val="bottom"/>
            <w:vMerge w:val="continue"/>
          </w:tcPr>
          <w:p>
            <w:pPr>
              <w:spacing w:after="0"/>
              <w:rPr>
                <w:sz w:val="10"/>
                <w:szCs w:val="10"/>
                <w:color w:val="auto"/>
              </w:rPr>
            </w:pPr>
          </w:p>
        </w:tc>
        <w:tc>
          <w:tcPr>
            <w:tcW w:w="2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-376555</wp:posOffset>
            </wp:positionV>
            <wp:extent cx="7306945" cy="40963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306945" cy="4096385"/>
                    </a:xfrm>
                    <a:prstGeom prst="rect">
                      <a:avLst/>
                    </a:prstGeom>
                    <a:noFill/>
                  </pic:spPr>
                </pic:pic>
              </a:graphicData>
            </a:graphic>
          </wp:anchor>
        </w:drawing>
      </w:r>
    </w:p>
    <w:p>
      <w:pPr>
        <w:sectPr>
          <w:pgSz w:w="11900" w:h="16838" w:orient="portrait"/>
          <w:cols w:equalWidth="0" w:num="1">
            <w:col w:w="11520"/>
          </w:cols>
          <w:pgMar w:left="240" w:top="1130" w:right="139" w:bottom="1440" w:gutter="0" w:footer="0" w:header="0"/>
        </w:sectPr>
      </w:pPr>
    </w:p>
    <w:p>
      <w:pPr>
        <w:ind w:left="200" w:right="1900"/>
        <w:spacing w:after="0" w:line="238" w:lineRule="auto"/>
        <w:rPr>
          <w:sz w:val="20"/>
          <w:szCs w:val="20"/>
          <w:color w:val="auto"/>
        </w:rPr>
      </w:pPr>
      <w:r>
        <w:rPr>
          <w:rFonts w:ascii="Arial" w:cs="Arial" w:eastAsia="Arial" w:hAnsi="Arial"/>
          <w:sz w:val="13"/>
          <w:szCs w:val="13"/>
          <w:color w:val="auto"/>
        </w:rPr>
        <w:t xml:space="preserve">The board of directors recommends you vote </w:t>
      </w:r>
      <w:r>
        <w:rPr>
          <w:rFonts w:ascii="Arial" w:cs="Arial" w:eastAsia="Arial" w:hAnsi="Arial"/>
          <w:sz w:val="13"/>
          <w:szCs w:val="13"/>
          <w:b w:val="1"/>
          <w:bCs w:val="1"/>
          <w:color w:val="auto"/>
        </w:rPr>
        <w:t>FOR</w:t>
      </w:r>
      <w:r>
        <w:rPr>
          <w:rFonts w:ascii="Arial" w:cs="Arial" w:eastAsia="Arial" w:hAnsi="Arial"/>
          <w:sz w:val="13"/>
          <w:szCs w:val="13"/>
          <w:color w:val="auto"/>
        </w:rPr>
        <w:t xml:space="preserve"> each of the nominees for director and </w:t>
      </w:r>
      <w:r>
        <w:rPr>
          <w:rFonts w:ascii="Arial" w:cs="Arial" w:eastAsia="Arial" w:hAnsi="Arial"/>
          <w:sz w:val="13"/>
          <w:szCs w:val="13"/>
          <w:b w:val="1"/>
          <w:bCs w:val="1"/>
          <w:color w:val="auto"/>
        </w:rPr>
        <w:t>FOR</w:t>
      </w:r>
      <w:r>
        <w:rPr>
          <w:rFonts w:ascii="Arial" w:cs="Arial" w:eastAsia="Arial" w:hAnsi="Arial"/>
          <w:sz w:val="13"/>
          <w:szCs w:val="13"/>
          <w:color w:val="auto"/>
        </w:rPr>
        <w:t xml:space="preserve"> Proposals 2 and 3.</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Vote on Directors</w:t>
      </w:r>
    </w:p>
    <w:p>
      <w:pPr>
        <w:spacing w:after="0" w:line="65" w:lineRule="exact"/>
        <w:rPr>
          <w:sz w:val="20"/>
          <w:szCs w:val="20"/>
          <w:color w:val="auto"/>
        </w:rPr>
      </w:pPr>
    </w:p>
    <w:p>
      <w:pPr>
        <w:ind w:left="200"/>
        <w:spacing w:after="0"/>
        <w:tabs>
          <w:tab w:leader="none" w:pos="38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Election of Directors</w:t>
      </w:r>
    </w:p>
    <w:p>
      <w:pPr>
        <w:spacing w:after="0" w:line="153" w:lineRule="exact"/>
        <w:rPr>
          <w:sz w:val="20"/>
          <w:szCs w:val="20"/>
          <w:color w:val="auto"/>
        </w:rPr>
      </w:pPr>
    </w:p>
    <w:tbl>
      <w:tblPr>
        <w:tblLayout w:type="fixed"/>
        <w:tblInd w:w="400" w:type="dxa"/>
        <w:tblCellMar>
          <w:top w:w="0" w:type="dxa"/>
          <w:left w:w="0" w:type="dxa"/>
          <w:bottom w:w="0" w:type="dxa"/>
          <w:right w:w="0" w:type="dxa"/>
        </w:tblCellMar>
      </w:tblPr>
      <w:tr>
        <w:trPr>
          <w:trHeight w:val="171"/>
        </w:trPr>
        <w:tc>
          <w:tcPr>
            <w:tcW w:w="2520" w:type="dxa"/>
            <w:vAlign w:val="bottom"/>
            <w:gridSpan w:val="2"/>
          </w:tcPr>
          <w:p>
            <w:pPr>
              <w:spacing w:after="0"/>
              <w:rPr>
                <w:sz w:val="20"/>
                <w:szCs w:val="20"/>
                <w:color w:val="auto"/>
              </w:rPr>
            </w:pPr>
            <w:r>
              <w:rPr>
                <w:rFonts w:ascii="Arial" w:cs="Arial" w:eastAsia="Arial" w:hAnsi="Arial"/>
                <w:sz w:val="13"/>
                <w:szCs w:val="13"/>
                <w:b w:val="1"/>
                <w:bCs w:val="1"/>
                <w:color w:val="auto"/>
              </w:rPr>
              <w:t>Nominees:</w:t>
            </w:r>
          </w:p>
        </w:tc>
        <w:tc>
          <w:tcPr>
            <w:tcW w:w="1620" w:type="dxa"/>
            <w:vAlign w:val="bottom"/>
          </w:tcPr>
          <w:p>
            <w:pPr>
              <w:jc w:val="center"/>
              <w:ind w:left="1098"/>
              <w:spacing w:after="0"/>
              <w:rPr>
                <w:sz w:val="20"/>
                <w:szCs w:val="20"/>
                <w:color w:val="auto"/>
              </w:rPr>
            </w:pPr>
            <w:r>
              <w:rPr>
                <w:rFonts w:ascii="Arial" w:cs="Arial" w:eastAsia="Arial" w:hAnsi="Arial"/>
                <w:sz w:val="13"/>
                <w:szCs w:val="13"/>
                <w:b w:val="1"/>
                <w:bCs w:val="1"/>
                <w:color w:val="auto"/>
                <w:w w:val="95"/>
              </w:rPr>
              <w:t>For</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6"/>
              </w:rPr>
              <w:t>Abstain</w:t>
            </w:r>
          </w:p>
        </w:tc>
      </w:tr>
      <w:tr>
        <w:trPr>
          <w:trHeight w:val="361"/>
        </w:trPr>
        <w:tc>
          <w:tcPr>
            <w:tcW w:w="240" w:type="dxa"/>
            <w:vAlign w:val="bottom"/>
          </w:tcPr>
          <w:p>
            <w:pPr>
              <w:spacing w:after="0"/>
              <w:rPr>
                <w:sz w:val="20"/>
                <w:szCs w:val="20"/>
                <w:color w:val="auto"/>
              </w:rPr>
            </w:pPr>
            <w:r>
              <w:rPr>
                <w:rFonts w:ascii="Arial" w:cs="Arial" w:eastAsia="Arial" w:hAnsi="Arial"/>
                <w:sz w:val="13"/>
                <w:szCs w:val="13"/>
                <w:color w:val="auto"/>
              </w:rPr>
              <w:t>1a.</w:t>
            </w:r>
          </w:p>
        </w:tc>
        <w:tc>
          <w:tcPr>
            <w:tcW w:w="2280" w:type="dxa"/>
            <w:vAlign w:val="bottom"/>
          </w:tcPr>
          <w:p>
            <w:pPr>
              <w:ind w:left="60"/>
              <w:spacing w:after="0"/>
              <w:rPr>
                <w:sz w:val="20"/>
                <w:szCs w:val="20"/>
                <w:color w:val="auto"/>
              </w:rPr>
            </w:pPr>
            <w:r>
              <w:rPr>
                <w:rFonts w:ascii="Arial" w:cs="Arial" w:eastAsia="Arial" w:hAnsi="Arial"/>
                <w:sz w:val="13"/>
                <w:szCs w:val="13"/>
                <w:color w:val="auto"/>
              </w:rPr>
              <w:t>R. W. Babb, Jr.</w:t>
            </w:r>
          </w:p>
        </w:tc>
        <w:tc>
          <w:tcPr>
            <w:tcW w:w="1620" w:type="dxa"/>
            <w:vAlign w:val="bottom"/>
          </w:tcPr>
          <w:p>
            <w:pPr>
              <w:jc w:val="center"/>
              <w:ind w:left="1098"/>
              <w:spacing w:after="0"/>
              <w:rPr>
                <w:sz w:val="20"/>
                <w:szCs w:val="20"/>
                <w:color w:val="auto"/>
              </w:rPr>
            </w:pPr>
            <w:r>
              <w:rPr>
                <w:rFonts w:ascii="Arial" w:cs="Arial" w:eastAsia="Arial" w:hAnsi="Arial"/>
                <w:sz w:val="17"/>
                <w:szCs w:val="17"/>
                <w:color w:val="auto"/>
                <w:w w:val="84"/>
              </w:rPr>
              <w:t>o</w:t>
            </w:r>
          </w:p>
        </w:tc>
        <w:tc>
          <w:tcPr>
            <w:tcW w:w="60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20" w:type="dxa"/>
            <w:vAlign w:val="bottom"/>
          </w:tcPr>
          <w:p>
            <w:pPr>
              <w:jc w:val="center"/>
              <w:spacing w:after="0"/>
              <w:rPr>
                <w:sz w:val="20"/>
                <w:szCs w:val="20"/>
                <w:color w:val="auto"/>
              </w:rPr>
            </w:pPr>
            <w:r>
              <w:rPr>
                <w:rFonts w:ascii="Arial" w:cs="Arial" w:eastAsia="Arial" w:hAnsi="Arial"/>
                <w:sz w:val="17"/>
                <w:szCs w:val="17"/>
                <w:color w:val="auto"/>
                <w:w w:val="84"/>
              </w:rPr>
              <w:t>o</w:t>
            </w:r>
          </w:p>
        </w:tc>
      </w:tr>
      <w:tr>
        <w:trPr>
          <w:trHeight w:val="362"/>
        </w:trPr>
        <w:tc>
          <w:tcPr>
            <w:tcW w:w="240" w:type="dxa"/>
            <w:vAlign w:val="bottom"/>
          </w:tcPr>
          <w:p>
            <w:pPr>
              <w:spacing w:after="0"/>
              <w:rPr>
                <w:sz w:val="20"/>
                <w:szCs w:val="20"/>
                <w:color w:val="auto"/>
              </w:rPr>
            </w:pPr>
            <w:r>
              <w:rPr>
                <w:rFonts w:ascii="Arial" w:cs="Arial" w:eastAsia="Arial" w:hAnsi="Arial"/>
                <w:sz w:val="13"/>
                <w:szCs w:val="13"/>
                <w:color w:val="auto"/>
              </w:rPr>
              <w:t>1b.</w:t>
            </w:r>
          </w:p>
        </w:tc>
        <w:tc>
          <w:tcPr>
            <w:tcW w:w="2280" w:type="dxa"/>
            <w:vAlign w:val="bottom"/>
          </w:tcPr>
          <w:p>
            <w:pPr>
              <w:ind w:left="60"/>
              <w:spacing w:after="0"/>
              <w:rPr>
                <w:sz w:val="20"/>
                <w:szCs w:val="20"/>
                <w:color w:val="auto"/>
              </w:rPr>
            </w:pPr>
            <w:r>
              <w:rPr>
                <w:rFonts w:ascii="Arial" w:cs="Arial" w:eastAsia="Arial" w:hAnsi="Arial"/>
                <w:sz w:val="13"/>
                <w:szCs w:val="13"/>
                <w:color w:val="auto"/>
              </w:rPr>
              <w:t>M. A. Blinn</w:t>
            </w:r>
          </w:p>
        </w:tc>
        <w:tc>
          <w:tcPr>
            <w:tcW w:w="1620" w:type="dxa"/>
            <w:vAlign w:val="bottom"/>
          </w:tcPr>
          <w:p>
            <w:pPr>
              <w:jc w:val="center"/>
              <w:ind w:left="1098"/>
              <w:spacing w:after="0"/>
              <w:rPr>
                <w:sz w:val="20"/>
                <w:szCs w:val="20"/>
                <w:color w:val="auto"/>
              </w:rPr>
            </w:pPr>
            <w:r>
              <w:rPr>
                <w:rFonts w:ascii="Arial" w:cs="Arial" w:eastAsia="Arial" w:hAnsi="Arial"/>
                <w:sz w:val="17"/>
                <w:szCs w:val="17"/>
                <w:color w:val="auto"/>
                <w:w w:val="84"/>
              </w:rPr>
              <w:t>o</w:t>
            </w:r>
          </w:p>
        </w:tc>
        <w:tc>
          <w:tcPr>
            <w:tcW w:w="60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20" w:type="dxa"/>
            <w:vAlign w:val="bottom"/>
          </w:tcPr>
          <w:p>
            <w:pPr>
              <w:jc w:val="center"/>
              <w:spacing w:after="0"/>
              <w:rPr>
                <w:sz w:val="20"/>
                <w:szCs w:val="20"/>
                <w:color w:val="auto"/>
              </w:rPr>
            </w:pPr>
            <w:r>
              <w:rPr>
                <w:rFonts w:ascii="Arial" w:cs="Arial" w:eastAsia="Arial" w:hAnsi="Arial"/>
                <w:sz w:val="17"/>
                <w:szCs w:val="17"/>
                <w:color w:val="auto"/>
                <w:w w:val="84"/>
              </w:rPr>
              <w:t>o</w:t>
            </w:r>
          </w:p>
        </w:tc>
      </w:tr>
      <w:tr>
        <w:trPr>
          <w:trHeight w:val="362"/>
        </w:trPr>
        <w:tc>
          <w:tcPr>
            <w:tcW w:w="240" w:type="dxa"/>
            <w:vAlign w:val="bottom"/>
          </w:tcPr>
          <w:p>
            <w:pPr>
              <w:spacing w:after="0"/>
              <w:rPr>
                <w:sz w:val="20"/>
                <w:szCs w:val="20"/>
                <w:color w:val="auto"/>
              </w:rPr>
            </w:pPr>
            <w:r>
              <w:rPr>
                <w:rFonts w:ascii="Arial" w:cs="Arial" w:eastAsia="Arial" w:hAnsi="Arial"/>
                <w:sz w:val="13"/>
                <w:szCs w:val="13"/>
                <w:color w:val="auto"/>
              </w:rPr>
              <w:t>1c.</w:t>
            </w:r>
          </w:p>
        </w:tc>
        <w:tc>
          <w:tcPr>
            <w:tcW w:w="2280" w:type="dxa"/>
            <w:vAlign w:val="bottom"/>
          </w:tcPr>
          <w:p>
            <w:pPr>
              <w:ind w:left="60"/>
              <w:spacing w:after="0"/>
              <w:rPr>
                <w:sz w:val="20"/>
                <w:szCs w:val="20"/>
                <w:color w:val="auto"/>
              </w:rPr>
            </w:pPr>
            <w:r>
              <w:rPr>
                <w:rFonts w:ascii="Arial" w:cs="Arial" w:eastAsia="Arial" w:hAnsi="Arial"/>
                <w:sz w:val="13"/>
                <w:szCs w:val="13"/>
                <w:color w:val="auto"/>
              </w:rPr>
              <w:t>D. A. Carp</w:t>
            </w:r>
          </w:p>
        </w:tc>
        <w:tc>
          <w:tcPr>
            <w:tcW w:w="1620" w:type="dxa"/>
            <w:vAlign w:val="bottom"/>
          </w:tcPr>
          <w:p>
            <w:pPr>
              <w:jc w:val="center"/>
              <w:ind w:left="1098"/>
              <w:spacing w:after="0"/>
              <w:rPr>
                <w:sz w:val="20"/>
                <w:szCs w:val="20"/>
                <w:color w:val="auto"/>
              </w:rPr>
            </w:pPr>
            <w:r>
              <w:rPr>
                <w:rFonts w:ascii="Arial" w:cs="Arial" w:eastAsia="Arial" w:hAnsi="Arial"/>
                <w:sz w:val="17"/>
                <w:szCs w:val="17"/>
                <w:color w:val="auto"/>
                <w:w w:val="84"/>
              </w:rPr>
              <w:t>o</w:t>
            </w:r>
          </w:p>
        </w:tc>
        <w:tc>
          <w:tcPr>
            <w:tcW w:w="60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20" w:type="dxa"/>
            <w:vAlign w:val="bottom"/>
          </w:tcPr>
          <w:p>
            <w:pPr>
              <w:jc w:val="center"/>
              <w:spacing w:after="0"/>
              <w:rPr>
                <w:sz w:val="20"/>
                <w:szCs w:val="20"/>
                <w:color w:val="auto"/>
              </w:rPr>
            </w:pPr>
            <w:r>
              <w:rPr>
                <w:rFonts w:ascii="Arial" w:cs="Arial" w:eastAsia="Arial" w:hAnsi="Arial"/>
                <w:sz w:val="17"/>
                <w:szCs w:val="17"/>
                <w:color w:val="auto"/>
                <w:w w:val="84"/>
              </w:rPr>
              <w:t>o</w:t>
            </w:r>
          </w:p>
        </w:tc>
      </w:tr>
      <w:tr>
        <w:trPr>
          <w:trHeight w:val="362"/>
        </w:trPr>
        <w:tc>
          <w:tcPr>
            <w:tcW w:w="240" w:type="dxa"/>
            <w:vAlign w:val="bottom"/>
          </w:tcPr>
          <w:p>
            <w:pPr>
              <w:spacing w:after="0"/>
              <w:rPr>
                <w:sz w:val="20"/>
                <w:szCs w:val="20"/>
                <w:color w:val="auto"/>
              </w:rPr>
            </w:pPr>
            <w:r>
              <w:rPr>
                <w:rFonts w:ascii="Arial" w:cs="Arial" w:eastAsia="Arial" w:hAnsi="Arial"/>
                <w:sz w:val="13"/>
                <w:szCs w:val="13"/>
                <w:color w:val="auto"/>
              </w:rPr>
              <w:t>1d.</w:t>
            </w:r>
          </w:p>
        </w:tc>
        <w:tc>
          <w:tcPr>
            <w:tcW w:w="2280" w:type="dxa"/>
            <w:vAlign w:val="bottom"/>
          </w:tcPr>
          <w:p>
            <w:pPr>
              <w:ind w:left="60"/>
              <w:spacing w:after="0"/>
              <w:rPr>
                <w:sz w:val="20"/>
                <w:szCs w:val="20"/>
                <w:color w:val="auto"/>
              </w:rPr>
            </w:pPr>
            <w:r>
              <w:rPr>
                <w:rFonts w:ascii="Arial" w:cs="Arial" w:eastAsia="Arial" w:hAnsi="Arial"/>
                <w:sz w:val="13"/>
                <w:szCs w:val="13"/>
                <w:color w:val="auto"/>
              </w:rPr>
              <w:t>C. S. Cox</w:t>
            </w:r>
          </w:p>
        </w:tc>
        <w:tc>
          <w:tcPr>
            <w:tcW w:w="1620" w:type="dxa"/>
            <w:vAlign w:val="bottom"/>
          </w:tcPr>
          <w:p>
            <w:pPr>
              <w:jc w:val="center"/>
              <w:ind w:left="1098"/>
              <w:spacing w:after="0"/>
              <w:rPr>
                <w:sz w:val="20"/>
                <w:szCs w:val="20"/>
                <w:color w:val="auto"/>
              </w:rPr>
            </w:pPr>
            <w:r>
              <w:rPr>
                <w:rFonts w:ascii="Arial" w:cs="Arial" w:eastAsia="Arial" w:hAnsi="Arial"/>
                <w:sz w:val="17"/>
                <w:szCs w:val="17"/>
                <w:color w:val="auto"/>
                <w:w w:val="84"/>
              </w:rPr>
              <w:t>o</w:t>
            </w:r>
          </w:p>
        </w:tc>
        <w:tc>
          <w:tcPr>
            <w:tcW w:w="60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20" w:type="dxa"/>
            <w:vAlign w:val="bottom"/>
          </w:tcPr>
          <w:p>
            <w:pPr>
              <w:jc w:val="center"/>
              <w:spacing w:after="0"/>
              <w:rPr>
                <w:sz w:val="20"/>
                <w:szCs w:val="20"/>
                <w:color w:val="auto"/>
              </w:rPr>
            </w:pPr>
            <w:r>
              <w:rPr>
                <w:rFonts w:ascii="Arial" w:cs="Arial" w:eastAsia="Arial" w:hAnsi="Arial"/>
                <w:sz w:val="17"/>
                <w:szCs w:val="17"/>
                <w:color w:val="auto"/>
                <w:w w:val="84"/>
              </w:rPr>
              <w:t>o</w:t>
            </w:r>
          </w:p>
        </w:tc>
      </w:tr>
      <w:tr>
        <w:trPr>
          <w:trHeight w:val="362"/>
        </w:trPr>
        <w:tc>
          <w:tcPr>
            <w:tcW w:w="240" w:type="dxa"/>
            <w:vAlign w:val="bottom"/>
          </w:tcPr>
          <w:p>
            <w:pPr>
              <w:spacing w:after="0"/>
              <w:rPr>
                <w:sz w:val="20"/>
                <w:szCs w:val="20"/>
                <w:color w:val="auto"/>
              </w:rPr>
            </w:pPr>
            <w:r>
              <w:rPr>
                <w:rFonts w:ascii="Arial" w:cs="Arial" w:eastAsia="Arial" w:hAnsi="Arial"/>
                <w:sz w:val="13"/>
                <w:szCs w:val="13"/>
                <w:color w:val="auto"/>
              </w:rPr>
              <w:t>1e.</w:t>
            </w:r>
          </w:p>
        </w:tc>
        <w:tc>
          <w:tcPr>
            <w:tcW w:w="2280" w:type="dxa"/>
            <w:vAlign w:val="bottom"/>
          </w:tcPr>
          <w:p>
            <w:pPr>
              <w:ind w:left="60"/>
              <w:spacing w:after="0"/>
              <w:rPr>
                <w:sz w:val="20"/>
                <w:szCs w:val="20"/>
                <w:color w:val="auto"/>
              </w:rPr>
            </w:pPr>
            <w:r>
              <w:rPr>
                <w:rFonts w:ascii="Arial" w:cs="Arial" w:eastAsia="Arial" w:hAnsi="Arial"/>
                <w:sz w:val="13"/>
                <w:szCs w:val="13"/>
                <w:color w:val="auto"/>
              </w:rPr>
              <w:t>P. H. Patsley</w:t>
            </w:r>
          </w:p>
        </w:tc>
        <w:tc>
          <w:tcPr>
            <w:tcW w:w="1620" w:type="dxa"/>
            <w:vAlign w:val="bottom"/>
          </w:tcPr>
          <w:p>
            <w:pPr>
              <w:jc w:val="center"/>
              <w:ind w:left="1098"/>
              <w:spacing w:after="0"/>
              <w:rPr>
                <w:sz w:val="20"/>
                <w:szCs w:val="20"/>
                <w:color w:val="auto"/>
              </w:rPr>
            </w:pPr>
            <w:r>
              <w:rPr>
                <w:rFonts w:ascii="Arial" w:cs="Arial" w:eastAsia="Arial" w:hAnsi="Arial"/>
                <w:sz w:val="17"/>
                <w:szCs w:val="17"/>
                <w:color w:val="auto"/>
                <w:w w:val="84"/>
              </w:rPr>
              <w:t>o</w:t>
            </w:r>
          </w:p>
        </w:tc>
        <w:tc>
          <w:tcPr>
            <w:tcW w:w="60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20" w:type="dxa"/>
            <w:vAlign w:val="bottom"/>
          </w:tcPr>
          <w:p>
            <w:pPr>
              <w:jc w:val="center"/>
              <w:spacing w:after="0"/>
              <w:rPr>
                <w:sz w:val="20"/>
                <w:szCs w:val="20"/>
                <w:color w:val="auto"/>
              </w:rPr>
            </w:pPr>
            <w:r>
              <w:rPr>
                <w:rFonts w:ascii="Arial" w:cs="Arial" w:eastAsia="Arial" w:hAnsi="Arial"/>
                <w:sz w:val="17"/>
                <w:szCs w:val="17"/>
                <w:color w:val="auto"/>
                <w:w w:val="84"/>
              </w:rPr>
              <w:t>o</w:t>
            </w:r>
          </w:p>
        </w:tc>
      </w:tr>
      <w:tr>
        <w:trPr>
          <w:trHeight w:val="362"/>
        </w:trPr>
        <w:tc>
          <w:tcPr>
            <w:tcW w:w="240" w:type="dxa"/>
            <w:vAlign w:val="bottom"/>
          </w:tcPr>
          <w:p>
            <w:pPr>
              <w:spacing w:after="0"/>
              <w:rPr>
                <w:sz w:val="20"/>
                <w:szCs w:val="20"/>
                <w:color w:val="auto"/>
              </w:rPr>
            </w:pPr>
            <w:r>
              <w:rPr>
                <w:rFonts w:ascii="Arial" w:cs="Arial" w:eastAsia="Arial" w:hAnsi="Arial"/>
                <w:sz w:val="13"/>
                <w:szCs w:val="13"/>
                <w:color w:val="auto"/>
              </w:rPr>
              <w:t>1f.</w:t>
            </w:r>
          </w:p>
        </w:tc>
        <w:tc>
          <w:tcPr>
            <w:tcW w:w="2280" w:type="dxa"/>
            <w:vAlign w:val="bottom"/>
          </w:tcPr>
          <w:p>
            <w:pPr>
              <w:ind w:left="60"/>
              <w:spacing w:after="0"/>
              <w:rPr>
                <w:sz w:val="20"/>
                <w:szCs w:val="20"/>
                <w:color w:val="auto"/>
              </w:rPr>
            </w:pPr>
            <w:r>
              <w:rPr>
                <w:rFonts w:ascii="Arial" w:cs="Arial" w:eastAsia="Arial" w:hAnsi="Arial"/>
                <w:sz w:val="13"/>
                <w:szCs w:val="13"/>
                <w:color w:val="auto"/>
              </w:rPr>
              <w:t>R. E. Sanchez</w:t>
            </w:r>
          </w:p>
        </w:tc>
        <w:tc>
          <w:tcPr>
            <w:tcW w:w="1620" w:type="dxa"/>
            <w:vAlign w:val="bottom"/>
          </w:tcPr>
          <w:p>
            <w:pPr>
              <w:jc w:val="center"/>
              <w:ind w:left="1098"/>
              <w:spacing w:after="0"/>
              <w:rPr>
                <w:sz w:val="20"/>
                <w:szCs w:val="20"/>
                <w:color w:val="auto"/>
              </w:rPr>
            </w:pPr>
            <w:r>
              <w:rPr>
                <w:rFonts w:ascii="Arial" w:cs="Arial" w:eastAsia="Arial" w:hAnsi="Arial"/>
                <w:sz w:val="17"/>
                <w:szCs w:val="17"/>
                <w:color w:val="auto"/>
                <w:w w:val="84"/>
              </w:rPr>
              <w:t>o</w:t>
            </w:r>
          </w:p>
        </w:tc>
        <w:tc>
          <w:tcPr>
            <w:tcW w:w="60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20" w:type="dxa"/>
            <w:vAlign w:val="bottom"/>
          </w:tcPr>
          <w:p>
            <w:pPr>
              <w:jc w:val="center"/>
              <w:spacing w:after="0"/>
              <w:rPr>
                <w:sz w:val="20"/>
                <w:szCs w:val="20"/>
                <w:color w:val="auto"/>
              </w:rPr>
            </w:pPr>
            <w:r>
              <w:rPr>
                <w:rFonts w:ascii="Arial" w:cs="Arial" w:eastAsia="Arial" w:hAnsi="Arial"/>
                <w:sz w:val="17"/>
                <w:szCs w:val="17"/>
                <w:color w:val="auto"/>
                <w:w w:val="84"/>
              </w:rPr>
              <w:t>o</w:t>
            </w:r>
          </w:p>
        </w:tc>
      </w:tr>
      <w:tr>
        <w:trPr>
          <w:trHeight w:val="362"/>
        </w:trPr>
        <w:tc>
          <w:tcPr>
            <w:tcW w:w="240" w:type="dxa"/>
            <w:vAlign w:val="bottom"/>
          </w:tcPr>
          <w:p>
            <w:pPr>
              <w:spacing w:after="0"/>
              <w:rPr>
                <w:sz w:val="20"/>
                <w:szCs w:val="20"/>
                <w:color w:val="auto"/>
              </w:rPr>
            </w:pPr>
            <w:r>
              <w:rPr>
                <w:rFonts w:ascii="Arial" w:cs="Arial" w:eastAsia="Arial" w:hAnsi="Arial"/>
                <w:sz w:val="13"/>
                <w:szCs w:val="13"/>
                <w:color w:val="auto"/>
              </w:rPr>
              <w:t>1g.</w:t>
            </w:r>
          </w:p>
        </w:tc>
        <w:tc>
          <w:tcPr>
            <w:tcW w:w="2280" w:type="dxa"/>
            <w:vAlign w:val="bottom"/>
          </w:tcPr>
          <w:p>
            <w:pPr>
              <w:ind w:left="60"/>
              <w:spacing w:after="0"/>
              <w:rPr>
                <w:sz w:val="20"/>
                <w:szCs w:val="20"/>
                <w:color w:val="auto"/>
              </w:rPr>
            </w:pPr>
            <w:r>
              <w:rPr>
                <w:rFonts w:ascii="Arial" w:cs="Arial" w:eastAsia="Arial" w:hAnsi="Arial"/>
                <w:sz w:val="13"/>
                <w:szCs w:val="13"/>
                <w:color w:val="auto"/>
              </w:rPr>
              <w:t>W. R. Sanders</w:t>
            </w:r>
          </w:p>
        </w:tc>
        <w:tc>
          <w:tcPr>
            <w:tcW w:w="1620" w:type="dxa"/>
            <w:vAlign w:val="bottom"/>
          </w:tcPr>
          <w:p>
            <w:pPr>
              <w:jc w:val="center"/>
              <w:ind w:left="1098"/>
              <w:spacing w:after="0"/>
              <w:rPr>
                <w:sz w:val="20"/>
                <w:szCs w:val="20"/>
                <w:color w:val="auto"/>
              </w:rPr>
            </w:pPr>
            <w:r>
              <w:rPr>
                <w:rFonts w:ascii="Arial" w:cs="Arial" w:eastAsia="Arial" w:hAnsi="Arial"/>
                <w:sz w:val="17"/>
                <w:szCs w:val="17"/>
                <w:color w:val="auto"/>
                <w:w w:val="84"/>
              </w:rPr>
              <w:t>o</w:t>
            </w:r>
          </w:p>
        </w:tc>
        <w:tc>
          <w:tcPr>
            <w:tcW w:w="60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20" w:type="dxa"/>
            <w:vAlign w:val="bottom"/>
          </w:tcPr>
          <w:p>
            <w:pPr>
              <w:jc w:val="center"/>
              <w:spacing w:after="0"/>
              <w:rPr>
                <w:sz w:val="20"/>
                <w:szCs w:val="20"/>
                <w:color w:val="auto"/>
              </w:rPr>
            </w:pPr>
            <w:r>
              <w:rPr>
                <w:rFonts w:ascii="Arial" w:cs="Arial" w:eastAsia="Arial" w:hAnsi="Arial"/>
                <w:sz w:val="17"/>
                <w:szCs w:val="17"/>
                <w:color w:val="auto"/>
                <w:w w:val="84"/>
              </w:rPr>
              <w:t>o</w:t>
            </w:r>
          </w:p>
        </w:tc>
      </w:tr>
      <w:tr>
        <w:trPr>
          <w:trHeight w:val="362"/>
        </w:trPr>
        <w:tc>
          <w:tcPr>
            <w:tcW w:w="240" w:type="dxa"/>
            <w:vAlign w:val="bottom"/>
          </w:tcPr>
          <w:p>
            <w:pPr>
              <w:spacing w:after="0"/>
              <w:rPr>
                <w:sz w:val="20"/>
                <w:szCs w:val="20"/>
                <w:color w:val="auto"/>
              </w:rPr>
            </w:pPr>
            <w:r>
              <w:rPr>
                <w:rFonts w:ascii="Arial" w:cs="Arial" w:eastAsia="Arial" w:hAnsi="Arial"/>
                <w:sz w:val="13"/>
                <w:szCs w:val="13"/>
                <w:color w:val="auto"/>
              </w:rPr>
              <w:t>1h.</w:t>
            </w:r>
          </w:p>
        </w:tc>
        <w:tc>
          <w:tcPr>
            <w:tcW w:w="2280" w:type="dxa"/>
            <w:vAlign w:val="bottom"/>
          </w:tcPr>
          <w:p>
            <w:pPr>
              <w:ind w:left="60"/>
              <w:spacing w:after="0"/>
              <w:rPr>
                <w:sz w:val="20"/>
                <w:szCs w:val="20"/>
                <w:color w:val="auto"/>
              </w:rPr>
            </w:pPr>
            <w:r>
              <w:rPr>
                <w:rFonts w:ascii="Arial" w:cs="Arial" w:eastAsia="Arial" w:hAnsi="Arial"/>
                <w:sz w:val="13"/>
                <w:szCs w:val="13"/>
                <w:color w:val="auto"/>
              </w:rPr>
              <w:t>R. J. Simmons</w:t>
            </w:r>
          </w:p>
        </w:tc>
        <w:tc>
          <w:tcPr>
            <w:tcW w:w="1620" w:type="dxa"/>
            <w:vAlign w:val="bottom"/>
          </w:tcPr>
          <w:p>
            <w:pPr>
              <w:jc w:val="center"/>
              <w:ind w:left="1098"/>
              <w:spacing w:after="0"/>
              <w:rPr>
                <w:sz w:val="20"/>
                <w:szCs w:val="20"/>
                <w:color w:val="auto"/>
              </w:rPr>
            </w:pPr>
            <w:r>
              <w:rPr>
                <w:rFonts w:ascii="Arial" w:cs="Arial" w:eastAsia="Arial" w:hAnsi="Arial"/>
                <w:sz w:val="17"/>
                <w:szCs w:val="17"/>
                <w:color w:val="auto"/>
                <w:w w:val="84"/>
              </w:rPr>
              <w:t>o</w:t>
            </w:r>
          </w:p>
        </w:tc>
        <w:tc>
          <w:tcPr>
            <w:tcW w:w="60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20" w:type="dxa"/>
            <w:vAlign w:val="bottom"/>
          </w:tcPr>
          <w:p>
            <w:pPr>
              <w:jc w:val="center"/>
              <w:spacing w:after="0"/>
              <w:rPr>
                <w:sz w:val="20"/>
                <w:szCs w:val="20"/>
                <w:color w:val="auto"/>
              </w:rPr>
            </w:pPr>
            <w:r>
              <w:rPr>
                <w:rFonts w:ascii="Arial" w:cs="Arial" w:eastAsia="Arial" w:hAnsi="Arial"/>
                <w:sz w:val="17"/>
                <w:szCs w:val="17"/>
                <w:color w:val="auto"/>
                <w:w w:val="84"/>
              </w:rPr>
              <w:t>o</w:t>
            </w:r>
          </w:p>
        </w:tc>
      </w:tr>
      <w:tr>
        <w:trPr>
          <w:trHeight w:val="362"/>
        </w:trPr>
        <w:tc>
          <w:tcPr>
            <w:tcW w:w="240" w:type="dxa"/>
            <w:vAlign w:val="bottom"/>
          </w:tcPr>
          <w:p>
            <w:pPr>
              <w:spacing w:after="0"/>
              <w:rPr>
                <w:sz w:val="20"/>
                <w:szCs w:val="20"/>
                <w:color w:val="auto"/>
              </w:rPr>
            </w:pPr>
            <w:r>
              <w:rPr>
                <w:rFonts w:ascii="Arial" w:cs="Arial" w:eastAsia="Arial" w:hAnsi="Arial"/>
                <w:sz w:val="13"/>
                <w:szCs w:val="13"/>
                <w:color w:val="auto"/>
              </w:rPr>
              <w:t>1i.</w:t>
            </w:r>
          </w:p>
        </w:tc>
        <w:tc>
          <w:tcPr>
            <w:tcW w:w="2280" w:type="dxa"/>
            <w:vAlign w:val="bottom"/>
          </w:tcPr>
          <w:p>
            <w:pPr>
              <w:ind w:left="60"/>
              <w:spacing w:after="0"/>
              <w:rPr>
                <w:sz w:val="20"/>
                <w:szCs w:val="20"/>
                <w:color w:val="auto"/>
              </w:rPr>
            </w:pPr>
            <w:r>
              <w:rPr>
                <w:rFonts w:ascii="Arial" w:cs="Arial" w:eastAsia="Arial" w:hAnsi="Arial"/>
                <w:sz w:val="13"/>
                <w:szCs w:val="13"/>
                <w:color w:val="auto"/>
              </w:rPr>
              <w:t>R. K. Templeton</w:t>
            </w:r>
          </w:p>
        </w:tc>
        <w:tc>
          <w:tcPr>
            <w:tcW w:w="1620" w:type="dxa"/>
            <w:vAlign w:val="bottom"/>
          </w:tcPr>
          <w:p>
            <w:pPr>
              <w:jc w:val="center"/>
              <w:ind w:left="1098"/>
              <w:spacing w:after="0"/>
              <w:rPr>
                <w:sz w:val="20"/>
                <w:szCs w:val="20"/>
                <w:color w:val="auto"/>
              </w:rPr>
            </w:pPr>
            <w:r>
              <w:rPr>
                <w:rFonts w:ascii="Arial" w:cs="Arial" w:eastAsia="Arial" w:hAnsi="Arial"/>
                <w:sz w:val="17"/>
                <w:szCs w:val="17"/>
                <w:color w:val="auto"/>
                <w:w w:val="84"/>
              </w:rPr>
              <w:t>o</w:t>
            </w:r>
          </w:p>
        </w:tc>
        <w:tc>
          <w:tcPr>
            <w:tcW w:w="60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20" w:type="dxa"/>
            <w:vAlign w:val="bottom"/>
          </w:tcPr>
          <w:p>
            <w:pPr>
              <w:jc w:val="center"/>
              <w:spacing w:after="0"/>
              <w:rPr>
                <w:sz w:val="20"/>
                <w:szCs w:val="20"/>
                <w:color w:val="auto"/>
              </w:rPr>
            </w:pPr>
            <w:r>
              <w:rPr>
                <w:rFonts w:ascii="Arial" w:cs="Arial" w:eastAsia="Arial" w:hAnsi="Arial"/>
                <w:sz w:val="17"/>
                <w:szCs w:val="17"/>
                <w:color w:val="auto"/>
                <w:w w:val="84"/>
              </w:rPr>
              <w:t>o</w:t>
            </w:r>
          </w:p>
        </w:tc>
      </w:tr>
      <w:tr>
        <w:trPr>
          <w:trHeight w:val="362"/>
        </w:trPr>
        <w:tc>
          <w:tcPr>
            <w:tcW w:w="240" w:type="dxa"/>
            <w:vAlign w:val="bottom"/>
          </w:tcPr>
          <w:p>
            <w:pPr>
              <w:spacing w:after="0"/>
              <w:rPr>
                <w:sz w:val="20"/>
                <w:szCs w:val="20"/>
                <w:color w:val="auto"/>
              </w:rPr>
            </w:pPr>
            <w:r>
              <w:rPr>
                <w:rFonts w:ascii="Arial" w:cs="Arial" w:eastAsia="Arial" w:hAnsi="Arial"/>
                <w:sz w:val="13"/>
                <w:szCs w:val="13"/>
                <w:color w:val="auto"/>
              </w:rPr>
              <w:t>1j.</w:t>
            </w:r>
          </w:p>
        </w:tc>
        <w:tc>
          <w:tcPr>
            <w:tcW w:w="2280" w:type="dxa"/>
            <w:vAlign w:val="bottom"/>
          </w:tcPr>
          <w:p>
            <w:pPr>
              <w:ind w:left="60"/>
              <w:spacing w:after="0"/>
              <w:rPr>
                <w:sz w:val="20"/>
                <w:szCs w:val="20"/>
                <w:color w:val="auto"/>
              </w:rPr>
            </w:pPr>
            <w:r>
              <w:rPr>
                <w:rFonts w:ascii="Arial" w:cs="Arial" w:eastAsia="Arial" w:hAnsi="Arial"/>
                <w:sz w:val="13"/>
                <w:szCs w:val="13"/>
                <w:color w:val="auto"/>
              </w:rPr>
              <w:t>C. T. Whitman</w:t>
            </w:r>
          </w:p>
        </w:tc>
        <w:tc>
          <w:tcPr>
            <w:tcW w:w="1620" w:type="dxa"/>
            <w:vAlign w:val="bottom"/>
          </w:tcPr>
          <w:p>
            <w:pPr>
              <w:jc w:val="center"/>
              <w:ind w:left="1098"/>
              <w:spacing w:after="0"/>
              <w:rPr>
                <w:sz w:val="20"/>
                <w:szCs w:val="20"/>
                <w:color w:val="auto"/>
              </w:rPr>
            </w:pPr>
            <w:r>
              <w:rPr>
                <w:rFonts w:ascii="Arial" w:cs="Arial" w:eastAsia="Arial" w:hAnsi="Arial"/>
                <w:sz w:val="17"/>
                <w:szCs w:val="17"/>
                <w:color w:val="auto"/>
                <w:w w:val="84"/>
              </w:rPr>
              <w:t>o</w:t>
            </w:r>
          </w:p>
        </w:tc>
        <w:tc>
          <w:tcPr>
            <w:tcW w:w="60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20" w:type="dxa"/>
            <w:vAlign w:val="bottom"/>
          </w:tcPr>
          <w:p>
            <w:pPr>
              <w:jc w:val="center"/>
              <w:spacing w:after="0"/>
              <w:rPr>
                <w:sz w:val="20"/>
                <w:szCs w:val="20"/>
                <w:color w:val="auto"/>
              </w:rPr>
            </w:pPr>
            <w:r>
              <w:rPr>
                <w:rFonts w:ascii="Arial" w:cs="Arial" w:eastAsia="Arial" w:hAnsi="Arial"/>
                <w:sz w:val="17"/>
                <w:szCs w:val="17"/>
                <w:color w:val="auto"/>
                <w:w w:val="84"/>
              </w:rPr>
              <w:t>o</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rPr>
              <w:t>Against</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rPr>
              <w:t>Abstain</w:t>
            </w:r>
          </w:p>
        </w:tc>
      </w:tr>
      <w:tr>
        <w:trPr>
          <w:trHeight w:val="297"/>
        </w:trPr>
        <w:tc>
          <w:tcPr>
            <w:tcW w:w="160" w:type="dxa"/>
            <w:vAlign w:val="bottom"/>
          </w:tcPr>
          <w:p>
            <w:pPr>
              <w:jc w:val="right"/>
              <w:spacing w:after="0"/>
              <w:rPr>
                <w:sz w:val="20"/>
                <w:szCs w:val="20"/>
                <w:color w:val="auto"/>
              </w:rPr>
            </w:pPr>
            <w:r>
              <w:rPr>
                <w:rFonts w:ascii="Arial" w:cs="Arial" w:eastAsia="Arial" w:hAnsi="Arial"/>
                <w:sz w:val="13"/>
                <w:szCs w:val="13"/>
                <w:color w:val="auto"/>
                <w:w w:val="73"/>
              </w:rPr>
              <w:t>2.</w:t>
            </w:r>
          </w:p>
        </w:tc>
        <w:tc>
          <w:tcPr>
            <w:tcW w:w="4020" w:type="dxa"/>
            <w:vAlign w:val="bottom"/>
          </w:tcPr>
          <w:p>
            <w:pPr>
              <w:ind w:left="80"/>
              <w:spacing w:after="0"/>
              <w:rPr>
                <w:sz w:val="20"/>
                <w:szCs w:val="20"/>
                <w:color w:val="auto"/>
              </w:rPr>
            </w:pPr>
            <w:r>
              <w:rPr>
                <w:rFonts w:ascii="Arial" w:cs="Arial" w:eastAsia="Arial" w:hAnsi="Arial"/>
                <w:sz w:val="13"/>
                <w:szCs w:val="13"/>
                <w:color w:val="auto"/>
              </w:rPr>
              <w:t>Board proposal regarding advisory approval of the Company’s</w:t>
            </w:r>
          </w:p>
        </w:tc>
        <w:tc>
          <w:tcPr>
            <w:tcW w:w="30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6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20" w:type="dxa"/>
            <w:vAlign w:val="bottom"/>
          </w:tcPr>
          <w:p>
            <w:pPr>
              <w:jc w:val="center"/>
              <w:spacing w:after="0"/>
              <w:rPr>
                <w:sz w:val="20"/>
                <w:szCs w:val="20"/>
                <w:color w:val="auto"/>
              </w:rPr>
            </w:pPr>
            <w:r>
              <w:rPr>
                <w:rFonts w:ascii="Arial" w:cs="Arial" w:eastAsia="Arial" w:hAnsi="Arial"/>
                <w:sz w:val="17"/>
                <w:szCs w:val="17"/>
                <w:color w:val="auto"/>
                <w:w w:val="84"/>
              </w:rPr>
              <w:t>o</w:t>
            </w:r>
          </w:p>
        </w:tc>
      </w:tr>
      <w:tr>
        <w:trPr>
          <w:trHeight w:val="155"/>
        </w:trPr>
        <w:tc>
          <w:tcPr>
            <w:tcW w:w="160" w:type="dxa"/>
            <w:vAlign w:val="bottom"/>
          </w:tcPr>
          <w:p>
            <w:pPr>
              <w:spacing w:after="0"/>
              <w:rPr>
                <w:sz w:val="13"/>
                <w:szCs w:val="13"/>
                <w:color w:val="auto"/>
              </w:rPr>
            </w:pPr>
          </w:p>
        </w:tc>
        <w:tc>
          <w:tcPr>
            <w:tcW w:w="4020" w:type="dxa"/>
            <w:vAlign w:val="bottom"/>
          </w:tcPr>
          <w:p>
            <w:pPr>
              <w:ind w:left="80"/>
              <w:spacing w:after="0"/>
              <w:rPr>
                <w:sz w:val="20"/>
                <w:szCs w:val="20"/>
                <w:color w:val="auto"/>
              </w:rPr>
            </w:pPr>
            <w:r>
              <w:rPr>
                <w:rFonts w:ascii="Arial" w:cs="Arial" w:eastAsia="Arial" w:hAnsi="Arial"/>
                <w:sz w:val="13"/>
                <w:szCs w:val="13"/>
                <w:color w:val="auto"/>
              </w:rPr>
              <w:t>executive compensation.</w:t>
            </w: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84"/>
        </w:trPr>
        <w:tc>
          <w:tcPr>
            <w:tcW w:w="160" w:type="dxa"/>
            <w:vAlign w:val="bottom"/>
          </w:tcPr>
          <w:p>
            <w:pPr>
              <w:jc w:val="right"/>
              <w:spacing w:after="0"/>
              <w:rPr>
                <w:sz w:val="20"/>
                <w:szCs w:val="20"/>
                <w:color w:val="auto"/>
              </w:rPr>
            </w:pPr>
            <w:r>
              <w:rPr>
                <w:rFonts w:ascii="Arial" w:cs="Arial" w:eastAsia="Arial" w:hAnsi="Arial"/>
                <w:sz w:val="13"/>
                <w:szCs w:val="13"/>
                <w:color w:val="auto"/>
                <w:w w:val="73"/>
              </w:rPr>
              <w:t>3.</w:t>
            </w:r>
          </w:p>
        </w:tc>
        <w:tc>
          <w:tcPr>
            <w:tcW w:w="4020" w:type="dxa"/>
            <w:vAlign w:val="bottom"/>
          </w:tcPr>
          <w:p>
            <w:pPr>
              <w:ind w:left="80"/>
              <w:spacing w:after="0"/>
              <w:rPr>
                <w:sz w:val="20"/>
                <w:szCs w:val="20"/>
                <w:color w:val="auto"/>
              </w:rPr>
            </w:pPr>
            <w:r>
              <w:rPr>
                <w:rFonts w:ascii="Arial" w:cs="Arial" w:eastAsia="Arial" w:hAnsi="Arial"/>
                <w:sz w:val="13"/>
                <w:szCs w:val="13"/>
                <w:color w:val="auto"/>
              </w:rPr>
              <w:t>Board proposal to ratify the appointment of Ernst &amp; Young LLP as</w:t>
            </w:r>
          </w:p>
        </w:tc>
        <w:tc>
          <w:tcPr>
            <w:tcW w:w="30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6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20" w:type="dxa"/>
            <w:vAlign w:val="bottom"/>
          </w:tcPr>
          <w:p>
            <w:pPr>
              <w:jc w:val="center"/>
              <w:spacing w:after="0"/>
              <w:rPr>
                <w:sz w:val="20"/>
                <w:szCs w:val="20"/>
                <w:color w:val="auto"/>
              </w:rPr>
            </w:pPr>
            <w:r>
              <w:rPr>
                <w:rFonts w:ascii="Arial" w:cs="Arial" w:eastAsia="Arial" w:hAnsi="Arial"/>
                <w:sz w:val="17"/>
                <w:szCs w:val="17"/>
                <w:color w:val="auto"/>
                <w:w w:val="84"/>
              </w:rPr>
              <w:t>o</w:t>
            </w:r>
          </w:p>
        </w:tc>
      </w:tr>
      <w:tr>
        <w:trPr>
          <w:trHeight w:val="142"/>
        </w:trPr>
        <w:tc>
          <w:tcPr>
            <w:tcW w:w="160" w:type="dxa"/>
            <w:vAlign w:val="bottom"/>
          </w:tcPr>
          <w:p>
            <w:pPr>
              <w:spacing w:after="0"/>
              <w:rPr>
                <w:sz w:val="12"/>
                <w:szCs w:val="12"/>
                <w:color w:val="auto"/>
              </w:rPr>
            </w:pPr>
          </w:p>
        </w:tc>
        <w:tc>
          <w:tcPr>
            <w:tcW w:w="4020" w:type="dxa"/>
            <w:vAlign w:val="bottom"/>
          </w:tcPr>
          <w:p>
            <w:pPr>
              <w:ind w:left="80"/>
              <w:spacing w:after="0" w:line="143" w:lineRule="exact"/>
              <w:rPr>
                <w:sz w:val="20"/>
                <w:szCs w:val="20"/>
                <w:color w:val="auto"/>
              </w:rPr>
            </w:pPr>
            <w:r>
              <w:rPr>
                <w:rFonts w:ascii="Arial" w:cs="Arial" w:eastAsia="Arial" w:hAnsi="Arial"/>
                <w:sz w:val="13"/>
                <w:szCs w:val="13"/>
                <w:color w:val="auto"/>
              </w:rPr>
              <w:t>the Company's independent registered public accounting firm for</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55"/>
        </w:trPr>
        <w:tc>
          <w:tcPr>
            <w:tcW w:w="160" w:type="dxa"/>
            <w:vAlign w:val="bottom"/>
          </w:tcPr>
          <w:p>
            <w:pPr>
              <w:spacing w:after="0"/>
              <w:rPr>
                <w:sz w:val="13"/>
                <w:szCs w:val="13"/>
                <w:color w:val="auto"/>
              </w:rPr>
            </w:pPr>
          </w:p>
        </w:tc>
        <w:tc>
          <w:tcPr>
            <w:tcW w:w="4020" w:type="dxa"/>
            <w:vAlign w:val="bottom"/>
          </w:tcPr>
          <w:p>
            <w:pPr>
              <w:ind w:left="80"/>
              <w:spacing w:after="0"/>
              <w:rPr>
                <w:sz w:val="20"/>
                <w:szCs w:val="20"/>
                <w:color w:val="auto"/>
              </w:rPr>
            </w:pPr>
            <w:r>
              <w:rPr>
                <w:rFonts w:ascii="Arial" w:cs="Arial" w:eastAsia="Arial" w:hAnsi="Arial"/>
                <w:sz w:val="13"/>
                <w:szCs w:val="13"/>
                <w:color w:val="auto"/>
              </w:rPr>
              <w:t>2013.</w:t>
            </w: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r>
    </w:tbl>
    <w:p>
      <w:pPr>
        <w:spacing w:after="0" w:line="126" w:lineRule="exact"/>
        <w:rPr>
          <w:sz w:val="20"/>
          <w:szCs w:val="20"/>
          <w:color w:val="auto"/>
        </w:rPr>
      </w:pPr>
    </w:p>
    <w:p>
      <w:pPr>
        <w:ind w:right="1480"/>
        <w:spacing w:after="0" w:line="262" w:lineRule="auto"/>
        <w:rPr>
          <w:sz w:val="20"/>
          <w:szCs w:val="20"/>
          <w:color w:val="auto"/>
        </w:rPr>
      </w:pPr>
      <w:r>
        <w:rPr>
          <w:rFonts w:ascii="Arial" w:cs="Arial" w:eastAsia="Arial" w:hAnsi="Arial"/>
          <w:sz w:val="13"/>
          <w:szCs w:val="13"/>
          <w:b w:val="1"/>
          <w:bCs w:val="1"/>
          <w:color w:val="auto"/>
        </w:rPr>
        <w:t>NOTE</w:t>
      </w:r>
      <w:r>
        <w:rPr>
          <w:rFonts w:ascii="Arial" w:cs="Arial" w:eastAsia="Arial" w:hAnsi="Arial"/>
          <w:sz w:val="13"/>
          <w:szCs w:val="13"/>
          <w:color w:val="auto"/>
        </w:rPr>
        <w:t>: Such other business as may properly come before the meeting</w:t>
      </w:r>
      <w:r>
        <w:rPr>
          <w:rFonts w:ascii="Arial" w:cs="Arial" w:eastAsia="Arial" w:hAnsi="Arial"/>
          <w:sz w:val="13"/>
          <w:szCs w:val="13"/>
          <w:b w:val="1"/>
          <w:bCs w:val="1"/>
          <w:color w:val="auto"/>
        </w:rPr>
        <w:t xml:space="preserve"> </w:t>
      </w:r>
      <w:r>
        <w:rPr>
          <w:rFonts w:ascii="Arial" w:cs="Arial" w:eastAsia="Arial" w:hAnsi="Arial"/>
          <w:sz w:val="13"/>
          <w:szCs w:val="13"/>
          <w:color w:val="auto"/>
        </w:rPr>
        <w:t>or any adjournment thereof.</w:t>
      </w:r>
    </w:p>
    <w:p>
      <w:pPr>
        <w:spacing w:after="0" w:line="1847" w:lineRule="exact"/>
        <w:rPr>
          <w:sz w:val="20"/>
          <w:szCs w:val="20"/>
          <w:color w:val="auto"/>
        </w:rPr>
      </w:pPr>
    </w:p>
    <w:p>
      <w:pPr>
        <w:sectPr>
          <w:pgSz w:w="11900" w:h="16838" w:orient="portrait"/>
          <w:cols w:equalWidth="0" w:num="2">
            <w:col w:w="5660" w:space="280"/>
            <w:col w:w="5580"/>
          </w:cols>
          <w:pgMar w:left="240" w:top="1130" w:right="139" w:bottom="1440" w:gutter="0" w:footer="0" w:header="0"/>
          <w:type w:val="continuous"/>
        </w:sectPr>
      </w:pPr>
    </w:p>
    <w:p>
      <w:pPr>
        <w:ind w:left="260" w:right="1820"/>
        <w:spacing w:after="0" w:line="238"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310" w:lineRule="exact"/>
        <w:rPr>
          <w:sz w:val="20"/>
          <w:szCs w:val="20"/>
          <w:color w:val="auto"/>
        </w:rPr>
      </w:pPr>
    </w:p>
    <w:p>
      <w:pPr>
        <w:ind w:left="260"/>
        <w:spacing w:after="0"/>
        <w:tabs>
          <w:tab w:leader="none" w:pos="3360" w:val="left"/>
          <w:tab w:leader="none" w:pos="5860" w:val="left"/>
          <w:tab w:leader="none" w:pos="902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278130</wp:posOffset>
            </wp:positionV>
            <wp:extent cx="7273290"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520"/>
          </w:cols>
          <w:pgMar w:left="240" w:top="1130" w:right="139" w:bottom="1440" w:gutter="0" w:footer="0" w:header="0"/>
          <w:type w:val="continuous"/>
        </w:sectPr>
      </w:pPr>
    </w:p>
    <w:bookmarkStart w:id="47" w:name="page48"/>
    <w:bookmarkEnd w:id="47"/>
    <w:p>
      <w:pPr>
        <w:jc w:val="center"/>
        <w:ind w:right="2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3148965</wp:posOffset>
            </wp:positionH>
            <wp:positionV relativeFrom="page">
              <wp:posOffset>236855</wp:posOffset>
            </wp:positionV>
            <wp:extent cx="1271905" cy="516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1271905" cy="516890"/>
                    </a:xfrm>
                    <a:prstGeom prst="rect">
                      <a:avLst/>
                    </a:prstGeom>
                    <a:noFill/>
                  </pic:spPr>
                </pic:pic>
              </a:graphicData>
            </a:graphic>
          </wp:anchor>
        </w:drawing>
        <w:t>NOTICE OF ANNUAL MEETING OF STOCKHOLDERS</w:t>
      </w:r>
    </w:p>
    <w:p>
      <w:pPr>
        <w:spacing w:after="0" w:line="205" w:lineRule="exact"/>
        <w:rPr>
          <w:sz w:val="20"/>
          <w:szCs w:val="20"/>
          <w:color w:val="auto"/>
        </w:rPr>
      </w:pPr>
    </w:p>
    <w:p>
      <w:pPr>
        <w:jc w:val="center"/>
        <w:ind w:right="280"/>
        <w:spacing w:after="0"/>
        <w:rPr>
          <w:sz w:val="20"/>
          <w:szCs w:val="20"/>
          <w:color w:val="auto"/>
        </w:rPr>
      </w:pPr>
      <w:r>
        <w:rPr>
          <w:rFonts w:ascii="Arial" w:cs="Arial" w:eastAsia="Arial" w:hAnsi="Arial"/>
          <w:sz w:val="17"/>
          <w:szCs w:val="17"/>
          <w:b w:val="1"/>
          <w:bCs w:val="1"/>
          <w:color w:val="auto"/>
        </w:rPr>
        <w:t>APRIL 18, 2013</w:t>
      </w:r>
    </w:p>
    <w:p>
      <w:pPr>
        <w:spacing w:after="0" w:line="225" w:lineRule="exact"/>
        <w:rPr>
          <w:sz w:val="20"/>
          <w:szCs w:val="20"/>
          <w:color w:val="auto"/>
        </w:rPr>
      </w:pPr>
    </w:p>
    <w:p>
      <w:pPr>
        <w:jc w:val="both"/>
        <w:ind w:left="220" w:right="520"/>
        <w:spacing w:after="0"/>
        <w:rPr>
          <w:sz w:val="20"/>
          <w:szCs w:val="20"/>
          <w:color w:val="auto"/>
        </w:rPr>
      </w:pPr>
      <w:r>
        <w:rPr>
          <w:rFonts w:ascii="Arial" w:cs="Arial" w:eastAsia="Arial" w:hAnsi="Arial"/>
          <w:sz w:val="17"/>
          <w:szCs w:val="17"/>
          <w:color w:val="auto"/>
        </w:rPr>
        <w:t>You are invited to attend the 2013 annual meeting of stockholders on Thursday, April 18, 2013, at the cafeteria on our property at 12500 TI Boulevard, Dallas, Texas, at 10:00 a.m. (Central time). At the meeting we will consider the election of directors, advisory approval of the Company's executive compensation, ratification of the appointment of Ernst &amp; Young LLP as the Company’s independent registered public accounting firm for 2013, and such other matters as may properly come before the meeting.</w:t>
      </w:r>
    </w:p>
    <w:p>
      <w:pPr>
        <w:spacing w:after="0" w:line="180" w:lineRule="exact"/>
        <w:rPr>
          <w:sz w:val="20"/>
          <w:szCs w:val="20"/>
          <w:color w:val="auto"/>
        </w:rPr>
      </w:pPr>
    </w:p>
    <w:p>
      <w:pPr>
        <w:jc w:val="center"/>
        <w:ind w:right="280"/>
        <w:spacing w:after="0"/>
        <w:rPr>
          <w:sz w:val="20"/>
          <w:szCs w:val="20"/>
          <w:color w:val="auto"/>
        </w:rPr>
      </w:pPr>
      <w:r>
        <w:rPr>
          <w:rFonts w:ascii="Arial" w:cs="Arial" w:eastAsia="Arial" w:hAnsi="Arial"/>
          <w:sz w:val="17"/>
          <w:szCs w:val="17"/>
          <w:b w:val="1"/>
          <w:bCs w:val="1"/>
          <w:u w:val="single" w:color="auto"/>
          <w:color w:val="auto"/>
        </w:rPr>
        <w:t>Electronic Delivery of Proxy Materials</w:t>
      </w:r>
    </w:p>
    <w:p>
      <w:pPr>
        <w:spacing w:after="0" w:line="225" w:lineRule="exact"/>
        <w:rPr>
          <w:sz w:val="20"/>
          <w:szCs w:val="20"/>
          <w:color w:val="auto"/>
        </w:rPr>
      </w:pPr>
    </w:p>
    <w:p>
      <w:pPr>
        <w:jc w:val="both"/>
        <w:ind w:left="220" w:right="520"/>
        <w:spacing w:after="0" w:line="245" w:lineRule="auto"/>
        <w:rPr>
          <w:sz w:val="20"/>
          <w:szCs w:val="20"/>
          <w:color w:val="auto"/>
        </w:rPr>
      </w:pPr>
      <w:r>
        <w:rPr>
          <w:rFonts w:ascii="Arial" w:cs="Arial" w:eastAsia="Arial" w:hAnsi="Arial"/>
          <w:sz w:val="17"/>
          <w:szCs w:val="17"/>
          <w:color w:val="auto"/>
        </w:rPr>
        <w:t>We are pleased to offer stockholders the opportunity to receive future proxy mailings by e-mail. To request electronic delivery, please vote via the Internet at www.proxyvote.com and, when prompted, enroll to receive proxy materials electronically in future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80"/>
        <w:spacing w:after="0"/>
        <w:rPr>
          <w:sz w:val="20"/>
          <w:szCs w:val="20"/>
          <w:color w:val="auto"/>
        </w:rPr>
      </w:pPr>
      <w:r>
        <w:rPr>
          <w:rFonts w:ascii="Arial" w:cs="Arial" w:eastAsia="Arial" w:hAnsi="Arial"/>
          <w:sz w:val="17"/>
          <w:szCs w:val="17"/>
          <w:b w:val="1"/>
          <w:bCs w:val="1"/>
          <w:color w:val="auto"/>
        </w:rPr>
        <w:t>Important Notice Regarding the Availability of Proxy Materials for the Annual Meeting:</w:t>
      </w:r>
    </w:p>
    <w:p>
      <w:pPr>
        <w:spacing w:after="0" w:line="18"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2013 Notice and Proxy Statement and 2012 Annual Report are also available at www.proxyvote.com.</w:t>
      </w:r>
    </w:p>
    <w:p>
      <w:pPr>
        <w:spacing w:after="0" w:line="25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M53016-P34303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34290</wp:posOffset>
            </wp:positionV>
            <wp:extent cx="7240905" cy="30975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0905" cy="3097530"/>
                    </a:xfrm>
                    <a:prstGeom prst="rect">
                      <a:avLst/>
                    </a:prstGeom>
                    <a:noFill/>
                  </pic:spPr>
                </pic:pic>
              </a:graphicData>
            </a:graphic>
          </wp:anchor>
        </w:drawing>
      </w:r>
    </w:p>
    <w:p>
      <w:pPr>
        <w:spacing w:after="0" w:line="238" w:lineRule="exact"/>
        <w:rPr>
          <w:sz w:val="20"/>
          <w:szCs w:val="20"/>
          <w:color w:val="auto"/>
        </w:rPr>
      </w:pPr>
    </w:p>
    <w:p>
      <w:pPr>
        <w:jc w:val="center"/>
        <w:ind w:right="280"/>
        <w:spacing w:after="0"/>
        <w:rPr>
          <w:sz w:val="20"/>
          <w:szCs w:val="20"/>
          <w:color w:val="auto"/>
        </w:rPr>
      </w:pPr>
      <w:r>
        <w:rPr>
          <w:rFonts w:ascii="Arial" w:cs="Arial" w:eastAsia="Arial" w:hAnsi="Arial"/>
          <w:sz w:val="21"/>
          <w:szCs w:val="21"/>
          <w:b w:val="1"/>
          <w:bCs w:val="1"/>
          <w:color w:val="auto"/>
        </w:rPr>
        <w:t>PROXY FOR ANNUAL MEETING</w:t>
      </w:r>
    </w:p>
    <w:p>
      <w:pPr>
        <w:spacing w:after="0" w:line="8" w:lineRule="exact"/>
        <w:rPr>
          <w:sz w:val="20"/>
          <w:szCs w:val="20"/>
          <w:color w:val="auto"/>
        </w:rPr>
      </w:pPr>
    </w:p>
    <w:p>
      <w:pPr>
        <w:jc w:val="center"/>
        <w:ind w:right="280"/>
        <w:spacing w:after="0"/>
        <w:rPr>
          <w:sz w:val="20"/>
          <w:szCs w:val="20"/>
          <w:color w:val="auto"/>
        </w:rPr>
      </w:pPr>
      <w:r>
        <w:rPr>
          <w:rFonts w:ascii="Arial" w:cs="Arial" w:eastAsia="Arial" w:hAnsi="Arial"/>
          <w:sz w:val="21"/>
          <w:szCs w:val="21"/>
          <w:b w:val="1"/>
          <w:bCs w:val="1"/>
          <w:color w:val="auto"/>
        </w:rPr>
        <w:t>TO BE HELD APRIL 18, 2013</w:t>
      </w:r>
    </w:p>
    <w:p>
      <w:pPr>
        <w:jc w:val="center"/>
        <w:ind w:right="280"/>
        <w:spacing w:after="0"/>
        <w:rPr>
          <w:sz w:val="20"/>
          <w:szCs w:val="20"/>
          <w:color w:val="auto"/>
        </w:rPr>
      </w:pPr>
      <w:r>
        <w:rPr>
          <w:rFonts w:ascii="Arial" w:cs="Arial" w:eastAsia="Arial" w:hAnsi="Arial"/>
          <w:sz w:val="21"/>
          <w:szCs w:val="21"/>
          <w:b w:val="1"/>
          <w:bCs w:val="1"/>
          <w:color w:val="auto"/>
        </w:rPr>
        <w:t>This proxy is solicited on behalf of the Board of Directors</w:t>
      </w:r>
    </w:p>
    <w:p>
      <w:pPr>
        <w:spacing w:after="0" w:line="207" w:lineRule="exact"/>
        <w:rPr>
          <w:sz w:val="20"/>
          <w:szCs w:val="20"/>
          <w:color w:val="auto"/>
        </w:rPr>
      </w:pPr>
    </w:p>
    <w:p>
      <w:pPr>
        <w:jc w:val="both"/>
        <w:ind w:right="300"/>
        <w:spacing w:after="0" w:line="239" w:lineRule="auto"/>
        <w:rPr>
          <w:sz w:val="20"/>
          <w:szCs w:val="20"/>
          <w:color w:val="auto"/>
        </w:rPr>
      </w:pPr>
      <w:r>
        <w:rPr>
          <w:rFonts w:ascii="Arial" w:cs="Arial" w:eastAsia="Arial" w:hAnsi="Arial"/>
          <w:sz w:val="17"/>
          <w:szCs w:val="17"/>
          <w:color w:val="auto"/>
        </w:rPr>
        <w:t xml:space="preserve">The undersigned hereby appoints CARRIE S. COX, PAMELA H. PATSLEY, CHRISTINE T. WHITMAN, RICHARD K. TEMPLETON, or any one or more of them, the true and lawful attorneys of the undersigned with power of substitution, to vote as proxies for the undersigned at the annual meeting of stockholders of Texas Instruments Incorporated to be held in Dallas, Texas, on April 18, 2013, at 10:00 a.m. (Central time) and at any or all adjournments thereof, according to the number of shares of common stock that the undersigned would be entitled to vote if then personally present, in the election of directors, upon the board proposals and upon other matters properly coming before the meeting. </w:t>
      </w:r>
      <w:r>
        <w:rPr>
          <w:rFonts w:ascii="Arial" w:cs="Arial" w:eastAsia="Arial" w:hAnsi="Arial"/>
          <w:sz w:val="17"/>
          <w:szCs w:val="17"/>
          <w:b w:val="1"/>
          <w:bCs w:val="1"/>
          <w:color w:val="auto"/>
        </w:rPr>
        <w:t>If no contrary</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indication is made, this proxy will be voted FOR the election of each director nominee and FOR Proposals 2 and 3. </w:t>
      </w:r>
      <w:r>
        <w:rPr>
          <w:rFonts w:ascii="Arial" w:cs="Arial" w:eastAsia="Arial" w:hAnsi="Arial"/>
          <w:sz w:val="17"/>
          <w:szCs w:val="17"/>
          <w:color w:val="auto"/>
        </w:rPr>
        <w:t>If other matters come</w:t>
      </w:r>
      <w:r>
        <w:rPr>
          <w:rFonts w:ascii="Arial" w:cs="Arial" w:eastAsia="Arial" w:hAnsi="Arial"/>
          <w:sz w:val="17"/>
          <w:szCs w:val="17"/>
          <w:b w:val="1"/>
          <w:bCs w:val="1"/>
          <w:color w:val="auto"/>
        </w:rPr>
        <w:t xml:space="preserve"> </w:t>
      </w:r>
      <w:r>
        <w:rPr>
          <w:rFonts w:ascii="Arial" w:cs="Arial" w:eastAsia="Arial" w:hAnsi="Arial"/>
          <w:sz w:val="17"/>
          <w:szCs w:val="17"/>
          <w:color w:val="auto"/>
        </w:rPr>
        <w:t>before the meeting, this proxy will be voted in the discretion of the named proxies.</w:t>
      </w:r>
    </w:p>
    <w:p>
      <w:pPr>
        <w:spacing w:after="0" w:line="201" w:lineRule="exact"/>
        <w:rPr>
          <w:sz w:val="20"/>
          <w:szCs w:val="20"/>
          <w:color w:val="auto"/>
        </w:rPr>
      </w:pPr>
    </w:p>
    <w:p>
      <w:pPr>
        <w:jc w:val="both"/>
        <w:ind w:right="300"/>
        <w:spacing w:after="0" w:line="239" w:lineRule="auto"/>
        <w:rPr>
          <w:sz w:val="20"/>
          <w:szCs w:val="20"/>
          <w:color w:val="auto"/>
        </w:rPr>
      </w:pPr>
      <w:r>
        <w:rPr>
          <w:rFonts w:ascii="Arial" w:cs="Arial" w:eastAsia="Arial" w:hAnsi="Arial"/>
          <w:sz w:val="17"/>
          <w:szCs w:val="17"/>
          <w:color w:val="auto"/>
        </w:rPr>
        <w:t>Should you have an account in the TI Contribution and 401(k) Savings Plan or the TI 401(k) Savings Plan, this proxy represents the number of TI shares allocable to that plan account as well as other shares registered in your name. As a "named fiduciary" under the plans for TI shares allocable to that plan account and for shares for which no voting instructions are received, this proxy will serve as voting instructions for The Northern Trust Company, trustee for the plans, or its designee. The plans provide that the trustee will vote each participant's shares in accordance with the participant's instructions. If the trustee does not receive voting instructions for TI shares under the plans by April 15, 2013, those shares will be voted, in accordance with the terms of plans, in the same proportion as the shares for which voting instructions have been received. If other matters come before the meeting, the named proxies will vote plan shares on those matters in their discretion.</w:t>
      </w:r>
    </w:p>
    <w:p>
      <w:pPr>
        <w:spacing w:after="0" w:line="181" w:lineRule="exact"/>
        <w:rPr>
          <w:sz w:val="20"/>
          <w:szCs w:val="20"/>
          <w:color w:val="auto"/>
        </w:rPr>
      </w:pPr>
    </w:p>
    <w:p>
      <w:pPr>
        <w:jc w:val="center"/>
        <w:ind w:right="280"/>
        <w:spacing w:after="0"/>
        <w:rPr>
          <w:sz w:val="20"/>
          <w:szCs w:val="20"/>
          <w:color w:val="auto"/>
        </w:rPr>
      </w:pPr>
      <w:r>
        <w:rPr>
          <w:rFonts w:ascii="Arial" w:cs="Arial" w:eastAsia="Arial" w:hAnsi="Arial"/>
          <w:sz w:val="17"/>
          <w:szCs w:val="17"/>
          <w:b w:val="1"/>
          <w:bCs w:val="1"/>
          <w:color w:val="auto"/>
        </w:rPr>
        <w:t>IMPORTANT - On the reverse side of this card are procedures on how to vote the shares.</w:t>
      </w:r>
    </w:p>
    <w:p>
      <w:pPr>
        <w:spacing w:after="0" w:line="18" w:lineRule="exact"/>
        <w:rPr>
          <w:sz w:val="20"/>
          <w:szCs w:val="20"/>
          <w:color w:val="auto"/>
        </w:rPr>
      </w:pPr>
    </w:p>
    <w:p>
      <w:pPr>
        <w:jc w:val="center"/>
        <w:ind w:right="280"/>
        <w:spacing w:after="0"/>
        <w:rPr>
          <w:sz w:val="20"/>
          <w:szCs w:val="20"/>
          <w:color w:val="auto"/>
        </w:rPr>
      </w:pPr>
      <w:r>
        <w:rPr>
          <w:rFonts w:ascii="Arial" w:cs="Arial" w:eastAsia="Arial" w:hAnsi="Arial"/>
          <w:sz w:val="17"/>
          <w:szCs w:val="17"/>
          <w:b w:val="1"/>
          <w:bCs w:val="1"/>
          <w:color w:val="auto"/>
        </w:rPr>
        <w:t>Please consider voting by Internet or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355600</wp:posOffset>
            </wp:positionV>
            <wp:extent cx="7273290"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120"/>
          </w:cols>
          <w:pgMar w:left="540" w:top="1376" w:right="239" w:bottom="1440" w:gutter="0" w:footer="0" w:header="0"/>
        </w:sectPr>
      </w:pPr>
    </w:p>
    <w:bookmarkStart w:id="48" w:name="page49"/>
    <w:bookmarkEnd w:id="48"/>
    <w:p>
      <w:pPr>
        <w:spacing w:after="0"/>
        <w:rPr>
          <w:sz w:val="20"/>
          <w:szCs w:val="20"/>
          <w:color w:val="auto"/>
        </w:rPr>
      </w:pPr>
      <w:r>
        <w:rPr>
          <w:rFonts w:ascii="Arial" w:cs="Arial" w:eastAsia="Arial" w:hAnsi="Arial"/>
          <w:sz w:val="17"/>
          <w:szCs w:val="17"/>
          <w:color w:val="auto"/>
        </w:rPr>
        <w:t>PROXYVOTE.COM</w:t>
      </w:r>
    </w:p>
    <w:p>
      <w:pPr>
        <w:spacing w:after="0" w:line="205" w:lineRule="exact"/>
        <w:rPr>
          <w:sz w:val="20"/>
          <w:szCs w:val="20"/>
          <w:color w:val="auto"/>
        </w:rPr>
      </w:pPr>
    </w:p>
    <w:p>
      <w:pPr>
        <w:ind w:right="380"/>
        <w:spacing w:after="0" w:line="245" w:lineRule="auto"/>
        <w:rPr>
          <w:sz w:val="20"/>
          <w:szCs w:val="20"/>
          <w:color w:val="auto"/>
        </w:rPr>
      </w:pPr>
      <w:r>
        <w:rPr>
          <w:rFonts w:ascii="Arial" w:cs="Arial" w:eastAsia="Arial" w:hAnsi="Arial"/>
          <w:sz w:val="17"/>
          <w:szCs w:val="17"/>
          <w:color w:val="auto"/>
        </w:rPr>
        <w:t>You received this e-mail because you are enrolled to receive TEXAS INSTRUMENTS INCORPORATED communications and vote by proxy via the Internet.</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Important Notice Regarding the Availability of Proxy Materials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2013 TEXAS INSTRUMENTS INCORPORATED Annual Meeting of Shareholders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MEETING DATE: April 18, 2013</w:t>
      </w:r>
    </w:p>
    <w:p>
      <w:pPr>
        <w:spacing w:after="0" w:line="237" w:lineRule="auto"/>
        <w:rPr>
          <w:sz w:val="20"/>
          <w:szCs w:val="20"/>
          <w:color w:val="auto"/>
        </w:rPr>
      </w:pPr>
      <w:r>
        <w:rPr>
          <w:rFonts w:ascii="Arial" w:cs="Arial" w:eastAsia="Arial" w:hAnsi="Arial"/>
          <w:sz w:val="17"/>
          <w:szCs w:val="17"/>
          <w:color w:val="auto"/>
        </w:rPr>
        <w:t>RECORD DATE: February 19, 2013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CUSIP NUMBER: 882508104</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This e-mail represents all shares in the following account(s).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NAME</w:t>
            </w:r>
          </w:p>
        </w:tc>
        <w:tc>
          <w:tcPr>
            <w:tcW w:w="2040" w:type="dxa"/>
            <w:vAlign w:val="bottom"/>
          </w:tcPr>
          <w:p>
            <w:pPr>
              <w:spacing w:after="0"/>
              <w:rPr>
                <w:sz w:val="18"/>
                <w:szCs w:val="18"/>
                <w:color w:val="auto"/>
              </w:rPr>
            </w:pPr>
          </w:p>
        </w:tc>
      </w:tr>
      <w:tr>
        <w:trPr>
          <w:trHeight w:val="218"/>
        </w:trPr>
        <w:tc>
          <w:tcPr>
            <w:tcW w:w="3760" w:type="dxa"/>
            <w:vAlign w:val="bottom"/>
          </w:tcPr>
          <w:p>
            <w:pPr>
              <w:spacing w:after="0"/>
              <w:rPr>
                <w:sz w:val="20"/>
                <w:szCs w:val="20"/>
                <w:color w:val="auto"/>
              </w:rPr>
            </w:pPr>
            <w:r>
              <w:rPr>
                <w:rFonts w:ascii="Arial" w:cs="Arial" w:eastAsia="Arial" w:hAnsi="Arial"/>
                <w:sz w:val="17"/>
                <w:szCs w:val="17"/>
                <w:color w:val="auto"/>
              </w:rPr>
              <w:t>TEXAS INSTRUMENTS INC. COMMON</w:t>
            </w:r>
          </w:p>
        </w:tc>
        <w:tc>
          <w:tcPr>
            <w:tcW w:w="2040" w:type="dxa"/>
            <w:vAlign w:val="bottom"/>
          </w:tcPr>
          <w:p>
            <w:pPr>
              <w:jc w:val="right"/>
              <w:spacing w:after="0"/>
              <w:rPr>
                <w:sz w:val="20"/>
                <w:szCs w:val="20"/>
                <w:color w:val="auto"/>
              </w:rPr>
            </w:pPr>
            <w:r>
              <w:rPr>
                <w:rFonts w:ascii="Arial" w:cs="Arial" w:eastAsia="Arial" w:hAnsi="Arial"/>
                <w:sz w:val="17"/>
                <w:szCs w:val="17"/>
                <w:color w:val="auto"/>
              </w:rPr>
              <w:t>123,456,789,012.00000</w:t>
            </w:r>
          </w:p>
        </w:tc>
      </w:tr>
      <w:tr>
        <w:trPr>
          <w:trHeight w:val="233"/>
        </w:trPr>
        <w:tc>
          <w:tcPr>
            <w:tcW w:w="3760" w:type="dxa"/>
            <w:vAlign w:val="bottom"/>
          </w:tcPr>
          <w:p>
            <w:pPr>
              <w:spacing w:after="0"/>
              <w:rPr>
                <w:sz w:val="20"/>
                <w:szCs w:val="20"/>
                <w:color w:val="auto"/>
              </w:rPr>
            </w:pPr>
            <w:r>
              <w:rPr>
                <w:rFonts w:ascii="Arial" w:cs="Arial" w:eastAsia="Arial" w:hAnsi="Arial"/>
                <w:sz w:val="17"/>
                <w:szCs w:val="17"/>
                <w:color w:val="auto"/>
              </w:rPr>
              <w:t>TEXAS INSTRUMENTS INC. - 401K SAVINGS</w:t>
            </w:r>
          </w:p>
        </w:tc>
        <w:tc>
          <w:tcPr>
            <w:tcW w:w="2040" w:type="dxa"/>
            <w:vAlign w:val="bottom"/>
          </w:tcPr>
          <w:p>
            <w:pPr>
              <w:jc w:val="right"/>
              <w:spacing w:after="0"/>
              <w:rPr>
                <w:sz w:val="20"/>
                <w:szCs w:val="20"/>
                <w:color w:val="auto"/>
              </w:rPr>
            </w:pPr>
            <w:r>
              <w:rPr>
                <w:rFonts w:ascii="Arial" w:cs="Arial" w:eastAsia="Arial" w:hAnsi="Arial"/>
                <w:sz w:val="17"/>
                <w:szCs w:val="17"/>
                <w:color w:val="auto"/>
              </w:rPr>
              <w:t>123,456,789,012.00000</w:t>
            </w:r>
          </w:p>
        </w:tc>
      </w:tr>
      <w:tr>
        <w:trPr>
          <w:trHeight w:val="233"/>
        </w:trPr>
        <w:tc>
          <w:tcPr>
            <w:tcW w:w="3760" w:type="dxa"/>
            <w:vAlign w:val="bottom"/>
          </w:tcPr>
          <w:p>
            <w:pPr>
              <w:spacing w:after="0"/>
              <w:rPr>
                <w:sz w:val="20"/>
                <w:szCs w:val="20"/>
                <w:color w:val="auto"/>
              </w:rPr>
            </w:pPr>
            <w:r>
              <w:rPr>
                <w:rFonts w:ascii="Arial" w:cs="Arial" w:eastAsia="Arial" w:hAnsi="Arial"/>
                <w:sz w:val="17"/>
                <w:szCs w:val="17"/>
                <w:color w:val="auto"/>
              </w:rPr>
              <w:t>TEXAS INSTRUMENTS INC. - 401K SAVINGS</w:t>
            </w:r>
          </w:p>
        </w:tc>
        <w:tc>
          <w:tcPr>
            <w:tcW w:w="2040" w:type="dxa"/>
            <w:vAlign w:val="bottom"/>
          </w:tcPr>
          <w:p>
            <w:pPr>
              <w:jc w:val="right"/>
              <w:spacing w:after="0"/>
              <w:rPr>
                <w:sz w:val="20"/>
                <w:szCs w:val="20"/>
                <w:color w:val="auto"/>
              </w:rPr>
            </w:pPr>
            <w:r>
              <w:rPr>
                <w:rFonts w:ascii="Arial" w:cs="Arial" w:eastAsia="Arial" w:hAnsi="Arial"/>
                <w:sz w:val="17"/>
                <w:szCs w:val="17"/>
                <w:color w:val="auto"/>
              </w:rPr>
              <w:t>123,456,789,012.00000</w:t>
            </w:r>
          </w:p>
        </w:tc>
      </w:tr>
      <w:tr>
        <w:trPr>
          <w:trHeight w:val="233"/>
        </w:trPr>
        <w:tc>
          <w:tcPr>
            <w:tcW w:w="3760" w:type="dxa"/>
            <w:vAlign w:val="bottom"/>
          </w:tcPr>
          <w:p>
            <w:pPr>
              <w:spacing w:after="0"/>
              <w:rPr>
                <w:sz w:val="20"/>
                <w:szCs w:val="20"/>
                <w:color w:val="auto"/>
              </w:rPr>
            </w:pPr>
            <w:r>
              <w:rPr>
                <w:rFonts w:ascii="Arial" w:cs="Arial" w:eastAsia="Arial" w:hAnsi="Arial"/>
                <w:sz w:val="17"/>
                <w:szCs w:val="17"/>
                <w:color w:val="auto"/>
              </w:rPr>
              <w:t>TEXAS INSTRUMENTS INC. 401K</w:t>
            </w:r>
          </w:p>
        </w:tc>
        <w:tc>
          <w:tcPr>
            <w:tcW w:w="2040" w:type="dxa"/>
            <w:vAlign w:val="bottom"/>
          </w:tcPr>
          <w:p>
            <w:pPr>
              <w:jc w:val="right"/>
              <w:spacing w:after="0"/>
              <w:rPr>
                <w:sz w:val="20"/>
                <w:szCs w:val="20"/>
                <w:color w:val="auto"/>
              </w:rPr>
            </w:pPr>
            <w:r>
              <w:rPr>
                <w:rFonts w:ascii="Arial" w:cs="Arial" w:eastAsia="Arial" w:hAnsi="Arial"/>
                <w:sz w:val="17"/>
                <w:szCs w:val="17"/>
                <w:color w:val="auto"/>
              </w:rPr>
              <w:t>123,456,789,012.00000</w:t>
            </w:r>
          </w:p>
        </w:tc>
      </w:tr>
      <w:tr>
        <w:trPr>
          <w:trHeight w:val="233"/>
        </w:trPr>
        <w:tc>
          <w:tcPr>
            <w:tcW w:w="3760" w:type="dxa"/>
            <w:vAlign w:val="bottom"/>
          </w:tcPr>
          <w:p>
            <w:pPr>
              <w:spacing w:after="0"/>
              <w:rPr>
                <w:sz w:val="20"/>
                <w:szCs w:val="20"/>
                <w:color w:val="auto"/>
              </w:rPr>
            </w:pPr>
            <w:r>
              <w:rPr>
                <w:rFonts w:ascii="Arial" w:cs="Arial" w:eastAsia="Arial" w:hAnsi="Arial"/>
                <w:sz w:val="17"/>
                <w:szCs w:val="17"/>
                <w:color w:val="auto"/>
                <w:w w:val="98"/>
              </w:rPr>
              <w:t>TEXAS INSTRUMENTS INCORPORATED - 401K</w:t>
            </w:r>
          </w:p>
        </w:tc>
        <w:tc>
          <w:tcPr>
            <w:tcW w:w="2040" w:type="dxa"/>
            <w:vAlign w:val="bottom"/>
          </w:tcPr>
          <w:p>
            <w:pPr>
              <w:jc w:val="right"/>
              <w:spacing w:after="0"/>
              <w:rPr>
                <w:sz w:val="20"/>
                <w:szCs w:val="20"/>
                <w:color w:val="auto"/>
              </w:rPr>
            </w:pPr>
            <w:r>
              <w:rPr>
                <w:rFonts w:ascii="Arial" w:cs="Arial" w:eastAsia="Arial" w:hAnsi="Arial"/>
                <w:sz w:val="17"/>
                <w:szCs w:val="17"/>
                <w:color w:val="auto"/>
              </w:rPr>
              <w:t>123,456,789,012.00000</w:t>
            </w:r>
          </w:p>
        </w:tc>
      </w:tr>
      <w:tr>
        <w:trPr>
          <w:trHeight w:val="233"/>
        </w:trPr>
        <w:tc>
          <w:tcPr>
            <w:tcW w:w="3760" w:type="dxa"/>
            <w:vAlign w:val="bottom"/>
          </w:tcPr>
          <w:p>
            <w:pPr>
              <w:spacing w:after="0"/>
              <w:rPr>
                <w:sz w:val="20"/>
                <w:szCs w:val="20"/>
                <w:color w:val="auto"/>
              </w:rPr>
            </w:pPr>
            <w:r>
              <w:rPr>
                <w:rFonts w:ascii="Arial" w:cs="Arial" w:eastAsia="Arial" w:hAnsi="Arial"/>
                <w:sz w:val="17"/>
                <w:szCs w:val="17"/>
                <w:color w:val="auto"/>
                <w:w w:val="98"/>
              </w:rPr>
              <w:t>TEXAS INSTRUMENTS INCORPORATED - 401K</w:t>
            </w:r>
          </w:p>
        </w:tc>
        <w:tc>
          <w:tcPr>
            <w:tcW w:w="2040" w:type="dxa"/>
            <w:vAlign w:val="bottom"/>
          </w:tcPr>
          <w:p>
            <w:pPr>
              <w:jc w:val="right"/>
              <w:spacing w:after="0"/>
              <w:rPr>
                <w:sz w:val="20"/>
                <w:szCs w:val="20"/>
                <w:color w:val="auto"/>
              </w:rPr>
            </w:pPr>
            <w:r>
              <w:rPr>
                <w:rFonts w:ascii="Arial" w:cs="Arial" w:eastAsia="Arial" w:hAnsi="Arial"/>
                <w:sz w:val="17"/>
                <w:szCs w:val="17"/>
                <w:color w:val="auto"/>
              </w:rPr>
              <w:t>123,456,789,012.00000</w:t>
            </w:r>
          </w:p>
        </w:tc>
      </w:tr>
      <w:tr>
        <w:trPr>
          <w:trHeight w:val="233"/>
        </w:trPr>
        <w:tc>
          <w:tcPr>
            <w:tcW w:w="3760" w:type="dxa"/>
            <w:vAlign w:val="bottom"/>
          </w:tcPr>
          <w:p>
            <w:pPr>
              <w:spacing w:after="0"/>
              <w:rPr>
                <w:sz w:val="20"/>
                <w:szCs w:val="20"/>
                <w:color w:val="auto"/>
              </w:rPr>
            </w:pPr>
            <w:r>
              <w:rPr>
                <w:rFonts w:ascii="Arial" w:cs="Arial" w:eastAsia="Arial" w:hAnsi="Arial"/>
                <w:sz w:val="17"/>
                <w:szCs w:val="17"/>
                <w:color w:val="auto"/>
              </w:rPr>
              <w:t>EMAIL MATCHING FILE</w:t>
            </w:r>
          </w:p>
        </w:tc>
        <w:tc>
          <w:tcPr>
            <w:tcW w:w="2040" w:type="dxa"/>
            <w:vAlign w:val="bottom"/>
          </w:tcPr>
          <w:p>
            <w:pPr>
              <w:jc w:val="right"/>
              <w:spacing w:after="0"/>
              <w:rPr>
                <w:sz w:val="20"/>
                <w:szCs w:val="20"/>
                <w:color w:val="auto"/>
              </w:rPr>
            </w:pPr>
            <w:r>
              <w:rPr>
                <w:rFonts w:ascii="Arial" w:cs="Arial" w:eastAsia="Arial" w:hAnsi="Arial"/>
                <w:sz w:val="17"/>
                <w:szCs w:val="17"/>
                <w:color w:val="auto"/>
              </w:rPr>
              <w:t>123,456,789,012.00000</w:t>
            </w:r>
          </w:p>
        </w:tc>
      </w:tr>
      <w:tr>
        <w:trPr>
          <w:trHeight w:val="233"/>
        </w:trPr>
        <w:tc>
          <w:tcPr>
            <w:tcW w:w="3760" w:type="dxa"/>
            <w:vAlign w:val="bottom"/>
          </w:tcPr>
          <w:p>
            <w:pPr>
              <w:spacing w:after="0"/>
              <w:rPr>
                <w:sz w:val="20"/>
                <w:szCs w:val="20"/>
                <w:color w:val="auto"/>
              </w:rPr>
            </w:pPr>
            <w:r>
              <w:rPr>
                <w:rFonts w:ascii="Arial" w:cs="Arial" w:eastAsia="Arial" w:hAnsi="Arial"/>
                <w:sz w:val="17"/>
                <w:szCs w:val="17"/>
                <w:color w:val="auto"/>
              </w:rPr>
              <w:t>TEXAS INSTRUMENTS INC. COMMON</w:t>
            </w:r>
          </w:p>
        </w:tc>
        <w:tc>
          <w:tcPr>
            <w:tcW w:w="2040" w:type="dxa"/>
            <w:vAlign w:val="bottom"/>
          </w:tcPr>
          <w:p>
            <w:pPr>
              <w:jc w:val="right"/>
              <w:spacing w:after="0"/>
              <w:rPr>
                <w:sz w:val="20"/>
                <w:szCs w:val="20"/>
                <w:color w:val="auto"/>
              </w:rPr>
            </w:pPr>
            <w:r>
              <w:rPr>
                <w:rFonts w:ascii="Arial" w:cs="Arial" w:eastAsia="Arial" w:hAnsi="Arial"/>
                <w:sz w:val="17"/>
                <w:szCs w:val="17"/>
                <w:color w:val="auto"/>
              </w:rPr>
              <w:t>123,456,789,012.00000</w:t>
            </w:r>
          </w:p>
        </w:tc>
      </w:tr>
    </w:tbl>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CONTROL NUMBER: 012345678901</w:t>
      </w:r>
    </w:p>
    <w:p>
      <w:pPr>
        <w:spacing w:after="0" w:line="205"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You can enter your voting instructions and view the shareholder material at the Internet site below. If your browser supports secure transactions, you will automatically be directed to a secure site.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http://www.proxyvote.com/0012345678901</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Note: If your e-mail software supports it, you can simply click on the above link.</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To access ProxyVote, you will need the above CONTROL NUMBER and your four digit PIN:</w:t>
      </w:r>
    </w:p>
    <w:p>
      <w:pPr>
        <w:spacing w:after="0" w:line="205" w:lineRule="exact"/>
        <w:rPr>
          <w:sz w:val="20"/>
          <w:szCs w:val="20"/>
          <w:color w:val="auto"/>
        </w:rPr>
      </w:pPr>
    </w:p>
    <w:p>
      <w:pPr>
        <w:ind w:left="460" w:right="20" w:hanging="198"/>
        <w:spacing w:after="0" w:line="245" w:lineRule="auto"/>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you are a shareholder who consented to receive proxy materials electronically, your PIN is the four digit number you selected at the time of your enrollment.</w:t>
      </w:r>
    </w:p>
    <w:p>
      <w:pPr>
        <w:spacing w:after="0" w:line="221" w:lineRule="exact"/>
        <w:rPr>
          <w:rFonts w:ascii="Arial" w:cs="Arial" w:eastAsia="Arial" w:hAnsi="Arial"/>
          <w:sz w:val="17"/>
          <w:szCs w:val="17"/>
          <w:color w:val="auto"/>
        </w:rPr>
      </w:pPr>
    </w:p>
    <w:p>
      <w:pPr>
        <w:ind w:left="460" w:right="60" w:hanging="198"/>
        <w:spacing w:after="0" w:line="245" w:lineRule="auto"/>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you have forgotten your PIN or if your PIN is not accepted, please try the last four digits of your Social Security number. If you are still unable to access the site, please follow the "Forgot PIN" instructions on 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201930</wp:posOffset>
            </wp:positionV>
            <wp:extent cx="7273290"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280"/>
          </w:cols>
          <w:pgMar w:left="240" w:top="582" w:right="379" w:bottom="1440" w:gutter="0" w:footer="0" w:header="0"/>
        </w:sectPr>
      </w:pPr>
    </w:p>
    <w:bookmarkStart w:id="49" w:name="page50"/>
    <w:bookmarkEnd w:id="49"/>
    <w:p>
      <w:pPr>
        <w:spacing w:after="0"/>
        <w:rPr>
          <w:sz w:val="20"/>
          <w:szCs w:val="20"/>
          <w:color w:val="auto"/>
        </w:rPr>
      </w:pPr>
      <w:r>
        <w:rPr>
          <w:rFonts w:ascii="Arial" w:cs="Arial" w:eastAsia="Arial" w:hAnsi="Arial"/>
          <w:sz w:val="17"/>
          <w:szCs w:val="17"/>
          <w:color w:val="auto"/>
        </w:rPr>
        <w:t>For registered shares, you may vote by Internet up until 11:59 p.m. Eastern time on April 17, 2013.</w:t>
      </w:r>
    </w:p>
    <w:p>
      <w:pPr>
        <w:spacing w:after="0"/>
        <w:rPr>
          <w:sz w:val="20"/>
          <w:szCs w:val="20"/>
          <w:color w:val="auto"/>
        </w:rPr>
      </w:pPr>
      <w:r>
        <w:rPr>
          <w:rFonts w:ascii="Arial" w:cs="Arial" w:eastAsia="Arial" w:hAnsi="Arial"/>
          <w:sz w:val="17"/>
          <w:szCs w:val="17"/>
          <w:color w:val="auto"/>
        </w:rPr>
        <w:t>For shares allocable to a benefit plan account, voting instructions must be received no later than 11:59 p.m. Eastern time on April 15, 2013.</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To view the documents below, you may need Adobe Acrobat Reader. To download the Adobe Reader, click on the URL address below:</w:t>
      </w:r>
    </w:p>
    <w:p>
      <w:pPr>
        <w:spacing w:after="0"/>
        <w:rPr>
          <w:sz w:val="20"/>
          <w:szCs w:val="20"/>
          <w:color w:val="auto"/>
        </w:rPr>
      </w:pPr>
      <w:r>
        <w:rPr>
          <w:rFonts w:ascii="Arial" w:cs="Arial" w:eastAsia="Arial" w:hAnsi="Arial"/>
          <w:sz w:val="17"/>
          <w:szCs w:val="17"/>
          <w:color w:val="auto"/>
        </w:rPr>
        <w:t>http://www.adobe.com/products/acrobat/readstep2.html</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relevant supporting documentations can also be found at the following Internet site(s):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Annual Report and Proxy Statement</w:t>
      </w:r>
    </w:p>
    <w:p>
      <w:pPr>
        <w:spacing w:after="0" w:line="237" w:lineRule="auto"/>
        <w:rPr>
          <w:sz w:val="20"/>
          <w:szCs w:val="20"/>
          <w:color w:val="auto"/>
        </w:rPr>
      </w:pPr>
      <w:r>
        <w:rPr>
          <w:rFonts w:ascii="Arial" w:cs="Arial" w:eastAsia="Arial" w:hAnsi="Arial"/>
          <w:sz w:val="17"/>
          <w:szCs w:val="17"/>
          <w:color w:val="auto"/>
        </w:rPr>
        <w:t>http://materials.proxyvote.com/882508</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*interactive*</w:t>
      </w:r>
    </w:p>
    <w:p>
      <w:pPr>
        <w:spacing w:after="0" w:line="205" w:lineRule="exact"/>
        <w:rPr>
          <w:sz w:val="20"/>
          <w:szCs w:val="20"/>
          <w:color w:val="auto"/>
        </w:rPr>
      </w:pPr>
    </w:p>
    <w:p>
      <w:pPr>
        <w:jc w:val="both"/>
        <w:ind w:right="480"/>
        <w:spacing w:after="0" w:line="241" w:lineRule="auto"/>
        <w:rPr>
          <w:sz w:val="20"/>
          <w:szCs w:val="20"/>
          <w:color w:val="auto"/>
        </w:rPr>
      </w:pPr>
      <w:r>
        <w:rPr>
          <w:rFonts w:ascii="Arial" w:cs="Arial" w:eastAsia="Arial" w:hAnsi="Arial"/>
          <w:sz w:val="17"/>
          <w:szCs w:val="17"/>
          <w:color w:val="auto"/>
        </w:rPr>
        <w:t>If you would like to cancel your enrollment, or change your e-mail address or PIN, please go to http://www.InvestorDelivery.com. You will need the enrollment number below and your four-digit PIN. If you have forgotten your PIN, you can have it sent to your enrolled e-mail address by going to http://www.InvestorDelivery.com.</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40" w:type="dxa"/>
            <w:vAlign w:val="bottom"/>
          </w:tcPr>
          <w:p>
            <w:pPr>
              <w:spacing w:after="0"/>
              <w:rPr>
                <w:sz w:val="20"/>
                <w:szCs w:val="20"/>
                <w:color w:val="auto"/>
              </w:rPr>
            </w:pPr>
            <w:r>
              <w:rPr>
                <w:rFonts w:ascii="Arial" w:cs="Arial" w:eastAsia="Arial" w:hAnsi="Arial"/>
                <w:sz w:val="17"/>
                <w:szCs w:val="17"/>
                <w:color w:val="auto"/>
              </w:rPr>
              <w:t>Your InvestorDelivery Enrollment Number is:</w:t>
            </w:r>
          </w:p>
        </w:tc>
        <w:tc>
          <w:tcPr>
            <w:tcW w:w="2420" w:type="dxa"/>
            <w:vAlign w:val="bottom"/>
          </w:tcPr>
          <w:p>
            <w:pPr>
              <w:ind w:left="1160"/>
              <w:spacing w:after="0"/>
              <w:rPr>
                <w:sz w:val="20"/>
                <w:szCs w:val="20"/>
                <w:color w:val="auto"/>
              </w:rPr>
            </w:pPr>
            <w:r>
              <w:rPr>
                <w:rFonts w:ascii="Arial" w:cs="Arial" w:eastAsia="Arial" w:hAnsi="Arial"/>
                <w:sz w:val="17"/>
                <w:szCs w:val="17"/>
                <w:color w:val="auto"/>
                <w:w w:val="97"/>
              </w:rPr>
              <w:t>M012345678901</w:t>
            </w:r>
          </w:p>
        </w:tc>
      </w:tr>
    </w:tbl>
    <w:p>
      <w:pPr>
        <w:spacing w:after="0" w:line="200" w:lineRule="exact"/>
        <w:rPr>
          <w:sz w:val="20"/>
          <w:szCs w:val="20"/>
          <w:color w:val="auto"/>
        </w:rPr>
      </w:pPr>
    </w:p>
    <w:p>
      <w:pPr>
        <w:spacing w:after="0" w:line="257"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There are no charges for this service. There may be costs associated with electronic access, such as usage charges from Internet access providers and telephone companies, which must be borne by the stockholder.</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Please do not send any e-mail to ID@ProxyVote.com. Please REPLY to this e-mail with any comments or questions about ProxyVote.com.</w:t>
      </w:r>
    </w:p>
    <w:p>
      <w:pPr>
        <w:spacing w:after="0"/>
        <w:rPr>
          <w:sz w:val="20"/>
          <w:szCs w:val="20"/>
          <w:color w:val="auto"/>
        </w:rPr>
      </w:pPr>
      <w:r>
        <w:rPr>
          <w:rFonts w:ascii="Arial" w:cs="Arial" w:eastAsia="Arial" w:hAnsi="Arial"/>
          <w:sz w:val="17"/>
          <w:szCs w:val="17"/>
          <w:color w:val="auto"/>
        </w:rPr>
        <w:t>(Include the original text and subject line of this message for identification purposes).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AOL users: Please highlight the entire message before clicking the reply button.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273290"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280"/>
          </w:cols>
          <w:pgMar w:left="240" w:top="580" w:right="37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22"/>
        </w:trPr>
        <w:tc>
          <w:tcPr>
            <w:tcW w:w="4580" w:type="dxa"/>
            <w:vAlign w:val="bottom"/>
          </w:tcPr>
          <w:p>
            <w:pPr>
              <w:spacing w:after="0"/>
              <w:rPr>
                <w:sz w:val="20"/>
                <w:szCs w:val="20"/>
                <w:color w:val="auto"/>
              </w:rPr>
            </w:pPr>
            <w:r>
              <w:rPr>
                <w:rFonts w:ascii="Arial" w:cs="Arial" w:eastAsia="Arial" w:hAnsi="Arial"/>
                <w:sz w:val="17"/>
                <w:szCs w:val="17"/>
                <w:b w:val="1"/>
                <w:bCs w:val="1"/>
                <w:color w:val="auto"/>
              </w:rPr>
              <w:t>TEXAS INSTRUMENTS INCORPORATED</w:t>
            </w:r>
          </w:p>
        </w:tc>
        <w:tc>
          <w:tcPr>
            <w:tcW w:w="2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360" w:type="dxa"/>
            <w:vAlign w:val="bottom"/>
          </w:tcPr>
          <w:p>
            <w:pPr>
              <w:ind w:left="2940"/>
              <w:spacing w:after="0"/>
              <w:rPr>
                <w:sz w:val="20"/>
                <w:szCs w:val="20"/>
                <w:color w:val="auto"/>
              </w:rPr>
            </w:pPr>
            <w:r>
              <w:rPr>
                <w:rFonts w:ascii="Arial" w:cs="Arial" w:eastAsia="Arial" w:hAnsi="Arial"/>
                <w:sz w:val="13"/>
                <w:szCs w:val="13"/>
                <w:b w:val="1"/>
                <w:bCs w:val="1"/>
                <w:color w:val="auto"/>
                <w:w w:val="97"/>
              </w:rPr>
              <w:t xml:space="preserve">Control# </w:t>
            </w:r>
            <w:r>
              <w:rPr>
                <w:rFonts w:ascii="Arial" w:cs="Arial" w:eastAsia="Arial" w:hAnsi="Arial"/>
                <w:sz w:val="13"/>
                <w:szCs w:val="13"/>
                <w:color w:val="auto"/>
                <w:w w:val="97"/>
              </w:rPr>
              <w:t>902099400522</w:t>
            </w:r>
          </w:p>
        </w:tc>
        <w:tc>
          <w:tcPr>
            <w:tcW w:w="0" w:type="dxa"/>
            <w:vAlign w:val="bottom"/>
          </w:tcPr>
          <w:p>
            <w:pPr>
              <w:spacing w:after="0"/>
              <w:rPr>
                <w:sz w:val="1"/>
                <w:szCs w:val="1"/>
                <w:color w:val="auto"/>
              </w:rPr>
            </w:pPr>
          </w:p>
        </w:tc>
      </w:tr>
      <w:tr>
        <w:trPr>
          <w:trHeight w:val="350"/>
        </w:trPr>
        <w:tc>
          <w:tcPr>
            <w:tcW w:w="4580" w:type="dxa"/>
            <w:vAlign w:val="bottom"/>
          </w:tcPr>
          <w:p>
            <w:pPr>
              <w:spacing w:after="0"/>
              <w:rPr>
                <w:sz w:val="20"/>
                <w:szCs w:val="20"/>
                <w:color w:val="auto"/>
              </w:rPr>
            </w:pPr>
            <w:r>
              <w:rPr>
                <w:rFonts w:ascii="Arial" w:cs="Arial" w:eastAsia="Arial" w:hAnsi="Arial"/>
                <w:sz w:val="13"/>
                <w:szCs w:val="13"/>
                <w:b w:val="1"/>
                <w:bCs w:val="1"/>
                <w:color w:val="auto"/>
              </w:rPr>
              <w:t>2013 Annual Meeting of Shareholders</w:t>
            </w:r>
          </w:p>
        </w:tc>
        <w:tc>
          <w:tcPr>
            <w:tcW w:w="6840" w:type="dxa"/>
            <w:vAlign w:val="bottom"/>
            <w:gridSpan w:val="3"/>
          </w:tcPr>
          <w:p>
            <w:pPr>
              <w:ind w:left="1360"/>
              <w:spacing w:after="0"/>
              <w:rPr>
                <w:sz w:val="20"/>
                <w:szCs w:val="20"/>
                <w:color w:val="auto"/>
              </w:rPr>
            </w:pPr>
            <w:r>
              <w:rPr>
                <w:rFonts w:ascii="Arial" w:cs="Arial" w:eastAsia="Arial" w:hAnsi="Arial"/>
                <w:sz w:val="17"/>
                <w:szCs w:val="17"/>
                <w:b w:val="1"/>
                <w:bCs w:val="1"/>
                <w:color w:val="auto"/>
              </w:rPr>
              <w:t>Meeting Material(s)</w:t>
            </w:r>
          </w:p>
        </w:tc>
        <w:tc>
          <w:tcPr>
            <w:tcW w:w="0" w:type="dxa"/>
            <w:vAlign w:val="bottom"/>
          </w:tcPr>
          <w:p>
            <w:pPr>
              <w:spacing w:after="0"/>
              <w:rPr>
                <w:sz w:val="1"/>
                <w:szCs w:val="1"/>
                <w:color w:val="auto"/>
              </w:rPr>
            </w:pPr>
          </w:p>
        </w:tc>
      </w:tr>
      <w:tr>
        <w:trPr>
          <w:trHeight w:val="349"/>
        </w:trPr>
        <w:tc>
          <w:tcPr>
            <w:tcW w:w="4580" w:type="dxa"/>
            <w:vAlign w:val="bottom"/>
          </w:tcPr>
          <w:p>
            <w:pPr>
              <w:spacing w:after="0"/>
              <w:rPr>
                <w:sz w:val="20"/>
                <w:szCs w:val="20"/>
                <w:color w:val="auto"/>
              </w:rPr>
            </w:pPr>
            <w:r>
              <w:rPr>
                <w:rFonts w:ascii="Arial" w:cs="Arial" w:eastAsia="Arial" w:hAnsi="Arial"/>
                <w:sz w:val="13"/>
                <w:szCs w:val="13"/>
                <w:b w:val="1"/>
                <w:bCs w:val="1"/>
                <w:color w:val="auto"/>
              </w:rPr>
              <w:t>Thursday, April 18, 2013</w:t>
            </w:r>
          </w:p>
        </w:tc>
        <w:tc>
          <w:tcPr>
            <w:tcW w:w="6840" w:type="dxa"/>
            <w:vAlign w:val="bottom"/>
            <w:gridSpan w:val="3"/>
            <w:vMerge w:val="restart"/>
          </w:tcPr>
          <w:p>
            <w:pPr>
              <w:ind w:left="2080"/>
              <w:spacing w:after="0"/>
              <w:rPr>
                <w:sz w:val="20"/>
                <w:szCs w:val="20"/>
                <w:color w:val="auto"/>
              </w:rPr>
            </w:pPr>
            <w:r>
              <w:rPr>
                <w:rFonts w:ascii="Arial" w:cs="Arial" w:eastAsia="Arial" w:hAnsi="Arial"/>
                <w:sz w:val="13"/>
                <w:szCs w:val="13"/>
                <w:color w:val="auto"/>
              </w:rPr>
              <w:t>AR/PS</w:t>
            </w:r>
          </w:p>
        </w:tc>
        <w:tc>
          <w:tcPr>
            <w:tcW w:w="0" w:type="dxa"/>
            <w:vAlign w:val="bottom"/>
          </w:tcPr>
          <w:p>
            <w:pPr>
              <w:spacing w:after="0"/>
              <w:rPr>
                <w:sz w:val="1"/>
                <w:szCs w:val="1"/>
                <w:color w:val="auto"/>
              </w:rPr>
            </w:pPr>
          </w:p>
        </w:tc>
      </w:tr>
      <w:tr>
        <w:trPr>
          <w:trHeight w:val="40"/>
        </w:trPr>
        <w:tc>
          <w:tcPr>
            <w:tcW w:w="4580" w:type="dxa"/>
            <w:vAlign w:val="bottom"/>
          </w:tcPr>
          <w:p>
            <w:pPr>
              <w:spacing w:after="0"/>
              <w:rPr>
                <w:sz w:val="3"/>
                <w:szCs w:val="3"/>
                <w:color w:val="auto"/>
              </w:rPr>
            </w:pPr>
          </w:p>
        </w:tc>
        <w:tc>
          <w:tcPr>
            <w:tcW w:w="6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580" w:type="dxa"/>
            <w:vAlign w:val="bottom"/>
          </w:tcPr>
          <w:p>
            <w:pPr>
              <w:spacing w:after="0"/>
              <w:rPr>
                <w:sz w:val="20"/>
                <w:szCs w:val="20"/>
                <w:color w:val="auto"/>
              </w:rPr>
            </w:pPr>
            <w:r>
              <w:rPr>
                <w:rFonts w:ascii="Arial" w:cs="Arial" w:eastAsia="Arial" w:hAnsi="Arial"/>
                <w:sz w:val="13"/>
                <w:szCs w:val="13"/>
                <w:b w:val="1"/>
                <w:bCs w:val="1"/>
                <w:color w:val="auto"/>
              </w:rPr>
              <w:t>For holders as of: Tuesday, February 19, 2013</w:t>
            </w:r>
          </w:p>
        </w:tc>
        <w:tc>
          <w:tcPr>
            <w:tcW w:w="20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4580" w:type="dxa"/>
            <w:vAlign w:val="bottom"/>
          </w:tcPr>
          <w:p>
            <w:pPr>
              <w:spacing w:after="0"/>
              <w:rPr>
                <w:sz w:val="20"/>
                <w:szCs w:val="20"/>
                <w:color w:val="auto"/>
              </w:rPr>
            </w:pPr>
            <w:r>
              <w:rPr>
                <w:rFonts w:ascii="Arial" w:cs="Arial" w:eastAsia="Arial" w:hAnsi="Arial"/>
                <w:sz w:val="13"/>
                <w:szCs w:val="13"/>
                <w:b w:val="1"/>
                <w:bCs w:val="1"/>
                <w:color w:val="auto"/>
              </w:rPr>
              <w:t>Cusip: 882508-104</w:t>
            </w:r>
          </w:p>
        </w:tc>
        <w:tc>
          <w:tcPr>
            <w:tcW w:w="2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400685</wp:posOffset>
            </wp:positionV>
            <wp:extent cx="72523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4091305</wp:posOffset>
            </wp:positionH>
            <wp:positionV relativeFrom="paragraph">
              <wp:posOffset>-495935</wp:posOffset>
            </wp:positionV>
            <wp:extent cx="66675" cy="666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80"/>
        <w:spacing w:after="0" w:line="262" w:lineRule="auto"/>
        <w:rPr>
          <w:sz w:val="20"/>
          <w:szCs w:val="20"/>
          <w:color w:val="auto"/>
        </w:rPr>
      </w:pPr>
      <w:r>
        <w:rPr>
          <w:rFonts w:ascii="Arial" w:cs="Arial" w:eastAsia="Arial" w:hAnsi="Arial"/>
          <w:sz w:val="13"/>
          <w:szCs w:val="13"/>
          <w:b w:val="1"/>
          <w:bCs w:val="1"/>
          <w:color w:val="7E0F00"/>
        </w:rPr>
        <w:t>As your vote is very important, we recommend that all voting instructions be received at least one business day prior to the voting cut-off time stated in the proxy materials. Scroll down for proxy instructions and voting.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To vote via telephone, call </w:t>
      </w:r>
      <w:r>
        <w:rPr>
          <w:rFonts w:ascii="Arial" w:cs="Arial" w:eastAsia="Arial" w:hAnsi="Arial"/>
          <w:sz w:val="13"/>
          <w:szCs w:val="13"/>
          <w:b w:val="1"/>
          <w:bCs w:val="1"/>
          <w:color w:val="auto"/>
        </w:rPr>
        <w:t>1-800-690-6903.</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PROXY BALLOT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TEXAS INSTRUMENTS INCORPORATED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2013 Annual Meeting of Shareholders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To be held on Thursday, April 18, 2013 for holders of record as of Tuesday, February 19,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7256780" cy="30397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6780" cy="3039745"/>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PROXY FOR ANNUAL MEETING</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BE HELD APRIL 18, 2013</w:t>
      </w:r>
    </w:p>
    <w:p>
      <w:pPr>
        <w:jc w:val="center"/>
        <w:spacing w:after="0"/>
        <w:rPr>
          <w:sz w:val="20"/>
          <w:szCs w:val="20"/>
          <w:color w:val="auto"/>
        </w:rPr>
      </w:pPr>
      <w:r>
        <w:rPr>
          <w:rFonts w:ascii="Arial" w:cs="Arial" w:eastAsia="Arial" w:hAnsi="Arial"/>
          <w:sz w:val="17"/>
          <w:szCs w:val="17"/>
          <w:b w:val="1"/>
          <w:bCs w:val="1"/>
          <w:color w:val="auto"/>
        </w:rPr>
        <w:t>This proxy is solicited on behalf of the Board of Directors</w:t>
      </w:r>
    </w:p>
    <w:p>
      <w:pPr>
        <w:spacing w:after="0" w:line="205" w:lineRule="exact"/>
        <w:rPr>
          <w:sz w:val="20"/>
          <w:szCs w:val="20"/>
          <w:color w:val="auto"/>
        </w:rPr>
      </w:pPr>
    </w:p>
    <w:p>
      <w:pPr>
        <w:jc w:val="both"/>
        <w:ind w:left="80" w:right="80"/>
        <w:spacing w:after="0" w:line="239" w:lineRule="auto"/>
        <w:rPr>
          <w:sz w:val="20"/>
          <w:szCs w:val="20"/>
          <w:color w:val="auto"/>
        </w:rPr>
      </w:pPr>
      <w:r>
        <w:rPr>
          <w:rFonts w:ascii="Arial" w:cs="Arial" w:eastAsia="Arial" w:hAnsi="Arial"/>
          <w:sz w:val="17"/>
          <w:szCs w:val="17"/>
          <w:color w:val="auto"/>
        </w:rPr>
        <w:t xml:space="preserve">The undersigned hereby appoints CARRIE S. COX, PAMELA H. PATSLEY, CHRISTINE T. WHITMAN, RICHARD K. TEMPLETON, or any one or more of them, the true and lawful attorneys of the undersigned with power of substitution, to vote as proxies for the undersigned at the annual meeting of stockholders of Texas Instruments Incorporated to be held in Dallas, Texas, on April 18, 2013, at 10:00 a.m. (Central time) and at any or all adjournments thereof, according to the number of shares of common stock that the undersigned would be entitled to vote if then personally present, in the election of directors, upon the board proposals and upon other matters properly coming before the meeting. </w:t>
      </w:r>
      <w:r>
        <w:rPr>
          <w:rFonts w:ascii="Arial" w:cs="Arial" w:eastAsia="Arial" w:hAnsi="Arial"/>
          <w:sz w:val="17"/>
          <w:szCs w:val="17"/>
          <w:b w:val="1"/>
          <w:bCs w:val="1"/>
          <w:color w:val="auto"/>
        </w:rPr>
        <w:t>If no contrary indication is made,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this proxy will be voted FOR the election of each director nominee and FOR Proposals 2 and 3. </w:t>
      </w:r>
      <w:r>
        <w:rPr>
          <w:rFonts w:ascii="Arial" w:cs="Arial" w:eastAsia="Arial" w:hAnsi="Arial"/>
          <w:sz w:val="17"/>
          <w:szCs w:val="17"/>
          <w:color w:val="auto"/>
        </w:rPr>
        <w:t>If other matters come before the meeting, this</w:t>
      </w:r>
      <w:r>
        <w:rPr>
          <w:rFonts w:ascii="Arial" w:cs="Arial" w:eastAsia="Arial" w:hAnsi="Arial"/>
          <w:sz w:val="17"/>
          <w:szCs w:val="17"/>
          <w:b w:val="1"/>
          <w:bCs w:val="1"/>
          <w:color w:val="auto"/>
        </w:rPr>
        <w:t xml:space="preserve"> </w:t>
      </w:r>
      <w:r>
        <w:rPr>
          <w:rFonts w:ascii="Arial" w:cs="Arial" w:eastAsia="Arial" w:hAnsi="Arial"/>
          <w:sz w:val="17"/>
          <w:szCs w:val="17"/>
          <w:color w:val="auto"/>
        </w:rPr>
        <w:t>proxy will be voted in the discretion of the named proxies.</w:t>
      </w:r>
    </w:p>
    <w:p>
      <w:pPr>
        <w:spacing w:after="0" w:line="201" w:lineRule="exact"/>
        <w:rPr>
          <w:sz w:val="20"/>
          <w:szCs w:val="20"/>
          <w:color w:val="auto"/>
        </w:rPr>
      </w:pPr>
    </w:p>
    <w:p>
      <w:pPr>
        <w:jc w:val="both"/>
        <w:ind w:left="80" w:right="80"/>
        <w:spacing w:after="0" w:line="239" w:lineRule="auto"/>
        <w:rPr>
          <w:sz w:val="20"/>
          <w:szCs w:val="20"/>
          <w:color w:val="auto"/>
        </w:rPr>
      </w:pPr>
      <w:r>
        <w:rPr>
          <w:rFonts w:ascii="Arial" w:cs="Arial" w:eastAsia="Arial" w:hAnsi="Arial"/>
          <w:sz w:val="17"/>
          <w:szCs w:val="17"/>
          <w:color w:val="auto"/>
        </w:rPr>
        <w:t>Should you have an account in the TI Contribution and 401(k) Savings Plan or the TI 401(k) Savings Plan, this proxy represents the number of TI shares allocable to that plan account as well as other shares registered in your name. As a "named fiduciary" under the plans for TI shares allocable to that plan account and for shares for which no voting instructions are received, this proxy will serve as voting instructions for The Northern Trust Company, trustee for the plans, or its designee. The plans provide that the trustee will vote each participant's shares in accordance with the participant's instructions. If the trustee does not receive voting instructions for TI shares under the plans by April 15, 2013, those shares will be voted, in accordance with the terms of plans, in the same proportion as the shares for which voting instructions have been received. If other matters come before the meeting, the named proxies will vote plan shares on those matters in their discretion.</w:t>
      </w:r>
    </w:p>
    <w:p>
      <w:pPr>
        <w:spacing w:after="0" w:line="207" w:lineRule="exact"/>
        <w:rPr>
          <w:sz w:val="20"/>
          <w:szCs w:val="20"/>
          <w:color w:val="auto"/>
        </w:rPr>
      </w:pPr>
    </w:p>
    <w:p>
      <w:pPr>
        <w:ind w:left="2300"/>
        <w:spacing w:after="0"/>
        <w:rPr>
          <w:sz w:val="20"/>
          <w:szCs w:val="20"/>
          <w:color w:val="auto"/>
        </w:rPr>
      </w:pPr>
      <w:r>
        <w:rPr>
          <w:rFonts w:ascii="Arial" w:cs="Arial" w:eastAsia="Arial" w:hAnsi="Arial"/>
          <w:sz w:val="17"/>
          <w:szCs w:val="17"/>
          <w:b w:val="1"/>
          <w:bCs w:val="1"/>
          <w:color w:val="auto"/>
        </w:rPr>
        <w:t>IMPORTANT - On the reverse side of this card are procedures on how to vote the shares.</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7"/>
          <w:szCs w:val="17"/>
          <w:b w:val="1"/>
          <w:bCs w:val="1"/>
          <w:color w:val="auto"/>
        </w:rPr>
        <w:t>Please consider voting by Internet or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350520</wp:posOffset>
            </wp:positionV>
            <wp:extent cx="7273290"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sectPr>
      </w:pPr>
    </w:p>
    <w:bookmarkStart w:id="51" w:name="page52"/>
    <w:bookmarkEnd w:id="51"/>
    <w:tbl>
      <w:tblPr>
        <w:tblLayout w:type="fixed"/>
        <w:tblInd w:w="10" w:type="dxa"/>
        <w:tblCellMar>
          <w:top w:w="0" w:type="dxa"/>
          <w:left w:w="0" w:type="dxa"/>
          <w:bottom w:w="0" w:type="dxa"/>
          <w:right w:w="0" w:type="dxa"/>
        </w:tblCellMar>
      </w:tblPr>
      <w:tr>
        <w:trPr>
          <w:trHeight w:val="206"/>
        </w:trPr>
        <w:tc>
          <w:tcPr>
            <w:tcW w:w="340" w:type="dxa"/>
            <w:vAlign w:val="bottom"/>
            <w:tcBorders>
              <w:top w:val="single" w:sz="8" w:color="auto"/>
              <w:left w:val="single" w:sz="8" w:color="auto"/>
              <w:right w:val="single" w:sz="8" w:color="auto"/>
            </w:tcBorders>
          </w:tcPr>
          <w:p>
            <w:pPr>
              <w:spacing w:after="0"/>
              <w:rPr>
                <w:sz w:val="17"/>
                <w:szCs w:val="17"/>
                <w:color w:val="auto"/>
              </w:rPr>
            </w:pPr>
          </w:p>
        </w:tc>
        <w:tc>
          <w:tcPr>
            <w:tcW w:w="6780" w:type="dxa"/>
            <w:vAlign w:val="bottom"/>
            <w:tcBorders>
              <w:top w:val="single" w:sz="8" w:color="auto"/>
              <w:right w:val="single" w:sz="8" w:color="auto"/>
            </w:tcBorders>
          </w:tcPr>
          <w:p>
            <w:pPr>
              <w:spacing w:after="0"/>
              <w:rPr>
                <w:sz w:val="17"/>
                <w:szCs w:val="17"/>
                <w:color w:val="auto"/>
              </w:rPr>
            </w:pP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Recommendations</w:t>
            </w:r>
          </w:p>
        </w:tc>
        <w:tc>
          <w:tcPr>
            <w:tcW w:w="2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40" w:type="dxa"/>
            <w:vAlign w:val="bottom"/>
            <w:tcBorders>
              <w:left w:val="single" w:sz="8" w:color="auto"/>
              <w:right w:val="single" w:sz="8" w:color="auto"/>
            </w:tcBorders>
          </w:tcPr>
          <w:p>
            <w:pPr>
              <w:spacing w:after="0"/>
              <w:rPr>
                <w:sz w:val="20"/>
                <w:szCs w:val="20"/>
                <w:color w:val="auto"/>
              </w:rPr>
            </w:pPr>
          </w:p>
        </w:tc>
        <w:tc>
          <w:tcPr>
            <w:tcW w:w="6780" w:type="dxa"/>
            <w:vAlign w:val="bottom"/>
            <w:tcBorders>
              <w:right w:val="single" w:sz="8" w:color="auto"/>
            </w:tcBorders>
          </w:tcPr>
          <w:p>
            <w:pPr>
              <w:ind w:left="3020"/>
              <w:spacing w:after="0"/>
              <w:rPr>
                <w:sz w:val="20"/>
                <w:szCs w:val="20"/>
                <w:color w:val="auto"/>
              </w:rPr>
            </w:pPr>
            <w:r>
              <w:rPr>
                <w:rFonts w:ascii="Arial" w:cs="Arial" w:eastAsia="Arial" w:hAnsi="Arial"/>
                <w:sz w:val="13"/>
                <w:szCs w:val="13"/>
                <w:b w:val="1"/>
                <w:bCs w:val="1"/>
                <w:color w:val="auto"/>
              </w:rPr>
              <w:t>Proposal(s)</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of the Board of</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ind w:left="80"/>
              <w:spacing w:after="0"/>
              <w:rPr>
                <w:sz w:val="20"/>
                <w:szCs w:val="20"/>
                <w:color w:val="auto"/>
              </w:rPr>
            </w:pPr>
            <w:r>
              <w:rPr>
                <w:rFonts w:ascii="Arial" w:cs="Arial" w:eastAsia="Arial" w:hAnsi="Arial"/>
                <w:sz w:val="13"/>
                <w:szCs w:val="13"/>
                <w:b w:val="1"/>
                <w:bCs w:val="1"/>
                <w:color w:val="auto"/>
              </w:rPr>
              <w:t>Vote Options</w:t>
            </w:r>
          </w:p>
        </w:tc>
        <w:tc>
          <w:tcPr>
            <w:tcW w:w="8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40" w:type="dxa"/>
            <w:vAlign w:val="bottom"/>
            <w:tcBorders>
              <w:left w:val="single" w:sz="8" w:color="auto"/>
              <w:right w:val="single" w:sz="8" w:color="auto"/>
            </w:tcBorders>
          </w:tcPr>
          <w:p>
            <w:pPr>
              <w:spacing w:after="0"/>
              <w:rPr>
                <w:sz w:val="20"/>
                <w:szCs w:val="20"/>
                <w:color w:val="auto"/>
              </w:rPr>
            </w:pPr>
          </w:p>
        </w:tc>
        <w:tc>
          <w:tcPr>
            <w:tcW w:w="678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Directors</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40" w:type="dxa"/>
            <w:vAlign w:val="bottom"/>
            <w:tcBorders>
              <w:left w:val="single" w:sz="8" w:color="auto"/>
              <w:bottom w:val="single" w:sz="8" w:color="auto"/>
              <w:right w:val="single" w:sz="8" w:color="auto"/>
            </w:tcBorders>
          </w:tcPr>
          <w:p>
            <w:pPr>
              <w:spacing w:after="0"/>
              <w:rPr>
                <w:sz w:val="3"/>
                <w:szCs w:val="3"/>
                <w:color w:val="auto"/>
              </w:rPr>
            </w:pPr>
          </w:p>
        </w:tc>
        <w:tc>
          <w:tcPr>
            <w:tcW w:w="67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1A.</w:t>
            </w:r>
          </w:p>
        </w:tc>
        <w:tc>
          <w:tcPr>
            <w:tcW w:w="6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ELECTION OF DIRECTOR: R.W. BABB, JR.</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For</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For</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Against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Abstain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1B.</w:t>
            </w:r>
          </w:p>
        </w:tc>
        <w:tc>
          <w:tcPr>
            <w:tcW w:w="6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ELECTION OF DIRECTOR: M.A. BLINN</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For</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For</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Against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Abstain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1C.</w:t>
            </w:r>
          </w:p>
        </w:tc>
        <w:tc>
          <w:tcPr>
            <w:tcW w:w="6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ELECTION OF DIRECTOR: D.A. CARP</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For</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For</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Against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Abstain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1D.</w:t>
            </w:r>
          </w:p>
        </w:tc>
        <w:tc>
          <w:tcPr>
            <w:tcW w:w="6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ELECTION OF DIRECTOR: C.S. COX</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For</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For</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Against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Abstain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1E.</w:t>
            </w:r>
          </w:p>
        </w:tc>
        <w:tc>
          <w:tcPr>
            <w:tcW w:w="6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ELECTION OF DIRECTOR: P.H. PATSLEY</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For</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For</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Against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Abstain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1F.</w:t>
            </w:r>
          </w:p>
        </w:tc>
        <w:tc>
          <w:tcPr>
            <w:tcW w:w="6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ELECTION OF DIRECTOR: R.E. SANCHEZ</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For</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For</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Against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Abstain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1G.</w:t>
            </w:r>
          </w:p>
        </w:tc>
        <w:tc>
          <w:tcPr>
            <w:tcW w:w="6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ELECTION OF DIRECTOR: W.R. SANDERS</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For</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For</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Against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Abstain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1H.</w:t>
            </w:r>
          </w:p>
        </w:tc>
        <w:tc>
          <w:tcPr>
            <w:tcW w:w="6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ELECTION OF DIRECTOR: R.J. SIMMONS</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For</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For</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Against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Abstain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1I.</w:t>
            </w:r>
          </w:p>
        </w:tc>
        <w:tc>
          <w:tcPr>
            <w:tcW w:w="6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ELECTION OF DIRECTOR: R.K. TEMPLETON</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For</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For</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Against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Abstain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1J.</w:t>
            </w:r>
          </w:p>
        </w:tc>
        <w:tc>
          <w:tcPr>
            <w:tcW w:w="6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ELECTION OF DIRECTOR: C.T. WHITMAN</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For</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For</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Against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Abstain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3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2.</w:t>
            </w:r>
          </w:p>
        </w:tc>
        <w:tc>
          <w:tcPr>
            <w:tcW w:w="678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rPr>
              <w:t>BOARD PROPOSAL REGARDING ADVISORY APPROVAL OF THE COMPANY'S EXECUTIVE</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For</w:t>
            </w:r>
          </w:p>
        </w:tc>
        <w:tc>
          <w:tcPr>
            <w:tcW w:w="2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400" w:type="dxa"/>
            <w:vAlign w:val="bottom"/>
            <w:vMerge w:val="restart"/>
          </w:tcPr>
          <w:p>
            <w:pPr>
              <w:ind w:left="80"/>
              <w:spacing w:after="0"/>
              <w:rPr>
                <w:sz w:val="20"/>
                <w:szCs w:val="20"/>
                <w:color w:val="auto"/>
              </w:rPr>
            </w:pPr>
            <w:r>
              <w:rPr>
                <w:rFonts w:ascii="Arial" w:cs="Arial" w:eastAsia="Arial" w:hAnsi="Arial"/>
                <w:sz w:val="13"/>
                <w:szCs w:val="13"/>
                <w:color w:val="auto"/>
              </w:rPr>
              <w:t>For</w:t>
            </w:r>
          </w:p>
        </w:tc>
        <w:tc>
          <w:tcPr>
            <w:tcW w:w="2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40" w:type="dxa"/>
            <w:vAlign w:val="bottom"/>
            <w:vMerge w:val="restart"/>
          </w:tcPr>
          <w:p>
            <w:pPr>
              <w:ind w:left="80"/>
              <w:spacing w:after="0"/>
              <w:rPr>
                <w:sz w:val="20"/>
                <w:szCs w:val="20"/>
                <w:color w:val="auto"/>
              </w:rPr>
            </w:pPr>
            <w:r>
              <w:rPr>
                <w:rFonts w:ascii="Arial" w:cs="Arial" w:eastAsia="Arial" w:hAnsi="Arial"/>
                <w:sz w:val="13"/>
                <w:szCs w:val="13"/>
                <w:color w:val="auto"/>
              </w:rPr>
              <w:t>Against</w:t>
            </w:r>
          </w:p>
        </w:tc>
        <w:tc>
          <w:tcPr>
            <w:tcW w:w="2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auto"/>
              </w:rPr>
              <w:t>Abstain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40" w:type="dxa"/>
            <w:vAlign w:val="bottom"/>
            <w:tcBorders>
              <w:left w:val="single" w:sz="8" w:color="auto"/>
              <w:right w:val="single" w:sz="8" w:color="auto"/>
            </w:tcBorders>
          </w:tcPr>
          <w:p>
            <w:pPr>
              <w:spacing w:after="0"/>
              <w:rPr>
                <w:sz w:val="10"/>
                <w:szCs w:val="10"/>
                <w:color w:val="auto"/>
              </w:rPr>
            </w:pPr>
          </w:p>
        </w:tc>
        <w:tc>
          <w:tcPr>
            <w:tcW w:w="678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rPr>
              <w:t>COMPENSATION.</w:t>
            </w:r>
          </w:p>
        </w:tc>
        <w:tc>
          <w:tcPr>
            <w:tcW w:w="1700" w:type="dxa"/>
            <w:vAlign w:val="bottom"/>
            <w:tcBorders>
              <w:right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340" w:type="dxa"/>
            <w:vAlign w:val="bottom"/>
            <w:tcBorders>
              <w:left w:val="single" w:sz="8" w:color="auto"/>
              <w:bottom w:val="single" w:sz="8" w:color="auto"/>
              <w:right w:val="single" w:sz="8" w:color="auto"/>
            </w:tcBorders>
          </w:tcPr>
          <w:p>
            <w:pPr>
              <w:spacing w:after="0"/>
              <w:rPr>
                <w:sz w:val="5"/>
                <w:szCs w:val="5"/>
                <w:color w:val="auto"/>
              </w:rPr>
            </w:pPr>
          </w:p>
        </w:tc>
        <w:tc>
          <w:tcPr>
            <w:tcW w:w="6780" w:type="dxa"/>
            <w:vAlign w:val="bottom"/>
            <w:tcBorders>
              <w:bottom w:val="single" w:sz="8" w:color="auto"/>
              <w:right w:val="single" w:sz="8" w:color="auto"/>
            </w:tcBorders>
            <w:vMerge w:val="continue"/>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3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3.</w:t>
            </w:r>
          </w:p>
        </w:tc>
        <w:tc>
          <w:tcPr>
            <w:tcW w:w="678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rPr>
              <w:t>BOARD PROPOSAL TO RATIFY THE APPOINTMENT OF ERNST &amp; YOUNG LLP AS THE COMPANY'S</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For</w:t>
            </w:r>
          </w:p>
        </w:tc>
        <w:tc>
          <w:tcPr>
            <w:tcW w:w="2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400" w:type="dxa"/>
            <w:vAlign w:val="bottom"/>
            <w:vMerge w:val="restart"/>
          </w:tcPr>
          <w:p>
            <w:pPr>
              <w:ind w:left="80"/>
              <w:spacing w:after="0"/>
              <w:rPr>
                <w:sz w:val="20"/>
                <w:szCs w:val="20"/>
                <w:color w:val="auto"/>
              </w:rPr>
            </w:pPr>
            <w:r>
              <w:rPr>
                <w:rFonts w:ascii="Arial" w:cs="Arial" w:eastAsia="Arial" w:hAnsi="Arial"/>
                <w:sz w:val="13"/>
                <w:szCs w:val="13"/>
                <w:color w:val="auto"/>
              </w:rPr>
              <w:t>For</w:t>
            </w:r>
          </w:p>
        </w:tc>
        <w:tc>
          <w:tcPr>
            <w:tcW w:w="2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40" w:type="dxa"/>
            <w:vAlign w:val="bottom"/>
            <w:vMerge w:val="restart"/>
          </w:tcPr>
          <w:p>
            <w:pPr>
              <w:ind w:left="80"/>
              <w:spacing w:after="0"/>
              <w:rPr>
                <w:sz w:val="20"/>
                <w:szCs w:val="20"/>
                <w:color w:val="auto"/>
              </w:rPr>
            </w:pPr>
            <w:r>
              <w:rPr>
                <w:rFonts w:ascii="Arial" w:cs="Arial" w:eastAsia="Arial" w:hAnsi="Arial"/>
                <w:sz w:val="13"/>
                <w:szCs w:val="13"/>
                <w:color w:val="auto"/>
              </w:rPr>
              <w:t>Against</w:t>
            </w:r>
          </w:p>
        </w:tc>
        <w:tc>
          <w:tcPr>
            <w:tcW w:w="2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auto"/>
              </w:rPr>
              <w:t>Abstain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40" w:type="dxa"/>
            <w:vAlign w:val="bottom"/>
            <w:tcBorders>
              <w:left w:val="single" w:sz="8" w:color="auto"/>
              <w:right w:val="single" w:sz="8" w:color="auto"/>
            </w:tcBorders>
          </w:tcPr>
          <w:p>
            <w:pPr>
              <w:spacing w:after="0"/>
              <w:rPr>
                <w:sz w:val="10"/>
                <w:szCs w:val="10"/>
                <w:color w:val="auto"/>
              </w:rPr>
            </w:pPr>
          </w:p>
        </w:tc>
        <w:tc>
          <w:tcPr>
            <w:tcW w:w="678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rPr>
              <w:t>INDEPENDENT REGISTERED PUBLIC ACCOUNTING FIRM FOR 2013.</w:t>
            </w:r>
          </w:p>
        </w:tc>
        <w:tc>
          <w:tcPr>
            <w:tcW w:w="1700" w:type="dxa"/>
            <w:vAlign w:val="bottom"/>
            <w:tcBorders>
              <w:right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340" w:type="dxa"/>
            <w:vAlign w:val="bottom"/>
            <w:tcBorders>
              <w:left w:val="single" w:sz="8" w:color="auto"/>
              <w:bottom w:val="single" w:sz="8" w:color="auto"/>
              <w:right w:val="single" w:sz="8" w:color="auto"/>
            </w:tcBorders>
          </w:tcPr>
          <w:p>
            <w:pPr>
              <w:spacing w:after="0"/>
              <w:rPr>
                <w:sz w:val="5"/>
                <w:szCs w:val="5"/>
                <w:color w:val="auto"/>
              </w:rPr>
            </w:pPr>
          </w:p>
        </w:tc>
        <w:tc>
          <w:tcPr>
            <w:tcW w:w="6780" w:type="dxa"/>
            <w:vAlign w:val="bottom"/>
            <w:tcBorders>
              <w:bottom w:val="single" w:sz="8" w:color="auto"/>
              <w:right w:val="single" w:sz="8" w:color="auto"/>
            </w:tcBorders>
            <w:vMerge w:val="continue"/>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5"/>
        </w:trPr>
        <w:tc>
          <w:tcPr>
            <w:tcW w:w="340" w:type="dxa"/>
            <w:vAlign w:val="bottom"/>
            <w:tcBorders>
              <w:bottom w:val="single" w:sz="8" w:color="808080"/>
            </w:tcBorders>
          </w:tcPr>
          <w:p>
            <w:pPr>
              <w:spacing w:after="0"/>
              <w:rPr>
                <w:sz w:val="24"/>
                <w:szCs w:val="24"/>
                <w:color w:val="auto"/>
              </w:rPr>
            </w:pPr>
          </w:p>
        </w:tc>
        <w:tc>
          <w:tcPr>
            <w:tcW w:w="67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sectPr>
      <w:pgSz w:w="11900" w:h="16838" w:orient="portrait"/>
      <w:cols w:equalWidth="0" w:num="1">
        <w:col w:w="11460"/>
      </w:cols>
      <w:pgMar w:left="240" w:top="352"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upperLetter"/>
      <w:start w:val="24"/>
    </w:lvl>
  </w:abstractNum>
  <w:abstractNum w:abstractNumId="1">
    <w:nsid w:val="628C895D"/>
    <w:multiLevelType w:val="hybridMultilevel"/>
    <w:lvl w:ilvl="0">
      <w:lvlJc w:val="left"/>
      <w:lvlText w:val="[%1]"/>
      <w:numFmt w:val="upperLetter"/>
      <w:start w:val="24"/>
    </w:lvl>
  </w:abstractNum>
  <w:abstractNum w:abstractNumId="2">
    <w:nsid w:val="333AB105"/>
    <w:multiLevelType w:val="hybridMultilevel"/>
    <w:lvl w:ilvl="0">
      <w:lvlJc w:val="left"/>
      <w:lvlText w:val="["/>
      <w:numFmt w:val="bullet"/>
      <w:start w:val="1"/>
    </w:lvl>
    <w:lvl w:ilvl="1">
      <w:lvlJc w:val="left"/>
      <w:lvlText w:val="%2)"/>
      <w:numFmt w:val="decimal"/>
      <w:start w:val="1"/>
    </w:lvl>
  </w:abstractNum>
  <w:abstractNum w:abstractNumId="3">
    <w:nsid w:val="721DA317"/>
    <w:multiLevelType w:val="hybridMultilevel"/>
    <w:lvl w:ilvl="0">
      <w:lvlJc w:val="left"/>
      <w:lvlText w:val="["/>
      <w:numFmt w:val="bullet"/>
      <w:start w:val="1"/>
    </w:lvl>
    <w:lvl w:ilvl="1">
      <w:lvlJc w:val="left"/>
      <w:lvlText w:val="%2)"/>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upperLetter"/>
      <w:start w:val="1"/>
    </w:lvl>
    <w:lvl w:ilvl="1">
      <w:lvlJc w:val="left"/>
      <w:lvlText w:val="%2."/>
      <w:numFmt w:val="decimal"/>
      <w:start w:val="4"/>
    </w:lvl>
  </w:abstractNum>
  <w:abstractNum w:abstractNumId="6">
    <w:nsid w:val="6763845E"/>
    <w:multiLevelType w:val="hybridMultilevel"/>
    <w:lvl w:ilvl="0">
      <w:lvlJc w:val="left"/>
      <w:lvlText w:val="%1."/>
      <w:numFmt w:val="upperLetter"/>
      <w:start w:val="2"/>
    </w:lvl>
    <w:lvl w:ilvl="1">
      <w:lvlJc w:val="left"/>
      <w:lvlText w:val="%2."/>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4"/>
    </w:lvl>
  </w:abstractNum>
  <w:abstractNum w:abstractNumId="9">
    <w:nsid w:val="79838CB2"/>
    <w:multiLevelType w:val="hybridMultilevel"/>
    <w:lvl w:ilvl="0">
      <w:lvlJc w:val="left"/>
      <w:lvlText w:val="(%1)"/>
      <w:numFmt w:val="decimal"/>
      <w:start w:val="5"/>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1"/>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2"/>
      <w:numFmt w:val="bullet"/>
      <w:start w:val="1"/>
    </w:lvl>
  </w:abstractNum>
  <w:abstractNum w:abstractNumId="16">
    <w:nsid w:val="836C40E"/>
    <w:multiLevelType w:val="hybridMultilevel"/>
    <w:lvl w:ilvl="0">
      <w:lvlJc w:val="left"/>
      <w:lvlText w:val="3"/>
      <w:numFmt w:val="bullet"/>
      <w:start w:val="1"/>
    </w:lvl>
  </w:abstractNum>
  <w:abstractNum w:abstractNumId="17">
    <w:nsid w:val="2901D82"/>
    <w:multiLevelType w:val="hybridMultilevel"/>
    <w:lvl w:ilvl="0">
      <w:lvlJc w:val="left"/>
      <w:lvlText w:val="4"/>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5"/>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4"/>
    </w:lvl>
  </w:abstractNum>
  <w:abstractNum w:abstractNumId="23">
    <w:nsid w:val="6CEAF087"/>
    <w:multiLevelType w:val="hybridMultilevel"/>
    <w:lvl w:ilvl="0">
      <w:lvlJc w:val="left"/>
      <w:lvlText w:val="(%1)"/>
      <w:numFmt w:val="lowerLetter"/>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2"/>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3"/>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decimal"/>
      <w:start w:val="2"/>
    </w:lvl>
  </w:abstractNum>
  <w:abstractNum w:abstractNumId="37">
    <w:nsid w:val="5E884ADC"/>
    <w:multiLevelType w:val="hybridMultilevel"/>
    <w:lvl w:ilvl="0">
      <w:lvlJc w:val="left"/>
      <w:lvlText w:val="(%1)"/>
      <w:numFmt w:val="decimal"/>
      <w:start w:val="3"/>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2019-12-05T16:28:48Z</dcterms:created>
  <dcterms:modified xsi:type="dcterms:W3CDTF">2019-12-05T16:28:48Z</dcterms:modified>
</cp:coreProperties>
</file>