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May 14, 2001</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65"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750289970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65" w:orient="portrait"/>
          <w:cols w:equalWidth="0" w:num="3">
            <w:col w:w="2960" w:space="320"/>
            <w:col w:w="2520" w:space="320"/>
            <w:col w:w="4099"/>
          </w:cols>
          <w:pgMar w:left="240" w:top="852"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87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7" w:lineRule="exact"/>
        <w:rPr>
          <w:sz w:val="24"/>
          <w:szCs w:val="24"/>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The Registrant ("TI") confirms its outlook for the second quarter of 2001 as set forth in the Outlook section included in Item 2 of its Form 10-Q for the quarter ended March 31, 2001, which was filed with the Commission on April 27, 2001.</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confirmation is being made for purposes of Regulation FD only and is not an indication or assessment of materiality, nor is it intended to constitute a representation that the information is not otherwise publicly available. The full text of that Outlook section is as follows: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4"/>
          <w:szCs w:val="24"/>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TI expects revenue to decline about 20 percent sequentially in the second quarter as semiconductor customers continue to work through excess inventories in an environment in which consumption of their electronic end-equipment products continues to be weak. Due to continuing uncertain economic conditions, it is unclear when demand for TI's semiconductor products will strengthen.</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Specifically, TI expects the following for the second quarter:</w:t>
      </w:r>
    </w:p>
    <w:p>
      <w:pPr>
        <w:spacing w:after="0" w:line="207" w:lineRule="exact"/>
        <w:rPr>
          <w:sz w:val="24"/>
          <w:szCs w:val="24"/>
          <w:color w:val="auto"/>
        </w:rPr>
      </w:pPr>
    </w:p>
    <w:p>
      <w:pPr>
        <w:ind w:left="1060" w:right="231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from semiconductor to decline sequentially, with weakness affecting almost all product areas;</w:t>
      </w:r>
    </w:p>
    <w:p>
      <w:pPr>
        <w:spacing w:after="0" w:line="208" w:lineRule="exact"/>
        <w:rPr>
          <w:rFonts w:ascii="Courier New" w:cs="Courier New" w:eastAsia="Courier New" w:hAnsi="Courier New"/>
          <w:sz w:val="18"/>
          <w:szCs w:val="18"/>
          <w:color w:val="auto"/>
        </w:rPr>
      </w:pPr>
    </w:p>
    <w:p>
      <w:pPr>
        <w:ind w:left="1060" w:right="2099" w:hanging="525"/>
        <w:spacing w:after="0" w:line="279" w:lineRule="auto"/>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from TI's non-semiconductor activities, including Sensors &amp; Controls and E&amp;PS, to increase sequentially, primarily reflecting seasonal retail stocking for back-to-school sales of calculators;</w:t>
      </w:r>
    </w:p>
    <w:p>
      <w:pPr>
        <w:spacing w:after="0" w:line="178" w:lineRule="exact"/>
        <w:rPr>
          <w:rFonts w:ascii="Courier New" w:cs="Courier New" w:eastAsia="Courier New" w:hAnsi="Courier New"/>
          <w:sz w:val="16"/>
          <w:szCs w:val="16"/>
          <w:color w:val="auto"/>
        </w:rPr>
      </w:pPr>
    </w:p>
    <w:p>
      <w:pPr>
        <w:ind w:left="1060" w:right="1999" w:hanging="525"/>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margin to decline to about breakeven in the second quarter before the effect of special charges and amortization of acquisition-related intangibles as a result of lower revenue; and</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Non-operating income to decline to about $40 million sequentially due to reduced investment gains and interest income.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2001, TI expects the following:</w:t>
      </w:r>
    </w:p>
    <w:p>
      <w:pPr>
        <w:spacing w:after="0" w:line="207" w:lineRule="exact"/>
        <w:rPr>
          <w:sz w:val="24"/>
          <w:szCs w:val="24"/>
          <w:color w:val="auto"/>
        </w:rPr>
      </w:pPr>
    </w:p>
    <w:p>
      <w:pPr>
        <w:ind w:left="1060" w:right="2099" w:hanging="525"/>
        <w:spacing w:after="0" w:line="290"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R&amp;D of $1.6 billion, excluding acquisition-related amortization and purchased in-process R&amp;D, down from the prior estimate of $1.7</w:t>
      </w:r>
    </w:p>
    <w:p>
      <w:pPr>
        <w:sectPr>
          <w:pgSz w:w="11900" w:h="16865" w:orient="portrait"/>
          <w:cols w:equalWidth="0" w:num="1">
            <w:col w:w="10219"/>
          </w:cols>
          <w:pgMar w:left="240" w:top="852" w:right="1440" w:bottom="0" w:gutter="0" w:footer="0" w:header="0"/>
          <w:type w:val="continuous"/>
        </w:sectPr>
      </w:pPr>
    </w:p>
    <w:bookmarkStart w:id="1" w:name="page2"/>
    <w:bookmarkEnd w:id="1"/>
    <w:p>
      <w:pPr>
        <w:ind w:left="525"/>
        <w:spacing w:after="0"/>
        <w:rPr>
          <w:sz w:val="20"/>
          <w:szCs w:val="20"/>
          <w:color w:val="auto"/>
        </w:rPr>
      </w:pPr>
      <w:r>
        <w:rPr>
          <w:rFonts w:ascii="Courier New" w:cs="Courier New" w:eastAsia="Courier New" w:hAnsi="Courier New"/>
          <w:sz w:val="18"/>
          <w:szCs w:val="18"/>
          <w:color w:val="auto"/>
        </w:rPr>
        <w:t>billion;</w:t>
      </w:r>
    </w:p>
    <w:p>
      <w:pPr>
        <w:spacing w:after="0" w:line="207" w:lineRule="exact"/>
        <w:rPr>
          <w:sz w:val="20"/>
          <w:szCs w:val="20"/>
          <w:color w:val="auto"/>
        </w:rPr>
      </w:pPr>
    </w:p>
    <w:p>
      <w:pPr>
        <w:ind w:left="525" w:right="1879" w:hanging="525"/>
        <w:spacing w:after="0" w:line="235" w:lineRule="auto"/>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 of $1.8 billion, down from the prior estimate of $2.0 billion;</w:t>
      </w:r>
    </w:p>
    <w:p>
      <w:pPr>
        <w:spacing w:after="0" w:line="208"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of $1.5 billion, unchanged from the prior estimate; and</w:t>
      </w:r>
    </w:p>
    <w:p>
      <w:pPr>
        <w:spacing w:after="0" w:line="218"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acquisition-related costs of $240 million.</w:t>
      </w:r>
    </w:p>
    <w:p>
      <w:pPr>
        <w:sectPr>
          <w:pgSz w:w="11900" w:h="16838" w:orient="portrait"/>
          <w:cols w:equalWidth="0" w:num="1">
            <w:col w:w="9684"/>
          </w:cols>
          <w:pgMar w:left="775" w:top="136" w:right="1440" w:bottom="1440" w:gutter="0" w:footer="0" w:header="0"/>
        </w:sectPr>
      </w:pPr>
    </w:p>
    <w:bookmarkStart w:id="2" w:name="page3"/>
    <w:bookmarkEnd w:id="2"/>
    <w:p>
      <w:pPr>
        <w:ind w:right="187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TI or its management:</w:t>
      </w:r>
    </w:p>
    <w:p>
      <w:pPr>
        <w:spacing w:after="0" w:line="209" w:lineRule="exact"/>
        <w:rPr>
          <w:sz w:val="20"/>
          <w:szCs w:val="20"/>
          <w:color w:val="auto"/>
        </w:rPr>
      </w:pPr>
    </w:p>
    <w:p>
      <w:pPr>
        <w:ind w:left="540" w:right="18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6"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5"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5"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4" w:lineRule="exact"/>
        <w:rPr>
          <w:rFonts w:ascii="Courier New" w:cs="Courier New" w:eastAsia="Courier New" w:hAnsi="Courier New"/>
          <w:sz w:val="18"/>
          <w:szCs w:val="18"/>
          <w:color w:val="auto"/>
        </w:rPr>
      </w:pPr>
    </w:p>
    <w:p>
      <w:pPr>
        <w:ind w:left="540" w:right="16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-Global economic, social and political conditions in the countries in which TI and its customers and suppliers operate, including fluctuations in foreign currency exchange rates;</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ectPr>
          <w:pgSz w:w="11900" w:h="16838" w:orient="portrait"/>
          <w:cols w:equalWidth="0" w:num="1">
            <w:col w:w="10219"/>
          </w:cols>
          <w:pgMar w:left="240" w:top="925"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14,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William A. Aylesworth,</w:t>
      </w:r>
    </w:p>
    <w:p>
      <w:pPr>
        <w:ind w:left="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320"/>
        <w:spacing w:after="0"/>
        <w:rPr>
          <w:sz w:val="20"/>
          <w:szCs w:val="20"/>
          <w:color w:val="auto"/>
        </w:rPr>
      </w:pPr>
      <w:r>
        <w:rPr>
          <w:rFonts w:ascii="Courier New" w:cs="Courier New" w:eastAsia="Courier New" w:hAnsi="Courier New"/>
          <w:sz w:val="18"/>
          <w:szCs w:val="18"/>
          <w:color w:val="auto"/>
        </w:rPr>
        <w:t>Treasurer and</w:t>
      </w:r>
    </w:p>
    <w:p>
      <w:pPr>
        <w:ind w:left="32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3">
        <w:col w:w="540" w:space="200"/>
        <w:col w:w="2860" w:space="720"/>
        <w:col w:w="589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2019-12-11T19:01:31Z</dcterms:created>
  <dcterms:modified xsi:type="dcterms:W3CDTF">2019-12-11T19:01:31Z</dcterms:modified>
</cp:coreProperties>
</file>