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12700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January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27940</wp:posOffset>
            </wp:positionV>
            <wp:extent cx="4166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940" w:type="dxa"/>
        <w:tblCellMar>
          <w:top w:w="0" w:type="dxa"/>
          <w:left w:w="0" w:type="dxa"/>
          <w:bottom w:w="0" w:type="dxa"/>
          <w:right w:w="0" w:type="dxa"/>
        </w:tblCellMar>
      </w:tblPr>
      <w:tr>
        <w:trPr>
          <w:trHeight w:val="225"/>
        </w:trPr>
        <w:tc>
          <w:tcPr>
            <w:tcW w:w="2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8"/>
              </w:rPr>
              <w:t>DELAWARE</w:t>
            </w: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0"/>
              </w:rPr>
              <w:t>001-03761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75-0289970</w:t>
            </w:r>
          </w:p>
        </w:tc>
      </w:tr>
      <w:tr>
        <w:trPr>
          <w:trHeight w:val="144"/>
        </w:trPr>
        <w:tc>
          <w:tcPr>
            <w:tcW w:w="214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820" w:type="dxa"/>
            <w:vAlign w:val="bottom"/>
          </w:tcPr>
          <w:p>
            <w:pPr>
              <w:jc w:val="center"/>
              <w:ind w:right="640"/>
              <w:spacing w:after="0" w:line="145" w:lineRule="exact"/>
              <w:rPr>
                <w:sz w:val="20"/>
                <w:szCs w:val="20"/>
                <w:color w:val="auto"/>
              </w:rPr>
            </w:pPr>
            <w:r>
              <w:rPr>
                <w:rFonts w:ascii="Arial" w:cs="Arial" w:eastAsia="Arial" w:hAnsi="Arial"/>
                <w:sz w:val="14"/>
                <w:szCs w:val="14"/>
                <w:b w:val="1"/>
                <w:bCs w:val="1"/>
                <w:color w:val="auto"/>
                <w:w w:val="92"/>
              </w:rPr>
              <w:t>(Commission</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of incorporation)</w:t>
            </w: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7"/>
              </w:rPr>
              <w:t>file number)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416"/>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7"/>
              </w:rPr>
              <w:t>12500 TI BOULEVARD</w:t>
            </w:r>
          </w:p>
        </w:tc>
        <w:tc>
          <w:tcPr>
            <w:tcW w:w="1120" w:type="dxa"/>
            <w:vAlign w:val="bottom"/>
          </w:tcPr>
          <w:p>
            <w:pPr>
              <w:spacing w:after="0"/>
              <w:rPr>
                <w:sz w:val="24"/>
                <w:szCs w:val="24"/>
                <w:color w:val="auto"/>
              </w:rPr>
            </w:pPr>
          </w:p>
        </w:tc>
      </w:tr>
      <w:tr>
        <w:trPr>
          <w:trHeight w:val="212"/>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Arial" w:cs="Arial" w:eastAsia="Arial" w:hAnsi="Arial"/>
                <w:sz w:val="18"/>
                <w:szCs w:val="18"/>
                <w:b w:val="1"/>
                <w:bCs w:val="1"/>
                <w:color w:val="auto"/>
                <w:w w:val="96"/>
              </w:rPr>
              <w:t>DALLAS, TEXAS 75243</w:t>
            </w:r>
          </w:p>
        </w:tc>
        <w:tc>
          <w:tcPr>
            <w:tcW w:w="112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20" w:type="dxa"/>
            <w:vAlign w:val="bottom"/>
          </w:tcPr>
          <w:p>
            <w:pPr>
              <w:spacing w:after="0"/>
              <w:rPr>
                <w:sz w:val="16"/>
                <w:szCs w:val="16"/>
                <w:color w:val="auto"/>
              </w:rPr>
            </w:pPr>
          </w:p>
        </w:tc>
      </w:tr>
      <w:tr>
        <w:trPr>
          <w:trHeight w:val="378"/>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120" w:type="dxa"/>
            <w:vAlign w:val="bottom"/>
          </w:tcPr>
          <w:p>
            <w:pPr>
              <w:spacing w:after="0"/>
              <w:rPr>
                <w:sz w:val="24"/>
                <w:szCs w:val="24"/>
                <w:color w:val="auto"/>
              </w:rPr>
            </w:pPr>
          </w:p>
        </w:tc>
      </w:tr>
      <w:tr>
        <w:trPr>
          <w:trHeight w:val="25"/>
        </w:trPr>
        <w:tc>
          <w:tcPr>
            <w:tcW w:w="1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364"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49"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46"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3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30"/>
        </w:trPr>
        <w:tc>
          <w:tcPr>
            <w:tcW w:w="4380" w:type="dxa"/>
            <w:vAlign w:val="bottom"/>
            <w:gridSpan w:val="2"/>
            <w:vMerge w:val="continue"/>
          </w:tcPr>
          <w:p>
            <w:pPr>
              <w:spacing w:after="0"/>
              <w:rPr>
                <w:sz w:val="19"/>
                <w:szCs w:val="19"/>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Symbol(s)</w:t>
            </w:r>
          </w:p>
        </w:tc>
        <w:tc>
          <w:tcPr>
            <w:tcW w:w="4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34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340" w:type="dxa"/>
            <w:vAlign w:val="bottom"/>
          </w:tcPr>
          <w:p>
            <w:pPr>
              <w:spacing w:after="0"/>
              <w:rPr>
                <w:sz w:val="19"/>
                <w:szCs w:val="19"/>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bl>
    <w:p>
      <w:pPr>
        <w:spacing w:after="0" w:line="305"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287655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227965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Registrant’s news release dated January 26, 2021, regarding its fourth-quarter and 2020 results of operations and financial condition is attached hereto as Exhibit 99.</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jc w:val="center"/>
              <w:ind w:right="262"/>
              <w:spacing w:after="0"/>
              <w:rPr>
                <w:sz w:val="20"/>
                <w:szCs w:val="20"/>
                <w:color w:val="auto"/>
              </w:rPr>
            </w:pPr>
            <w:r>
              <w:rPr>
                <w:rFonts w:ascii="Arial" w:cs="Arial" w:eastAsia="Arial" w:hAnsi="Arial"/>
                <w:sz w:val="14"/>
                <w:szCs w:val="14"/>
                <w:color w:val="auto"/>
                <w:w w:val="91"/>
              </w:rPr>
              <w:t>Designation</w:t>
            </w:r>
          </w:p>
        </w:tc>
        <w:tc>
          <w:tcPr>
            <w:tcW w:w="9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jc w:val="center"/>
              <w:ind w:right="242"/>
              <w:spacing w:after="0" w:line="135" w:lineRule="exact"/>
              <w:rPr>
                <w:sz w:val="20"/>
                <w:szCs w:val="20"/>
                <w:color w:val="auto"/>
              </w:rPr>
            </w:pPr>
            <w:r>
              <w:rPr>
                <w:rFonts w:ascii="Arial" w:cs="Arial" w:eastAsia="Arial" w:hAnsi="Arial"/>
                <w:sz w:val="14"/>
                <w:szCs w:val="14"/>
                <w:color w:val="auto"/>
              </w:rPr>
              <w:t>of Exhibit</w:t>
            </w:r>
          </w:p>
        </w:tc>
        <w:tc>
          <w:tcPr>
            <w:tcW w:w="9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jc w:val="center"/>
              <w:ind w:right="262"/>
              <w:spacing w:after="0" w:line="135" w:lineRule="exact"/>
              <w:rPr>
                <w:sz w:val="20"/>
                <w:szCs w:val="20"/>
                <w:color w:val="auto"/>
              </w:rPr>
            </w:pPr>
            <w:r>
              <w:rPr>
                <w:rFonts w:ascii="Arial" w:cs="Arial" w:eastAsia="Arial" w:hAnsi="Arial"/>
                <w:sz w:val="14"/>
                <w:szCs w:val="14"/>
                <w:color w:val="auto"/>
                <w:w w:val="98"/>
              </w:rPr>
              <w:t>in this</w:t>
            </w:r>
          </w:p>
        </w:tc>
        <w:tc>
          <w:tcPr>
            <w:tcW w:w="9660" w:type="dxa"/>
            <w:vAlign w:val="bottom"/>
            <w:vMerge w:val="restart"/>
          </w:tcPr>
          <w:p>
            <w:pPr>
              <w:ind w:left="2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91"/>
        </w:trPr>
        <w:tc>
          <w:tcPr>
            <w:tcW w:w="1580" w:type="dxa"/>
            <w:vAlign w:val="bottom"/>
          </w:tcPr>
          <w:p>
            <w:pPr>
              <w:jc w:val="center"/>
              <w:ind w:right="262"/>
              <w:spacing w:after="0"/>
              <w:rPr>
                <w:sz w:val="20"/>
                <w:szCs w:val="20"/>
                <w:color w:val="auto"/>
              </w:rPr>
            </w:pPr>
            <w:r>
              <w:rPr>
                <w:rFonts w:ascii="Arial" w:cs="Arial" w:eastAsia="Arial" w:hAnsi="Arial"/>
                <w:sz w:val="14"/>
                <w:szCs w:val="14"/>
                <w:color w:val="auto"/>
                <w:w w:val="95"/>
              </w:rPr>
              <w:t>Report</w:t>
            </w:r>
          </w:p>
        </w:tc>
        <w:tc>
          <w:tcPr>
            <w:tcW w:w="9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2"/>
        </w:trPr>
        <w:tc>
          <w:tcPr>
            <w:tcW w:w="1580" w:type="dxa"/>
            <w:vAlign w:val="bottom"/>
          </w:tcPr>
          <w:p>
            <w:pPr>
              <w:jc w:val="right"/>
              <w:ind w:right="782"/>
              <w:spacing w:after="0"/>
              <w:rPr>
                <w:sz w:val="20"/>
                <w:szCs w:val="20"/>
                <w:color w:val="auto"/>
              </w:rPr>
            </w:pPr>
            <w:r>
              <w:rPr>
                <w:rFonts w:ascii="Arial" w:cs="Arial" w:eastAsia="Arial" w:hAnsi="Arial"/>
                <w:sz w:val="18"/>
                <w:szCs w:val="18"/>
                <w:color w:val="auto"/>
              </w:rPr>
              <w:t>99</w:t>
            </w:r>
          </w:p>
        </w:tc>
        <w:tc>
          <w:tcPr>
            <w:tcW w:w="966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Registrant’s News Release</w:t>
              </w:r>
            </w:hyperlink>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9660" w:type="dxa"/>
            <w:vAlign w:val="bottom"/>
          </w:tcPr>
          <w:p>
            <w:pPr>
              <w:ind w:left="20"/>
              <w:spacing w:after="0"/>
              <w:rPr>
                <w:sz w:val="20"/>
                <w:szCs w:val="20"/>
                <w:color w:val="auto"/>
              </w:rPr>
            </w:pPr>
            <w:r>
              <w:rPr>
                <w:rFonts w:ascii="Arial" w:cs="Arial" w:eastAsia="Arial" w:hAnsi="Arial"/>
                <w:sz w:val="18"/>
                <w:szCs w:val="18"/>
                <w:color w:val="auto"/>
              </w:rPr>
              <w:t>Dated January 26, 2021 (furnished pursuant to Item 2.02)</w:t>
            </w:r>
          </w:p>
        </w:tc>
        <w:tc>
          <w:tcPr>
            <w:tcW w:w="0" w:type="dxa"/>
            <w:vAlign w:val="bottom"/>
          </w:tcPr>
          <w:p>
            <w:pPr>
              <w:spacing w:after="0"/>
              <w:rPr>
                <w:sz w:val="1"/>
                <w:szCs w:val="1"/>
                <w:color w:val="auto"/>
              </w:rPr>
            </w:pPr>
          </w:p>
        </w:tc>
      </w:tr>
      <w:tr>
        <w:trPr>
          <w:trHeight w:val="230"/>
        </w:trPr>
        <w:tc>
          <w:tcPr>
            <w:tcW w:w="1580" w:type="dxa"/>
            <w:vAlign w:val="bottom"/>
          </w:tcPr>
          <w:p>
            <w:pPr>
              <w:jc w:val="right"/>
              <w:ind w:right="742"/>
              <w:spacing w:after="0"/>
              <w:rPr>
                <w:sz w:val="20"/>
                <w:szCs w:val="20"/>
                <w:color w:val="auto"/>
              </w:rPr>
            </w:pPr>
            <w:r>
              <w:rPr>
                <w:rFonts w:ascii="Arial" w:cs="Arial" w:eastAsia="Arial" w:hAnsi="Arial"/>
                <w:sz w:val="18"/>
                <w:szCs w:val="18"/>
                <w:color w:val="auto"/>
              </w:rPr>
              <w:t>104</w:t>
            </w:r>
          </w:p>
        </w:tc>
        <w:tc>
          <w:tcPr>
            <w:tcW w:w="966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27"/>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7320" w:type="dxa"/>
            <w:vAlign w:val="bottom"/>
            <w:gridSpan w:val="2"/>
          </w:tcPr>
          <w:p>
            <w:pPr>
              <w:ind w:left="2200"/>
              <w:spacing w:after="0"/>
              <w:rPr>
                <w:sz w:val="20"/>
                <w:szCs w:val="20"/>
                <w:color w:val="auto"/>
              </w:rPr>
            </w:pPr>
            <w:r>
              <w:rPr>
                <w:rFonts w:ascii="Arial" w:cs="Arial" w:eastAsia="Arial" w:hAnsi="Arial"/>
                <w:sz w:val="18"/>
                <w:szCs w:val="18"/>
                <w:color w:val="auto"/>
              </w:rPr>
              <w:t>TEXAS INSTRUMENTS INCORPORATED</w:t>
            </w:r>
          </w:p>
        </w:tc>
      </w:tr>
      <w:tr>
        <w:trPr>
          <w:trHeight w:val="459"/>
        </w:trPr>
        <w:tc>
          <w:tcPr>
            <w:tcW w:w="3880" w:type="dxa"/>
            <w:vAlign w:val="bottom"/>
          </w:tcPr>
          <w:p>
            <w:pPr>
              <w:spacing w:after="0"/>
              <w:rPr>
                <w:sz w:val="20"/>
                <w:szCs w:val="20"/>
                <w:color w:val="auto"/>
              </w:rPr>
            </w:pPr>
            <w:r>
              <w:rPr>
                <w:rFonts w:ascii="Arial" w:cs="Arial" w:eastAsia="Arial" w:hAnsi="Arial"/>
                <w:sz w:val="18"/>
                <w:szCs w:val="18"/>
                <w:color w:val="auto"/>
              </w:rPr>
              <w:t>Date: January 26, 2021</w:t>
            </w:r>
          </w:p>
        </w:tc>
        <w:tc>
          <w:tcPr>
            <w:tcW w:w="3040" w:type="dxa"/>
            <w:vAlign w:val="bottom"/>
          </w:tcPr>
          <w:p>
            <w:pPr>
              <w:ind w:left="22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22"/>
        </w:trPr>
        <w:tc>
          <w:tcPr>
            <w:tcW w:w="38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R. Lizardi</w:t>
            </w:r>
          </w:p>
        </w:tc>
      </w:tr>
      <w:tr>
        <w:trPr>
          <w:trHeight w:val="229"/>
        </w:trPr>
        <w:tc>
          <w:tcPr>
            <w:tcW w:w="38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0"/>
        </w:trPr>
        <w:tc>
          <w:tcPr>
            <w:tcW w:w="38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Q4 2020 and 2020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DALLAS (January 26, 2021) – Texas Instruments Incorporated (TI) (Nasdaq: TXN) today reported fourth quarter revenue of $4.08 billion, net income of $1.69 billion and earnings per share of $1.80. Earnings per share included a 16-cent benefit for items that were not in the company's original guidance.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Regarding the company’s performance and returns to shareholders, Rich Templeton, TI’s chairman, president and CEO, made the following comments:</w:t>
      </w:r>
    </w:p>
    <w:p>
      <w:pPr>
        <w:spacing w:after="0" w:line="248" w:lineRule="exact"/>
        <w:rPr>
          <w:sz w:val="20"/>
          <w:szCs w:val="20"/>
          <w:color w:val="auto"/>
        </w:rPr>
      </w:pPr>
    </w:p>
    <w:p>
      <w:pPr>
        <w:ind w:left="620" w:right="100" w:hanging="329"/>
        <w:spacing w:after="0" w:line="277"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increased 7% sequentially, driven by strong demand in automotive, personal electronics and industrial markets. Revenue increased 22% from the same quarter a year ago.</w:t>
      </w:r>
    </w:p>
    <w:p>
      <w:pPr>
        <w:spacing w:after="0" w:line="170" w:lineRule="exact"/>
        <w:rPr>
          <w:rFonts w:ascii="Arial" w:cs="Arial" w:eastAsia="Arial" w:hAnsi="Arial"/>
          <w:sz w:val="18"/>
          <w:szCs w:val="18"/>
          <w:color w:val="auto"/>
        </w:rPr>
      </w:pPr>
    </w:p>
    <w:p>
      <w:pPr>
        <w:ind w:left="620" w:right="140" w:hanging="329"/>
        <w:spacing w:after="0" w:line="277"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our core businesses, Analog revenue grew 9% and Embedded Processing grew 11% sequentially. From a year ago, Analog revenue grew 25% and Embedded Processing grew 14%.</w:t>
      </w:r>
    </w:p>
    <w:p>
      <w:pPr>
        <w:spacing w:after="0" w:line="170" w:lineRule="exact"/>
        <w:rPr>
          <w:rFonts w:ascii="Arial" w:cs="Arial" w:eastAsia="Arial" w:hAnsi="Arial"/>
          <w:sz w:val="18"/>
          <w:szCs w:val="18"/>
          <w:color w:val="auto"/>
        </w:rPr>
      </w:pPr>
    </w:p>
    <w:p>
      <w:pPr>
        <w:ind w:left="620" w:hanging="329"/>
        <w:spacing w:after="0" w:line="263"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cash flow from operations of $6.1 billion for the year again underscored the strength of our business model. Free cash flow for the year was $5.5 billion and 38% of revenue. This reflects the quality of our product portfolio, as well as the efficiency of our manufacturing strategy, including the benefit of 300-millimeter Analog production.</w:t>
      </w:r>
    </w:p>
    <w:p>
      <w:pPr>
        <w:spacing w:after="0" w:line="183" w:lineRule="exact"/>
        <w:rPr>
          <w:rFonts w:ascii="Arial" w:cs="Arial" w:eastAsia="Arial" w:hAnsi="Arial"/>
          <w:sz w:val="18"/>
          <w:szCs w:val="18"/>
          <w:color w:val="auto"/>
        </w:rPr>
      </w:pPr>
    </w:p>
    <w:p>
      <w:pPr>
        <w:ind w:left="620" w:right="20" w:hanging="329"/>
        <w:spacing w:after="0" w:line="263"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returned $6.0 billion to owners in 2020 through dividends and stock repurchases. For the year, our dividend represented 62% of free cash flow, underscoring its sustainability. Together, our dividends and stock repurchases reflect our continued commitment to return all free cash flow to our owners.</w:t>
      </w:r>
    </w:p>
    <w:p>
      <w:pPr>
        <w:spacing w:after="0" w:line="183" w:lineRule="exact"/>
        <w:rPr>
          <w:rFonts w:ascii="Arial" w:cs="Arial" w:eastAsia="Arial" w:hAnsi="Arial"/>
          <w:sz w:val="18"/>
          <w:szCs w:val="18"/>
          <w:color w:val="auto"/>
        </w:rPr>
      </w:pPr>
    </w:p>
    <w:p>
      <w:pPr>
        <w:ind w:left="620" w:right="40" w:hanging="329"/>
        <w:spacing w:after="0" w:line="277"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first quarter outlook is for revenue in the range of $3.79 billion to $4.11 billion and earnings per share between $1.44 and $1.66. We continue to expect our 2021 annual operating tax rate to be about 14%.”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sectPr>
      </w:pPr>
    </w:p>
    <w:bookmarkStart w:id="4" w:name="page5"/>
    <w:bookmarkEnd w:id="4"/>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Q4 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4"/>
          </w:tcPr>
          <w:p>
            <w:pPr>
              <w:ind w:left="120"/>
              <w:spacing w:after="0"/>
              <w:rPr>
                <w:sz w:val="20"/>
                <w:szCs w:val="20"/>
                <w:color w:val="auto"/>
              </w:rPr>
            </w:pPr>
            <w:r>
              <w:rPr>
                <w:rFonts w:ascii="Arial" w:cs="Arial" w:eastAsia="Arial" w:hAnsi="Arial"/>
                <w:sz w:val="18"/>
                <w:szCs w:val="18"/>
                <w:color w:val="auto"/>
              </w:rPr>
              <w:t>Q4 2019</w:t>
            </w:r>
          </w:p>
        </w:tc>
        <w:tc>
          <w:tcPr>
            <w:tcW w:w="1440" w:type="dxa"/>
            <w:vAlign w:val="bottom"/>
          </w:tcPr>
          <w:p>
            <w:pPr>
              <w:ind w:left="440"/>
              <w:spacing w:after="0"/>
              <w:rPr>
                <w:sz w:val="20"/>
                <w:szCs w:val="20"/>
                <w:color w:val="auto"/>
              </w:rPr>
            </w:pPr>
            <w:r>
              <w:rPr>
                <w:rFonts w:ascii="Arial" w:cs="Arial" w:eastAsia="Arial" w:hAnsi="Arial"/>
                <w:sz w:val="18"/>
                <w:szCs w:val="18"/>
                <w:color w:val="auto"/>
              </w:rPr>
              <w:t>Change</w:t>
            </w:r>
          </w:p>
        </w:tc>
      </w:tr>
      <w:tr>
        <w:trPr>
          <w:trHeight w:val="223"/>
        </w:trPr>
        <w:tc>
          <w:tcPr>
            <w:tcW w:w="53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1,813</w:t>
            </w: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1,688</w:t>
            </w: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Earnings per share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499"/>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Cash generation</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44"/>
        </w:trPr>
        <w:tc>
          <w:tcPr>
            <w:tcW w:w="538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73"/>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w w:val="99"/>
              </w:rPr>
              <w:t>Trailing 12 Months</w:t>
            </w:r>
          </w:p>
        </w:tc>
        <w:tc>
          <w:tcPr>
            <w:tcW w:w="1440" w:type="dxa"/>
            <w:vAlign w:val="bottom"/>
            <w:tcBorders>
              <w:bottom w:val="single" w:sz="8" w:color="auto"/>
            </w:tcBorders>
          </w:tcPr>
          <w:p>
            <w:pPr>
              <w:spacing w:after="0"/>
              <w:rPr>
                <w:sz w:val="24"/>
                <w:szCs w:val="24"/>
                <w:color w:val="auto"/>
              </w:rPr>
            </w:pPr>
          </w:p>
        </w:tc>
      </w:tr>
      <w:tr>
        <w:trPr>
          <w:trHeight w:val="223"/>
        </w:trPr>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w w:val="89"/>
              </w:rPr>
              <w:t>Q4 2020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Q4 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4"/>
          </w:tcPr>
          <w:p>
            <w:pPr>
              <w:ind w:left="100"/>
              <w:spacing w:after="0"/>
              <w:rPr>
                <w:sz w:val="20"/>
                <w:szCs w:val="20"/>
                <w:color w:val="auto"/>
              </w:rPr>
            </w:pPr>
            <w:r>
              <w:rPr>
                <w:rFonts w:ascii="Arial" w:cs="Arial" w:eastAsia="Arial" w:hAnsi="Arial"/>
                <w:sz w:val="18"/>
                <w:szCs w:val="18"/>
                <w:color w:val="auto"/>
              </w:rPr>
              <w:t>Q4 2019</w:t>
            </w:r>
          </w:p>
        </w:tc>
        <w:tc>
          <w:tcPr>
            <w:tcW w:w="1440" w:type="dxa"/>
            <w:vAlign w:val="bottom"/>
          </w:tcPr>
          <w:p>
            <w:pPr>
              <w:ind w:left="440"/>
              <w:spacing w:after="0"/>
              <w:rPr>
                <w:sz w:val="20"/>
                <w:szCs w:val="20"/>
                <w:color w:val="auto"/>
              </w:rPr>
            </w:pPr>
            <w:r>
              <w:rPr>
                <w:rFonts w:ascii="Arial" w:cs="Arial" w:eastAsia="Arial" w:hAnsi="Arial"/>
                <w:sz w:val="18"/>
                <w:szCs w:val="18"/>
                <w:color w:val="auto"/>
              </w:rPr>
              <w:t>Change</w:t>
            </w:r>
          </w:p>
        </w:tc>
      </w:tr>
      <w:tr>
        <w:trPr>
          <w:trHeight w:val="223"/>
        </w:trPr>
        <w:tc>
          <w:tcPr>
            <w:tcW w:w="53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flow from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6,139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6,649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w:t>
            </w:r>
          </w:p>
        </w:tc>
        <w:tc>
          <w:tcPr>
            <w:tcW w:w="3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9"/>
                <w:szCs w:val="19"/>
                <w:color w:val="auto"/>
              </w:rPr>
            </w:pP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3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5,490</w:t>
            </w:r>
          </w:p>
        </w:tc>
        <w:tc>
          <w:tcPr>
            <w:tcW w:w="80" w:type="dxa"/>
            <w:vAlign w:val="bottom"/>
            <w:shd w:val="clear" w:color="auto" w:fill="CCEEFF"/>
          </w:tcPr>
          <w:p>
            <w:pPr>
              <w:spacing w:after="0"/>
              <w:rPr>
                <w:sz w:val="19"/>
                <w:szCs w:val="19"/>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Free cash flow % of revenue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40.3 %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99"/>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Cash return</w:t>
            </w:r>
          </w:p>
        </w:tc>
        <w:tc>
          <w:tcPr>
            <w:tcW w:w="44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5"/>
        </w:trPr>
        <w:tc>
          <w:tcPr>
            <w:tcW w:w="538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72"/>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3"/>
              </w:rPr>
              <w:t>Trailing 12 Months</w:t>
            </w:r>
          </w:p>
        </w:tc>
        <w:tc>
          <w:tcPr>
            <w:tcW w:w="1440" w:type="dxa"/>
            <w:vAlign w:val="bottom"/>
            <w:tcBorders>
              <w:bottom w:val="single" w:sz="8" w:color="auto"/>
            </w:tcBorders>
          </w:tcPr>
          <w:p>
            <w:pPr>
              <w:spacing w:after="0"/>
              <w:rPr>
                <w:sz w:val="24"/>
                <w:szCs w:val="24"/>
                <w:color w:val="auto"/>
              </w:rPr>
            </w:pPr>
          </w:p>
        </w:tc>
      </w:tr>
      <w:tr>
        <w:trPr>
          <w:trHeight w:val="223"/>
        </w:trPr>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Q4 2020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Q4 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4"/>
          </w:tcPr>
          <w:p>
            <w:pPr>
              <w:ind w:left="120"/>
              <w:spacing w:after="0"/>
              <w:rPr>
                <w:sz w:val="20"/>
                <w:szCs w:val="20"/>
                <w:color w:val="auto"/>
              </w:rPr>
            </w:pPr>
            <w:r>
              <w:rPr>
                <w:rFonts w:ascii="Arial" w:cs="Arial" w:eastAsia="Arial" w:hAnsi="Arial"/>
                <w:sz w:val="18"/>
                <w:szCs w:val="18"/>
                <w:color w:val="auto"/>
              </w:rPr>
              <w:t>Q4 2019</w:t>
            </w:r>
          </w:p>
        </w:tc>
        <w:tc>
          <w:tcPr>
            <w:tcW w:w="1440" w:type="dxa"/>
            <w:vAlign w:val="bottom"/>
          </w:tcPr>
          <w:p>
            <w:pPr>
              <w:ind w:left="440"/>
              <w:spacing w:after="0"/>
              <w:rPr>
                <w:sz w:val="20"/>
                <w:szCs w:val="20"/>
                <w:color w:val="auto"/>
              </w:rPr>
            </w:pPr>
            <w:r>
              <w:rPr>
                <w:rFonts w:ascii="Arial" w:cs="Arial" w:eastAsia="Arial" w:hAnsi="Arial"/>
                <w:sz w:val="18"/>
                <w:szCs w:val="18"/>
                <w:color w:val="auto"/>
              </w:rPr>
              <w:t>Change</w:t>
            </w:r>
          </w:p>
        </w:tc>
      </w:tr>
      <w:tr>
        <w:trPr>
          <w:trHeight w:val="223"/>
        </w:trPr>
        <w:tc>
          <w:tcPr>
            <w:tcW w:w="53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3,426</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Stock repurchases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9"/>
              </w:rPr>
              <w:t>15</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2,553</w:t>
            </w: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cash returned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5,979</w:t>
            </w: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Three Months Ended</w:t>
            </w:r>
          </w:p>
        </w:tc>
        <w:tc>
          <w:tcPr>
            <w:tcW w:w="300" w:type="dxa"/>
            <w:vAlign w:val="bottom"/>
          </w:tcPr>
          <w:p>
            <w:pPr>
              <w:spacing w:after="0"/>
              <w:rPr>
                <w:sz w:val="17"/>
                <w:szCs w:val="17"/>
                <w:color w:val="auto"/>
              </w:rPr>
            </w:pPr>
          </w:p>
        </w:tc>
        <w:tc>
          <w:tcPr>
            <w:tcW w:w="24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For Years Ended</w:t>
            </w:r>
          </w:p>
        </w:tc>
      </w:tr>
      <w:tr>
        <w:trPr>
          <w:trHeight w:val="230"/>
        </w:trPr>
        <w:tc>
          <w:tcPr>
            <w:tcW w:w="39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19"/>
                <w:szCs w:val="19"/>
                <w:color w:val="auto"/>
              </w:rPr>
            </w:pPr>
          </w:p>
        </w:tc>
      </w:tr>
      <w:tr>
        <w:trPr>
          <w:trHeight w:val="223"/>
        </w:trPr>
        <w:tc>
          <w:tcPr>
            <w:tcW w:w="39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2019</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14,461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w:t>
            </w: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(COR)</w:t>
            </w:r>
          </w:p>
        </w:tc>
        <w:tc>
          <w:tcPr>
            <w:tcW w:w="17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9,269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Research and development (R&amp;D)</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1,530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Acquisition charges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charges/other</w:t>
            </w: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7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1,813</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5,894</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5,723</w:t>
            </w: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 (OI&amp;E)</w:t>
            </w: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debt expense</w:t>
            </w:r>
          </w:p>
        </w:tc>
        <w:tc>
          <w:tcPr>
            <w:tcW w:w="17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7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3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shares outstanding (millions):</w:t>
            </w: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3900" w:type="dxa"/>
            <w:vAlign w:val="bottom"/>
          </w:tcPr>
          <w:p>
            <w:pPr>
              <w:ind w:left="220"/>
              <w:spacing w:after="0"/>
              <w:rPr>
                <w:sz w:val="20"/>
                <w:szCs w:val="20"/>
                <w:color w:val="auto"/>
              </w:rPr>
            </w:pPr>
            <w:r>
              <w:rPr>
                <w:rFonts w:ascii="Arial" w:cs="Arial" w:eastAsia="Arial" w:hAnsi="Arial"/>
                <w:sz w:val="18"/>
                <w:szCs w:val="18"/>
                <w:color w:val="auto"/>
              </w:rPr>
              <w:t>Basic</w:t>
            </w:r>
          </w:p>
        </w:tc>
        <w:tc>
          <w:tcPr>
            <w:tcW w:w="1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919</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8"/>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33"/>
        </w:trPr>
        <w:tc>
          <w:tcPr>
            <w:tcW w:w="3900" w:type="dxa"/>
            <w:vAlign w:val="bottom"/>
          </w:tcPr>
          <w:p>
            <w:pPr>
              <w:spacing w:after="0"/>
              <w:rPr>
                <w:sz w:val="24"/>
                <w:szCs w:val="24"/>
                <w:color w:val="auto"/>
              </w:rPr>
            </w:pPr>
          </w:p>
        </w:tc>
        <w:tc>
          <w:tcPr>
            <w:tcW w:w="3160" w:type="dxa"/>
            <w:vAlign w:val="bottom"/>
            <w:gridSpan w:val="4"/>
          </w:tcPr>
          <w:p>
            <w:pPr>
              <w:ind w:left="700"/>
              <w:spacing w:after="0"/>
              <w:rPr>
                <w:sz w:val="20"/>
                <w:szCs w:val="20"/>
                <w:color w:val="auto"/>
              </w:rPr>
            </w:pPr>
            <w:r>
              <w:rPr>
                <w:rFonts w:ascii="Arial" w:cs="Arial" w:eastAsia="Arial" w:hAnsi="Arial"/>
                <w:sz w:val="18"/>
                <w:szCs w:val="18"/>
                <w:b w:val="1"/>
                <w:bCs w:val="1"/>
                <w:color w:val="auto"/>
              </w:rPr>
              <w:t>Supplemental Information</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annual operating tax rate, which does not include discrete tax items, was 14% compared with 16% in the prior year.</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6"/>
        </w:trPr>
        <w:tc>
          <w:tcPr>
            <w:tcW w:w="5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Operating taxes (calculated using the estimated annual effective tax rate)</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272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center"/>
              <w:ind w:left="310"/>
              <w:spacing w:after="0"/>
              <w:rPr>
                <w:sz w:val="20"/>
                <w:szCs w:val="20"/>
                <w:color w:val="auto"/>
              </w:rPr>
            </w:pPr>
            <w:r>
              <w:rPr>
                <w:rFonts w:ascii="Arial" w:cs="Arial" w:eastAsia="Arial" w:hAnsi="Arial"/>
                <w:sz w:val="18"/>
                <w:szCs w:val="18"/>
                <w:b w:val="1"/>
                <w:bCs w:val="1"/>
                <w:color w:val="auto"/>
                <w:w w:val="93"/>
              </w:rPr>
              <w:t>833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6"/>
              </w:rPr>
              <w:t>903</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Discrete tax items</w:t>
            </w: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w w:val="93"/>
              </w:rPr>
              <w:t>(33)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0"/>
              </w:rPr>
              <w:t>(411)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5"/>
              </w:rPr>
              <w:t>(192)</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b w:val="1"/>
                <w:bCs w:val="1"/>
                <w:color w:val="auto"/>
                <w:w w:val="93"/>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86"/>
              </w:rPr>
              <w:t>711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0" w:right="200"/>
        <w:spacing w:after="0" w:line="235"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allocated to RSUs</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r>
      <w:tr>
        <w:trPr>
          <w:trHeight w:val="223"/>
        </w:trPr>
        <w:tc>
          <w:tcPr>
            <w:tcW w:w="84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2019</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3,461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2,950</w:t>
            </w: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($11) and ($8)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29"/>
        </w:trPr>
        <w:tc>
          <w:tcPr>
            <w:tcW w:w="8480" w:type="dxa"/>
            <w:vAlign w:val="bottom"/>
          </w:tcPr>
          <w:p>
            <w:pPr>
              <w:ind w:left="480"/>
              <w:spacing w:after="0"/>
              <w:rPr>
                <w:sz w:val="20"/>
                <w:szCs w:val="20"/>
                <w:color w:val="auto"/>
              </w:rPr>
            </w:pPr>
            <w:r>
              <w:rPr>
                <w:rFonts w:ascii="Arial" w:cs="Arial" w:eastAsia="Arial" w:hAnsi="Arial"/>
                <w:sz w:val="18"/>
                <w:szCs w:val="18"/>
                <w:color w:val="auto"/>
              </w:rPr>
              <w:t>Raw materials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Work in process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29"/>
        </w:trPr>
        <w:tc>
          <w:tcPr>
            <w:tcW w:w="84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r>
      <w:tr>
        <w:trPr>
          <w:trHeight w:val="223"/>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r>
      <w:tr>
        <w:trPr>
          <w:trHeight w:val="223"/>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23"/>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10,239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8,761</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Property, plant and equipment at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5,781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5,740</w:t>
            </w: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r>
      <w:tr>
        <w:trPr>
          <w:trHeight w:val="223"/>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Property, plant and equipment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4,362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4,362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intangibles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licenses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Overfunded retirement plans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19,351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18,018</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8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r>
      <w:tr>
        <w:trPr>
          <w:trHeight w:val="223"/>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6,248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5,303</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Underfunded retirement plans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10,164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9,111</w:t>
            </w:r>
          </w:p>
        </w:tc>
      </w:tr>
      <w:tr>
        <w:trPr>
          <w:trHeight w:val="21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Preferred stock, $25 par value. Authorized – 10,000,000 shares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Participating cumulative preferred – None issued</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Common stock, $1 par value. Authorized – 2,400,000,000 shares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Shares issued – 1,740,815,939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29"/>
        </w:trPr>
        <w:tc>
          <w:tcPr>
            <w:tcW w:w="8480" w:type="dxa"/>
            <w:vAlign w:val="bottom"/>
          </w:tcPr>
          <w:p>
            <w:pPr>
              <w:ind w:left="220"/>
              <w:spacing w:after="0"/>
              <w:rPr>
                <w:sz w:val="20"/>
                <w:szCs w:val="20"/>
                <w:color w:val="auto"/>
              </w:rPr>
            </w:pPr>
            <w:r>
              <w:rPr>
                <w:rFonts w:ascii="Arial" w:cs="Arial" w:eastAsia="Arial" w:hAnsi="Arial"/>
                <w:sz w:val="18"/>
                <w:szCs w:val="18"/>
                <w:color w:val="auto"/>
              </w:rPr>
              <w:t>Paid-in capital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2,333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2,110</w:t>
            </w: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42,051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39,898</w:t>
            </w:r>
          </w:p>
        </w:tc>
      </w:tr>
      <w:tr>
        <w:trPr>
          <w:trHeight w:val="229"/>
        </w:trPr>
        <w:tc>
          <w:tcPr>
            <w:tcW w:w="8480" w:type="dxa"/>
            <w:vAlign w:val="bottom"/>
          </w:tcPr>
          <w:p>
            <w:pPr>
              <w:ind w:left="220"/>
              <w:spacing w:after="0"/>
              <w:rPr>
                <w:sz w:val="20"/>
                <w:szCs w:val="20"/>
                <w:color w:val="auto"/>
              </w:rPr>
            </w:pPr>
            <w:r>
              <w:rPr>
                <w:rFonts w:ascii="Arial" w:cs="Arial" w:eastAsia="Arial" w:hAnsi="Arial"/>
                <w:sz w:val="18"/>
                <w:szCs w:val="18"/>
                <w:color w:val="auto"/>
              </w:rPr>
              <w:t>Treasury common stock at cost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Shares: 2020 – 821,461,787; 2019 – 808,784,381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(36,578)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(34,495)</w:t>
            </w:r>
          </w:p>
        </w:tc>
      </w:tr>
      <w:tr>
        <w:trPr>
          <w:trHeight w:val="229"/>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9,187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19,351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18,018</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91"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5"/>
          </w:tcPr>
          <w:p>
            <w:pPr>
              <w:ind w:left="120"/>
              <w:spacing w:after="0"/>
              <w:rPr>
                <w:sz w:val="20"/>
                <w:szCs w:val="20"/>
                <w:color w:val="auto"/>
              </w:rPr>
            </w:pPr>
            <w:r>
              <w:rPr>
                <w:rFonts w:ascii="Arial" w:cs="Arial" w:eastAsia="Arial" w:hAnsi="Arial"/>
                <w:sz w:val="18"/>
                <w:szCs w:val="18"/>
                <w:b w:val="1"/>
                <w:bCs w:val="1"/>
                <w:color w:val="auto"/>
              </w:rPr>
              <w:t>For Three Months Ended</w:t>
            </w:r>
          </w:p>
        </w:tc>
        <w:tc>
          <w:tcPr>
            <w:tcW w:w="300" w:type="dxa"/>
            <w:vAlign w:val="bottom"/>
          </w:tcPr>
          <w:p>
            <w:pPr>
              <w:spacing w:after="0"/>
              <w:rPr>
                <w:sz w:val="19"/>
                <w:szCs w:val="19"/>
                <w:color w:val="auto"/>
              </w:rPr>
            </w:pPr>
          </w:p>
        </w:tc>
        <w:tc>
          <w:tcPr>
            <w:tcW w:w="24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For Years Ended</w:t>
            </w:r>
          </w:p>
        </w:tc>
      </w:tr>
      <w:tr>
        <w:trPr>
          <w:trHeight w:val="234"/>
        </w:trPr>
        <w:tc>
          <w:tcPr>
            <w:tcW w:w="5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r>
      <w:tr>
        <w:trPr>
          <w:trHeight w:val="223"/>
        </w:trPr>
        <w:tc>
          <w:tcPr>
            <w:tcW w:w="5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2019</w:t>
            </w: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1,688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5,595</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5,017</w:t>
            </w: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net income: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66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733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30"/>
        </w:trPr>
        <w:tc>
          <w:tcPr>
            <w:tcW w:w="5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acquisition-related intangibles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29"/>
        </w:trPr>
        <w:tc>
          <w:tcPr>
            <w:tcW w:w="5660" w:type="dxa"/>
            <w:vAlign w:val="bottom"/>
          </w:tcPr>
          <w:p>
            <w:pPr>
              <w:ind w:left="480"/>
              <w:spacing w:after="0"/>
              <w:rPr>
                <w:sz w:val="20"/>
                <w:szCs w:val="20"/>
                <w:color w:val="auto"/>
              </w:rPr>
            </w:pPr>
            <w:r>
              <w:rPr>
                <w:rFonts w:ascii="Arial" w:cs="Arial" w:eastAsia="Arial" w:hAnsi="Arial"/>
                <w:sz w:val="18"/>
                <w:szCs w:val="18"/>
                <w:color w:val="auto"/>
              </w:rPr>
              <w:t>Amortization of capitalized software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5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 compensation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5660" w:type="dxa"/>
            <w:vAlign w:val="bottom"/>
          </w:tcPr>
          <w:p>
            <w:pPr>
              <w:ind w:left="480"/>
              <w:spacing w:after="0"/>
              <w:rPr>
                <w:sz w:val="20"/>
                <w:szCs w:val="20"/>
                <w:color w:val="auto"/>
              </w:rPr>
            </w:pPr>
            <w:r>
              <w:rPr>
                <w:rFonts w:ascii="Arial" w:cs="Arial" w:eastAsia="Arial" w:hAnsi="Arial"/>
                <w:sz w:val="18"/>
                <w:szCs w:val="18"/>
                <w:color w:val="auto"/>
              </w:rPr>
              <w:t>Gains on sales of assets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5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taxes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Increase (decrease) from changes in:</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56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5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566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5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compensation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660" w:type="dxa"/>
            <w:vAlign w:val="bottom"/>
          </w:tcPr>
          <w:p>
            <w:pPr>
              <w:ind w:left="4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w:t>
            </w:r>
          </w:p>
        </w:tc>
      </w:tr>
      <w:tr>
        <w:trPr>
          <w:trHeight w:val="236"/>
        </w:trPr>
        <w:tc>
          <w:tcPr>
            <w:tcW w:w="5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(649)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(847)</w:t>
            </w: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asset sales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Purchases of short-term investments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(5,786)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(3,444)</w:t>
            </w: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short-term investments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r>
      <w:tr>
        <w:trPr>
          <w:trHeight w:val="230"/>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r>
      <w:tr>
        <w:trPr>
          <w:trHeight w:val="236"/>
        </w:trPr>
        <w:tc>
          <w:tcPr>
            <w:tcW w:w="5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debt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(3,426)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(3,008)</w:t>
            </w: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repurchases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w:t>
            </w:r>
          </w:p>
        </w:tc>
      </w:tr>
      <w:tr>
        <w:trPr>
          <w:trHeight w:val="236"/>
        </w:trPr>
        <w:tc>
          <w:tcPr>
            <w:tcW w:w="5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670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3,107</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w:t>
            </w:r>
          </w:p>
        </w:tc>
      </w:tr>
      <w:tr>
        <w:trPr>
          <w:trHeight w:val="21"/>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Quarterly segment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Q4 2020</w:t>
            </w: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Q4 2019</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23"/>
        </w:trPr>
        <w:tc>
          <w:tcPr>
            <w:tcW w:w="6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r>
      <w:tr>
        <w:trPr>
          <w:trHeight w:val="230"/>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432"/>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99"/>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Annual segment results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45"/>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72"/>
        </w:trPr>
        <w:tc>
          <w:tcPr>
            <w:tcW w:w="1800" w:type="dxa"/>
            <w:vAlign w:val="bottom"/>
            <w:tcBorders>
              <w:bottom w:val="single" w:sz="8" w:color="CCEEFF"/>
            </w:tcBorders>
          </w:tcPr>
          <w:p>
            <w:pPr>
              <w:spacing w:after="0"/>
              <w:rPr>
                <w:sz w:val="24"/>
                <w:szCs w:val="24"/>
                <w:color w:val="auto"/>
              </w:rPr>
            </w:pPr>
          </w:p>
        </w:tc>
        <w:tc>
          <w:tcPr>
            <w:tcW w:w="5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Change</w:t>
            </w:r>
          </w:p>
        </w:tc>
      </w:tr>
      <w:tr>
        <w:trPr>
          <w:trHeight w:val="22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10,886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10,223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8"/>
        </w:trPr>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For Years Ended</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6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operations (GAAP)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6,139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6,649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(649)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5,490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5,802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3"/>
        </w:trPr>
        <w:tc>
          <w:tcPr>
            <w:tcW w:w="6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14,461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14,383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3"/>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4"/>
        </w:trPr>
        <w:tc>
          <w:tcPr>
            <w:tcW w:w="670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38.0 %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40.3 %</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19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200" w:lineRule="exact"/>
        <w:rPr>
          <w:sz w:val="20"/>
          <w:szCs w:val="20"/>
          <w:color w:val="auto"/>
        </w:rPr>
      </w:pPr>
    </w:p>
    <w:p>
      <w:pPr>
        <w:spacing w:after="0" w:line="305"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21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0" w:lineRule="exact"/>
        <w:rPr>
          <w:sz w:val="20"/>
          <w:szCs w:val="20"/>
          <w:color w:val="auto"/>
        </w:rPr>
      </w:pPr>
    </w:p>
    <w:p>
      <w:pPr>
        <w:ind w:left="620" w:right="720" w:hanging="329"/>
        <w:spacing w:after="0" w:line="274" w:lineRule="auto"/>
        <w:tabs>
          <w:tab w:leader="none" w:pos="61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duration and scope of the COVID-19 pandemic, government and other third-party responses to it and the consequences for the global economy, including to our business and the businesses of our suppliers, customers and distributors;</w:t>
      </w:r>
    </w:p>
    <w:p>
      <w:pPr>
        <w:ind w:left="620" w:right="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ind w:left="620" w:hanging="329"/>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demand for semiconductors, particularly in the industrial and automotive markets, and customer demand that differs from forecasts;</w:t>
      </w:r>
    </w:p>
    <w:p>
      <w:pPr>
        <w:spacing w:after="0" w:line="20" w:lineRule="exact"/>
        <w:rPr>
          <w:rFonts w:ascii="Arial" w:cs="Arial" w:eastAsia="Arial" w:hAnsi="Arial"/>
          <w:sz w:val="17"/>
          <w:szCs w:val="17"/>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9" w:lineRule="exact"/>
        <w:rPr>
          <w:rFonts w:ascii="Arial" w:cs="Arial" w:eastAsia="Arial" w:hAnsi="Arial"/>
          <w:sz w:val="18"/>
          <w:szCs w:val="18"/>
          <w:color w:val="auto"/>
        </w:rPr>
      </w:pPr>
    </w:p>
    <w:p>
      <w:pPr>
        <w:ind w:left="620" w:right="32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restructuring charges and associated cost savings;</w:t>
      </w:r>
    </w:p>
    <w:p>
      <w:pPr>
        <w:ind w:left="620" w:right="10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ind w:left="620" w:hanging="329"/>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20" w:right="1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ind w:left="620" w:right="6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60" w:hanging="329"/>
        <w:spacing w:after="0" w:line="265" w:lineRule="auto"/>
        <w:tabs>
          <w:tab w:leader="none" w:pos="615"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Financial difficulties of our distributors or their promotion of competing product lines to our detriment; or disputes with significant distributors;</w:t>
      </w:r>
    </w:p>
    <w:p>
      <w:pPr>
        <w:spacing w:after="0" w:line="20" w:lineRule="exact"/>
        <w:rPr>
          <w:rFonts w:ascii="Arial" w:cs="Arial" w:eastAsia="Arial" w:hAnsi="Arial"/>
          <w:sz w:val="17"/>
          <w:szCs w:val="17"/>
          <w:color w:val="auto"/>
        </w:rPr>
      </w:pPr>
    </w:p>
    <w:p>
      <w:pPr>
        <w:ind w:left="620" w:hanging="329"/>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20" w:lineRule="exact"/>
        <w:rPr>
          <w:rFonts w:ascii="Arial" w:cs="Arial" w:eastAsia="Arial" w:hAnsi="Arial"/>
          <w:sz w:val="17"/>
          <w:szCs w:val="17"/>
          <w:color w:val="auto"/>
        </w:rPr>
      </w:pPr>
    </w:p>
    <w:p>
      <w:pPr>
        <w:ind w:left="620" w:right="10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Part II Item 1A of TI’s Form 10-Q for the quarter ended March 31, 2020.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10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w:t>
      </w:r>
      <w:r>
        <w:rPr>
          <w:rFonts w:ascii="Arial" w:cs="Arial" w:eastAsia="Arial" w:hAnsi="Arial"/>
          <w:sz w:val="17"/>
          <w:szCs w:val="17"/>
          <w:u w:val="single" w:color="auto"/>
          <w:color w:val="3051F2"/>
        </w:rPr>
        <w:t>TI.com</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160"/>
      </w:cols>
      <w:pgMar w:left="320" w:top="110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2021-01-26T15:08:24Z</dcterms:created>
  <dcterms:modified xsi:type="dcterms:W3CDTF">2021-01-26T15:08:24Z</dcterms:modified>
</cp:coreProperties>
</file>