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SECURITIES AND EXCHANGE COMMISSION</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73660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52"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CURRENT REPORT</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Pursuant To Section 13 Or 15(d) of</w:t>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The Securities Exchange Act of 1934</w:t>
      </w:r>
    </w:p>
    <w:p>
      <w:pPr>
        <w:spacing w:after="0" w:line="24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Date of report (Date of earliest event reported): April 27, 2006</w:t>
      </w:r>
    </w:p>
    <w:p>
      <w:pPr>
        <w:spacing w:after="0" w:line="200" w:lineRule="exact"/>
        <w:rPr>
          <w:sz w:val="24"/>
          <w:szCs w:val="24"/>
          <w:color w:val="auto"/>
        </w:rPr>
      </w:pPr>
    </w:p>
    <w:p>
      <w:pPr>
        <w:spacing w:after="0" w:line="262" w:lineRule="exact"/>
        <w:rPr>
          <w:sz w:val="24"/>
          <w:szCs w:val="24"/>
          <w:color w:val="auto"/>
        </w:rPr>
      </w:pPr>
    </w:p>
    <w:tbl>
      <w:tblPr>
        <w:tblLayout w:type="fixed"/>
        <w:tblInd w:w="760" w:type="dxa"/>
        <w:tblCellMar>
          <w:top w:w="0" w:type="dxa"/>
          <w:left w:w="0" w:type="dxa"/>
          <w:bottom w:w="0" w:type="dxa"/>
          <w:right w:w="0" w:type="dxa"/>
        </w:tblCellMar>
      </w:tblPr>
      <w:tr>
        <w:trPr>
          <w:trHeight w:val="395"/>
        </w:trPr>
        <w:tc>
          <w:tcPr>
            <w:tcW w:w="9680" w:type="dxa"/>
            <w:vAlign w:val="bottom"/>
            <w:gridSpan w:val="2"/>
          </w:tcPr>
          <w:p>
            <w:pPr>
              <w:jc w:val="center"/>
              <w:ind w:left="87"/>
              <w:spacing w:after="0"/>
              <w:rPr>
                <w:sz w:val="20"/>
                <w:szCs w:val="20"/>
                <w:color w:val="auto"/>
              </w:rPr>
            </w:pPr>
            <w:r>
              <w:rPr>
                <w:rFonts w:ascii="Arial" w:cs="Arial" w:eastAsia="Arial" w:hAnsi="Arial"/>
                <w:sz w:val="32"/>
                <w:szCs w:val="32"/>
                <w:b w:val="1"/>
                <w:bCs w:val="1"/>
                <w:color w:val="auto"/>
              </w:rPr>
              <w:t>TEXAS INSTRUMENTS INCORPORATED</w:t>
            </w:r>
          </w:p>
        </w:tc>
      </w:tr>
      <w:tr>
        <w:trPr>
          <w:trHeight w:val="149"/>
        </w:trPr>
        <w:tc>
          <w:tcPr>
            <w:tcW w:w="2960" w:type="dxa"/>
            <w:vAlign w:val="bottom"/>
          </w:tcPr>
          <w:p>
            <w:pPr>
              <w:spacing w:after="0"/>
              <w:rPr>
                <w:sz w:val="12"/>
                <w:szCs w:val="12"/>
                <w:color w:val="auto"/>
              </w:rPr>
            </w:pPr>
          </w:p>
        </w:tc>
        <w:tc>
          <w:tcPr>
            <w:tcW w:w="6720" w:type="dxa"/>
            <w:vAlign w:val="bottom"/>
          </w:tcPr>
          <w:p>
            <w:pPr>
              <w:jc w:val="center"/>
              <w:ind w:right="2645"/>
              <w:spacing w:after="0" w:line="149" w:lineRule="exact"/>
              <w:rPr>
                <w:sz w:val="20"/>
                <w:szCs w:val="20"/>
                <w:color w:val="auto"/>
              </w:rPr>
            </w:pPr>
            <w:r>
              <w:rPr>
                <w:rFonts w:ascii="Arial" w:cs="Arial" w:eastAsia="Arial" w:hAnsi="Arial"/>
                <w:sz w:val="14"/>
                <w:szCs w:val="14"/>
                <w:color w:val="auto"/>
                <w:w w:val="87"/>
              </w:rPr>
              <w:t>(Exact Name of Registrant</w:t>
            </w:r>
          </w:p>
        </w:tc>
      </w:tr>
      <w:tr>
        <w:trPr>
          <w:trHeight w:val="172"/>
        </w:trPr>
        <w:tc>
          <w:tcPr>
            <w:tcW w:w="2960" w:type="dxa"/>
            <w:vAlign w:val="bottom"/>
          </w:tcPr>
          <w:p>
            <w:pPr>
              <w:spacing w:after="0"/>
              <w:rPr>
                <w:sz w:val="14"/>
                <w:szCs w:val="14"/>
                <w:color w:val="auto"/>
              </w:rPr>
            </w:pPr>
          </w:p>
        </w:tc>
        <w:tc>
          <w:tcPr>
            <w:tcW w:w="6720" w:type="dxa"/>
            <w:vAlign w:val="bottom"/>
          </w:tcPr>
          <w:p>
            <w:pPr>
              <w:jc w:val="center"/>
              <w:ind w:right="2645"/>
              <w:spacing w:after="0"/>
              <w:rPr>
                <w:sz w:val="20"/>
                <w:szCs w:val="20"/>
                <w:color w:val="auto"/>
              </w:rPr>
            </w:pPr>
            <w:r>
              <w:rPr>
                <w:rFonts w:ascii="Arial" w:cs="Arial" w:eastAsia="Arial" w:hAnsi="Arial"/>
                <w:sz w:val="14"/>
                <w:szCs w:val="14"/>
                <w:color w:val="auto"/>
                <w:w w:val="87"/>
              </w:rPr>
              <w:t>as Specified in Charter)</w:t>
            </w:r>
          </w:p>
        </w:tc>
      </w:tr>
      <w:tr>
        <w:trPr>
          <w:trHeight w:val="471"/>
        </w:trPr>
        <w:tc>
          <w:tcPr>
            <w:tcW w:w="2960" w:type="dxa"/>
            <w:vAlign w:val="bottom"/>
          </w:tcPr>
          <w:p>
            <w:pPr>
              <w:spacing w:after="0"/>
              <w:rPr>
                <w:sz w:val="24"/>
                <w:szCs w:val="24"/>
                <w:color w:val="auto"/>
              </w:rPr>
            </w:pPr>
          </w:p>
        </w:tc>
        <w:tc>
          <w:tcPr>
            <w:tcW w:w="6720" w:type="dxa"/>
            <w:vAlign w:val="bottom"/>
          </w:tcPr>
          <w:p>
            <w:pPr>
              <w:ind w:left="1500"/>
              <w:spacing w:after="0"/>
              <w:rPr>
                <w:sz w:val="20"/>
                <w:szCs w:val="20"/>
                <w:color w:val="auto"/>
              </w:rPr>
            </w:pPr>
            <w:r>
              <w:rPr>
                <w:rFonts w:ascii="Arial" w:cs="Arial" w:eastAsia="Arial" w:hAnsi="Arial"/>
                <w:sz w:val="18"/>
                <w:szCs w:val="18"/>
                <w:b w:val="1"/>
                <w:bCs w:val="1"/>
                <w:color w:val="auto"/>
              </w:rPr>
              <w:t>DELAWARE</w:t>
            </w:r>
          </w:p>
        </w:tc>
      </w:tr>
      <w:tr>
        <w:trPr>
          <w:trHeight w:val="231"/>
        </w:trPr>
        <w:tc>
          <w:tcPr>
            <w:tcW w:w="2960" w:type="dxa"/>
            <w:vAlign w:val="bottom"/>
          </w:tcPr>
          <w:p>
            <w:pPr>
              <w:spacing w:after="0"/>
              <w:rPr>
                <w:sz w:val="20"/>
                <w:szCs w:val="20"/>
                <w:color w:val="auto"/>
              </w:rPr>
            </w:pPr>
          </w:p>
        </w:tc>
        <w:tc>
          <w:tcPr>
            <w:tcW w:w="6720" w:type="dxa"/>
            <w:vAlign w:val="bottom"/>
          </w:tcPr>
          <w:p>
            <w:pPr>
              <w:jc w:val="center"/>
              <w:ind w:right="2705"/>
              <w:spacing w:after="0"/>
              <w:rPr>
                <w:sz w:val="20"/>
                <w:szCs w:val="20"/>
                <w:color w:val="auto"/>
              </w:rPr>
            </w:pPr>
            <w:r>
              <w:rPr>
                <w:rFonts w:ascii="Arial" w:cs="Arial" w:eastAsia="Arial" w:hAnsi="Arial"/>
                <w:sz w:val="14"/>
                <w:szCs w:val="14"/>
                <w:color w:val="auto"/>
                <w:w w:val="88"/>
              </w:rPr>
              <w:t>(State or Other Jurisdiction of Incorporation)</w:t>
            </w:r>
          </w:p>
        </w:tc>
      </w:tr>
      <w:tr>
        <w:trPr>
          <w:trHeight w:val="498"/>
        </w:trPr>
        <w:tc>
          <w:tcPr>
            <w:tcW w:w="2960" w:type="dxa"/>
            <w:vAlign w:val="bottom"/>
          </w:tcPr>
          <w:p>
            <w:pPr>
              <w:jc w:val="center"/>
              <w:ind w:right="667"/>
              <w:spacing w:after="0"/>
              <w:rPr>
                <w:sz w:val="20"/>
                <w:szCs w:val="20"/>
                <w:color w:val="auto"/>
              </w:rPr>
            </w:pPr>
            <w:r>
              <w:rPr>
                <w:rFonts w:ascii="Arial" w:cs="Arial" w:eastAsia="Arial" w:hAnsi="Arial"/>
                <w:sz w:val="18"/>
                <w:szCs w:val="18"/>
                <w:b w:val="1"/>
                <w:bCs w:val="1"/>
                <w:color w:val="auto"/>
                <w:w w:val="88"/>
              </w:rPr>
              <w:t>001-03761</w:t>
            </w:r>
          </w:p>
        </w:tc>
        <w:tc>
          <w:tcPr>
            <w:tcW w:w="6720" w:type="dxa"/>
            <w:vAlign w:val="bottom"/>
          </w:tcPr>
          <w:p>
            <w:pPr>
              <w:jc w:val="center"/>
              <w:ind w:left="4805"/>
              <w:spacing w:after="0"/>
              <w:rPr>
                <w:sz w:val="20"/>
                <w:szCs w:val="20"/>
                <w:color w:val="auto"/>
              </w:rPr>
            </w:pPr>
            <w:r>
              <w:rPr>
                <w:rFonts w:ascii="Arial" w:cs="Arial" w:eastAsia="Arial" w:hAnsi="Arial"/>
                <w:sz w:val="18"/>
                <w:szCs w:val="18"/>
                <w:b w:val="1"/>
                <w:bCs w:val="1"/>
                <w:color w:val="auto"/>
                <w:w w:val="87"/>
              </w:rPr>
              <w:t>75-0289970</w:t>
            </w:r>
          </w:p>
        </w:tc>
      </w:tr>
      <w:tr>
        <w:trPr>
          <w:trHeight w:val="231"/>
        </w:trPr>
        <w:tc>
          <w:tcPr>
            <w:tcW w:w="2960" w:type="dxa"/>
            <w:vAlign w:val="bottom"/>
          </w:tcPr>
          <w:p>
            <w:pPr>
              <w:jc w:val="center"/>
              <w:ind w:right="647"/>
              <w:spacing w:after="0"/>
              <w:rPr>
                <w:sz w:val="20"/>
                <w:szCs w:val="20"/>
                <w:color w:val="auto"/>
              </w:rPr>
            </w:pPr>
            <w:r>
              <w:rPr>
                <w:rFonts w:ascii="Arial" w:cs="Arial" w:eastAsia="Arial" w:hAnsi="Arial"/>
                <w:sz w:val="14"/>
                <w:szCs w:val="14"/>
                <w:color w:val="auto"/>
                <w:w w:val="90"/>
              </w:rPr>
              <w:t>(Commission File Number)</w:t>
            </w:r>
          </w:p>
        </w:tc>
        <w:tc>
          <w:tcPr>
            <w:tcW w:w="6720" w:type="dxa"/>
            <w:vAlign w:val="bottom"/>
          </w:tcPr>
          <w:p>
            <w:pPr>
              <w:jc w:val="center"/>
              <w:ind w:left="4785"/>
              <w:spacing w:after="0"/>
              <w:rPr>
                <w:sz w:val="20"/>
                <w:szCs w:val="20"/>
                <w:color w:val="auto"/>
              </w:rPr>
            </w:pPr>
            <w:r>
              <w:rPr>
                <w:rFonts w:ascii="Arial" w:cs="Arial" w:eastAsia="Arial" w:hAnsi="Arial"/>
                <w:sz w:val="14"/>
                <w:szCs w:val="14"/>
                <w:color w:val="auto"/>
                <w:w w:val="91"/>
              </w:rPr>
              <w:t>(IRS Employer Identification No.)</w:t>
            </w:r>
          </w:p>
        </w:tc>
      </w:tr>
      <w:tr>
        <w:trPr>
          <w:trHeight w:val="498"/>
        </w:trPr>
        <w:tc>
          <w:tcPr>
            <w:tcW w:w="2960" w:type="dxa"/>
            <w:vAlign w:val="bottom"/>
          </w:tcPr>
          <w:p>
            <w:pPr>
              <w:jc w:val="center"/>
              <w:ind w:right="647"/>
              <w:spacing w:after="0"/>
              <w:rPr>
                <w:sz w:val="20"/>
                <w:szCs w:val="20"/>
                <w:color w:val="auto"/>
              </w:rPr>
            </w:pPr>
            <w:r>
              <w:rPr>
                <w:rFonts w:ascii="Arial" w:cs="Arial" w:eastAsia="Arial" w:hAnsi="Arial"/>
                <w:sz w:val="18"/>
                <w:szCs w:val="18"/>
                <w:b w:val="1"/>
                <w:bCs w:val="1"/>
                <w:color w:val="auto"/>
                <w:w w:val="91"/>
              </w:rPr>
              <w:t>12500 TI Boulevard</w:t>
            </w:r>
          </w:p>
        </w:tc>
        <w:tc>
          <w:tcPr>
            <w:tcW w:w="6720" w:type="dxa"/>
            <w:vAlign w:val="bottom"/>
          </w:tcPr>
          <w:p>
            <w:pPr>
              <w:spacing w:after="0"/>
              <w:rPr>
                <w:sz w:val="24"/>
                <w:szCs w:val="24"/>
                <w:color w:val="auto"/>
              </w:rPr>
            </w:pPr>
          </w:p>
        </w:tc>
      </w:tr>
      <w:tr>
        <w:trPr>
          <w:trHeight w:val="243"/>
        </w:trPr>
        <w:tc>
          <w:tcPr>
            <w:tcW w:w="2960" w:type="dxa"/>
            <w:vAlign w:val="bottom"/>
          </w:tcPr>
          <w:p>
            <w:pPr>
              <w:jc w:val="center"/>
              <w:ind w:right="647"/>
              <w:spacing w:after="0"/>
              <w:rPr>
                <w:sz w:val="20"/>
                <w:szCs w:val="20"/>
                <w:color w:val="auto"/>
              </w:rPr>
            </w:pPr>
            <w:r>
              <w:rPr>
                <w:rFonts w:ascii="Arial" w:cs="Arial" w:eastAsia="Arial" w:hAnsi="Arial"/>
                <w:sz w:val="18"/>
                <w:szCs w:val="18"/>
                <w:b w:val="1"/>
                <w:bCs w:val="1"/>
                <w:color w:val="auto"/>
                <w:w w:val="87"/>
              </w:rPr>
              <w:t>P.O. Box 660199</w:t>
            </w:r>
          </w:p>
        </w:tc>
        <w:tc>
          <w:tcPr>
            <w:tcW w:w="6720" w:type="dxa"/>
            <w:vAlign w:val="bottom"/>
          </w:tcPr>
          <w:p>
            <w:pPr>
              <w:spacing w:after="0"/>
              <w:rPr>
                <w:sz w:val="21"/>
                <w:szCs w:val="21"/>
                <w:color w:val="auto"/>
              </w:rPr>
            </w:pPr>
          </w:p>
        </w:tc>
      </w:tr>
      <w:tr>
        <w:trPr>
          <w:trHeight w:val="243"/>
        </w:trPr>
        <w:tc>
          <w:tcPr>
            <w:tcW w:w="2960" w:type="dxa"/>
            <w:vAlign w:val="bottom"/>
          </w:tcPr>
          <w:p>
            <w:pPr>
              <w:jc w:val="center"/>
              <w:ind w:right="667"/>
              <w:spacing w:after="0"/>
              <w:rPr>
                <w:sz w:val="20"/>
                <w:szCs w:val="20"/>
                <w:color w:val="auto"/>
              </w:rPr>
            </w:pPr>
            <w:r>
              <w:rPr>
                <w:rFonts w:ascii="Arial" w:cs="Arial" w:eastAsia="Arial" w:hAnsi="Arial"/>
                <w:sz w:val="18"/>
                <w:szCs w:val="18"/>
                <w:b w:val="1"/>
                <w:bCs w:val="1"/>
                <w:color w:val="auto"/>
                <w:w w:val="92"/>
              </w:rPr>
              <w:t>Dallas, TX</w:t>
            </w:r>
          </w:p>
        </w:tc>
        <w:tc>
          <w:tcPr>
            <w:tcW w:w="6720" w:type="dxa"/>
            <w:vAlign w:val="bottom"/>
          </w:tcPr>
          <w:p>
            <w:pPr>
              <w:jc w:val="center"/>
              <w:ind w:left="4805"/>
              <w:spacing w:after="0"/>
              <w:rPr>
                <w:sz w:val="20"/>
                <w:szCs w:val="20"/>
                <w:color w:val="auto"/>
              </w:rPr>
            </w:pPr>
            <w:r>
              <w:rPr>
                <w:rFonts w:ascii="Arial" w:cs="Arial" w:eastAsia="Arial" w:hAnsi="Arial"/>
                <w:sz w:val="18"/>
                <w:szCs w:val="18"/>
                <w:b w:val="1"/>
                <w:bCs w:val="1"/>
                <w:color w:val="auto"/>
                <w:w w:val="87"/>
              </w:rPr>
              <w:t>75266-0199</w:t>
            </w:r>
          </w:p>
        </w:tc>
      </w:tr>
      <w:tr>
        <w:trPr>
          <w:trHeight w:val="231"/>
        </w:trPr>
        <w:tc>
          <w:tcPr>
            <w:tcW w:w="2960" w:type="dxa"/>
            <w:vAlign w:val="bottom"/>
          </w:tcPr>
          <w:p>
            <w:pPr>
              <w:jc w:val="center"/>
              <w:ind w:right="667"/>
              <w:spacing w:after="0"/>
              <w:rPr>
                <w:sz w:val="20"/>
                <w:szCs w:val="20"/>
                <w:color w:val="auto"/>
              </w:rPr>
            </w:pPr>
            <w:r>
              <w:rPr>
                <w:rFonts w:ascii="Arial" w:cs="Arial" w:eastAsia="Arial" w:hAnsi="Arial"/>
                <w:sz w:val="14"/>
                <w:szCs w:val="14"/>
                <w:color w:val="auto"/>
                <w:w w:val="89"/>
              </w:rPr>
              <w:t>(Address of Principal Executive Offices)</w:t>
            </w:r>
          </w:p>
        </w:tc>
        <w:tc>
          <w:tcPr>
            <w:tcW w:w="6720" w:type="dxa"/>
            <w:vAlign w:val="bottom"/>
          </w:tcPr>
          <w:p>
            <w:pPr>
              <w:jc w:val="center"/>
              <w:ind w:left="4805"/>
              <w:spacing w:after="0"/>
              <w:rPr>
                <w:sz w:val="20"/>
                <w:szCs w:val="20"/>
                <w:color w:val="auto"/>
              </w:rPr>
            </w:pPr>
            <w:r>
              <w:rPr>
                <w:rFonts w:ascii="Arial" w:cs="Arial" w:eastAsia="Arial" w:hAnsi="Arial"/>
                <w:sz w:val="14"/>
                <w:szCs w:val="14"/>
                <w:color w:val="auto"/>
                <w:w w:val="90"/>
              </w:rPr>
              <w:t>(Zip Code)</w:t>
            </w:r>
          </w:p>
        </w:tc>
      </w:tr>
    </w:tbl>
    <w:p>
      <w:pPr>
        <w:spacing w:after="0" w:line="246"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 (972) 995-3773</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62230</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firstLine="27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67" w:lineRule="exact"/>
        <w:rPr>
          <w:sz w:val="24"/>
          <w:szCs w:val="24"/>
          <w:color w:val="auto"/>
        </w:rPr>
      </w:pPr>
    </w:p>
    <w:p>
      <w:pPr>
        <w:ind w:left="760" w:hanging="451"/>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Arial" w:cs="Arial" w:eastAsia="Arial" w:hAnsi="Arial"/>
          <w:sz w:val="18"/>
          <w:szCs w:val="18"/>
          <w:color w:val="auto"/>
        </w:rPr>
      </w:pPr>
    </w:p>
    <w:p>
      <w:pPr>
        <w:ind w:left="760" w:hanging="451"/>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Arial" w:cs="Arial" w:eastAsia="Arial" w:hAnsi="Arial"/>
          <w:sz w:val="18"/>
          <w:szCs w:val="18"/>
          <w:color w:val="auto"/>
        </w:rPr>
      </w:pPr>
    </w:p>
    <w:p>
      <w:pPr>
        <w:ind w:left="760" w:hanging="451"/>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Arial" w:cs="Arial" w:eastAsia="Arial" w:hAnsi="Arial"/>
          <w:sz w:val="18"/>
          <w:szCs w:val="18"/>
          <w:color w:val="auto"/>
        </w:rPr>
      </w:pPr>
    </w:p>
    <w:p>
      <w:pPr>
        <w:ind w:left="760" w:hanging="451"/>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Section 8 - Other Events</w:t>
      </w:r>
    </w:p>
    <w:p>
      <w:pPr>
        <w:spacing w:after="0" w:line="219" w:lineRule="exact"/>
        <w:rPr>
          <w:sz w:val="24"/>
          <w:szCs w:val="24"/>
          <w:color w:val="auto"/>
        </w:rPr>
      </w:pPr>
    </w:p>
    <w:p>
      <w:pPr>
        <w:ind w:left="140"/>
        <w:spacing w:after="0"/>
        <w:rPr>
          <w:sz w:val="20"/>
          <w:szCs w:val="20"/>
          <w:color w:val="auto"/>
        </w:rPr>
      </w:pPr>
      <w:r>
        <w:rPr>
          <w:rFonts w:ascii="Arial" w:cs="Arial" w:eastAsia="Arial" w:hAnsi="Arial"/>
          <w:sz w:val="18"/>
          <w:szCs w:val="18"/>
          <w:b w:val="1"/>
          <w:bCs w:val="1"/>
          <w:color w:val="auto"/>
        </w:rPr>
        <w:t>Item 8.01 Other Event</w:t>
      </w:r>
    </w:p>
    <w:p>
      <w:pPr>
        <w:spacing w:after="0" w:line="258" w:lineRule="exact"/>
        <w:rPr>
          <w:sz w:val="24"/>
          <w:szCs w:val="24"/>
          <w:color w:val="auto"/>
        </w:rPr>
      </w:pPr>
    </w:p>
    <w:p>
      <w:pPr>
        <w:ind w:right="140" w:firstLine="270"/>
        <w:spacing w:after="0" w:line="259" w:lineRule="auto"/>
        <w:rPr>
          <w:sz w:val="20"/>
          <w:szCs w:val="20"/>
          <w:color w:val="auto"/>
        </w:rPr>
      </w:pPr>
      <w:r>
        <w:rPr>
          <w:rFonts w:ascii="Arial" w:cs="Arial" w:eastAsia="Arial" w:hAnsi="Arial"/>
          <w:sz w:val="18"/>
          <w:szCs w:val="18"/>
          <w:color w:val="auto"/>
        </w:rPr>
        <w:t>On April 27, 2006, Texas Instruments Incorporated (“TI”) completed the previously announced sale of its Sensors &amp; Controls business to affiliates of Bain Capital, LLC. Under the terms of the Asset and Stock Purchase Agreement, dated as of January 8, 2006, TI received U.S. $3.0 billion in cash, subject to adjustment based on a determination of working capital as of closing.</w:t>
      </w:r>
    </w:p>
    <w:p>
      <w:pPr>
        <w:spacing w:after="0" w:line="221" w:lineRule="exact"/>
        <w:rPr>
          <w:sz w:val="24"/>
          <w:szCs w:val="24"/>
          <w:color w:val="auto"/>
        </w:rPr>
      </w:pPr>
    </w:p>
    <w:p>
      <w:pPr>
        <w:ind w:right="340" w:firstLine="270"/>
        <w:spacing w:after="0" w:line="268" w:lineRule="auto"/>
        <w:rPr>
          <w:sz w:val="20"/>
          <w:szCs w:val="20"/>
          <w:color w:val="auto"/>
        </w:rPr>
      </w:pPr>
      <w:r>
        <w:rPr>
          <w:rFonts w:ascii="Arial" w:cs="Arial" w:eastAsia="Arial" w:hAnsi="Arial"/>
          <w:sz w:val="18"/>
          <w:szCs w:val="18"/>
          <w:color w:val="auto"/>
        </w:rPr>
        <w:t>On April 27, 2006, TI issued a press release to announce the completion of the sale. A copy of the press release is included hereto as Exhibit 99.1 and is incorporated by reference into this Item 8.01.</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Section 9 - Financial Statements and Exhibits</w:t>
      </w:r>
    </w:p>
    <w:p>
      <w:pPr>
        <w:spacing w:after="0" w:line="219" w:lineRule="exact"/>
        <w:rPr>
          <w:sz w:val="24"/>
          <w:szCs w:val="24"/>
          <w:color w:val="auto"/>
        </w:rPr>
      </w:pPr>
    </w:p>
    <w:p>
      <w:pPr>
        <w:ind w:left="1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8" w:lineRule="exact"/>
        <w:rPr>
          <w:sz w:val="24"/>
          <w:szCs w:val="24"/>
          <w:color w:val="auto"/>
        </w:rPr>
      </w:pPr>
    </w:p>
    <w:p>
      <w:pPr>
        <w:ind w:left="580"/>
        <w:spacing w:after="0"/>
        <w:rPr>
          <w:sz w:val="20"/>
          <w:szCs w:val="20"/>
          <w:color w:val="auto"/>
        </w:rPr>
      </w:pPr>
      <w:r>
        <w:rPr>
          <w:rFonts w:ascii="Arial" w:cs="Arial" w:eastAsia="Arial" w:hAnsi="Arial"/>
          <w:sz w:val="18"/>
          <w:szCs w:val="18"/>
          <w:color w:val="auto"/>
        </w:rPr>
        <w:t>Designation</w:t>
      </w:r>
    </w:p>
    <w:p>
      <w:pPr>
        <w:spacing w:after="0" w:line="36" w:lineRule="exact"/>
        <w:rPr>
          <w:sz w:val="24"/>
          <w:szCs w:val="24"/>
          <w:color w:val="auto"/>
        </w:rPr>
      </w:pPr>
    </w:p>
    <w:p>
      <w:pPr>
        <w:ind w:left="580"/>
        <w:spacing w:after="0"/>
        <w:rPr>
          <w:sz w:val="20"/>
          <w:szCs w:val="20"/>
          <w:color w:val="auto"/>
        </w:rPr>
      </w:pPr>
      <w:r>
        <w:rPr>
          <w:rFonts w:ascii="Arial" w:cs="Arial" w:eastAsia="Arial" w:hAnsi="Arial"/>
          <w:sz w:val="18"/>
          <w:szCs w:val="18"/>
          <w:color w:val="auto"/>
        </w:rPr>
        <w:t>of Exhibit</w:t>
      </w:r>
    </w:p>
    <w:p>
      <w:pPr>
        <w:spacing w:after="0" w:line="15" w:lineRule="exact"/>
        <w:rPr>
          <w:sz w:val="24"/>
          <w:szCs w:val="24"/>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in this</w:t>
      </w:r>
      <w:r>
        <w:rPr>
          <w:sz w:val="20"/>
          <w:szCs w:val="20"/>
          <w:color w:val="auto"/>
        </w:rPr>
        <w:tab/>
      </w:r>
      <w:r>
        <w:rPr>
          <w:rFonts w:ascii="Arial" w:cs="Arial" w:eastAsia="Arial" w:hAnsi="Arial"/>
          <w:sz w:val="16"/>
          <w:szCs w:val="16"/>
          <w:color w:val="auto"/>
        </w:rPr>
        <w:t>Description of Exhibit</w:t>
      </w:r>
    </w:p>
    <w:p>
      <w:pPr>
        <w:spacing w:after="0" w:line="57" w:lineRule="exact"/>
        <w:rPr>
          <w:sz w:val="24"/>
          <w:szCs w:val="24"/>
          <w:color w:val="auto"/>
        </w:rPr>
      </w:pPr>
    </w:p>
    <w:p>
      <w:pPr>
        <w:ind w:left="580"/>
        <w:spacing w:after="0"/>
        <w:rPr>
          <w:sz w:val="20"/>
          <w:szCs w:val="20"/>
          <w:color w:val="auto"/>
        </w:rPr>
      </w:pPr>
      <w:r>
        <w:rPr>
          <w:rFonts w:ascii="Arial" w:cs="Arial" w:eastAsia="Arial" w:hAnsi="Arial"/>
          <w:sz w:val="18"/>
          <w:szCs w:val="18"/>
          <w:color w:val="auto"/>
        </w:rPr>
        <w:t>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305435</wp:posOffset>
            </wp:positionH>
            <wp:positionV relativeFrom="paragraph">
              <wp:posOffset>80010</wp:posOffset>
            </wp:positionV>
            <wp:extent cx="69462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sectPr>
          <w:pgSz w:w="11900" w:h="16838" w:orient="portrait"/>
          <w:cols w:equalWidth="0" w:num="1">
            <w:col w:w="11300"/>
          </w:cols>
          <w:pgMar w:left="240" w:top="584" w:right="359" w:bottom="0" w:gutter="0" w:footer="0" w:header="0"/>
        </w:sectPr>
      </w:pPr>
    </w:p>
    <w:bookmarkStart w:id="1" w:name="page2"/>
    <w:bookmarkEnd w:id="1"/>
    <w:p>
      <w:pPr>
        <w:ind w:left="580"/>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Texas Instruments Incorporated on April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558165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right="220"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600" w:type="dxa"/>
            <w:vAlign w:val="bottom"/>
            <w:gridSpan w:val="3"/>
          </w:tcPr>
          <w:p>
            <w:pPr>
              <w:ind w:left="2480"/>
              <w:spacing w:after="0"/>
              <w:rPr>
                <w:sz w:val="20"/>
                <w:szCs w:val="20"/>
                <w:color w:val="auto"/>
              </w:rPr>
            </w:pPr>
            <w:r>
              <w:rPr>
                <w:rFonts w:ascii="Arial" w:cs="Arial" w:eastAsia="Arial" w:hAnsi="Arial"/>
                <w:sz w:val="18"/>
                <w:szCs w:val="18"/>
                <w:color w:val="auto"/>
              </w:rPr>
              <w:t>TEXAS INSTRUMENTS INCORPORATED</w:t>
            </w:r>
          </w:p>
        </w:tc>
        <w:tc>
          <w:tcPr>
            <w:tcW w:w="1580" w:type="dxa"/>
            <w:vAlign w:val="bottom"/>
          </w:tcPr>
          <w:p>
            <w:pPr>
              <w:spacing w:after="0"/>
              <w:rPr>
                <w:sz w:val="19"/>
                <w:szCs w:val="19"/>
                <w:color w:val="auto"/>
              </w:rPr>
            </w:pPr>
          </w:p>
        </w:tc>
      </w:tr>
      <w:tr>
        <w:trPr>
          <w:trHeight w:val="729"/>
        </w:trPr>
        <w:tc>
          <w:tcPr>
            <w:tcW w:w="3240" w:type="dxa"/>
            <w:vAlign w:val="bottom"/>
            <w:gridSpan w:val="2"/>
          </w:tcPr>
          <w:p>
            <w:pPr>
              <w:spacing w:after="0"/>
              <w:rPr>
                <w:sz w:val="20"/>
                <w:szCs w:val="20"/>
                <w:color w:val="auto"/>
              </w:rPr>
            </w:pPr>
            <w:r>
              <w:rPr>
                <w:rFonts w:ascii="Arial" w:cs="Arial" w:eastAsia="Arial" w:hAnsi="Arial"/>
                <w:sz w:val="18"/>
                <w:szCs w:val="18"/>
                <w:color w:val="auto"/>
              </w:rPr>
              <w:t>Date:    May 2, 2006</w:t>
            </w:r>
          </w:p>
        </w:tc>
        <w:tc>
          <w:tcPr>
            <w:tcW w:w="6600" w:type="dxa"/>
            <w:vAlign w:val="bottom"/>
            <w:gridSpan w:val="3"/>
          </w:tcPr>
          <w:p>
            <w:pPr>
              <w:ind w:left="2480"/>
              <w:spacing w:after="0"/>
              <w:rPr>
                <w:sz w:val="20"/>
                <w:szCs w:val="20"/>
                <w:color w:val="auto"/>
              </w:rPr>
            </w:pPr>
            <w:r>
              <w:rPr>
                <w:rFonts w:ascii="Arial" w:cs="Arial" w:eastAsia="Arial" w:hAnsi="Arial"/>
                <w:sz w:val="18"/>
                <w:szCs w:val="18"/>
                <w:color w:val="auto"/>
              </w:rPr>
              <w:t>By: /s/ Kevin P. March</w:t>
            </w:r>
          </w:p>
        </w:tc>
        <w:tc>
          <w:tcPr>
            <w:tcW w:w="1580" w:type="dxa"/>
            <w:vAlign w:val="bottom"/>
          </w:tcPr>
          <w:p>
            <w:pPr>
              <w:spacing w:after="0"/>
              <w:rPr>
                <w:sz w:val="24"/>
                <w:szCs w:val="24"/>
                <w:color w:val="auto"/>
              </w:rPr>
            </w:pPr>
          </w:p>
        </w:tc>
      </w:tr>
      <w:tr>
        <w:trPr>
          <w:trHeight w:val="110"/>
        </w:trPr>
        <w:tc>
          <w:tcPr>
            <w:tcW w:w="700" w:type="dxa"/>
            <w:vAlign w:val="bottom"/>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28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1580" w:type="dxa"/>
            <w:vAlign w:val="bottom"/>
          </w:tcPr>
          <w:p>
            <w:pPr>
              <w:spacing w:after="0"/>
              <w:rPr>
                <w:sz w:val="9"/>
                <w:szCs w:val="9"/>
                <w:color w:val="auto"/>
              </w:rPr>
            </w:pPr>
          </w:p>
        </w:tc>
      </w:tr>
      <w:tr>
        <w:trPr>
          <w:trHeight w:val="343"/>
        </w:trPr>
        <w:tc>
          <w:tcPr>
            <w:tcW w:w="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400" w:type="dxa"/>
            <w:vAlign w:val="bottom"/>
            <w:gridSpan w:val="2"/>
          </w:tcPr>
          <w:p>
            <w:pPr>
              <w:ind w:left="2840"/>
              <w:spacing w:after="0"/>
              <w:rPr>
                <w:sz w:val="20"/>
                <w:szCs w:val="20"/>
                <w:color w:val="auto"/>
              </w:rPr>
            </w:pPr>
            <w:r>
              <w:rPr>
                <w:rFonts w:ascii="Arial" w:cs="Arial" w:eastAsia="Arial" w:hAnsi="Arial"/>
                <w:sz w:val="18"/>
                <w:szCs w:val="18"/>
                <w:color w:val="auto"/>
              </w:rPr>
              <w:t>Name:</w:t>
            </w:r>
          </w:p>
        </w:tc>
        <w:tc>
          <w:tcPr>
            <w:tcW w:w="3200" w:type="dxa"/>
            <w:vAlign w:val="bottom"/>
          </w:tcPr>
          <w:p>
            <w:pPr>
              <w:ind w:left="100"/>
              <w:spacing w:after="0"/>
              <w:rPr>
                <w:sz w:val="20"/>
                <w:szCs w:val="20"/>
                <w:color w:val="auto"/>
              </w:rPr>
            </w:pPr>
            <w:r>
              <w:rPr>
                <w:rFonts w:ascii="Arial" w:cs="Arial" w:eastAsia="Arial" w:hAnsi="Arial"/>
                <w:sz w:val="18"/>
                <w:szCs w:val="18"/>
                <w:color w:val="auto"/>
              </w:rPr>
              <w:t>Kevin P. March</w:t>
            </w:r>
          </w:p>
        </w:tc>
        <w:tc>
          <w:tcPr>
            <w:tcW w:w="1580" w:type="dxa"/>
            <w:vAlign w:val="bottom"/>
          </w:tcPr>
          <w:p>
            <w:pPr>
              <w:spacing w:after="0"/>
              <w:rPr>
                <w:sz w:val="24"/>
                <w:szCs w:val="24"/>
                <w:color w:val="auto"/>
              </w:rPr>
            </w:pPr>
          </w:p>
        </w:tc>
      </w:tr>
      <w:tr>
        <w:trPr>
          <w:trHeight w:val="243"/>
        </w:trPr>
        <w:tc>
          <w:tcPr>
            <w:tcW w:w="7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3400" w:type="dxa"/>
            <w:vAlign w:val="bottom"/>
            <w:gridSpan w:val="2"/>
          </w:tcPr>
          <w:p>
            <w:pPr>
              <w:ind w:left="2840"/>
              <w:spacing w:after="0"/>
              <w:rPr>
                <w:sz w:val="20"/>
                <w:szCs w:val="20"/>
                <w:color w:val="auto"/>
              </w:rPr>
            </w:pPr>
            <w:r>
              <w:rPr>
                <w:rFonts w:ascii="Arial" w:cs="Arial" w:eastAsia="Arial" w:hAnsi="Arial"/>
                <w:sz w:val="18"/>
                <w:szCs w:val="18"/>
                <w:color w:val="auto"/>
              </w:rPr>
              <w:t>Title:</w:t>
            </w:r>
          </w:p>
        </w:tc>
        <w:tc>
          <w:tcPr>
            <w:tcW w:w="3200" w:type="dxa"/>
            <w:vAlign w:val="bottom"/>
          </w:tcPr>
          <w:p>
            <w:pPr>
              <w:ind w:left="100"/>
              <w:spacing w:after="0"/>
              <w:rPr>
                <w:sz w:val="20"/>
                <w:szCs w:val="20"/>
                <w:color w:val="auto"/>
              </w:rPr>
            </w:pPr>
            <w:r>
              <w:rPr>
                <w:rFonts w:ascii="Arial" w:cs="Arial" w:eastAsia="Arial" w:hAnsi="Arial"/>
                <w:sz w:val="18"/>
                <w:szCs w:val="18"/>
                <w:color w:val="auto"/>
              </w:rPr>
              <w:t>Senior Vice President and</w:t>
            </w:r>
          </w:p>
        </w:tc>
        <w:tc>
          <w:tcPr>
            <w:tcW w:w="1580" w:type="dxa"/>
            <w:vAlign w:val="bottom"/>
          </w:tcPr>
          <w:p>
            <w:pPr>
              <w:spacing w:after="0"/>
              <w:rPr>
                <w:sz w:val="21"/>
                <w:szCs w:val="21"/>
                <w:color w:val="auto"/>
              </w:rPr>
            </w:pPr>
          </w:p>
        </w:tc>
      </w:tr>
      <w:tr>
        <w:trPr>
          <w:trHeight w:val="243"/>
        </w:trPr>
        <w:tc>
          <w:tcPr>
            <w:tcW w:w="7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1580" w:type="dxa"/>
            <w:vAlign w:val="bottom"/>
          </w:tcPr>
          <w:p>
            <w:pPr>
              <w:spacing w:after="0"/>
              <w:rPr>
                <w:sz w:val="21"/>
                <w:szCs w:val="21"/>
                <w:color w:val="auto"/>
              </w:rPr>
            </w:pPr>
          </w:p>
        </w:tc>
      </w:tr>
      <w:tr>
        <w:trPr>
          <w:trHeight w:val="863"/>
        </w:trPr>
        <w:tc>
          <w:tcPr>
            <w:tcW w:w="70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72"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 Completes Sale of Sensors &amp; Controls Business to Bain Capital</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DALLAS (April 27, 2006) – Texas Instruments Incorporated (TI) (NYSE: TXN) today announced it has completed the sale of its Sensors &amp; Controls business to affiliates of Bain Capital, LLC, a leading global private investment firm, for $3.0 billion in cash.</w:t>
      </w:r>
    </w:p>
    <w:p>
      <w:pPr>
        <w:spacing w:after="0" w:line="18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former Sensors &amp; Controls business has adopted the name Sensata Technologies, and will continue to be headquartered in Attleboro, Massachusetts, and maintain additional manufacturing and technology development centers located in Brazil, China, Holland, Japan, Korea, Malaysia and Mexico, as well as sales offices around the world.</w:t>
      </w:r>
    </w:p>
    <w:p>
      <w:pPr>
        <w:spacing w:after="0" w:line="194"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TI expects to recognize an after-tax gain in the range of $1.6 billion to $1.7 billion from the sale in the current quarter. The sale did not include the radio frequency identification (RFID) systems operation, which remains part of Texas Instruments.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form the expectations of the Company or its management:</w:t>
      </w:r>
    </w:p>
    <w:p>
      <w:pPr>
        <w:spacing w:after="0" w:line="213" w:lineRule="exact"/>
        <w:rPr>
          <w:sz w:val="20"/>
          <w:szCs w:val="20"/>
          <w:color w:val="auto"/>
        </w:rPr>
      </w:pPr>
    </w:p>
    <w:p>
      <w:pPr>
        <w:ind w:left="540" w:right="360"/>
        <w:spacing w:after="0" w:line="299" w:lineRule="auto"/>
        <w:rPr>
          <w:sz w:val="20"/>
          <w:szCs w:val="20"/>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left="540" w:right="100"/>
        <w:spacing w:after="0" w:line="299" w:lineRule="auto"/>
        <w:rPr>
          <w:sz w:val="20"/>
          <w:szCs w:val="20"/>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481965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ind w:right="2320"/>
        <w:spacing w:after="0" w:line="563" w:lineRule="auto"/>
        <w:rPr>
          <w:sz w:val="20"/>
          <w:szCs w:val="20"/>
          <w:color w:val="auto"/>
        </w:rPr>
      </w:pPr>
      <w:r>
        <w:rPr>
          <w:rFonts w:ascii="Arial" w:cs="Arial" w:eastAsia="Arial" w:hAnsi="Arial"/>
          <w:sz w:val="18"/>
          <w:szCs w:val="18"/>
          <w:color w:val="auto"/>
        </w:rPr>
        <w:t>TI’s ability to develop, manufacture and market innovative products in a rapidly changing technological environment; TI’s ability to compete in products and prices in an intensely competitive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-580390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-271780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right="1800"/>
        <w:spacing w:after="0" w:line="676" w:lineRule="auto"/>
        <w:rPr>
          <w:sz w:val="20"/>
          <w:szCs w:val="20"/>
          <w:color w:val="auto"/>
        </w:rPr>
      </w:pPr>
      <w:r>
        <w:rPr>
          <w:rFonts w:ascii="Arial" w:cs="Arial" w:eastAsia="Arial" w:hAnsi="Arial"/>
          <w:sz w:val="15"/>
          <w:szCs w:val="15"/>
          <w:color w:val="auto"/>
        </w:rPr>
        <w:t>TI’s ability to maintain and enforce a strong intellectual property portfolio and obtain needed licenses from third parties; Expiration of license agreements between TI and its patent licensees, and market conditions reducing royalty payments to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-581025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-272415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99" w:lineRule="auto"/>
        <w:rPr>
          <w:sz w:val="20"/>
          <w:szCs w:val="20"/>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-291465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right="2080"/>
        <w:spacing w:after="0" w:line="563" w:lineRule="auto"/>
        <w:rPr>
          <w:sz w:val="20"/>
          <w:szCs w:val="20"/>
          <w:color w:val="auto"/>
        </w:rPr>
      </w:pPr>
      <w:r>
        <w:rPr>
          <w:rFonts w:ascii="Arial" w:cs="Arial" w:eastAsia="Arial" w:hAnsi="Arial"/>
          <w:sz w:val="18"/>
          <w:szCs w:val="18"/>
          <w:color w:val="auto"/>
        </w:rPr>
        <w:t>Natural events such as severe weather and earthquakes in the locations in which TI, its customers or its suppliers operate; Availability and cost of raw materials, utilities and critical manufacturing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-580390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-271780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right="60"/>
        <w:spacing w:after="0" w:line="299" w:lineRule="auto"/>
        <w:rPr>
          <w:sz w:val="20"/>
          <w:szCs w:val="20"/>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-291465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right="740"/>
        <w:spacing w:after="0" w:line="563" w:lineRule="auto"/>
        <w:rPr>
          <w:sz w:val="20"/>
          <w:szCs w:val="20"/>
          <w:color w:val="auto"/>
        </w:rPr>
      </w:pPr>
      <w:r>
        <w:rPr>
          <w:rFonts w:ascii="Arial" w:cs="Arial" w:eastAsia="Arial" w:hAnsi="Arial"/>
          <w:sz w:val="18"/>
          <w:szCs w:val="18"/>
          <w:color w:val="auto"/>
        </w:rPr>
        <w:t>Losses or curtailments of purchases from key customers and the timing and amount of distributor and other customer inventory adjustments; Customer demand that differs from company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-580390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-271780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140" w:right="3200" w:hanging="5121"/>
        <w:spacing w:after="0" w:line="519" w:lineRule="auto"/>
        <w:rPr>
          <w:sz w:val="20"/>
          <w:szCs w:val="20"/>
          <w:color w:val="auto"/>
        </w:rPr>
      </w:pPr>
      <w:r>
        <w:rPr>
          <w:rFonts w:ascii="Arial" w:cs="Arial" w:eastAsia="Arial" w:hAnsi="Arial"/>
          <w:sz w:val="18"/>
          <w:szCs w:val="18"/>
          <w:color w:val="auto"/>
        </w:rPr>
        <w:t>The financial impact of inadequate or excess TI inventories to meet demand that differs from projections;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360680</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-532130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0620"/>
          </w:cols>
          <w:pgMar w:left="780" w:top="860" w:right="499" w:bottom="1440" w:gutter="0" w:footer="0" w:header="0"/>
        </w:sectPr>
      </w:pPr>
    </w:p>
    <w:bookmarkStart w:id="4" w:name="page5"/>
    <w:bookmarkEnd w:id="4"/>
    <w:p>
      <w:pPr>
        <w:ind w:left="540"/>
        <w:spacing w:after="0"/>
        <w:rPr>
          <w:sz w:val="20"/>
          <w:szCs w:val="20"/>
          <w:color w:val="auto"/>
        </w:rPr>
      </w:pPr>
      <w:r>
        <w:rPr>
          <w:rFonts w:ascii="Arial" w:cs="Arial" w:eastAsia="Arial" w:hAnsi="Arial"/>
          <w:sz w:val="18"/>
          <w:szCs w:val="18"/>
          <w:color w:val="auto"/>
        </w:rPr>
        <w:t>Product liability or warranty claims, or recalls by TI customers for a product containing a TI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TI’s ability to recruit and retain skilled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right="120"/>
        <w:spacing w:after="0" w:line="299" w:lineRule="auto"/>
        <w:rPr>
          <w:sz w:val="20"/>
          <w:szCs w:val="20"/>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Items 1A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3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 includes the Educational &amp; Productivity Solutions business. TI is headquartered in Dallas, Texas, and has manufacturing, design or sales operations in more that 25 countries.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Texas Instruments is traded on the New York Stock Exchange under the symbol TXN. More information is located on the World Wide Web at www.ti.com.</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Bain Capital:</w:t>
      </w:r>
    </w:p>
    <w:p>
      <w:pPr>
        <w:spacing w:after="0" w:line="23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Bain Capital (www.baincapital.com) is a global private investment firm that manages several pools of capital including private equity, venture capital, public equity and leveraged debt assets with more than $38 billion in assets under management. Since its inception in 1984, Bain Capital has made private equity investments and add-on acquisitions in over 230 companies around the world, including such technology and manufacturing companies as FCI, UGS, ChipPAC and Therma-Wave. Headquartered in Boston, Bain Capital has offices in New York, London, Munich, Tokyo, Hong Kong and Shanghai.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Sensata Technologies: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Sensata Technologies, formerly the Sensors &amp; Controls business of Texas Instruments, provides leaders in the global automotive, appliance, aircraft,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86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industrial and HVAC markets with sensing and protection solutions that improve safety and efficiency for millions of people every day.</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Headquartered in Attleboro, Massachusetts, Sensata Technologies has nine technology and manufacturing centers in eight countries and sales offices throughout the world. For more information, visit www.sensata.com.</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80"/>
      </w:cols>
      <w:pgMar w:left="240" w:top="83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2019-12-13T07:36:23Z</dcterms:created>
  <dcterms:modified xsi:type="dcterms:W3CDTF">2019-12-13T07:36:23Z</dcterms:modified>
</cp:coreProperties>
</file>