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40"/>
          <w:szCs w:val="40"/>
          <w:b w:val="1"/>
          <w:bCs w:val="1"/>
          <w:color w:val="2A2A2A"/>
        </w:rPr>
        <w:t>TEXAS INSTRUMENTS</w:t>
      </w:r>
    </w:p>
    <w:p>
      <w:pPr>
        <w:spacing w:after="0" w:line="94" w:lineRule="exact"/>
        <w:rPr>
          <w:sz w:val="24"/>
          <w:szCs w:val="24"/>
          <w:color w:val="auto"/>
        </w:rPr>
      </w:pPr>
    </w:p>
    <w:p>
      <w:pPr>
        <w:spacing w:after="0"/>
        <w:rPr>
          <w:sz w:val="20"/>
          <w:szCs w:val="20"/>
          <w:color w:val="auto"/>
        </w:rPr>
      </w:pPr>
      <w:r>
        <w:rPr>
          <w:rFonts w:ascii="Arial" w:cs="Arial" w:eastAsia="Arial" w:hAnsi="Arial"/>
          <w:sz w:val="36"/>
          <w:szCs w:val="36"/>
          <w:color w:val="2A2A2A"/>
        </w:rPr>
        <w:t>2023 Annual Report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28"/>
          <w:szCs w:val="28"/>
          <w:color w:val="2A2A2A"/>
        </w:rPr>
        <w:t>Notice of 2024 Annual Meeting</w:t>
      </w:r>
    </w:p>
    <w:p>
      <w:pPr>
        <w:spacing w:after="0" w:line="74" w:lineRule="exact"/>
        <w:rPr>
          <w:sz w:val="24"/>
          <w:szCs w:val="24"/>
          <w:color w:val="auto"/>
        </w:rPr>
      </w:pPr>
    </w:p>
    <w:p>
      <w:pPr>
        <w:spacing w:after="0"/>
        <w:rPr>
          <w:sz w:val="20"/>
          <w:szCs w:val="20"/>
          <w:color w:val="auto"/>
        </w:rPr>
      </w:pPr>
      <w:r>
        <w:rPr>
          <w:rFonts w:ascii="Arial" w:cs="Arial" w:eastAsia="Arial" w:hAnsi="Arial"/>
          <w:sz w:val="28"/>
          <w:szCs w:val="28"/>
          <w:color w:val="2A2A2A"/>
        </w:rPr>
        <w:t>and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3106420</wp:posOffset>
            </wp:positionV>
            <wp:extent cx="652907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9070" cy="454660"/>
                    </a:xfrm>
                    <a:prstGeom prst="rect">
                      <a:avLst/>
                    </a:prstGeom>
                    <a:noFill/>
                  </pic:spPr>
                </pic:pic>
              </a:graphicData>
            </a:graphic>
          </wp:anchor>
        </w:drawing>
      </w:r>
    </w:p>
    <w:p>
      <w:pPr>
        <w:sectPr>
          <w:pgSz w:w="12240" w:h="15840" w:orient="portrait"/>
          <w:cols w:equalWidth="0" w:num="1">
            <w:col w:w="9820"/>
          </w:cols>
          <w:pgMar w:left="980" w:top="1440" w:right="1440" w:bottom="1440" w:gutter="0" w:footer="0" w:header="0"/>
        </w:sectPr>
      </w:pPr>
    </w:p>
    <w:bookmarkStart w:id="1" w:name="page2"/>
    <w:bookmarkEnd w:id="1"/>
    <w:p>
      <w:pPr>
        <w:ind w:left="1"/>
        <w:spacing w:after="0"/>
        <w:rPr>
          <w:sz w:val="20"/>
          <w:szCs w:val="20"/>
          <w:color w:val="auto"/>
        </w:rPr>
      </w:pPr>
      <w:r>
        <w:rPr>
          <w:rFonts w:ascii="Arial" w:cs="Arial" w:eastAsia="Arial" w:hAnsi="Arial"/>
          <w:sz w:val="40"/>
          <w:szCs w:val="40"/>
          <w:color w:val="2A2A2A"/>
        </w:rPr>
        <w:t>To our shareholders, colleagues, customers and partners</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Our long-standing passion and ambitions</w:t>
      </w:r>
    </w:p>
    <w:p>
      <w:pPr>
        <w:spacing w:after="0" w:line="263" w:lineRule="exact"/>
        <w:rPr>
          <w:sz w:val="20"/>
          <w:szCs w:val="20"/>
          <w:color w:val="auto"/>
        </w:rPr>
      </w:pPr>
    </w:p>
    <w:p>
      <w:pPr>
        <w:ind w:left="1" w:right="160"/>
        <w:spacing w:after="0" w:line="259" w:lineRule="auto"/>
        <w:rPr>
          <w:sz w:val="20"/>
          <w:szCs w:val="20"/>
          <w:color w:val="auto"/>
        </w:rPr>
      </w:pPr>
      <w:r>
        <w:rPr>
          <w:rFonts w:ascii="Arial" w:cs="Arial" w:eastAsia="Arial" w:hAnsi="Arial"/>
          <w:sz w:val="20"/>
          <w:szCs w:val="20"/>
          <w:color w:val="2A2A2A"/>
        </w:rPr>
        <w:t>For decades, Texas Instruments has operated with a passion to create a better world by making electronics more affordable through semiconductors. With each generation, technology has become more reliable, more affordable and lower in power, with semiconductors used by a growing number of customers and markets. Our passion continues to be alive today, as we help customers develop electronics and new applications, particularly in industrial and automotive markets.</w:t>
      </w:r>
    </w:p>
    <w:p>
      <w:pPr>
        <w:spacing w:after="0" w:line="199" w:lineRule="exact"/>
        <w:rPr>
          <w:sz w:val="20"/>
          <w:szCs w:val="20"/>
          <w:color w:val="auto"/>
        </w:rPr>
      </w:pPr>
    </w:p>
    <w:p>
      <w:pPr>
        <w:ind w:left="1"/>
        <w:spacing w:after="0" w:line="257" w:lineRule="auto"/>
        <w:rPr>
          <w:sz w:val="20"/>
          <w:szCs w:val="20"/>
          <w:color w:val="auto"/>
        </w:rPr>
      </w:pPr>
      <w:r>
        <w:rPr>
          <w:rFonts w:ascii="Arial" w:cs="Arial" w:eastAsia="Arial" w:hAnsi="Arial"/>
          <w:sz w:val="20"/>
          <w:szCs w:val="20"/>
          <w:color w:val="2A2A2A"/>
        </w:rPr>
        <w:t>Our founders had the foresight to know that passion alone was not enough and that building a great company required a special culture to thrive for the long term. For many years, we’ve run our business with three overarching ambitions in mind. First, we will act like owners who will own the company for decades. Second, we will adapt and succeed in a world that’s ever changing. And third, we will be a company that we’re personally proud to be a part of and would want as our neighbor. When we’re successful in achieving these ambitions, our employees, customers, communities and shareholders all win.</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Our commitment to being a good corporate citizen</w:t>
      </w:r>
    </w:p>
    <w:p>
      <w:pPr>
        <w:spacing w:after="0" w:line="263" w:lineRule="exact"/>
        <w:rPr>
          <w:sz w:val="20"/>
          <w:szCs w:val="20"/>
          <w:color w:val="auto"/>
        </w:rPr>
      </w:pPr>
    </w:p>
    <w:p>
      <w:pPr>
        <w:ind w:left="1" w:right="180"/>
        <w:spacing w:after="0" w:line="256" w:lineRule="auto"/>
        <w:rPr>
          <w:sz w:val="20"/>
          <w:szCs w:val="20"/>
          <w:color w:val="auto"/>
        </w:rPr>
      </w:pPr>
      <w:r>
        <w:rPr>
          <w:rFonts w:ascii="Arial" w:cs="Arial" w:eastAsia="Arial" w:hAnsi="Arial"/>
          <w:sz w:val="20"/>
          <w:szCs w:val="20"/>
          <w:color w:val="2A2A2A"/>
        </w:rPr>
        <w:t>We take great pride in our commitment to being a good corporate citizen, which impacts our communities and the world in two ways. First, our ambitions guide how we run our business and are foundational to ensuring that we operate in a sustainable, socially thoughtful and environmentally responsible manner. Central to these ambitions is a belief that in order for all stakeholders to benefit, the company must grow stronger over the long term. Second, semiconductors will play a critical role in creating a better world and helping to reduce the impact on the environment. With our ambitions guiding our decision-making for the long term and our products helping to create a better world, we are confident that our collective efforts will be impactful and long-lasting.</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Our objective and strategy</w:t>
      </w:r>
    </w:p>
    <w:p>
      <w:pPr>
        <w:spacing w:after="0" w:line="263" w:lineRule="exact"/>
        <w:rPr>
          <w:sz w:val="20"/>
          <w:szCs w:val="20"/>
          <w:color w:val="auto"/>
        </w:rPr>
      </w:pPr>
    </w:p>
    <w:p>
      <w:pPr>
        <w:ind w:left="1" w:right="100"/>
        <w:spacing w:after="0" w:line="256" w:lineRule="auto"/>
        <w:rPr>
          <w:sz w:val="20"/>
          <w:szCs w:val="20"/>
          <w:color w:val="auto"/>
        </w:rPr>
      </w:pPr>
      <w:r>
        <w:rPr>
          <w:rFonts w:ascii="Arial" w:cs="Arial" w:eastAsia="Arial" w:hAnsi="Arial"/>
          <w:sz w:val="20"/>
          <w:szCs w:val="20"/>
          <w:color w:val="2A2A2A"/>
        </w:rPr>
        <w:t>As engineers, we’re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 Our strategy to maximize long-term free cash per share growth has three elements: first, a great business model that’s focused on analog and embedded processing products and built around four sustainable competitive advantages; second, discipline in allocating capital to the best opportunities; lastly, a focus on efficiency, which means more output for every dollar spent.</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Strengthening our competitive advantages</w:t>
      </w:r>
    </w:p>
    <w:p>
      <w:pPr>
        <w:spacing w:after="0" w:line="263" w:lineRule="exact"/>
        <w:rPr>
          <w:sz w:val="20"/>
          <w:szCs w:val="20"/>
          <w:color w:val="auto"/>
        </w:rPr>
      </w:pPr>
    </w:p>
    <w:p>
      <w:pPr>
        <w:ind w:left="1" w:right="180"/>
        <w:spacing w:after="0" w:line="259" w:lineRule="auto"/>
        <w:rPr>
          <w:sz w:val="20"/>
          <w:szCs w:val="20"/>
          <w:color w:val="auto"/>
        </w:rPr>
      </w:pPr>
      <w:r>
        <w:rPr>
          <w:rFonts w:ascii="Arial" w:cs="Arial" w:eastAsia="Arial" w:hAnsi="Arial"/>
          <w:sz w:val="20"/>
          <w:szCs w:val="20"/>
          <w:color w:val="2A2A2A"/>
        </w:rPr>
        <w:t>Our business model is built around four sustainable competitive advantages that, in combination, provide tangible benefits and are difficult to replicate. These competitive advantages are manufacturing and technology, a broad portfolio of analog and embedded processing products, reach of our market channels, and diverse and long-lived positions. We continued to make progress in 2023, investing to strengthen and leverage these advantages for the long term.</w:t>
      </w:r>
    </w:p>
    <w:p>
      <w:pPr>
        <w:spacing w:after="0" w:line="199" w:lineRule="exact"/>
        <w:rPr>
          <w:sz w:val="20"/>
          <w:szCs w:val="20"/>
          <w:color w:val="auto"/>
        </w:rPr>
      </w:pPr>
    </w:p>
    <w:p>
      <w:pPr>
        <w:jc w:val="both"/>
        <w:ind w:left="1" w:right="300"/>
        <w:spacing w:after="0" w:line="268" w:lineRule="auto"/>
        <w:rPr>
          <w:sz w:val="20"/>
          <w:szCs w:val="20"/>
          <w:color w:val="auto"/>
        </w:rPr>
      </w:pPr>
      <w:r>
        <w:rPr>
          <w:rFonts w:ascii="Arial" w:cs="Arial" w:eastAsia="Arial" w:hAnsi="Arial"/>
          <w:sz w:val="20"/>
          <w:szCs w:val="20"/>
          <w:color w:val="2A2A2A"/>
        </w:rPr>
        <w:t>We believe owning our own manufacturing, process and packaging technology provides us with lower costs and greater control of our supply chain and provides our customers with geopolitically dependable capacity. In 2023, we continued to invest in and expand our internal manufacturing capacity roadmap for the long term.</w:t>
      </w:r>
    </w:p>
    <w:p>
      <w:pPr>
        <w:spacing w:after="0" w:line="190" w:lineRule="exact"/>
        <w:rPr>
          <w:sz w:val="20"/>
          <w:szCs w:val="20"/>
          <w:color w:val="auto"/>
        </w:rPr>
      </w:pPr>
    </w:p>
    <w:p>
      <w:pPr>
        <w:ind w:left="361" w:right="640" w:hanging="361"/>
        <w:spacing w:after="0" w:line="287" w:lineRule="auto"/>
        <w:tabs>
          <w:tab w:leader="none" w:pos="361" w:val="left"/>
        </w:tabs>
        <w:numPr>
          <w:ilvl w:val="0"/>
          <w:numId w:val="1"/>
        </w:numPr>
        <w:rPr>
          <w:rFonts w:ascii="Arial" w:cs="Arial" w:eastAsia="Arial" w:hAnsi="Arial"/>
          <w:sz w:val="20"/>
          <w:szCs w:val="20"/>
          <w:color w:val="2A2A2A"/>
        </w:rPr>
      </w:pPr>
      <w:r>
        <w:rPr>
          <w:rFonts w:ascii="Arial" w:cs="Arial" w:eastAsia="Arial" w:hAnsi="Arial"/>
          <w:sz w:val="20"/>
          <w:szCs w:val="20"/>
          <w:color w:val="2A2A2A"/>
        </w:rPr>
        <w:t>We continued to ramp production in two 300mm wafer fabs, RFAB2 in Richardson, Texas, and LFAB1 in Lehi, Utah.</w:t>
      </w:r>
    </w:p>
    <w:p>
      <w:pPr>
        <w:spacing w:after="0" w:line="49" w:lineRule="exact"/>
        <w:rPr>
          <w:rFonts w:ascii="Arial" w:cs="Arial" w:eastAsia="Arial" w:hAnsi="Arial"/>
          <w:sz w:val="20"/>
          <w:szCs w:val="20"/>
          <w:color w:val="2A2A2A"/>
        </w:rPr>
      </w:pPr>
    </w:p>
    <w:p>
      <w:pPr>
        <w:ind w:left="361" w:right="420" w:hanging="361"/>
        <w:spacing w:after="0" w:line="287" w:lineRule="auto"/>
        <w:tabs>
          <w:tab w:leader="none" w:pos="361" w:val="left"/>
        </w:tabs>
        <w:numPr>
          <w:ilvl w:val="0"/>
          <w:numId w:val="1"/>
        </w:numPr>
        <w:rPr>
          <w:rFonts w:ascii="Arial" w:cs="Arial" w:eastAsia="Arial" w:hAnsi="Arial"/>
          <w:sz w:val="20"/>
          <w:szCs w:val="20"/>
          <w:color w:val="2A2A2A"/>
        </w:rPr>
      </w:pPr>
      <w:r>
        <w:rPr>
          <w:rFonts w:ascii="Arial" w:cs="Arial" w:eastAsia="Arial" w:hAnsi="Arial"/>
          <w:sz w:val="20"/>
          <w:szCs w:val="20"/>
          <w:color w:val="2A2A2A"/>
        </w:rPr>
        <w:t>We made good progress on the construction of our next 300mm wafer fabs. Construction continued on our next two fabs in Sherman, Texas, and we began construction on a second fab in Lehi, Utah.</w:t>
      </w:r>
    </w:p>
    <w:p>
      <w:pPr>
        <w:sectPr>
          <w:pgSz w:w="12240" w:h="15840" w:orient="portrait"/>
          <w:cols w:equalWidth="0" w:num="1">
            <w:col w:w="10181"/>
          </w:cols>
          <w:pgMar w:left="979" w:top="609" w:right="1080" w:bottom="1440" w:gutter="0" w:footer="0" w:header="0"/>
        </w:sectPr>
      </w:pPr>
    </w:p>
    <w:bookmarkStart w:id="2" w:name="page3"/>
    <w:bookmarkEnd w:id="2"/>
    <w:p>
      <w:pPr>
        <w:spacing w:after="0" w:line="270" w:lineRule="auto"/>
        <w:rPr>
          <w:sz w:val="20"/>
          <w:szCs w:val="20"/>
          <w:color w:val="auto"/>
        </w:rPr>
      </w:pPr>
      <w:r>
        <w:rPr>
          <w:rFonts w:ascii="Arial" w:cs="Arial" w:eastAsia="Arial" w:hAnsi="Arial"/>
          <w:sz w:val="19"/>
          <w:szCs w:val="19"/>
          <w:color w:val="2A2A2A"/>
        </w:rPr>
        <w:t>Additionally, we continued to make progress on strengthening and extending our reach of market channels by building closer direct relationships with our customers. This activity builds on prior multiyear investments in our sales and marketing team, TI.com, business processes and logistics. About three-fourths of our business is now transacting directly, up from about one-third of our business in 2019. We’ve also focused on making it easier for our customers to buy online by offering attractive convenience features, including a localized buying experience on TI.com in many countries. Our investments to extend our reach of market channels is providing us better insight and knowledge of customers’ needs and design trends. Ultimately, this translates into market share gains by providing us access to more customers and more of their design projects, allowing us the opportunity to sell more TI products.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2023 performance</w:t>
      </w:r>
    </w:p>
    <w:p>
      <w:pPr>
        <w:spacing w:after="0" w:line="26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2A2A2A"/>
        </w:rPr>
        <w:t>In 2023, we continued to make progress despite a weaker market environment. We increased our exposure to industrial and automotive markets, growing to about 75% of revenue, as we believe these markets have the potential to grow faster than the overall semiconductor market in the coming years. In addition, we made progress in our inventory replenishment strategy which readies us for the next upcycle and allows us to maintain high levels of customer service. We kept a steady hand in our investments to make the company stronger for the long term and maintained a strong balance sheet. Lastly, we continued our commitment to return all free cash flow to our owners over time by increasing the dividend 5% in 2023.</w:t>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Looking ahead</w:t>
      </w:r>
    </w:p>
    <w:p>
      <w:pPr>
        <w:spacing w:after="0" w:line="263"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2A2A2A"/>
        </w:rPr>
        <w:t>Looking ahead, we will remain focused on the belief that long-term growth of free cash flow per share is the ultimate measure to generate value. To achieve this, we will invest to strengthen our competitive advantages, be disciplined in capital allocation and stay diligent in our pursuit of efficiencies.</w:t>
      </w:r>
    </w:p>
    <w:p>
      <w:pPr>
        <w:spacing w:after="0" w:line="190" w:lineRule="exact"/>
        <w:rPr>
          <w:sz w:val="20"/>
          <w:szCs w:val="20"/>
          <w:color w:val="auto"/>
        </w:rPr>
      </w:pPr>
    </w:p>
    <w:p>
      <w:pPr>
        <w:jc w:val="both"/>
        <w:ind w:right="340"/>
        <w:spacing w:after="0" w:line="268" w:lineRule="auto"/>
        <w:rPr>
          <w:sz w:val="20"/>
          <w:szCs w:val="20"/>
          <w:color w:val="auto"/>
        </w:rPr>
      </w:pPr>
      <w:r>
        <w:rPr>
          <w:rFonts w:ascii="Arial" w:cs="Arial" w:eastAsia="Arial" w:hAnsi="Arial"/>
          <w:sz w:val="20"/>
          <w:szCs w:val="20"/>
          <w:color w:val="2A2A2A"/>
        </w:rPr>
        <w:t>You can count on us to stay true to our ambitions: to think like owners for the long term, adapt and succeed in a world that’s ever changing and behave in a way that makes our stakeholders proud. When we’re successful, our employees, customers, communities and shareholders all 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28800" cy="738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8800" cy="73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Haviv Ilan</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President and CEO</w:t>
      </w:r>
    </w:p>
    <w:p>
      <w:pPr>
        <w:sectPr>
          <w:pgSz w:w="12240" w:h="15840" w:orient="portrait"/>
          <w:cols w:equalWidth="0" w:num="1">
            <w:col w:w="10240"/>
          </w:cols>
          <w:pgMar w:left="980" w:top="664" w:right="102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jc w:val="center"/>
        <w:ind w:right="140"/>
        <w:spacing w:after="0"/>
        <w:rPr>
          <w:sz w:val="20"/>
          <w:szCs w:val="20"/>
          <w:color w:val="auto"/>
        </w:rPr>
      </w:pPr>
      <w:r>
        <w:rPr>
          <w:rFonts w:ascii="Arial" w:cs="Arial" w:eastAsia="Arial" w:hAnsi="Arial"/>
          <w:sz w:val="24"/>
          <w:szCs w:val="24"/>
          <w:b w:val="1"/>
          <w:bCs w:val="1"/>
          <w:color w:val="2A2A2A"/>
        </w:rPr>
        <w:t>TABLE OF CONTENTS</w:t>
      </w:r>
    </w:p>
    <w:p>
      <w:pPr>
        <w:sectPr>
          <w:pgSz w:w="12240" w:h="15840" w:orient="portrait"/>
          <w:cols w:equalWidth="0" w:num="1">
            <w:col w:w="10300"/>
          </w:cols>
          <w:pgMar w:left="1040" w:top="653" w:right="900" w:bottom="498"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A2A2A"/>
        </w:rPr>
        <w:t>Form 10-K</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PART I</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0" w:type="dxa"/>
            <w:vAlign w:val="bottom"/>
          </w:tcPr>
          <w:p>
            <w:pPr>
              <w:spacing w:after="0"/>
              <w:rPr>
                <w:sz w:val="20"/>
                <w:szCs w:val="20"/>
                <w:color w:val="auto"/>
              </w:rPr>
            </w:pPr>
            <w:r>
              <w:rPr>
                <w:rFonts w:ascii="Arial" w:cs="Arial" w:eastAsia="Arial" w:hAnsi="Arial"/>
                <w:sz w:val="20"/>
                <w:szCs w:val="20"/>
                <w:color w:val="2A2A2A"/>
              </w:rPr>
              <w:t>Item 1.</w:t>
            </w:r>
          </w:p>
        </w:tc>
        <w:tc>
          <w:tcPr>
            <w:tcW w:w="3240" w:type="dxa"/>
            <w:vAlign w:val="bottom"/>
            <w:gridSpan w:val="2"/>
          </w:tcPr>
          <w:p>
            <w:pPr>
              <w:ind w:left="20"/>
              <w:spacing w:after="0"/>
              <w:rPr>
                <w:sz w:val="20"/>
                <w:szCs w:val="20"/>
                <w:color w:val="auto"/>
              </w:rPr>
            </w:pPr>
            <w:r>
              <w:rPr>
                <w:rFonts w:ascii="Arial" w:cs="Arial" w:eastAsia="Arial" w:hAnsi="Arial"/>
                <w:sz w:val="20"/>
                <w:szCs w:val="20"/>
                <w:color w:val="2A2A2A"/>
              </w:rPr>
              <w:t>Business</w:t>
            </w:r>
          </w:p>
        </w:tc>
        <w:tc>
          <w:tcPr>
            <w:tcW w:w="920" w:type="dxa"/>
            <w:vAlign w:val="bottom"/>
          </w:tcPr>
          <w:p>
            <w:pPr>
              <w:jc w:val="right"/>
              <w:spacing w:after="0"/>
              <w:rPr>
                <w:sz w:val="20"/>
                <w:szCs w:val="20"/>
                <w:color w:val="auto"/>
              </w:rPr>
            </w:pPr>
            <w:r>
              <w:rPr>
                <w:rFonts w:ascii="Arial" w:cs="Arial" w:eastAsia="Arial" w:hAnsi="Arial"/>
                <w:sz w:val="20"/>
                <w:szCs w:val="20"/>
                <w:color w:val="2A2A2A"/>
              </w:rPr>
              <w:t>2</w:t>
            </w:r>
          </w:p>
        </w:tc>
      </w:tr>
      <w:tr>
        <w:trPr>
          <w:trHeight w:val="315"/>
        </w:trPr>
        <w:tc>
          <w:tcPr>
            <w:tcW w:w="760" w:type="dxa"/>
            <w:vAlign w:val="bottom"/>
            <w:gridSpan w:val="2"/>
          </w:tcPr>
          <w:p>
            <w:pPr>
              <w:spacing w:after="0"/>
              <w:rPr>
                <w:sz w:val="20"/>
                <w:szCs w:val="20"/>
                <w:color w:val="auto"/>
              </w:rPr>
            </w:pPr>
            <w:r>
              <w:rPr>
                <w:rFonts w:ascii="Arial" w:cs="Arial" w:eastAsia="Arial" w:hAnsi="Arial"/>
                <w:sz w:val="20"/>
                <w:szCs w:val="20"/>
                <w:color w:val="2A2A2A"/>
                <w:w w:val="99"/>
              </w:rPr>
              <w:t>Item 1A.</w:t>
            </w:r>
          </w:p>
        </w:tc>
        <w:tc>
          <w:tcPr>
            <w:tcW w:w="3120" w:type="dxa"/>
            <w:vAlign w:val="bottom"/>
          </w:tcPr>
          <w:p>
            <w:pPr>
              <w:ind w:left="40"/>
              <w:spacing w:after="0"/>
              <w:rPr>
                <w:sz w:val="20"/>
                <w:szCs w:val="20"/>
                <w:color w:val="auto"/>
              </w:rPr>
            </w:pPr>
            <w:r>
              <w:rPr>
                <w:rFonts w:ascii="Arial" w:cs="Arial" w:eastAsia="Arial" w:hAnsi="Arial"/>
                <w:sz w:val="20"/>
                <w:szCs w:val="20"/>
                <w:color w:val="2A2A2A"/>
              </w:rPr>
              <w:t>Risk factors</w:t>
            </w:r>
          </w:p>
        </w:tc>
        <w:tc>
          <w:tcPr>
            <w:tcW w:w="920" w:type="dxa"/>
            <w:vAlign w:val="bottom"/>
          </w:tcPr>
          <w:p>
            <w:pPr>
              <w:jc w:val="right"/>
              <w:spacing w:after="0"/>
              <w:rPr>
                <w:sz w:val="20"/>
                <w:szCs w:val="20"/>
                <w:color w:val="auto"/>
              </w:rPr>
            </w:pPr>
            <w:r>
              <w:rPr>
                <w:rFonts w:ascii="Arial" w:cs="Arial" w:eastAsia="Arial" w:hAnsi="Arial"/>
                <w:sz w:val="20"/>
                <w:szCs w:val="20"/>
                <w:color w:val="2A2A2A"/>
              </w:rPr>
              <w:t>9</w:t>
            </w:r>
          </w:p>
        </w:tc>
      </w:tr>
      <w:tr>
        <w:trPr>
          <w:trHeight w:val="315"/>
        </w:trPr>
        <w:tc>
          <w:tcPr>
            <w:tcW w:w="760" w:type="dxa"/>
            <w:vAlign w:val="bottom"/>
            <w:gridSpan w:val="2"/>
          </w:tcPr>
          <w:p>
            <w:pPr>
              <w:spacing w:after="0"/>
              <w:rPr>
                <w:sz w:val="20"/>
                <w:szCs w:val="20"/>
                <w:color w:val="auto"/>
              </w:rPr>
            </w:pPr>
            <w:r>
              <w:rPr>
                <w:rFonts w:ascii="Arial" w:cs="Arial" w:eastAsia="Arial" w:hAnsi="Arial"/>
                <w:sz w:val="20"/>
                <w:szCs w:val="20"/>
                <w:color w:val="2A2A2A"/>
                <w:w w:val="99"/>
              </w:rPr>
              <w:t>Item 1B.</w:t>
            </w:r>
          </w:p>
        </w:tc>
        <w:tc>
          <w:tcPr>
            <w:tcW w:w="3120" w:type="dxa"/>
            <w:vAlign w:val="bottom"/>
          </w:tcPr>
          <w:p>
            <w:pPr>
              <w:ind w:left="40"/>
              <w:spacing w:after="0"/>
              <w:rPr>
                <w:sz w:val="20"/>
                <w:szCs w:val="20"/>
                <w:color w:val="auto"/>
              </w:rPr>
            </w:pPr>
            <w:r>
              <w:rPr>
                <w:rFonts w:ascii="Arial" w:cs="Arial" w:eastAsia="Arial" w:hAnsi="Arial"/>
                <w:sz w:val="20"/>
                <w:szCs w:val="20"/>
                <w:color w:val="2A2A2A"/>
              </w:rPr>
              <w:t>Unresolved staff comments</w:t>
            </w:r>
          </w:p>
        </w:tc>
        <w:tc>
          <w:tcPr>
            <w:tcW w:w="920" w:type="dxa"/>
            <w:vAlign w:val="bottom"/>
          </w:tcPr>
          <w:p>
            <w:pPr>
              <w:jc w:val="right"/>
              <w:spacing w:after="0"/>
              <w:rPr>
                <w:sz w:val="20"/>
                <w:szCs w:val="20"/>
                <w:color w:val="auto"/>
              </w:rPr>
            </w:pPr>
            <w:r>
              <w:rPr>
                <w:rFonts w:ascii="Arial" w:cs="Arial" w:eastAsia="Arial" w:hAnsi="Arial"/>
                <w:sz w:val="20"/>
                <w:szCs w:val="20"/>
                <w:color w:val="2A2A2A"/>
              </w:rPr>
              <w:t>15</w:t>
            </w:r>
          </w:p>
        </w:tc>
      </w:tr>
      <w:tr>
        <w:trPr>
          <w:trHeight w:val="315"/>
        </w:trPr>
        <w:tc>
          <w:tcPr>
            <w:tcW w:w="3880" w:type="dxa"/>
            <w:vAlign w:val="bottom"/>
            <w:gridSpan w:val="3"/>
          </w:tcPr>
          <w:p>
            <w:pPr>
              <w:spacing w:after="0"/>
              <w:rPr>
                <w:sz w:val="20"/>
                <w:szCs w:val="20"/>
                <w:color w:val="auto"/>
              </w:rPr>
            </w:pPr>
            <w:r>
              <w:rPr>
                <w:rFonts w:ascii="Arial" w:cs="Arial" w:eastAsia="Arial" w:hAnsi="Arial"/>
                <w:sz w:val="20"/>
                <w:szCs w:val="20"/>
                <w:color w:val="2A2A2A"/>
              </w:rPr>
              <w:t>Item 1C. Cybersecurity</w:t>
            </w:r>
          </w:p>
        </w:tc>
        <w:tc>
          <w:tcPr>
            <w:tcW w:w="920" w:type="dxa"/>
            <w:vAlign w:val="bottom"/>
          </w:tcPr>
          <w:p>
            <w:pPr>
              <w:jc w:val="right"/>
              <w:spacing w:after="0"/>
              <w:rPr>
                <w:sz w:val="20"/>
                <w:szCs w:val="20"/>
                <w:color w:val="auto"/>
              </w:rPr>
            </w:pPr>
            <w:r>
              <w:rPr>
                <w:rFonts w:ascii="Arial" w:cs="Arial" w:eastAsia="Arial" w:hAnsi="Arial"/>
                <w:sz w:val="20"/>
                <w:szCs w:val="20"/>
                <w:color w:val="2A2A2A"/>
              </w:rPr>
              <w:t>15</w:t>
            </w:r>
          </w:p>
        </w:tc>
      </w:tr>
      <w:tr>
        <w:trPr>
          <w:trHeight w:val="315"/>
        </w:trPr>
        <w:tc>
          <w:tcPr>
            <w:tcW w:w="640" w:type="dxa"/>
            <w:vAlign w:val="bottom"/>
          </w:tcPr>
          <w:p>
            <w:pPr>
              <w:spacing w:after="0"/>
              <w:rPr>
                <w:sz w:val="20"/>
                <w:szCs w:val="20"/>
                <w:color w:val="auto"/>
              </w:rPr>
            </w:pPr>
            <w:r>
              <w:rPr>
                <w:rFonts w:ascii="Arial" w:cs="Arial" w:eastAsia="Arial" w:hAnsi="Arial"/>
                <w:sz w:val="20"/>
                <w:szCs w:val="20"/>
                <w:color w:val="2A2A2A"/>
              </w:rPr>
              <w:t>Item 2.</w:t>
            </w:r>
          </w:p>
        </w:tc>
        <w:tc>
          <w:tcPr>
            <w:tcW w:w="3240" w:type="dxa"/>
            <w:vAlign w:val="bottom"/>
            <w:gridSpan w:val="2"/>
          </w:tcPr>
          <w:p>
            <w:pPr>
              <w:ind w:left="20"/>
              <w:spacing w:after="0"/>
              <w:rPr>
                <w:sz w:val="20"/>
                <w:szCs w:val="20"/>
                <w:color w:val="auto"/>
              </w:rPr>
            </w:pPr>
            <w:r>
              <w:rPr>
                <w:rFonts w:ascii="Arial" w:cs="Arial" w:eastAsia="Arial" w:hAnsi="Arial"/>
                <w:sz w:val="20"/>
                <w:szCs w:val="20"/>
                <w:color w:val="2A2A2A"/>
              </w:rPr>
              <w:t>Properties</w:t>
            </w:r>
          </w:p>
        </w:tc>
        <w:tc>
          <w:tcPr>
            <w:tcW w:w="920" w:type="dxa"/>
            <w:vAlign w:val="bottom"/>
          </w:tcPr>
          <w:p>
            <w:pPr>
              <w:jc w:val="right"/>
              <w:spacing w:after="0"/>
              <w:rPr>
                <w:sz w:val="20"/>
                <w:szCs w:val="20"/>
                <w:color w:val="auto"/>
              </w:rPr>
            </w:pPr>
            <w:r>
              <w:rPr>
                <w:rFonts w:ascii="Arial" w:cs="Arial" w:eastAsia="Arial" w:hAnsi="Arial"/>
                <w:sz w:val="20"/>
                <w:szCs w:val="20"/>
                <w:color w:val="2A2A2A"/>
              </w:rPr>
              <w:t>16</w:t>
            </w:r>
          </w:p>
        </w:tc>
      </w:tr>
      <w:tr>
        <w:trPr>
          <w:trHeight w:val="315"/>
        </w:trPr>
        <w:tc>
          <w:tcPr>
            <w:tcW w:w="640" w:type="dxa"/>
            <w:vAlign w:val="bottom"/>
          </w:tcPr>
          <w:p>
            <w:pPr>
              <w:spacing w:after="0"/>
              <w:rPr>
                <w:sz w:val="20"/>
                <w:szCs w:val="20"/>
                <w:color w:val="auto"/>
              </w:rPr>
            </w:pPr>
            <w:r>
              <w:rPr>
                <w:rFonts w:ascii="Arial" w:cs="Arial" w:eastAsia="Arial" w:hAnsi="Arial"/>
                <w:sz w:val="20"/>
                <w:szCs w:val="20"/>
                <w:color w:val="2A2A2A"/>
              </w:rPr>
              <w:t>Item 3.</w:t>
            </w:r>
          </w:p>
        </w:tc>
        <w:tc>
          <w:tcPr>
            <w:tcW w:w="3240" w:type="dxa"/>
            <w:vAlign w:val="bottom"/>
            <w:gridSpan w:val="2"/>
          </w:tcPr>
          <w:p>
            <w:pPr>
              <w:ind w:left="20"/>
              <w:spacing w:after="0"/>
              <w:rPr>
                <w:sz w:val="20"/>
                <w:szCs w:val="20"/>
                <w:color w:val="auto"/>
              </w:rPr>
            </w:pPr>
            <w:r>
              <w:rPr>
                <w:rFonts w:ascii="Arial" w:cs="Arial" w:eastAsia="Arial" w:hAnsi="Arial"/>
                <w:sz w:val="20"/>
                <w:szCs w:val="20"/>
                <w:color w:val="2A2A2A"/>
              </w:rPr>
              <w:t>Legal proceedings</w:t>
            </w:r>
          </w:p>
        </w:tc>
        <w:tc>
          <w:tcPr>
            <w:tcW w:w="920" w:type="dxa"/>
            <w:vAlign w:val="bottom"/>
          </w:tcPr>
          <w:p>
            <w:pPr>
              <w:jc w:val="right"/>
              <w:spacing w:after="0"/>
              <w:rPr>
                <w:sz w:val="20"/>
                <w:szCs w:val="20"/>
                <w:color w:val="auto"/>
              </w:rPr>
            </w:pPr>
            <w:r>
              <w:rPr>
                <w:rFonts w:ascii="Arial" w:cs="Arial" w:eastAsia="Arial" w:hAnsi="Arial"/>
                <w:sz w:val="20"/>
                <w:szCs w:val="20"/>
                <w:color w:val="2A2A2A"/>
              </w:rPr>
              <w:t>17</w:t>
            </w:r>
          </w:p>
        </w:tc>
      </w:tr>
      <w:tr>
        <w:trPr>
          <w:trHeight w:val="315"/>
        </w:trPr>
        <w:tc>
          <w:tcPr>
            <w:tcW w:w="640" w:type="dxa"/>
            <w:vAlign w:val="bottom"/>
          </w:tcPr>
          <w:p>
            <w:pPr>
              <w:spacing w:after="0"/>
              <w:rPr>
                <w:sz w:val="20"/>
                <w:szCs w:val="20"/>
                <w:color w:val="auto"/>
              </w:rPr>
            </w:pPr>
            <w:r>
              <w:rPr>
                <w:rFonts w:ascii="Arial" w:cs="Arial" w:eastAsia="Arial" w:hAnsi="Arial"/>
                <w:sz w:val="20"/>
                <w:szCs w:val="20"/>
                <w:color w:val="2A2A2A"/>
              </w:rPr>
              <w:t>Item 4.</w:t>
            </w:r>
          </w:p>
        </w:tc>
        <w:tc>
          <w:tcPr>
            <w:tcW w:w="3240" w:type="dxa"/>
            <w:vAlign w:val="bottom"/>
            <w:gridSpan w:val="2"/>
          </w:tcPr>
          <w:p>
            <w:pPr>
              <w:ind w:left="20"/>
              <w:spacing w:after="0"/>
              <w:rPr>
                <w:sz w:val="20"/>
                <w:szCs w:val="20"/>
                <w:color w:val="auto"/>
              </w:rPr>
            </w:pPr>
            <w:r>
              <w:rPr>
                <w:rFonts w:ascii="Arial" w:cs="Arial" w:eastAsia="Arial" w:hAnsi="Arial"/>
                <w:sz w:val="20"/>
                <w:szCs w:val="20"/>
                <w:color w:val="2A2A2A"/>
              </w:rPr>
              <w:t>Mine safety disclosures</w:t>
            </w:r>
          </w:p>
        </w:tc>
        <w:tc>
          <w:tcPr>
            <w:tcW w:w="920" w:type="dxa"/>
            <w:vAlign w:val="bottom"/>
          </w:tcPr>
          <w:p>
            <w:pPr>
              <w:jc w:val="right"/>
              <w:spacing w:after="0"/>
              <w:rPr>
                <w:sz w:val="20"/>
                <w:szCs w:val="20"/>
                <w:color w:val="auto"/>
              </w:rPr>
            </w:pPr>
            <w:r>
              <w:rPr>
                <w:rFonts w:ascii="Arial" w:cs="Arial" w:eastAsia="Arial" w:hAnsi="Arial"/>
                <w:sz w:val="20"/>
                <w:szCs w:val="20"/>
                <w:color w:val="2A2A2A"/>
              </w:rPr>
              <w:t>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A2A2A"/>
        </w:rPr>
        <w:t>Proxy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320" w:type="dxa"/>
            <w:vAlign w:val="bottom"/>
          </w:tcPr>
          <w:p>
            <w:pPr>
              <w:spacing w:after="0"/>
              <w:rPr>
                <w:sz w:val="20"/>
                <w:szCs w:val="20"/>
                <w:color w:val="auto"/>
              </w:rPr>
            </w:pPr>
            <w:r>
              <w:rPr>
                <w:rFonts w:ascii="Arial" w:cs="Arial" w:eastAsia="Arial" w:hAnsi="Arial"/>
                <w:sz w:val="20"/>
                <w:szCs w:val="20"/>
                <w:color w:val="2A2A2A"/>
              </w:rPr>
              <w:t>Notice of annual meeting of stockholders</w:t>
            </w:r>
          </w:p>
        </w:tc>
        <w:tc>
          <w:tcPr>
            <w:tcW w:w="480" w:type="dxa"/>
            <w:vAlign w:val="bottom"/>
          </w:tcPr>
          <w:p>
            <w:pPr>
              <w:jc w:val="right"/>
              <w:spacing w:after="0"/>
              <w:rPr>
                <w:sz w:val="20"/>
                <w:szCs w:val="20"/>
                <w:color w:val="auto"/>
              </w:rPr>
            </w:pPr>
            <w:r>
              <w:rPr>
                <w:rFonts w:ascii="Arial" w:cs="Arial" w:eastAsia="Arial" w:hAnsi="Arial"/>
                <w:sz w:val="20"/>
                <w:szCs w:val="20"/>
                <w:color w:val="2A2A2A"/>
              </w:rPr>
              <w:t>1</w:t>
            </w:r>
          </w:p>
        </w:tc>
      </w:tr>
      <w:tr>
        <w:trPr>
          <w:trHeight w:val="345"/>
        </w:trPr>
        <w:tc>
          <w:tcPr>
            <w:tcW w:w="4320" w:type="dxa"/>
            <w:vAlign w:val="bottom"/>
          </w:tcPr>
          <w:p>
            <w:pPr>
              <w:spacing w:after="0"/>
              <w:rPr>
                <w:sz w:val="20"/>
                <w:szCs w:val="20"/>
                <w:color w:val="auto"/>
              </w:rPr>
            </w:pPr>
            <w:r>
              <w:rPr>
                <w:rFonts w:ascii="Arial" w:cs="Arial" w:eastAsia="Arial" w:hAnsi="Arial"/>
                <w:sz w:val="20"/>
                <w:szCs w:val="20"/>
                <w:color w:val="2A2A2A"/>
              </w:rPr>
              <w:t>Proxy statement table of contents</w:t>
            </w:r>
          </w:p>
        </w:tc>
        <w:tc>
          <w:tcPr>
            <w:tcW w:w="480" w:type="dxa"/>
            <w:vAlign w:val="bottom"/>
          </w:tcPr>
          <w:p>
            <w:pPr>
              <w:jc w:val="right"/>
              <w:spacing w:after="0"/>
              <w:rPr>
                <w:sz w:val="20"/>
                <w:szCs w:val="20"/>
                <w:color w:val="auto"/>
              </w:rPr>
            </w:pPr>
            <w:r>
              <w:rPr>
                <w:rFonts w:ascii="Arial" w:cs="Arial" w:eastAsia="Arial" w:hAnsi="Arial"/>
                <w:sz w:val="20"/>
                <w:szCs w:val="20"/>
                <w:color w:val="2A2A2A"/>
              </w:rPr>
              <w:t>2</w:t>
            </w:r>
          </w:p>
        </w:tc>
      </w:tr>
      <w:tr>
        <w:trPr>
          <w:trHeight w:val="300"/>
        </w:trPr>
        <w:tc>
          <w:tcPr>
            <w:tcW w:w="4320" w:type="dxa"/>
            <w:vAlign w:val="bottom"/>
          </w:tcPr>
          <w:p>
            <w:pPr>
              <w:spacing w:after="0"/>
              <w:rPr>
                <w:sz w:val="20"/>
                <w:szCs w:val="20"/>
                <w:color w:val="auto"/>
              </w:rPr>
            </w:pPr>
            <w:r>
              <w:rPr>
                <w:rFonts w:ascii="Arial" w:cs="Arial" w:eastAsia="Arial" w:hAnsi="Arial"/>
                <w:sz w:val="20"/>
                <w:szCs w:val="20"/>
                <w:color w:val="2A2A2A"/>
              </w:rPr>
              <w:t>Voting procedures, quorum and attendance</w:t>
            </w:r>
          </w:p>
        </w:tc>
        <w:tc>
          <w:tcPr>
            <w:tcW w:w="480" w:type="dxa"/>
            <w:vAlign w:val="bottom"/>
          </w:tcPr>
          <w:p>
            <w:pPr>
              <w:jc w:val="right"/>
              <w:spacing w:after="0"/>
              <w:rPr>
                <w:sz w:val="20"/>
                <w:szCs w:val="20"/>
                <w:color w:val="auto"/>
              </w:rPr>
            </w:pPr>
            <w:r>
              <w:rPr>
                <w:rFonts w:ascii="Arial" w:cs="Arial" w:eastAsia="Arial" w:hAnsi="Arial"/>
                <w:sz w:val="20"/>
                <w:szCs w:val="20"/>
                <w:color w:val="2A2A2A"/>
              </w:rPr>
              <w:t>3</w:t>
            </w:r>
          </w:p>
        </w:tc>
      </w:tr>
      <w:tr>
        <w:trPr>
          <w:trHeight w:val="265"/>
        </w:trPr>
        <w:tc>
          <w:tcPr>
            <w:tcW w:w="4320" w:type="dxa"/>
            <w:vAlign w:val="bottom"/>
          </w:tcPr>
          <w:p>
            <w:pPr>
              <w:spacing w:after="0"/>
              <w:rPr>
                <w:sz w:val="20"/>
                <w:szCs w:val="20"/>
                <w:color w:val="auto"/>
              </w:rPr>
            </w:pPr>
            <w:r>
              <w:rPr>
                <w:rFonts w:ascii="Arial" w:cs="Arial" w:eastAsia="Arial" w:hAnsi="Arial"/>
                <w:sz w:val="20"/>
                <w:szCs w:val="20"/>
                <w:color w:val="2A2A2A"/>
              </w:rPr>
              <w:t>requirements</w:t>
            </w:r>
          </w:p>
        </w:tc>
        <w:tc>
          <w:tcPr>
            <w:tcW w:w="480" w:type="dxa"/>
            <w:vAlign w:val="bottom"/>
          </w:tcPr>
          <w:p>
            <w:pPr>
              <w:spacing w:after="0"/>
              <w:rPr>
                <w:sz w:val="23"/>
                <w:szCs w:val="23"/>
                <w:color w:val="auto"/>
              </w:rPr>
            </w:pPr>
          </w:p>
        </w:tc>
      </w:tr>
      <w:tr>
        <w:trPr>
          <w:trHeight w:val="365"/>
        </w:trPr>
        <w:tc>
          <w:tcPr>
            <w:tcW w:w="4320" w:type="dxa"/>
            <w:vAlign w:val="bottom"/>
          </w:tcPr>
          <w:p>
            <w:pPr>
              <w:spacing w:after="0"/>
              <w:rPr>
                <w:sz w:val="20"/>
                <w:szCs w:val="20"/>
                <w:color w:val="auto"/>
              </w:rPr>
            </w:pPr>
            <w:r>
              <w:rPr>
                <w:rFonts w:ascii="Arial" w:cs="Arial" w:eastAsia="Arial" w:hAnsi="Arial"/>
                <w:sz w:val="20"/>
                <w:szCs w:val="20"/>
                <w:color w:val="2A2A2A"/>
              </w:rPr>
              <w:t>Corporate governance and board of directors</w:t>
            </w:r>
          </w:p>
        </w:tc>
        <w:tc>
          <w:tcPr>
            <w:tcW w:w="480" w:type="dxa"/>
            <w:vAlign w:val="bottom"/>
          </w:tcPr>
          <w:p>
            <w:pPr>
              <w:jc w:val="right"/>
              <w:spacing w:after="0"/>
              <w:rPr>
                <w:sz w:val="20"/>
                <w:szCs w:val="20"/>
                <w:color w:val="auto"/>
              </w:rPr>
            </w:pPr>
            <w:r>
              <w:rPr>
                <w:rFonts w:ascii="Arial" w:cs="Arial" w:eastAsia="Arial" w:hAnsi="Arial"/>
                <w:sz w:val="20"/>
                <w:szCs w:val="20"/>
                <w:color w:val="2A2A2A"/>
              </w:rPr>
              <w:t>5</w:t>
            </w:r>
          </w:p>
        </w:tc>
      </w:tr>
      <w:tr>
        <w:trPr>
          <w:trHeight w:val="345"/>
        </w:trPr>
        <w:tc>
          <w:tcPr>
            <w:tcW w:w="4320" w:type="dxa"/>
            <w:vAlign w:val="bottom"/>
          </w:tcPr>
          <w:p>
            <w:pPr>
              <w:ind w:left="260"/>
              <w:spacing w:after="0"/>
              <w:rPr>
                <w:sz w:val="20"/>
                <w:szCs w:val="20"/>
                <w:color w:val="auto"/>
              </w:rPr>
            </w:pPr>
            <w:r>
              <w:rPr>
                <w:rFonts w:ascii="Arial" w:cs="Arial" w:eastAsia="Arial" w:hAnsi="Arial"/>
                <w:sz w:val="20"/>
                <w:szCs w:val="20"/>
                <w:color w:val="2A2A2A"/>
              </w:rPr>
              <w:t>Election of directors</w:t>
            </w:r>
          </w:p>
        </w:tc>
        <w:tc>
          <w:tcPr>
            <w:tcW w:w="480" w:type="dxa"/>
            <w:vAlign w:val="bottom"/>
          </w:tcPr>
          <w:p>
            <w:pPr>
              <w:jc w:val="right"/>
              <w:spacing w:after="0"/>
              <w:rPr>
                <w:sz w:val="20"/>
                <w:szCs w:val="20"/>
                <w:color w:val="auto"/>
              </w:rPr>
            </w:pPr>
            <w:r>
              <w:rPr>
                <w:rFonts w:ascii="Arial" w:cs="Arial" w:eastAsia="Arial" w:hAnsi="Arial"/>
                <w:sz w:val="20"/>
                <w:szCs w:val="20"/>
                <w:color w:val="2A2A2A"/>
              </w:rPr>
              <w:t>5</w:t>
            </w:r>
          </w:p>
        </w:tc>
      </w:tr>
      <w:tr>
        <w:trPr>
          <w:trHeight w:val="345"/>
        </w:trPr>
        <w:tc>
          <w:tcPr>
            <w:tcW w:w="4320" w:type="dxa"/>
            <w:vAlign w:val="bottom"/>
          </w:tcPr>
          <w:p>
            <w:pPr>
              <w:ind w:left="260"/>
              <w:spacing w:after="0"/>
              <w:rPr>
                <w:sz w:val="20"/>
                <w:szCs w:val="20"/>
                <w:color w:val="auto"/>
              </w:rPr>
            </w:pPr>
            <w:r>
              <w:rPr>
                <w:rFonts w:ascii="Arial" w:cs="Arial" w:eastAsia="Arial" w:hAnsi="Arial"/>
                <w:sz w:val="20"/>
                <w:szCs w:val="20"/>
                <w:color w:val="2A2A2A"/>
              </w:rPr>
              <w:t>Board organization</w:t>
            </w:r>
          </w:p>
        </w:tc>
        <w:tc>
          <w:tcPr>
            <w:tcW w:w="480" w:type="dxa"/>
            <w:vAlign w:val="bottom"/>
          </w:tcPr>
          <w:p>
            <w:pPr>
              <w:jc w:val="right"/>
              <w:spacing w:after="0"/>
              <w:rPr>
                <w:sz w:val="20"/>
                <w:szCs w:val="20"/>
                <w:color w:val="auto"/>
              </w:rPr>
            </w:pPr>
            <w:r>
              <w:rPr>
                <w:rFonts w:ascii="Arial" w:cs="Arial" w:eastAsia="Arial" w:hAnsi="Arial"/>
                <w:sz w:val="20"/>
                <w:szCs w:val="20"/>
                <w:color w:val="2A2A2A"/>
              </w:rPr>
              <w:t>15</w:t>
            </w:r>
          </w:p>
        </w:tc>
      </w:tr>
      <w:tr>
        <w:trPr>
          <w:trHeight w:val="300"/>
        </w:trPr>
        <w:tc>
          <w:tcPr>
            <w:tcW w:w="4320" w:type="dxa"/>
            <w:vAlign w:val="bottom"/>
          </w:tcPr>
          <w:p>
            <w:pPr>
              <w:ind w:left="260"/>
              <w:spacing w:after="0"/>
              <w:rPr>
                <w:sz w:val="20"/>
                <w:szCs w:val="20"/>
                <w:color w:val="auto"/>
              </w:rPr>
            </w:pPr>
            <w:r>
              <w:rPr>
                <w:rFonts w:ascii="Arial" w:cs="Arial" w:eastAsia="Arial" w:hAnsi="Arial"/>
                <w:sz w:val="20"/>
                <w:szCs w:val="20"/>
                <w:color w:val="2A2A2A"/>
              </w:rPr>
              <w:t>Proposal to approve the Texas Instruments</w:t>
            </w:r>
          </w:p>
        </w:tc>
        <w:tc>
          <w:tcPr>
            <w:tcW w:w="480" w:type="dxa"/>
            <w:vAlign w:val="bottom"/>
          </w:tcPr>
          <w:p>
            <w:pPr>
              <w:jc w:val="right"/>
              <w:spacing w:after="0"/>
              <w:rPr>
                <w:sz w:val="20"/>
                <w:szCs w:val="20"/>
                <w:color w:val="auto"/>
              </w:rPr>
            </w:pPr>
            <w:r>
              <w:rPr>
                <w:rFonts w:ascii="Arial" w:cs="Arial" w:eastAsia="Arial" w:hAnsi="Arial"/>
                <w:sz w:val="20"/>
                <w:szCs w:val="20"/>
                <w:color w:val="2A2A2A"/>
              </w:rPr>
              <w:t>20</w:t>
            </w:r>
          </w:p>
        </w:tc>
      </w:tr>
      <w:tr>
        <w:trPr>
          <w:trHeight w:val="261"/>
        </w:trPr>
        <w:tc>
          <w:tcPr>
            <w:tcW w:w="4320" w:type="dxa"/>
            <w:vAlign w:val="bottom"/>
          </w:tcPr>
          <w:p>
            <w:pPr>
              <w:ind w:left="260"/>
              <w:spacing w:after="0"/>
              <w:rPr>
                <w:sz w:val="20"/>
                <w:szCs w:val="20"/>
                <w:color w:val="auto"/>
              </w:rPr>
            </w:pPr>
            <w:r>
              <w:rPr>
                <w:rFonts w:ascii="Arial" w:cs="Arial" w:eastAsia="Arial" w:hAnsi="Arial"/>
                <w:sz w:val="20"/>
                <w:szCs w:val="20"/>
                <w:color w:val="2A2A2A"/>
              </w:rPr>
              <w:t>2024 Long-Term Incentive Plan</w:t>
            </w:r>
          </w:p>
        </w:tc>
        <w:tc>
          <w:tcPr>
            <w:tcW w:w="480" w:type="dxa"/>
            <w:vAlign w:val="bottom"/>
          </w:tcPr>
          <w:p>
            <w:pPr>
              <w:spacing w:after="0"/>
              <w:rPr>
                <w:sz w:val="22"/>
                <w:szCs w:val="22"/>
                <w:color w:val="auto"/>
              </w:rPr>
            </w:pPr>
          </w:p>
        </w:tc>
      </w:tr>
    </w:tbl>
    <w:p>
      <w:pPr>
        <w:spacing w:after="0" w:line="1" w:lineRule="exact"/>
        <w:rPr>
          <w:sz w:val="20"/>
          <w:szCs w:val="20"/>
          <w:color w:val="auto"/>
        </w:rPr>
      </w:pPr>
    </w:p>
    <w:p>
      <w:pPr>
        <w:sectPr>
          <w:pgSz w:w="12240" w:h="15840" w:orient="portrait"/>
          <w:cols w:equalWidth="0" w:num="2">
            <w:col w:w="4800" w:space="700"/>
            <w:col w:w="4800"/>
          </w:cols>
          <w:pgMar w:left="1040" w:top="653" w:right="900" w:bottom="498" w:gutter="0" w:footer="0" w:header="0"/>
          <w:type w:val="continuous"/>
        </w:sectPr>
      </w:pPr>
    </w:p>
    <w:p>
      <w:pPr>
        <w:spacing w:after="0"/>
        <w:rPr>
          <w:sz w:val="20"/>
          <w:szCs w:val="20"/>
          <w:color w:val="auto"/>
        </w:rPr>
      </w:pPr>
      <w:r>
        <w:rPr>
          <w:rFonts w:ascii="Arial" w:cs="Arial" w:eastAsia="Arial" w:hAnsi="Arial"/>
          <w:sz w:val="22"/>
          <w:szCs w:val="22"/>
          <w:b w:val="1"/>
          <w:bCs w:val="1"/>
          <w:color w:val="2A2A2A"/>
        </w:rPr>
        <w:t>PART II</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20"/>
                <w:szCs w:val="20"/>
                <w:color w:val="2A2A2A"/>
              </w:rPr>
              <w:t>Item 5. Market for Registrant’s common</w:t>
            </w:r>
          </w:p>
        </w:tc>
        <w:tc>
          <w:tcPr>
            <w:tcW w:w="460" w:type="dxa"/>
            <w:vAlign w:val="bottom"/>
          </w:tcPr>
          <w:p>
            <w:pPr>
              <w:jc w:val="right"/>
              <w:spacing w:after="0"/>
              <w:rPr>
                <w:sz w:val="20"/>
                <w:szCs w:val="20"/>
                <w:color w:val="auto"/>
              </w:rPr>
            </w:pPr>
            <w:r>
              <w:rPr>
                <w:rFonts w:ascii="Arial" w:cs="Arial" w:eastAsia="Arial" w:hAnsi="Arial"/>
                <w:sz w:val="20"/>
                <w:szCs w:val="20"/>
                <w:color w:val="2A2A2A"/>
              </w:rPr>
              <w:t>18</w:t>
            </w:r>
          </w:p>
        </w:tc>
      </w:tr>
      <w:tr>
        <w:trPr>
          <w:trHeight w:val="220"/>
        </w:trPr>
        <w:tc>
          <w:tcPr>
            <w:tcW w:w="4340" w:type="dxa"/>
            <w:vAlign w:val="bottom"/>
            <w:gridSpan w:val="2"/>
          </w:tcPr>
          <w:p>
            <w:pPr>
              <w:spacing w:after="0" w:line="220" w:lineRule="exact"/>
              <w:rPr>
                <w:sz w:val="20"/>
                <w:szCs w:val="20"/>
                <w:color w:val="auto"/>
              </w:rPr>
            </w:pPr>
            <w:r>
              <w:rPr>
                <w:rFonts w:ascii="Arial" w:cs="Arial" w:eastAsia="Arial" w:hAnsi="Arial"/>
                <w:sz w:val="20"/>
                <w:szCs w:val="20"/>
                <w:color w:val="2A2A2A"/>
              </w:rPr>
              <w:t>equity, related stockholder matters and issuer</w:t>
            </w:r>
          </w:p>
        </w:tc>
        <w:tc>
          <w:tcPr>
            <w:tcW w:w="460" w:type="dxa"/>
            <w:vAlign w:val="bottom"/>
          </w:tcPr>
          <w:p>
            <w:pPr>
              <w:spacing w:after="0"/>
              <w:rPr>
                <w:sz w:val="19"/>
                <w:szCs w:val="19"/>
                <w:color w:val="auto"/>
              </w:rPr>
            </w:pP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purchases of equity securities</w:t>
            </w:r>
          </w:p>
        </w:tc>
        <w:tc>
          <w:tcPr>
            <w:tcW w:w="460" w:type="dxa"/>
            <w:vAlign w:val="bottom"/>
          </w:tcPr>
          <w:p>
            <w:pPr>
              <w:spacing w:after="0"/>
              <w:rPr>
                <w:sz w:val="23"/>
                <w:szCs w:val="23"/>
                <w:color w:val="auto"/>
              </w:rPr>
            </w:pPr>
          </w:p>
        </w:tc>
      </w:tr>
      <w:tr>
        <w:trPr>
          <w:trHeight w:val="325"/>
        </w:trPr>
        <w:tc>
          <w:tcPr>
            <w:tcW w:w="640" w:type="dxa"/>
            <w:vAlign w:val="bottom"/>
          </w:tcPr>
          <w:p>
            <w:pPr>
              <w:spacing w:after="0"/>
              <w:rPr>
                <w:sz w:val="20"/>
                <w:szCs w:val="20"/>
                <w:color w:val="auto"/>
              </w:rPr>
            </w:pPr>
            <w:r>
              <w:rPr>
                <w:rFonts w:ascii="Arial" w:cs="Arial" w:eastAsia="Arial" w:hAnsi="Arial"/>
                <w:sz w:val="20"/>
                <w:szCs w:val="20"/>
                <w:color w:val="2A2A2A"/>
              </w:rPr>
              <w:t>Item 6.</w:t>
            </w:r>
          </w:p>
        </w:tc>
        <w:tc>
          <w:tcPr>
            <w:tcW w:w="3700" w:type="dxa"/>
            <w:vAlign w:val="bottom"/>
          </w:tcPr>
          <w:p>
            <w:pPr>
              <w:ind w:left="20"/>
              <w:spacing w:after="0"/>
              <w:rPr>
                <w:sz w:val="20"/>
                <w:szCs w:val="20"/>
                <w:color w:val="auto"/>
              </w:rPr>
            </w:pPr>
            <w:r>
              <w:rPr>
                <w:rFonts w:ascii="Arial" w:cs="Arial" w:eastAsia="Arial" w:hAnsi="Arial"/>
                <w:sz w:val="20"/>
                <w:szCs w:val="20"/>
                <w:color w:val="2A2A2A"/>
              </w:rPr>
              <w:t>(Reserved)</w:t>
            </w:r>
          </w:p>
        </w:tc>
        <w:tc>
          <w:tcPr>
            <w:tcW w:w="460" w:type="dxa"/>
            <w:vAlign w:val="bottom"/>
          </w:tcPr>
          <w:p>
            <w:pPr>
              <w:jc w:val="right"/>
              <w:spacing w:after="0"/>
              <w:rPr>
                <w:sz w:val="20"/>
                <w:szCs w:val="20"/>
                <w:color w:val="auto"/>
              </w:rPr>
            </w:pPr>
            <w:r>
              <w:rPr>
                <w:rFonts w:ascii="Arial" w:cs="Arial" w:eastAsia="Arial" w:hAnsi="Arial"/>
                <w:sz w:val="20"/>
                <w:szCs w:val="20"/>
                <w:color w:val="2A2A2A"/>
              </w:rPr>
              <w:t>18</w:t>
            </w:r>
          </w:p>
        </w:tc>
      </w:tr>
      <w:tr>
        <w:trPr>
          <w:trHeight w:val="300"/>
        </w:trPr>
        <w:tc>
          <w:tcPr>
            <w:tcW w:w="640" w:type="dxa"/>
            <w:vAlign w:val="bottom"/>
          </w:tcPr>
          <w:p>
            <w:pPr>
              <w:spacing w:after="0"/>
              <w:rPr>
                <w:sz w:val="20"/>
                <w:szCs w:val="20"/>
                <w:color w:val="auto"/>
              </w:rPr>
            </w:pPr>
            <w:r>
              <w:rPr>
                <w:rFonts w:ascii="Arial" w:cs="Arial" w:eastAsia="Arial" w:hAnsi="Arial"/>
                <w:sz w:val="20"/>
                <w:szCs w:val="20"/>
                <w:color w:val="2A2A2A"/>
              </w:rPr>
              <w:t>Item 7.</w:t>
            </w:r>
          </w:p>
        </w:tc>
        <w:tc>
          <w:tcPr>
            <w:tcW w:w="3700" w:type="dxa"/>
            <w:vAlign w:val="bottom"/>
          </w:tcPr>
          <w:p>
            <w:pPr>
              <w:ind w:left="20"/>
              <w:spacing w:after="0"/>
              <w:rPr>
                <w:sz w:val="20"/>
                <w:szCs w:val="20"/>
                <w:color w:val="auto"/>
              </w:rPr>
            </w:pPr>
            <w:r>
              <w:rPr>
                <w:rFonts w:ascii="Arial" w:cs="Arial" w:eastAsia="Arial" w:hAnsi="Arial"/>
                <w:sz w:val="20"/>
                <w:szCs w:val="20"/>
                <w:color w:val="2A2A2A"/>
              </w:rPr>
              <w:t>Management’s discussion and analysis</w:t>
            </w:r>
          </w:p>
        </w:tc>
        <w:tc>
          <w:tcPr>
            <w:tcW w:w="460" w:type="dxa"/>
            <w:vAlign w:val="bottom"/>
          </w:tcPr>
          <w:p>
            <w:pPr>
              <w:jc w:val="right"/>
              <w:spacing w:after="0"/>
              <w:rPr>
                <w:sz w:val="20"/>
                <w:szCs w:val="20"/>
                <w:color w:val="auto"/>
              </w:rPr>
            </w:pPr>
            <w:r>
              <w:rPr>
                <w:rFonts w:ascii="Arial" w:cs="Arial" w:eastAsia="Arial" w:hAnsi="Arial"/>
                <w:sz w:val="20"/>
                <w:szCs w:val="20"/>
                <w:color w:val="2A2A2A"/>
              </w:rPr>
              <w:t>19</w:t>
            </w: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of financial condition and results of operations</w:t>
            </w:r>
          </w:p>
        </w:tc>
        <w:tc>
          <w:tcPr>
            <w:tcW w:w="460" w:type="dxa"/>
            <w:vAlign w:val="bottom"/>
          </w:tcPr>
          <w:p>
            <w:pPr>
              <w:spacing w:after="0"/>
              <w:rPr>
                <w:sz w:val="23"/>
                <w:szCs w:val="23"/>
                <w:color w:val="auto"/>
              </w:rPr>
            </w:pPr>
          </w:p>
        </w:tc>
      </w:tr>
      <w:tr>
        <w:trPr>
          <w:trHeight w:val="290"/>
        </w:trPr>
        <w:tc>
          <w:tcPr>
            <w:tcW w:w="4340" w:type="dxa"/>
            <w:vAlign w:val="bottom"/>
            <w:gridSpan w:val="2"/>
          </w:tcPr>
          <w:p>
            <w:pPr>
              <w:spacing w:after="0"/>
              <w:rPr>
                <w:sz w:val="20"/>
                <w:szCs w:val="20"/>
                <w:color w:val="auto"/>
              </w:rPr>
            </w:pPr>
            <w:r>
              <w:rPr>
                <w:rFonts w:ascii="Arial" w:cs="Arial" w:eastAsia="Arial" w:hAnsi="Arial"/>
                <w:sz w:val="20"/>
                <w:szCs w:val="20"/>
                <w:color w:val="2A2A2A"/>
              </w:rPr>
              <w:t>Item 7A. Quantitative and qualitative</w:t>
            </w:r>
          </w:p>
        </w:tc>
        <w:tc>
          <w:tcPr>
            <w:tcW w:w="460" w:type="dxa"/>
            <w:vAlign w:val="bottom"/>
          </w:tcPr>
          <w:p>
            <w:pPr>
              <w:jc w:val="right"/>
              <w:spacing w:after="0"/>
              <w:rPr>
                <w:sz w:val="20"/>
                <w:szCs w:val="20"/>
                <w:color w:val="auto"/>
              </w:rPr>
            </w:pPr>
            <w:r>
              <w:rPr>
                <w:rFonts w:ascii="Arial" w:cs="Arial" w:eastAsia="Arial" w:hAnsi="Arial"/>
                <w:sz w:val="20"/>
                <w:szCs w:val="20"/>
                <w:color w:val="2A2A2A"/>
              </w:rPr>
              <w:t>24</w:t>
            </w: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disclosures about market risk</w:t>
            </w:r>
          </w:p>
        </w:tc>
        <w:tc>
          <w:tcPr>
            <w:tcW w:w="460" w:type="dxa"/>
            <w:vAlign w:val="bottom"/>
          </w:tcPr>
          <w:p>
            <w:pPr>
              <w:spacing w:after="0"/>
              <w:rPr>
                <w:sz w:val="23"/>
                <w:szCs w:val="23"/>
                <w:color w:val="auto"/>
              </w:rPr>
            </w:pPr>
          </w:p>
        </w:tc>
      </w:tr>
      <w:tr>
        <w:trPr>
          <w:trHeight w:val="290"/>
        </w:trPr>
        <w:tc>
          <w:tcPr>
            <w:tcW w:w="640" w:type="dxa"/>
            <w:vAlign w:val="bottom"/>
          </w:tcPr>
          <w:p>
            <w:pPr>
              <w:spacing w:after="0"/>
              <w:rPr>
                <w:sz w:val="20"/>
                <w:szCs w:val="20"/>
                <w:color w:val="auto"/>
              </w:rPr>
            </w:pPr>
            <w:r>
              <w:rPr>
                <w:rFonts w:ascii="Arial" w:cs="Arial" w:eastAsia="Arial" w:hAnsi="Arial"/>
                <w:sz w:val="20"/>
                <w:szCs w:val="20"/>
                <w:color w:val="2A2A2A"/>
              </w:rPr>
              <w:t>Item 8.</w:t>
            </w:r>
          </w:p>
        </w:tc>
        <w:tc>
          <w:tcPr>
            <w:tcW w:w="3700" w:type="dxa"/>
            <w:vAlign w:val="bottom"/>
          </w:tcPr>
          <w:p>
            <w:pPr>
              <w:ind w:left="20"/>
              <w:spacing w:after="0"/>
              <w:rPr>
                <w:sz w:val="20"/>
                <w:szCs w:val="20"/>
                <w:color w:val="auto"/>
              </w:rPr>
            </w:pPr>
            <w:r>
              <w:rPr>
                <w:rFonts w:ascii="Arial" w:cs="Arial" w:eastAsia="Arial" w:hAnsi="Arial"/>
                <w:sz w:val="20"/>
                <w:szCs w:val="20"/>
                <w:color w:val="2A2A2A"/>
              </w:rPr>
              <w:t>Financial statements and</w:t>
            </w:r>
          </w:p>
        </w:tc>
        <w:tc>
          <w:tcPr>
            <w:tcW w:w="460" w:type="dxa"/>
            <w:vAlign w:val="bottom"/>
          </w:tcPr>
          <w:p>
            <w:pPr>
              <w:jc w:val="right"/>
              <w:spacing w:after="0"/>
              <w:rPr>
                <w:sz w:val="20"/>
                <w:szCs w:val="20"/>
                <w:color w:val="auto"/>
              </w:rPr>
            </w:pPr>
            <w:r>
              <w:rPr>
                <w:rFonts w:ascii="Arial" w:cs="Arial" w:eastAsia="Arial" w:hAnsi="Arial"/>
                <w:sz w:val="20"/>
                <w:szCs w:val="20"/>
                <w:color w:val="2A2A2A"/>
              </w:rPr>
              <w:t>25</w:t>
            </w: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supplementary data</w:t>
            </w:r>
          </w:p>
        </w:tc>
        <w:tc>
          <w:tcPr>
            <w:tcW w:w="460" w:type="dxa"/>
            <w:vAlign w:val="bottom"/>
          </w:tcPr>
          <w:p>
            <w:pPr>
              <w:spacing w:after="0"/>
              <w:rPr>
                <w:sz w:val="23"/>
                <w:szCs w:val="23"/>
                <w:color w:val="auto"/>
              </w:rPr>
            </w:pPr>
          </w:p>
        </w:tc>
      </w:tr>
      <w:tr>
        <w:trPr>
          <w:trHeight w:val="290"/>
        </w:trPr>
        <w:tc>
          <w:tcPr>
            <w:tcW w:w="640" w:type="dxa"/>
            <w:vAlign w:val="bottom"/>
          </w:tcPr>
          <w:p>
            <w:pPr>
              <w:spacing w:after="0"/>
              <w:rPr>
                <w:sz w:val="20"/>
                <w:szCs w:val="20"/>
                <w:color w:val="auto"/>
              </w:rPr>
            </w:pPr>
            <w:r>
              <w:rPr>
                <w:rFonts w:ascii="Arial" w:cs="Arial" w:eastAsia="Arial" w:hAnsi="Arial"/>
                <w:sz w:val="20"/>
                <w:szCs w:val="20"/>
                <w:color w:val="2A2A2A"/>
              </w:rPr>
              <w:t>Item 9.</w:t>
            </w:r>
          </w:p>
        </w:tc>
        <w:tc>
          <w:tcPr>
            <w:tcW w:w="3700" w:type="dxa"/>
            <w:vAlign w:val="bottom"/>
          </w:tcPr>
          <w:p>
            <w:pPr>
              <w:ind w:left="20"/>
              <w:spacing w:after="0"/>
              <w:rPr>
                <w:sz w:val="20"/>
                <w:szCs w:val="20"/>
                <w:color w:val="auto"/>
              </w:rPr>
            </w:pPr>
            <w:r>
              <w:rPr>
                <w:rFonts w:ascii="Arial" w:cs="Arial" w:eastAsia="Arial" w:hAnsi="Arial"/>
                <w:sz w:val="20"/>
                <w:szCs w:val="20"/>
                <w:color w:val="2A2A2A"/>
              </w:rPr>
              <w:t>Changes in and disagreements with</w:t>
            </w:r>
          </w:p>
        </w:tc>
        <w:tc>
          <w:tcPr>
            <w:tcW w:w="460" w:type="dxa"/>
            <w:vAlign w:val="bottom"/>
          </w:tcPr>
          <w:p>
            <w:pPr>
              <w:jc w:val="right"/>
              <w:spacing w:after="0"/>
              <w:rPr>
                <w:sz w:val="20"/>
                <w:szCs w:val="20"/>
                <w:color w:val="auto"/>
              </w:rPr>
            </w:pPr>
            <w:r>
              <w:rPr>
                <w:rFonts w:ascii="Arial" w:cs="Arial" w:eastAsia="Arial" w:hAnsi="Arial"/>
                <w:sz w:val="20"/>
                <w:szCs w:val="20"/>
                <w:color w:val="2A2A2A"/>
              </w:rPr>
              <w:t>58</w:t>
            </w:r>
          </w:p>
        </w:tc>
      </w:tr>
      <w:tr>
        <w:trPr>
          <w:trHeight w:val="220"/>
        </w:trPr>
        <w:tc>
          <w:tcPr>
            <w:tcW w:w="4340" w:type="dxa"/>
            <w:vAlign w:val="bottom"/>
            <w:gridSpan w:val="2"/>
          </w:tcPr>
          <w:p>
            <w:pPr>
              <w:spacing w:after="0" w:line="220" w:lineRule="exact"/>
              <w:rPr>
                <w:sz w:val="20"/>
                <w:szCs w:val="20"/>
                <w:color w:val="auto"/>
              </w:rPr>
            </w:pPr>
            <w:r>
              <w:rPr>
                <w:rFonts w:ascii="Arial" w:cs="Arial" w:eastAsia="Arial" w:hAnsi="Arial"/>
                <w:sz w:val="20"/>
                <w:szCs w:val="20"/>
                <w:color w:val="2A2A2A"/>
              </w:rPr>
              <w:t>accountants on accounting and financial</w:t>
            </w:r>
          </w:p>
        </w:tc>
        <w:tc>
          <w:tcPr>
            <w:tcW w:w="460" w:type="dxa"/>
            <w:vAlign w:val="bottom"/>
          </w:tcPr>
          <w:p>
            <w:pPr>
              <w:spacing w:after="0"/>
              <w:rPr>
                <w:sz w:val="19"/>
                <w:szCs w:val="19"/>
                <w:color w:val="auto"/>
              </w:rPr>
            </w:pP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disclosure</w:t>
            </w:r>
          </w:p>
        </w:tc>
        <w:tc>
          <w:tcPr>
            <w:tcW w:w="460" w:type="dxa"/>
            <w:vAlign w:val="bottom"/>
          </w:tcPr>
          <w:p>
            <w:pPr>
              <w:spacing w:after="0"/>
              <w:rPr>
                <w:sz w:val="23"/>
                <w:szCs w:val="23"/>
                <w:color w:val="auto"/>
              </w:rPr>
            </w:pPr>
          </w:p>
        </w:tc>
      </w:tr>
      <w:tr>
        <w:trPr>
          <w:trHeight w:val="325"/>
        </w:trPr>
        <w:tc>
          <w:tcPr>
            <w:tcW w:w="4340" w:type="dxa"/>
            <w:vAlign w:val="bottom"/>
            <w:gridSpan w:val="2"/>
          </w:tcPr>
          <w:p>
            <w:pPr>
              <w:spacing w:after="0"/>
              <w:rPr>
                <w:sz w:val="20"/>
                <w:szCs w:val="20"/>
                <w:color w:val="auto"/>
              </w:rPr>
            </w:pPr>
            <w:r>
              <w:rPr>
                <w:rFonts w:ascii="Arial" w:cs="Arial" w:eastAsia="Arial" w:hAnsi="Arial"/>
                <w:sz w:val="20"/>
                <w:szCs w:val="20"/>
                <w:color w:val="2A2A2A"/>
              </w:rPr>
              <w:t>Item 9A. Controls and procedures</w:t>
            </w:r>
          </w:p>
        </w:tc>
        <w:tc>
          <w:tcPr>
            <w:tcW w:w="460" w:type="dxa"/>
            <w:vAlign w:val="bottom"/>
          </w:tcPr>
          <w:p>
            <w:pPr>
              <w:jc w:val="right"/>
              <w:spacing w:after="0"/>
              <w:rPr>
                <w:sz w:val="20"/>
                <w:szCs w:val="20"/>
                <w:color w:val="auto"/>
              </w:rPr>
            </w:pPr>
            <w:r>
              <w:rPr>
                <w:rFonts w:ascii="Arial" w:cs="Arial" w:eastAsia="Arial" w:hAnsi="Arial"/>
                <w:sz w:val="20"/>
                <w:szCs w:val="20"/>
                <w:color w:val="2A2A2A"/>
              </w:rPr>
              <w:t>58</w:t>
            </w:r>
          </w:p>
        </w:tc>
      </w:tr>
      <w:tr>
        <w:trPr>
          <w:trHeight w:val="345"/>
        </w:trPr>
        <w:tc>
          <w:tcPr>
            <w:tcW w:w="4340" w:type="dxa"/>
            <w:vAlign w:val="bottom"/>
            <w:gridSpan w:val="2"/>
          </w:tcPr>
          <w:p>
            <w:pPr>
              <w:spacing w:after="0"/>
              <w:rPr>
                <w:sz w:val="20"/>
                <w:szCs w:val="20"/>
                <w:color w:val="auto"/>
              </w:rPr>
            </w:pPr>
            <w:r>
              <w:rPr>
                <w:rFonts w:ascii="Arial" w:cs="Arial" w:eastAsia="Arial" w:hAnsi="Arial"/>
                <w:sz w:val="20"/>
                <w:szCs w:val="20"/>
                <w:color w:val="2A2A2A"/>
              </w:rPr>
              <w:t>Item 9B. Other information</w:t>
            </w:r>
          </w:p>
        </w:tc>
        <w:tc>
          <w:tcPr>
            <w:tcW w:w="460" w:type="dxa"/>
            <w:vAlign w:val="bottom"/>
          </w:tcPr>
          <w:p>
            <w:pPr>
              <w:jc w:val="right"/>
              <w:spacing w:after="0"/>
              <w:rPr>
                <w:sz w:val="20"/>
                <w:szCs w:val="20"/>
                <w:color w:val="auto"/>
              </w:rPr>
            </w:pPr>
            <w:r>
              <w:rPr>
                <w:rFonts w:ascii="Arial" w:cs="Arial" w:eastAsia="Arial" w:hAnsi="Arial"/>
                <w:sz w:val="20"/>
                <w:szCs w:val="20"/>
                <w:color w:val="2A2A2A"/>
              </w:rPr>
              <w:t>60</w:t>
            </w:r>
          </w:p>
        </w:tc>
      </w:tr>
      <w:tr>
        <w:trPr>
          <w:trHeight w:val="300"/>
        </w:trPr>
        <w:tc>
          <w:tcPr>
            <w:tcW w:w="4340" w:type="dxa"/>
            <w:vAlign w:val="bottom"/>
            <w:gridSpan w:val="2"/>
          </w:tcPr>
          <w:p>
            <w:pPr>
              <w:spacing w:after="0"/>
              <w:rPr>
                <w:sz w:val="20"/>
                <w:szCs w:val="20"/>
                <w:color w:val="auto"/>
              </w:rPr>
            </w:pPr>
            <w:r>
              <w:rPr>
                <w:rFonts w:ascii="Arial" w:cs="Arial" w:eastAsia="Arial" w:hAnsi="Arial"/>
                <w:sz w:val="20"/>
                <w:szCs w:val="20"/>
                <w:color w:val="2A2A2A"/>
              </w:rPr>
              <w:t>Item 9C. Disclosure regarding foreign</w:t>
            </w:r>
          </w:p>
        </w:tc>
        <w:tc>
          <w:tcPr>
            <w:tcW w:w="460" w:type="dxa"/>
            <w:vAlign w:val="bottom"/>
          </w:tcPr>
          <w:p>
            <w:pPr>
              <w:jc w:val="right"/>
              <w:spacing w:after="0"/>
              <w:rPr>
                <w:sz w:val="20"/>
                <w:szCs w:val="20"/>
                <w:color w:val="auto"/>
              </w:rPr>
            </w:pPr>
            <w:r>
              <w:rPr>
                <w:rFonts w:ascii="Arial" w:cs="Arial" w:eastAsia="Arial" w:hAnsi="Arial"/>
                <w:sz w:val="20"/>
                <w:szCs w:val="20"/>
                <w:color w:val="2A2A2A"/>
              </w:rPr>
              <w:t>60</w:t>
            </w:r>
          </w:p>
        </w:tc>
      </w:tr>
      <w:tr>
        <w:trPr>
          <w:trHeight w:val="265"/>
        </w:trPr>
        <w:tc>
          <w:tcPr>
            <w:tcW w:w="4340" w:type="dxa"/>
            <w:vAlign w:val="bottom"/>
            <w:gridSpan w:val="2"/>
          </w:tcPr>
          <w:p>
            <w:pPr>
              <w:spacing w:after="0"/>
              <w:rPr>
                <w:sz w:val="20"/>
                <w:szCs w:val="20"/>
                <w:color w:val="auto"/>
              </w:rPr>
            </w:pPr>
            <w:r>
              <w:rPr>
                <w:rFonts w:ascii="Arial" w:cs="Arial" w:eastAsia="Arial" w:hAnsi="Arial"/>
                <w:sz w:val="20"/>
                <w:szCs w:val="20"/>
                <w:color w:val="2A2A2A"/>
              </w:rPr>
              <w:t>jurisdictions that prevent inspections</w:t>
            </w:r>
          </w:p>
        </w:tc>
        <w:tc>
          <w:tcPr>
            <w:tcW w:w="4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4240" w:type="dxa"/>
            <w:vAlign w:val="bottom"/>
          </w:tcPr>
          <w:p>
            <w:pPr>
              <w:ind w:left="260"/>
              <w:spacing w:after="0"/>
              <w:rPr>
                <w:sz w:val="20"/>
                <w:szCs w:val="20"/>
                <w:color w:val="auto"/>
              </w:rPr>
            </w:pPr>
            <w:r>
              <w:rPr>
                <w:rFonts w:ascii="Arial" w:cs="Arial" w:eastAsia="Arial" w:hAnsi="Arial"/>
                <w:sz w:val="20"/>
                <w:szCs w:val="20"/>
                <w:color w:val="2A2A2A"/>
              </w:rPr>
              <w:t>Director compensation</w:t>
            </w:r>
          </w:p>
        </w:tc>
        <w:tc>
          <w:tcPr>
            <w:tcW w:w="560" w:type="dxa"/>
            <w:vAlign w:val="bottom"/>
          </w:tcPr>
          <w:p>
            <w:pPr>
              <w:jc w:val="right"/>
              <w:spacing w:after="0"/>
              <w:rPr>
                <w:sz w:val="20"/>
                <w:szCs w:val="20"/>
                <w:color w:val="auto"/>
              </w:rPr>
            </w:pPr>
            <w:r>
              <w:rPr>
                <w:rFonts w:ascii="Arial" w:cs="Arial" w:eastAsia="Arial" w:hAnsi="Arial"/>
                <w:sz w:val="20"/>
                <w:szCs w:val="20"/>
                <w:color w:val="2A2A2A"/>
              </w:rPr>
              <w:t>25</w:t>
            </w:r>
          </w:p>
        </w:tc>
      </w:tr>
      <w:tr>
        <w:trPr>
          <w:trHeight w:val="345"/>
        </w:trPr>
        <w:tc>
          <w:tcPr>
            <w:tcW w:w="4240" w:type="dxa"/>
            <w:vAlign w:val="bottom"/>
          </w:tcPr>
          <w:p>
            <w:pPr>
              <w:spacing w:after="0"/>
              <w:rPr>
                <w:sz w:val="20"/>
                <w:szCs w:val="20"/>
                <w:color w:val="auto"/>
              </w:rPr>
            </w:pPr>
            <w:r>
              <w:rPr>
                <w:rFonts w:ascii="Arial" w:cs="Arial" w:eastAsia="Arial" w:hAnsi="Arial"/>
                <w:sz w:val="20"/>
                <w:szCs w:val="20"/>
                <w:color w:val="2A2A2A"/>
              </w:rPr>
              <w:t>Executive compensation</w:t>
            </w:r>
          </w:p>
        </w:tc>
        <w:tc>
          <w:tcPr>
            <w:tcW w:w="560" w:type="dxa"/>
            <w:vAlign w:val="bottom"/>
          </w:tcPr>
          <w:p>
            <w:pPr>
              <w:jc w:val="right"/>
              <w:spacing w:after="0"/>
              <w:rPr>
                <w:sz w:val="20"/>
                <w:szCs w:val="20"/>
                <w:color w:val="auto"/>
              </w:rPr>
            </w:pPr>
            <w:r>
              <w:rPr>
                <w:rFonts w:ascii="Arial" w:cs="Arial" w:eastAsia="Arial" w:hAnsi="Arial"/>
                <w:sz w:val="20"/>
                <w:szCs w:val="20"/>
                <w:color w:val="2A2A2A"/>
              </w:rPr>
              <w:t>28</w:t>
            </w:r>
          </w:p>
        </w:tc>
      </w:tr>
      <w:tr>
        <w:trPr>
          <w:trHeight w:val="345"/>
        </w:trPr>
        <w:tc>
          <w:tcPr>
            <w:tcW w:w="4240" w:type="dxa"/>
            <w:vAlign w:val="bottom"/>
          </w:tcPr>
          <w:p>
            <w:pPr>
              <w:spacing w:after="0"/>
              <w:rPr>
                <w:sz w:val="20"/>
                <w:szCs w:val="20"/>
                <w:color w:val="auto"/>
              </w:rPr>
            </w:pPr>
            <w:r>
              <w:rPr>
                <w:rFonts w:ascii="Arial" w:cs="Arial" w:eastAsia="Arial" w:hAnsi="Arial"/>
                <w:sz w:val="20"/>
                <w:szCs w:val="20"/>
                <w:color w:val="2A2A2A"/>
              </w:rPr>
              <w:t>Audit committee matters</w:t>
            </w:r>
          </w:p>
        </w:tc>
        <w:tc>
          <w:tcPr>
            <w:tcW w:w="560" w:type="dxa"/>
            <w:vAlign w:val="bottom"/>
          </w:tcPr>
          <w:p>
            <w:pPr>
              <w:jc w:val="right"/>
              <w:spacing w:after="0"/>
              <w:rPr>
                <w:sz w:val="20"/>
                <w:szCs w:val="20"/>
                <w:color w:val="auto"/>
              </w:rPr>
            </w:pPr>
            <w:r>
              <w:rPr>
                <w:rFonts w:ascii="Arial" w:cs="Arial" w:eastAsia="Arial" w:hAnsi="Arial"/>
                <w:sz w:val="20"/>
                <w:szCs w:val="20"/>
                <w:color w:val="2A2A2A"/>
              </w:rPr>
              <w:t>61</w:t>
            </w:r>
          </w:p>
        </w:tc>
      </w:tr>
      <w:tr>
        <w:trPr>
          <w:trHeight w:val="345"/>
        </w:trPr>
        <w:tc>
          <w:tcPr>
            <w:tcW w:w="4240" w:type="dxa"/>
            <w:vAlign w:val="bottom"/>
          </w:tcPr>
          <w:p>
            <w:pPr>
              <w:ind w:left="260"/>
              <w:spacing w:after="0"/>
              <w:rPr>
                <w:sz w:val="20"/>
                <w:szCs w:val="20"/>
                <w:color w:val="auto"/>
              </w:rPr>
            </w:pPr>
            <w:r>
              <w:rPr>
                <w:rFonts w:ascii="Arial" w:cs="Arial" w:eastAsia="Arial" w:hAnsi="Arial"/>
                <w:sz w:val="20"/>
                <w:szCs w:val="20"/>
                <w:color w:val="2A2A2A"/>
              </w:rPr>
              <w:t>Audit committee report</w:t>
            </w:r>
          </w:p>
        </w:tc>
        <w:tc>
          <w:tcPr>
            <w:tcW w:w="560" w:type="dxa"/>
            <w:vAlign w:val="bottom"/>
          </w:tcPr>
          <w:p>
            <w:pPr>
              <w:jc w:val="right"/>
              <w:spacing w:after="0"/>
              <w:rPr>
                <w:sz w:val="20"/>
                <w:szCs w:val="20"/>
                <w:color w:val="auto"/>
              </w:rPr>
            </w:pPr>
            <w:r>
              <w:rPr>
                <w:rFonts w:ascii="Arial" w:cs="Arial" w:eastAsia="Arial" w:hAnsi="Arial"/>
                <w:sz w:val="20"/>
                <w:szCs w:val="20"/>
                <w:color w:val="2A2A2A"/>
              </w:rPr>
              <w:t>61</w:t>
            </w:r>
          </w:p>
        </w:tc>
      </w:tr>
      <w:tr>
        <w:trPr>
          <w:trHeight w:val="300"/>
        </w:trPr>
        <w:tc>
          <w:tcPr>
            <w:tcW w:w="4240" w:type="dxa"/>
            <w:vAlign w:val="bottom"/>
          </w:tcPr>
          <w:p>
            <w:pPr>
              <w:ind w:left="260"/>
              <w:spacing w:after="0"/>
              <w:rPr>
                <w:sz w:val="20"/>
                <w:szCs w:val="20"/>
                <w:color w:val="auto"/>
              </w:rPr>
            </w:pPr>
            <w:r>
              <w:rPr>
                <w:rFonts w:ascii="Arial" w:cs="Arial" w:eastAsia="Arial" w:hAnsi="Arial"/>
                <w:sz w:val="20"/>
                <w:szCs w:val="20"/>
                <w:color w:val="2A2A2A"/>
              </w:rPr>
              <w:t>Proposal to ratify appointment of</w:t>
            </w:r>
          </w:p>
        </w:tc>
        <w:tc>
          <w:tcPr>
            <w:tcW w:w="560" w:type="dxa"/>
            <w:vAlign w:val="bottom"/>
          </w:tcPr>
          <w:p>
            <w:pPr>
              <w:jc w:val="right"/>
              <w:spacing w:after="0"/>
              <w:rPr>
                <w:sz w:val="20"/>
                <w:szCs w:val="20"/>
                <w:color w:val="auto"/>
              </w:rPr>
            </w:pPr>
            <w:r>
              <w:rPr>
                <w:rFonts w:ascii="Arial" w:cs="Arial" w:eastAsia="Arial" w:hAnsi="Arial"/>
                <w:sz w:val="20"/>
                <w:szCs w:val="20"/>
                <w:color w:val="2A2A2A"/>
              </w:rPr>
              <w:t>61</w:t>
            </w:r>
          </w:p>
        </w:tc>
      </w:tr>
      <w:tr>
        <w:trPr>
          <w:trHeight w:val="220"/>
        </w:trPr>
        <w:tc>
          <w:tcPr>
            <w:tcW w:w="4240" w:type="dxa"/>
            <w:vAlign w:val="bottom"/>
          </w:tcPr>
          <w:p>
            <w:pPr>
              <w:ind w:left="260"/>
              <w:spacing w:after="0" w:line="220" w:lineRule="exact"/>
              <w:rPr>
                <w:sz w:val="20"/>
                <w:szCs w:val="20"/>
                <w:color w:val="auto"/>
              </w:rPr>
            </w:pPr>
            <w:r>
              <w:rPr>
                <w:rFonts w:ascii="Arial" w:cs="Arial" w:eastAsia="Arial" w:hAnsi="Arial"/>
                <w:sz w:val="20"/>
                <w:szCs w:val="20"/>
                <w:color w:val="2A2A2A"/>
              </w:rPr>
              <w:t>independent registered public accounting</w:t>
            </w:r>
          </w:p>
        </w:tc>
        <w:tc>
          <w:tcPr>
            <w:tcW w:w="560" w:type="dxa"/>
            <w:vAlign w:val="bottom"/>
          </w:tcPr>
          <w:p>
            <w:pPr>
              <w:spacing w:after="0"/>
              <w:rPr>
                <w:sz w:val="19"/>
                <w:szCs w:val="19"/>
                <w:color w:val="auto"/>
              </w:rPr>
            </w:pPr>
          </w:p>
        </w:tc>
      </w:tr>
      <w:tr>
        <w:trPr>
          <w:trHeight w:val="265"/>
        </w:trPr>
        <w:tc>
          <w:tcPr>
            <w:tcW w:w="4240" w:type="dxa"/>
            <w:vAlign w:val="bottom"/>
          </w:tcPr>
          <w:p>
            <w:pPr>
              <w:ind w:left="260"/>
              <w:spacing w:after="0"/>
              <w:rPr>
                <w:sz w:val="20"/>
                <w:szCs w:val="20"/>
                <w:color w:val="auto"/>
              </w:rPr>
            </w:pPr>
            <w:r>
              <w:rPr>
                <w:rFonts w:ascii="Arial" w:cs="Arial" w:eastAsia="Arial" w:hAnsi="Arial"/>
                <w:sz w:val="20"/>
                <w:szCs w:val="20"/>
                <w:color w:val="2A2A2A"/>
              </w:rPr>
              <w:t>firm</w:t>
            </w:r>
          </w:p>
        </w:tc>
        <w:tc>
          <w:tcPr>
            <w:tcW w:w="560" w:type="dxa"/>
            <w:vAlign w:val="bottom"/>
          </w:tcPr>
          <w:p>
            <w:pPr>
              <w:spacing w:after="0"/>
              <w:rPr>
                <w:sz w:val="23"/>
                <w:szCs w:val="23"/>
                <w:color w:val="auto"/>
              </w:rPr>
            </w:pPr>
          </w:p>
        </w:tc>
      </w:tr>
      <w:tr>
        <w:trPr>
          <w:trHeight w:val="325"/>
        </w:trPr>
        <w:tc>
          <w:tcPr>
            <w:tcW w:w="4240" w:type="dxa"/>
            <w:vAlign w:val="bottom"/>
          </w:tcPr>
          <w:p>
            <w:pPr>
              <w:spacing w:after="0"/>
              <w:rPr>
                <w:sz w:val="20"/>
                <w:szCs w:val="20"/>
                <w:color w:val="auto"/>
              </w:rPr>
            </w:pPr>
            <w:r>
              <w:rPr>
                <w:rFonts w:ascii="Arial" w:cs="Arial" w:eastAsia="Arial" w:hAnsi="Arial"/>
                <w:sz w:val="20"/>
                <w:szCs w:val="20"/>
                <w:color w:val="2A2A2A"/>
              </w:rPr>
              <w:t>Stockholder proposals</w:t>
            </w:r>
          </w:p>
        </w:tc>
        <w:tc>
          <w:tcPr>
            <w:tcW w:w="560" w:type="dxa"/>
            <w:vAlign w:val="bottom"/>
          </w:tcPr>
          <w:p>
            <w:pPr>
              <w:jc w:val="right"/>
              <w:spacing w:after="0"/>
              <w:rPr>
                <w:sz w:val="20"/>
                <w:szCs w:val="20"/>
                <w:color w:val="auto"/>
              </w:rPr>
            </w:pPr>
            <w:r>
              <w:rPr>
                <w:rFonts w:ascii="Arial" w:cs="Arial" w:eastAsia="Arial" w:hAnsi="Arial"/>
                <w:sz w:val="20"/>
                <w:szCs w:val="20"/>
                <w:color w:val="2A2A2A"/>
              </w:rPr>
              <w:t>63</w:t>
            </w:r>
          </w:p>
        </w:tc>
      </w:tr>
      <w:tr>
        <w:trPr>
          <w:trHeight w:val="345"/>
        </w:trPr>
        <w:tc>
          <w:tcPr>
            <w:tcW w:w="4240" w:type="dxa"/>
            <w:vAlign w:val="bottom"/>
          </w:tcPr>
          <w:p>
            <w:pPr>
              <w:spacing w:after="0"/>
              <w:rPr>
                <w:sz w:val="20"/>
                <w:szCs w:val="20"/>
                <w:color w:val="auto"/>
              </w:rPr>
            </w:pPr>
            <w:r>
              <w:rPr>
                <w:rFonts w:ascii="Arial" w:cs="Arial" w:eastAsia="Arial" w:hAnsi="Arial"/>
                <w:sz w:val="20"/>
                <w:szCs w:val="20"/>
                <w:color w:val="2A2A2A"/>
              </w:rPr>
              <w:t>Additional information</w:t>
            </w:r>
          </w:p>
        </w:tc>
        <w:tc>
          <w:tcPr>
            <w:tcW w:w="560" w:type="dxa"/>
            <w:vAlign w:val="bottom"/>
          </w:tcPr>
          <w:p>
            <w:pPr>
              <w:jc w:val="right"/>
              <w:spacing w:after="0"/>
              <w:rPr>
                <w:sz w:val="20"/>
                <w:szCs w:val="20"/>
                <w:color w:val="auto"/>
              </w:rPr>
            </w:pPr>
            <w:r>
              <w:rPr>
                <w:rFonts w:ascii="Arial" w:cs="Arial" w:eastAsia="Arial" w:hAnsi="Arial"/>
                <w:sz w:val="20"/>
                <w:szCs w:val="20"/>
                <w:color w:val="2A2A2A"/>
              </w:rPr>
              <w:t>68</w:t>
            </w:r>
          </w:p>
        </w:tc>
      </w:tr>
      <w:tr>
        <w:trPr>
          <w:trHeight w:val="345"/>
        </w:trPr>
        <w:tc>
          <w:tcPr>
            <w:tcW w:w="4240" w:type="dxa"/>
            <w:vAlign w:val="bottom"/>
          </w:tcPr>
          <w:p>
            <w:pPr>
              <w:spacing w:after="0"/>
              <w:rPr>
                <w:sz w:val="20"/>
                <w:szCs w:val="20"/>
                <w:color w:val="auto"/>
              </w:rPr>
            </w:pPr>
            <w:r>
              <w:rPr>
                <w:rFonts w:ascii="Arial" w:cs="Arial" w:eastAsia="Arial" w:hAnsi="Arial"/>
                <w:sz w:val="20"/>
                <w:szCs w:val="20"/>
                <w:color w:val="2A2A2A"/>
              </w:rPr>
              <w:t>Notice regarding forward-looking statements</w:t>
            </w:r>
          </w:p>
        </w:tc>
        <w:tc>
          <w:tcPr>
            <w:tcW w:w="560" w:type="dxa"/>
            <w:vAlign w:val="bottom"/>
          </w:tcPr>
          <w:p>
            <w:pPr>
              <w:jc w:val="right"/>
              <w:spacing w:after="0"/>
              <w:rPr>
                <w:sz w:val="20"/>
                <w:szCs w:val="20"/>
                <w:color w:val="auto"/>
              </w:rPr>
            </w:pPr>
            <w:r>
              <w:rPr>
                <w:rFonts w:ascii="Arial" w:cs="Arial" w:eastAsia="Arial" w:hAnsi="Arial"/>
                <w:sz w:val="20"/>
                <w:szCs w:val="20"/>
                <w:color w:val="2A2A2A"/>
              </w:rPr>
              <w:t>75</w:t>
            </w:r>
          </w:p>
        </w:tc>
      </w:tr>
      <w:tr>
        <w:trPr>
          <w:trHeight w:val="300"/>
        </w:trPr>
        <w:tc>
          <w:tcPr>
            <w:tcW w:w="4240" w:type="dxa"/>
            <w:vAlign w:val="bottom"/>
          </w:tcPr>
          <w:p>
            <w:pPr>
              <w:spacing w:after="0"/>
              <w:rPr>
                <w:sz w:val="20"/>
                <w:szCs w:val="20"/>
                <w:color w:val="auto"/>
              </w:rPr>
            </w:pPr>
            <w:r>
              <w:rPr>
                <w:rFonts w:ascii="Arial" w:cs="Arial" w:eastAsia="Arial" w:hAnsi="Arial"/>
                <w:sz w:val="20"/>
                <w:szCs w:val="20"/>
                <w:color w:val="2A2A2A"/>
              </w:rPr>
              <w:t>Appendix A (Texas Instruments 2024</w:t>
            </w:r>
          </w:p>
        </w:tc>
        <w:tc>
          <w:tcPr>
            <w:tcW w:w="560" w:type="dxa"/>
            <w:vAlign w:val="bottom"/>
          </w:tcPr>
          <w:p>
            <w:pPr>
              <w:jc w:val="right"/>
              <w:spacing w:after="0"/>
              <w:rPr>
                <w:sz w:val="20"/>
                <w:szCs w:val="20"/>
                <w:color w:val="auto"/>
              </w:rPr>
            </w:pPr>
            <w:r>
              <w:rPr>
                <w:rFonts w:ascii="Arial" w:cs="Arial" w:eastAsia="Arial" w:hAnsi="Arial"/>
                <w:sz w:val="20"/>
                <w:szCs w:val="20"/>
                <w:color w:val="2A2A2A"/>
              </w:rPr>
              <w:t>76</w:t>
            </w:r>
          </w:p>
        </w:tc>
      </w:tr>
      <w:tr>
        <w:trPr>
          <w:trHeight w:val="265"/>
        </w:trPr>
        <w:tc>
          <w:tcPr>
            <w:tcW w:w="4240" w:type="dxa"/>
            <w:vAlign w:val="bottom"/>
          </w:tcPr>
          <w:p>
            <w:pPr>
              <w:spacing w:after="0"/>
              <w:rPr>
                <w:sz w:val="20"/>
                <w:szCs w:val="20"/>
                <w:color w:val="auto"/>
              </w:rPr>
            </w:pPr>
            <w:r>
              <w:rPr>
                <w:rFonts w:ascii="Arial" w:cs="Arial" w:eastAsia="Arial" w:hAnsi="Arial"/>
                <w:sz w:val="20"/>
                <w:szCs w:val="20"/>
                <w:color w:val="2A2A2A"/>
              </w:rPr>
              <w:t>Long-Term Incentive Plan)</w:t>
            </w:r>
          </w:p>
        </w:tc>
        <w:tc>
          <w:tcPr>
            <w:tcW w:w="560" w:type="dxa"/>
            <w:vAlign w:val="bottom"/>
          </w:tcPr>
          <w:p>
            <w:pPr>
              <w:spacing w:after="0"/>
              <w:rPr>
                <w:sz w:val="23"/>
                <w:szCs w:val="23"/>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A2A2A"/>
        </w:rPr>
        <w:t>Other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300" w:type="dxa"/>
            <w:vAlign w:val="bottom"/>
          </w:tcPr>
          <w:p>
            <w:pPr>
              <w:spacing w:after="0"/>
              <w:rPr>
                <w:sz w:val="20"/>
                <w:szCs w:val="20"/>
                <w:color w:val="auto"/>
              </w:rPr>
            </w:pPr>
            <w:r>
              <w:rPr>
                <w:rFonts w:ascii="Arial" w:cs="Arial" w:eastAsia="Arial" w:hAnsi="Arial"/>
                <w:sz w:val="20"/>
                <w:szCs w:val="20"/>
                <w:color w:val="2A2A2A"/>
              </w:rPr>
              <w:t>Comparison of total shareholder return</w:t>
            </w:r>
          </w:p>
        </w:tc>
        <w:tc>
          <w:tcPr>
            <w:tcW w:w="500" w:type="dxa"/>
            <w:vAlign w:val="bottom"/>
          </w:tcPr>
          <w:p>
            <w:pPr>
              <w:jc w:val="right"/>
              <w:spacing w:after="0"/>
              <w:rPr>
                <w:sz w:val="20"/>
                <w:szCs w:val="20"/>
                <w:color w:val="auto"/>
              </w:rPr>
            </w:pPr>
            <w:r>
              <w:rPr>
                <w:rFonts w:ascii="Arial" w:cs="Arial" w:eastAsia="Arial" w:hAnsi="Arial"/>
                <w:sz w:val="20"/>
                <w:szCs w:val="20"/>
                <w:color w:val="2A2A2A"/>
              </w:rPr>
              <w:t>1</w:t>
            </w:r>
          </w:p>
        </w:tc>
      </w:tr>
      <w:tr>
        <w:trPr>
          <w:trHeight w:val="345"/>
        </w:trPr>
        <w:tc>
          <w:tcPr>
            <w:tcW w:w="4300" w:type="dxa"/>
            <w:vAlign w:val="bottom"/>
          </w:tcPr>
          <w:p>
            <w:pPr>
              <w:spacing w:after="0"/>
              <w:rPr>
                <w:sz w:val="20"/>
                <w:szCs w:val="20"/>
                <w:color w:val="auto"/>
              </w:rPr>
            </w:pPr>
            <w:r>
              <w:rPr>
                <w:rFonts w:ascii="Arial" w:cs="Arial" w:eastAsia="Arial" w:hAnsi="Arial"/>
                <w:sz w:val="20"/>
                <w:szCs w:val="20"/>
                <w:color w:val="2A2A2A"/>
              </w:rPr>
              <w:t>Notice regarding forward-looking statements</w:t>
            </w:r>
          </w:p>
        </w:tc>
        <w:tc>
          <w:tcPr>
            <w:tcW w:w="500" w:type="dxa"/>
            <w:vAlign w:val="bottom"/>
          </w:tcPr>
          <w:p>
            <w:pPr>
              <w:jc w:val="right"/>
              <w:spacing w:after="0"/>
              <w:rPr>
                <w:sz w:val="20"/>
                <w:szCs w:val="20"/>
                <w:color w:val="auto"/>
              </w:rPr>
            </w:pPr>
            <w:r>
              <w:rPr>
                <w:rFonts w:ascii="Arial" w:cs="Arial" w:eastAsia="Arial" w:hAnsi="Arial"/>
                <w:sz w:val="20"/>
                <w:szCs w:val="20"/>
                <w:color w:val="2A2A2A"/>
              </w:rPr>
              <w:t>1</w:t>
            </w:r>
          </w:p>
        </w:tc>
      </w:tr>
    </w:tbl>
    <w:p>
      <w:pPr>
        <w:spacing w:after="0" w:line="29" w:lineRule="exact"/>
        <w:rPr>
          <w:sz w:val="20"/>
          <w:szCs w:val="20"/>
          <w:color w:val="auto"/>
        </w:rPr>
      </w:pPr>
    </w:p>
    <w:p>
      <w:pPr>
        <w:sectPr>
          <w:pgSz w:w="12240" w:h="15840" w:orient="portrait"/>
          <w:cols w:equalWidth="0" w:num="2">
            <w:col w:w="4800" w:space="700"/>
            <w:col w:w="4800"/>
          </w:cols>
          <w:pgMar w:left="1040" w:top="653" w:right="900" w:bottom="498" w:gutter="0" w:footer="0" w:header="0"/>
          <w:type w:val="continuous"/>
        </w:sectPr>
      </w:pPr>
    </w:p>
    <w:p>
      <w:pPr>
        <w:spacing w:after="0"/>
        <w:rPr>
          <w:sz w:val="20"/>
          <w:szCs w:val="20"/>
          <w:color w:val="auto"/>
        </w:rPr>
      </w:pPr>
      <w:r>
        <w:rPr>
          <w:rFonts w:ascii="Arial" w:cs="Arial" w:eastAsia="Arial" w:hAnsi="Arial"/>
          <w:sz w:val="22"/>
          <w:szCs w:val="22"/>
          <w:b w:val="1"/>
          <w:bCs w:val="1"/>
          <w:color w:val="2A2A2A"/>
        </w:rPr>
        <w:t>PART III</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20"/>
                <w:szCs w:val="20"/>
                <w:color w:val="2A2A2A"/>
              </w:rPr>
              <w:t>Item 10. Directors, executive officers and</w:t>
            </w:r>
          </w:p>
        </w:tc>
        <w:tc>
          <w:tcPr>
            <w:tcW w:w="420" w:type="dxa"/>
            <w:vAlign w:val="bottom"/>
          </w:tcPr>
          <w:p>
            <w:pPr>
              <w:jc w:val="right"/>
              <w:spacing w:after="0"/>
              <w:rPr>
                <w:sz w:val="20"/>
                <w:szCs w:val="20"/>
                <w:color w:val="auto"/>
              </w:rPr>
            </w:pPr>
            <w:r>
              <w:rPr>
                <w:rFonts w:ascii="Arial" w:cs="Arial" w:eastAsia="Arial" w:hAnsi="Arial"/>
                <w:sz w:val="20"/>
                <w:szCs w:val="20"/>
                <w:color w:val="2A2A2A"/>
              </w:rPr>
              <w:t>60</w:t>
            </w:r>
          </w:p>
        </w:tc>
      </w:tr>
      <w:tr>
        <w:trPr>
          <w:trHeight w:val="265"/>
        </w:trPr>
        <w:tc>
          <w:tcPr>
            <w:tcW w:w="4380" w:type="dxa"/>
            <w:vAlign w:val="bottom"/>
            <w:gridSpan w:val="2"/>
          </w:tcPr>
          <w:p>
            <w:pPr>
              <w:spacing w:after="0"/>
              <w:rPr>
                <w:sz w:val="20"/>
                <w:szCs w:val="20"/>
                <w:color w:val="auto"/>
              </w:rPr>
            </w:pPr>
            <w:r>
              <w:rPr>
                <w:rFonts w:ascii="Arial" w:cs="Arial" w:eastAsia="Arial" w:hAnsi="Arial"/>
                <w:sz w:val="20"/>
                <w:szCs w:val="20"/>
                <w:color w:val="2A2A2A"/>
              </w:rPr>
              <w:t>corporate governance</w:t>
            </w:r>
          </w:p>
        </w:tc>
        <w:tc>
          <w:tcPr>
            <w:tcW w:w="420" w:type="dxa"/>
            <w:vAlign w:val="bottom"/>
          </w:tcPr>
          <w:p>
            <w:pPr>
              <w:spacing w:after="0"/>
              <w:rPr>
                <w:sz w:val="23"/>
                <w:szCs w:val="23"/>
                <w:color w:val="auto"/>
              </w:rPr>
            </w:pPr>
          </w:p>
        </w:tc>
      </w:tr>
      <w:tr>
        <w:trPr>
          <w:trHeight w:val="335"/>
        </w:trPr>
        <w:tc>
          <w:tcPr>
            <w:tcW w:w="4380" w:type="dxa"/>
            <w:vAlign w:val="bottom"/>
            <w:gridSpan w:val="2"/>
          </w:tcPr>
          <w:p>
            <w:pPr>
              <w:spacing w:after="0"/>
              <w:rPr>
                <w:sz w:val="20"/>
                <w:szCs w:val="20"/>
                <w:color w:val="auto"/>
              </w:rPr>
            </w:pPr>
            <w:r>
              <w:rPr>
                <w:rFonts w:ascii="Arial" w:cs="Arial" w:eastAsia="Arial" w:hAnsi="Arial"/>
                <w:sz w:val="20"/>
                <w:szCs w:val="20"/>
                <w:color w:val="2A2A2A"/>
              </w:rPr>
              <w:t>Item 11. Executive compensation</w:t>
            </w:r>
          </w:p>
        </w:tc>
        <w:tc>
          <w:tcPr>
            <w:tcW w:w="420" w:type="dxa"/>
            <w:vAlign w:val="bottom"/>
          </w:tcPr>
          <w:p>
            <w:pPr>
              <w:jc w:val="right"/>
              <w:spacing w:after="0"/>
              <w:rPr>
                <w:sz w:val="20"/>
                <w:szCs w:val="20"/>
                <w:color w:val="auto"/>
              </w:rPr>
            </w:pPr>
            <w:r>
              <w:rPr>
                <w:rFonts w:ascii="Arial" w:cs="Arial" w:eastAsia="Arial" w:hAnsi="Arial"/>
                <w:sz w:val="20"/>
                <w:szCs w:val="20"/>
                <w:color w:val="2A2A2A"/>
              </w:rPr>
              <w:t>60</w:t>
            </w:r>
          </w:p>
        </w:tc>
      </w:tr>
      <w:tr>
        <w:trPr>
          <w:trHeight w:val="300"/>
        </w:trPr>
        <w:tc>
          <w:tcPr>
            <w:tcW w:w="740" w:type="dxa"/>
            <w:vAlign w:val="bottom"/>
          </w:tcPr>
          <w:p>
            <w:pPr>
              <w:spacing w:after="0"/>
              <w:rPr>
                <w:sz w:val="20"/>
                <w:szCs w:val="20"/>
                <w:color w:val="auto"/>
              </w:rPr>
            </w:pPr>
            <w:r>
              <w:rPr>
                <w:rFonts w:ascii="Arial" w:cs="Arial" w:eastAsia="Arial" w:hAnsi="Arial"/>
                <w:sz w:val="20"/>
                <w:szCs w:val="20"/>
                <w:color w:val="2A2A2A"/>
                <w:w w:val="99"/>
              </w:rPr>
              <w:t>Item 12.</w:t>
            </w:r>
          </w:p>
        </w:tc>
        <w:tc>
          <w:tcPr>
            <w:tcW w:w="3640" w:type="dxa"/>
            <w:vAlign w:val="bottom"/>
          </w:tcPr>
          <w:p>
            <w:pPr>
              <w:ind w:left="20"/>
              <w:spacing w:after="0"/>
              <w:rPr>
                <w:sz w:val="20"/>
                <w:szCs w:val="20"/>
                <w:color w:val="auto"/>
              </w:rPr>
            </w:pPr>
            <w:r>
              <w:rPr>
                <w:rFonts w:ascii="Arial" w:cs="Arial" w:eastAsia="Arial" w:hAnsi="Arial"/>
                <w:sz w:val="20"/>
                <w:szCs w:val="20"/>
                <w:color w:val="2A2A2A"/>
              </w:rPr>
              <w:t>Security ownership of certain</w:t>
            </w:r>
          </w:p>
        </w:tc>
        <w:tc>
          <w:tcPr>
            <w:tcW w:w="420" w:type="dxa"/>
            <w:vAlign w:val="bottom"/>
          </w:tcPr>
          <w:p>
            <w:pPr>
              <w:jc w:val="right"/>
              <w:spacing w:after="0"/>
              <w:rPr>
                <w:sz w:val="20"/>
                <w:szCs w:val="20"/>
                <w:color w:val="auto"/>
              </w:rPr>
            </w:pPr>
            <w:r>
              <w:rPr>
                <w:rFonts w:ascii="Arial" w:cs="Arial" w:eastAsia="Arial" w:hAnsi="Arial"/>
                <w:sz w:val="20"/>
                <w:szCs w:val="20"/>
                <w:color w:val="2A2A2A"/>
              </w:rPr>
              <w:t>61</w:t>
            </w:r>
          </w:p>
        </w:tc>
      </w:tr>
      <w:tr>
        <w:trPr>
          <w:trHeight w:val="220"/>
        </w:trPr>
        <w:tc>
          <w:tcPr>
            <w:tcW w:w="4380" w:type="dxa"/>
            <w:vAlign w:val="bottom"/>
            <w:gridSpan w:val="2"/>
          </w:tcPr>
          <w:p>
            <w:pPr>
              <w:spacing w:after="0" w:line="220" w:lineRule="exact"/>
              <w:rPr>
                <w:sz w:val="20"/>
                <w:szCs w:val="20"/>
                <w:color w:val="auto"/>
              </w:rPr>
            </w:pPr>
            <w:r>
              <w:rPr>
                <w:rFonts w:ascii="Arial" w:cs="Arial" w:eastAsia="Arial" w:hAnsi="Arial"/>
                <w:sz w:val="20"/>
                <w:szCs w:val="20"/>
                <w:color w:val="2A2A2A"/>
              </w:rPr>
              <w:t>beneficial owners and management and</w:t>
            </w:r>
          </w:p>
        </w:tc>
        <w:tc>
          <w:tcPr>
            <w:tcW w:w="420" w:type="dxa"/>
            <w:vAlign w:val="bottom"/>
          </w:tcPr>
          <w:p>
            <w:pPr>
              <w:spacing w:after="0"/>
              <w:rPr>
                <w:sz w:val="19"/>
                <w:szCs w:val="19"/>
                <w:color w:val="auto"/>
              </w:rPr>
            </w:pPr>
          </w:p>
        </w:tc>
      </w:tr>
      <w:tr>
        <w:trPr>
          <w:trHeight w:val="265"/>
        </w:trPr>
        <w:tc>
          <w:tcPr>
            <w:tcW w:w="4380" w:type="dxa"/>
            <w:vAlign w:val="bottom"/>
            <w:gridSpan w:val="2"/>
          </w:tcPr>
          <w:p>
            <w:pPr>
              <w:spacing w:after="0"/>
              <w:rPr>
                <w:sz w:val="20"/>
                <w:szCs w:val="20"/>
                <w:color w:val="auto"/>
              </w:rPr>
            </w:pPr>
            <w:r>
              <w:rPr>
                <w:rFonts w:ascii="Arial" w:cs="Arial" w:eastAsia="Arial" w:hAnsi="Arial"/>
                <w:sz w:val="20"/>
                <w:szCs w:val="20"/>
                <w:color w:val="2A2A2A"/>
              </w:rPr>
              <w:t>related stockholder matters</w:t>
            </w:r>
          </w:p>
        </w:tc>
        <w:tc>
          <w:tcPr>
            <w:tcW w:w="420" w:type="dxa"/>
            <w:vAlign w:val="bottom"/>
          </w:tcPr>
          <w:p>
            <w:pPr>
              <w:spacing w:after="0"/>
              <w:rPr>
                <w:sz w:val="23"/>
                <w:szCs w:val="23"/>
                <w:color w:val="auto"/>
              </w:rPr>
            </w:pPr>
          </w:p>
        </w:tc>
      </w:tr>
      <w:tr>
        <w:trPr>
          <w:trHeight w:val="295"/>
        </w:trPr>
        <w:tc>
          <w:tcPr>
            <w:tcW w:w="740" w:type="dxa"/>
            <w:vAlign w:val="bottom"/>
          </w:tcPr>
          <w:p>
            <w:pPr>
              <w:spacing w:after="0"/>
              <w:rPr>
                <w:sz w:val="20"/>
                <w:szCs w:val="20"/>
                <w:color w:val="auto"/>
              </w:rPr>
            </w:pPr>
            <w:r>
              <w:rPr>
                <w:rFonts w:ascii="Arial" w:cs="Arial" w:eastAsia="Arial" w:hAnsi="Arial"/>
                <w:sz w:val="20"/>
                <w:szCs w:val="20"/>
                <w:color w:val="2A2A2A"/>
                <w:w w:val="99"/>
              </w:rPr>
              <w:t>Item 13.</w:t>
            </w:r>
          </w:p>
        </w:tc>
        <w:tc>
          <w:tcPr>
            <w:tcW w:w="3640" w:type="dxa"/>
            <w:vAlign w:val="bottom"/>
          </w:tcPr>
          <w:p>
            <w:pPr>
              <w:ind w:left="20"/>
              <w:spacing w:after="0"/>
              <w:rPr>
                <w:sz w:val="20"/>
                <w:szCs w:val="20"/>
                <w:color w:val="auto"/>
              </w:rPr>
            </w:pPr>
            <w:r>
              <w:rPr>
                <w:rFonts w:ascii="Arial" w:cs="Arial" w:eastAsia="Arial" w:hAnsi="Arial"/>
                <w:sz w:val="20"/>
                <w:szCs w:val="20"/>
                <w:color w:val="2A2A2A"/>
              </w:rPr>
              <w:t>Certain relationships and related</w:t>
            </w:r>
          </w:p>
        </w:tc>
        <w:tc>
          <w:tcPr>
            <w:tcW w:w="420" w:type="dxa"/>
            <w:vAlign w:val="bottom"/>
          </w:tcPr>
          <w:p>
            <w:pPr>
              <w:jc w:val="right"/>
              <w:spacing w:after="0"/>
              <w:rPr>
                <w:sz w:val="20"/>
                <w:szCs w:val="20"/>
                <w:color w:val="auto"/>
              </w:rPr>
            </w:pPr>
            <w:r>
              <w:rPr>
                <w:rFonts w:ascii="Arial" w:cs="Arial" w:eastAsia="Arial" w:hAnsi="Arial"/>
                <w:sz w:val="20"/>
                <w:szCs w:val="20"/>
                <w:color w:val="2A2A2A"/>
              </w:rPr>
              <w:t>61</w:t>
            </w:r>
          </w:p>
        </w:tc>
      </w:tr>
      <w:tr>
        <w:trPr>
          <w:trHeight w:val="265"/>
        </w:trPr>
        <w:tc>
          <w:tcPr>
            <w:tcW w:w="4380" w:type="dxa"/>
            <w:vAlign w:val="bottom"/>
            <w:gridSpan w:val="2"/>
          </w:tcPr>
          <w:p>
            <w:pPr>
              <w:spacing w:after="0"/>
              <w:rPr>
                <w:sz w:val="20"/>
                <w:szCs w:val="20"/>
                <w:color w:val="auto"/>
              </w:rPr>
            </w:pPr>
            <w:r>
              <w:rPr>
                <w:rFonts w:ascii="Arial" w:cs="Arial" w:eastAsia="Arial" w:hAnsi="Arial"/>
                <w:sz w:val="20"/>
                <w:szCs w:val="20"/>
                <w:color w:val="2A2A2A"/>
              </w:rPr>
              <w:t>transactions, and director independence</w:t>
            </w:r>
          </w:p>
        </w:tc>
        <w:tc>
          <w:tcPr>
            <w:tcW w:w="420" w:type="dxa"/>
            <w:vAlign w:val="bottom"/>
          </w:tcPr>
          <w:p>
            <w:pPr>
              <w:spacing w:after="0"/>
              <w:rPr>
                <w:sz w:val="23"/>
                <w:szCs w:val="23"/>
                <w:color w:val="auto"/>
              </w:rPr>
            </w:pPr>
          </w:p>
        </w:tc>
      </w:tr>
      <w:tr>
        <w:trPr>
          <w:trHeight w:val="335"/>
        </w:trPr>
        <w:tc>
          <w:tcPr>
            <w:tcW w:w="740" w:type="dxa"/>
            <w:vAlign w:val="bottom"/>
          </w:tcPr>
          <w:p>
            <w:pPr>
              <w:spacing w:after="0"/>
              <w:rPr>
                <w:sz w:val="20"/>
                <w:szCs w:val="20"/>
                <w:color w:val="auto"/>
              </w:rPr>
            </w:pPr>
            <w:r>
              <w:rPr>
                <w:rFonts w:ascii="Arial" w:cs="Arial" w:eastAsia="Arial" w:hAnsi="Arial"/>
                <w:sz w:val="20"/>
                <w:szCs w:val="20"/>
                <w:color w:val="2A2A2A"/>
                <w:w w:val="99"/>
              </w:rPr>
              <w:t>Item 14.</w:t>
            </w:r>
          </w:p>
        </w:tc>
        <w:tc>
          <w:tcPr>
            <w:tcW w:w="3640" w:type="dxa"/>
            <w:vAlign w:val="bottom"/>
          </w:tcPr>
          <w:p>
            <w:pPr>
              <w:ind w:left="20"/>
              <w:spacing w:after="0"/>
              <w:rPr>
                <w:sz w:val="20"/>
                <w:szCs w:val="20"/>
                <w:color w:val="auto"/>
              </w:rPr>
            </w:pPr>
            <w:r>
              <w:rPr>
                <w:rFonts w:ascii="Arial" w:cs="Arial" w:eastAsia="Arial" w:hAnsi="Arial"/>
                <w:sz w:val="20"/>
                <w:szCs w:val="20"/>
                <w:color w:val="2A2A2A"/>
              </w:rPr>
              <w:t>Principal accountant fees and services</w:t>
            </w:r>
          </w:p>
        </w:tc>
        <w:tc>
          <w:tcPr>
            <w:tcW w:w="420" w:type="dxa"/>
            <w:vAlign w:val="bottom"/>
          </w:tcPr>
          <w:p>
            <w:pPr>
              <w:jc w:val="right"/>
              <w:spacing w:after="0"/>
              <w:rPr>
                <w:sz w:val="20"/>
                <w:szCs w:val="20"/>
                <w:color w:val="auto"/>
              </w:rPr>
            </w:pPr>
            <w:r>
              <w:rPr>
                <w:rFonts w:ascii="Arial" w:cs="Arial" w:eastAsia="Arial" w:hAnsi="Arial"/>
                <w:sz w:val="20"/>
                <w:szCs w:val="20"/>
                <w:color w:val="2A2A2A"/>
              </w:rPr>
              <w:t>61</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PART IV</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20"/>
                <w:szCs w:val="20"/>
                <w:color w:val="2A2A2A"/>
              </w:rPr>
              <w:t>Item 15. Exhibits, financial statement</w:t>
            </w:r>
          </w:p>
        </w:tc>
        <w:tc>
          <w:tcPr>
            <w:tcW w:w="560" w:type="dxa"/>
            <w:vAlign w:val="bottom"/>
          </w:tcPr>
          <w:p>
            <w:pPr>
              <w:jc w:val="right"/>
              <w:spacing w:after="0"/>
              <w:rPr>
                <w:sz w:val="20"/>
                <w:szCs w:val="20"/>
                <w:color w:val="auto"/>
              </w:rPr>
            </w:pPr>
            <w:r>
              <w:rPr>
                <w:rFonts w:ascii="Arial" w:cs="Arial" w:eastAsia="Arial" w:hAnsi="Arial"/>
                <w:sz w:val="20"/>
                <w:szCs w:val="20"/>
                <w:color w:val="2A2A2A"/>
              </w:rPr>
              <w:t>62</w:t>
            </w:r>
          </w:p>
        </w:tc>
      </w:tr>
      <w:tr>
        <w:trPr>
          <w:trHeight w:val="265"/>
        </w:trPr>
        <w:tc>
          <w:tcPr>
            <w:tcW w:w="4240" w:type="dxa"/>
            <w:vAlign w:val="bottom"/>
          </w:tcPr>
          <w:p>
            <w:pPr>
              <w:spacing w:after="0"/>
              <w:rPr>
                <w:sz w:val="20"/>
                <w:szCs w:val="20"/>
                <w:color w:val="auto"/>
              </w:rPr>
            </w:pPr>
            <w:r>
              <w:rPr>
                <w:rFonts w:ascii="Arial" w:cs="Arial" w:eastAsia="Arial" w:hAnsi="Arial"/>
                <w:sz w:val="20"/>
                <w:szCs w:val="20"/>
                <w:color w:val="2A2A2A"/>
              </w:rPr>
              <w:t>schedules</w:t>
            </w:r>
          </w:p>
        </w:tc>
        <w:tc>
          <w:tcPr>
            <w:tcW w:w="560" w:type="dxa"/>
            <w:vAlign w:val="bottom"/>
          </w:tcPr>
          <w:p>
            <w:pPr>
              <w:spacing w:after="0"/>
              <w:rPr>
                <w:sz w:val="23"/>
                <w:szCs w:val="23"/>
                <w:color w:val="auto"/>
              </w:rPr>
            </w:pPr>
          </w:p>
        </w:tc>
      </w:tr>
      <w:tr>
        <w:trPr>
          <w:trHeight w:val="365"/>
        </w:trPr>
        <w:tc>
          <w:tcPr>
            <w:tcW w:w="4240" w:type="dxa"/>
            <w:vAlign w:val="bottom"/>
          </w:tcPr>
          <w:p>
            <w:pPr>
              <w:spacing w:after="0"/>
              <w:rPr>
                <w:sz w:val="20"/>
                <w:szCs w:val="20"/>
                <w:color w:val="auto"/>
              </w:rPr>
            </w:pPr>
            <w:r>
              <w:rPr>
                <w:rFonts w:ascii="Arial" w:cs="Arial" w:eastAsia="Arial" w:hAnsi="Arial"/>
                <w:sz w:val="20"/>
                <w:szCs w:val="20"/>
                <w:color w:val="2A2A2A"/>
              </w:rPr>
              <w:t>Notice regarding forward-looking statements</w:t>
            </w:r>
          </w:p>
        </w:tc>
        <w:tc>
          <w:tcPr>
            <w:tcW w:w="560" w:type="dxa"/>
            <w:vAlign w:val="bottom"/>
          </w:tcPr>
          <w:p>
            <w:pPr>
              <w:jc w:val="right"/>
              <w:spacing w:after="0"/>
              <w:rPr>
                <w:sz w:val="20"/>
                <w:szCs w:val="20"/>
                <w:color w:val="auto"/>
              </w:rPr>
            </w:pPr>
            <w:r>
              <w:rPr>
                <w:rFonts w:ascii="Arial" w:cs="Arial" w:eastAsia="Arial" w:hAnsi="Arial"/>
                <w:sz w:val="20"/>
                <w:szCs w:val="20"/>
                <w:color w:val="2A2A2A"/>
              </w:rPr>
              <w:t>63</w:t>
            </w:r>
          </w:p>
        </w:tc>
      </w:tr>
      <w:tr>
        <w:trPr>
          <w:trHeight w:val="345"/>
        </w:trPr>
        <w:tc>
          <w:tcPr>
            <w:tcW w:w="4240" w:type="dxa"/>
            <w:vAlign w:val="bottom"/>
          </w:tcPr>
          <w:p>
            <w:pPr>
              <w:spacing w:after="0"/>
              <w:rPr>
                <w:sz w:val="20"/>
                <w:szCs w:val="20"/>
                <w:color w:val="auto"/>
              </w:rPr>
            </w:pPr>
            <w:r>
              <w:rPr>
                <w:rFonts w:ascii="Arial" w:cs="Arial" w:eastAsia="Arial" w:hAnsi="Arial"/>
                <w:sz w:val="20"/>
                <w:szCs w:val="20"/>
                <w:color w:val="2A2A2A"/>
              </w:rPr>
              <w:t>Signatures</w:t>
            </w:r>
          </w:p>
        </w:tc>
        <w:tc>
          <w:tcPr>
            <w:tcW w:w="560" w:type="dxa"/>
            <w:vAlign w:val="bottom"/>
          </w:tcPr>
          <w:p>
            <w:pPr>
              <w:jc w:val="right"/>
              <w:spacing w:after="0"/>
              <w:rPr>
                <w:sz w:val="20"/>
                <w:szCs w:val="20"/>
                <w:color w:val="auto"/>
              </w:rPr>
            </w:pPr>
            <w:r>
              <w:rPr>
                <w:rFonts w:ascii="Arial" w:cs="Arial" w:eastAsia="Arial" w:hAnsi="Arial"/>
                <w:sz w:val="20"/>
                <w:szCs w:val="20"/>
                <w:color w:val="2A2A2A"/>
              </w:rPr>
              <w:t>65</w:t>
            </w:r>
          </w:p>
        </w:tc>
      </w:tr>
    </w:tbl>
    <w:p>
      <w:pPr>
        <w:sectPr>
          <w:pgSz w:w="12240" w:h="15840" w:orient="portrait"/>
          <w:cols w:equalWidth="0" w:num="1">
            <w:col w:w="10300"/>
          </w:cols>
          <w:pgMar w:left="1040" w:top="653" w:right="900" w:bottom="498"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8"/>
          <w:szCs w:val="28"/>
          <w:b w:val="1"/>
          <w:bCs w:val="1"/>
          <w:color w:val="2A2A2A"/>
        </w:rPr>
        <w:drawing>
          <wp:anchor simplePos="0" relativeHeight="251657728" behindDoc="1" locked="0" layoutInCell="0" allowOverlap="1">
            <wp:simplePos x="0" y="0"/>
            <wp:positionH relativeFrom="page">
              <wp:posOffset>628650</wp:posOffset>
            </wp:positionH>
            <wp:positionV relativeFrom="page">
              <wp:posOffset>438150</wp:posOffset>
            </wp:positionV>
            <wp:extent cx="651510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12700"/>
                    </a:xfrm>
                    <a:prstGeom prst="rect">
                      <a:avLst/>
                    </a:prstGeom>
                    <a:noFill/>
                  </pic:spPr>
                </pic:pic>
              </a:graphicData>
            </a:graphic>
          </wp:anchor>
        </w:drawing>
        <w:drawing>
          <wp:anchor simplePos="0" relativeHeight="251657728" behindDoc="1" locked="0" layoutInCell="0" allowOverlap="1">
            <wp:simplePos x="0" y="0"/>
            <wp:positionH relativeFrom="page">
              <wp:posOffset>628650</wp:posOffset>
            </wp:positionH>
            <wp:positionV relativeFrom="page">
              <wp:posOffset>463550</wp:posOffset>
            </wp:positionV>
            <wp:extent cx="651510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270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2A2A2A"/>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A2A2A"/>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22225</wp:posOffset>
            </wp:positionV>
            <wp:extent cx="500062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0625" cy="1270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2A2A2A"/>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52070</wp:posOffset>
            </wp:positionV>
            <wp:extent cx="500062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0625" cy="12700"/>
                    </a:xfrm>
                    <a:prstGeom prst="rect">
                      <a:avLst/>
                    </a:prstGeom>
                    <a:noFill/>
                  </pic:spPr>
                </pic:pic>
              </a:graphicData>
            </a:graphic>
          </wp:anchor>
        </w:drawing>
      </w:r>
    </w:p>
    <w:p>
      <w:pPr>
        <w:spacing w:after="0" w:line="257" w:lineRule="exact"/>
        <w:rPr>
          <w:sz w:val="20"/>
          <w:szCs w:val="20"/>
          <w:color w:val="auto"/>
        </w:rPr>
      </w:pPr>
    </w:p>
    <w:p>
      <w:pPr>
        <w:ind w:left="640" w:hanging="577"/>
        <w:spacing w:after="0"/>
        <w:tabs>
          <w:tab w:leader="none" w:pos="640" w:val="left"/>
        </w:tabs>
        <w:numPr>
          <w:ilvl w:val="0"/>
          <w:numId w:val="2"/>
        </w:numPr>
        <w:rPr>
          <w:rFonts w:ascii="MS PGothic" w:cs="MS PGothic" w:eastAsia="MS PGothic" w:hAnsi="MS PGothic"/>
          <w:sz w:val="16"/>
          <w:szCs w:val="16"/>
          <w:color w:val="2A2A2A"/>
        </w:rPr>
      </w:pPr>
      <w:r>
        <w:rPr>
          <w:rFonts w:ascii="Arial" w:cs="Arial" w:eastAsia="Arial" w:hAnsi="Arial"/>
          <w:sz w:val="18"/>
          <w:szCs w:val="18"/>
          <w:b w:val="1"/>
          <w:bCs w:val="1"/>
          <w:color w:val="2A2A2A"/>
        </w:rPr>
        <w:t>ANNUAL REPORT PURSUANT TO SECTION 13 OR 15(d) OF THE SECURITIES EXCHANGE ACT OF 1934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A2A2A"/>
        </w:rPr>
        <w:t>For the fiscal year ended December 31, 2023</w:t>
      </w:r>
    </w:p>
    <w:p>
      <w:pPr>
        <w:spacing w:after="0" w:line="78" w:lineRule="exact"/>
        <w:rPr>
          <w:sz w:val="20"/>
          <w:szCs w:val="20"/>
          <w:color w:val="auto"/>
        </w:rPr>
      </w:pPr>
    </w:p>
    <w:p>
      <w:pPr>
        <w:ind w:left="640" w:hanging="577"/>
        <w:spacing w:after="0"/>
        <w:tabs>
          <w:tab w:leader="none" w:pos="640" w:val="left"/>
        </w:tabs>
        <w:numPr>
          <w:ilvl w:val="0"/>
          <w:numId w:val="3"/>
        </w:numPr>
        <w:rPr>
          <w:rFonts w:ascii="MS PGothic" w:cs="MS PGothic" w:eastAsia="MS PGothic" w:hAnsi="MS PGothic"/>
          <w:sz w:val="16"/>
          <w:szCs w:val="16"/>
          <w:color w:val="2A2A2A"/>
        </w:rPr>
      </w:pPr>
      <w:r>
        <w:rPr>
          <w:rFonts w:ascii="Arial" w:cs="Arial" w:eastAsia="Arial" w:hAnsi="Arial"/>
          <w:sz w:val="18"/>
          <w:szCs w:val="18"/>
          <w:b w:val="1"/>
          <w:bCs w:val="1"/>
          <w:color w:val="2A2A2A"/>
        </w:rPr>
        <w:t>TRANSITION REPORT PURSUANT TO SECTION 13 OR 15(d) OF THE SECURITIES EXCHANGE ACT OF 1934</w:t>
      </w:r>
    </w:p>
    <w:p>
      <w:pPr>
        <w:spacing w:after="0" w:line="10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2A2A2A"/>
        </w:rPr>
        <w:t>For the transition period from ___________ to ___________</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A2A2A"/>
        </w:rPr>
        <w:t>Commission File Number 001-03761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26670</wp:posOffset>
            </wp:positionV>
            <wp:extent cx="500062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0625" cy="1270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2A2A2A"/>
        </w:rPr>
        <w:t>TEXAS INSTRUMENTS INCORPORATED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A2A2A"/>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19050</wp:posOffset>
            </wp:positionV>
            <wp:extent cx="501015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10150" cy="12700"/>
                    </a:xfrm>
                    <a:prstGeom prst="rect">
                      <a:avLst/>
                    </a:prstGeom>
                    <a:noFill/>
                  </pic:spPr>
                </pic:pic>
              </a:graphicData>
            </a:graphic>
          </wp:anchor>
        </w:drawing>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47"/>
        </w:trPr>
        <w:tc>
          <w:tcPr>
            <w:tcW w:w="3800" w:type="dxa"/>
            <w:vAlign w:val="bottom"/>
          </w:tcPr>
          <w:p>
            <w:pPr>
              <w:jc w:val="center"/>
              <w:ind w:right="735"/>
              <w:spacing w:after="0"/>
              <w:rPr>
                <w:sz w:val="20"/>
                <w:szCs w:val="20"/>
                <w:color w:val="auto"/>
              </w:rPr>
            </w:pPr>
            <w:r>
              <w:rPr>
                <w:rFonts w:ascii="Arial" w:cs="Arial" w:eastAsia="Arial" w:hAnsi="Arial"/>
                <w:sz w:val="18"/>
                <w:szCs w:val="18"/>
                <w:b w:val="1"/>
                <w:bCs w:val="1"/>
                <w:color w:val="2A2A2A"/>
                <w:w w:val="98"/>
              </w:rPr>
              <w:t>Delaware</w:t>
            </w:r>
          </w:p>
        </w:tc>
        <w:tc>
          <w:tcPr>
            <w:tcW w:w="3420" w:type="dxa"/>
            <w:vAlign w:val="bottom"/>
          </w:tcPr>
          <w:p>
            <w:pPr>
              <w:jc w:val="right"/>
              <w:ind w:right="735"/>
              <w:spacing w:after="0"/>
              <w:rPr>
                <w:sz w:val="20"/>
                <w:szCs w:val="20"/>
                <w:color w:val="auto"/>
              </w:rPr>
            </w:pPr>
            <w:r>
              <w:rPr>
                <w:rFonts w:ascii="Arial" w:cs="Arial" w:eastAsia="Arial" w:hAnsi="Arial"/>
                <w:sz w:val="18"/>
                <w:szCs w:val="18"/>
                <w:b w:val="1"/>
                <w:bCs w:val="1"/>
                <w:color w:val="2A2A2A"/>
              </w:rPr>
              <w:t>75-0289970</w:t>
            </w:r>
          </w:p>
        </w:tc>
      </w:tr>
      <w:tr>
        <w:trPr>
          <w:trHeight w:val="234"/>
        </w:trPr>
        <w:tc>
          <w:tcPr>
            <w:tcW w:w="3800" w:type="dxa"/>
            <w:vAlign w:val="bottom"/>
          </w:tcPr>
          <w:p>
            <w:pPr>
              <w:jc w:val="center"/>
              <w:ind w:right="735"/>
              <w:spacing w:after="0"/>
              <w:rPr>
                <w:sz w:val="20"/>
                <w:szCs w:val="20"/>
                <w:color w:val="auto"/>
              </w:rPr>
            </w:pPr>
            <w:r>
              <w:rPr>
                <w:rFonts w:ascii="Arial" w:cs="Arial" w:eastAsia="Arial" w:hAnsi="Arial"/>
                <w:sz w:val="16"/>
                <w:szCs w:val="16"/>
                <w:b w:val="1"/>
                <w:bCs w:val="1"/>
                <w:color w:val="2A2A2A"/>
              </w:rPr>
              <w:t>(State of Incorporation)</w:t>
            </w:r>
          </w:p>
        </w:tc>
        <w:tc>
          <w:tcPr>
            <w:tcW w:w="3420" w:type="dxa"/>
            <w:vAlign w:val="bottom"/>
          </w:tcPr>
          <w:p>
            <w:pPr>
              <w:jc w:val="center"/>
              <w:ind w:left="715"/>
              <w:spacing w:after="0"/>
              <w:rPr>
                <w:sz w:val="20"/>
                <w:szCs w:val="20"/>
                <w:color w:val="auto"/>
              </w:rPr>
            </w:pPr>
            <w:r>
              <w:rPr>
                <w:rFonts w:ascii="Arial" w:cs="Arial" w:eastAsia="Arial" w:hAnsi="Arial"/>
                <w:sz w:val="16"/>
                <w:szCs w:val="16"/>
                <w:b w:val="1"/>
                <w:bCs w:val="1"/>
                <w:color w:val="2A2A2A"/>
                <w:w w:val="99"/>
              </w:rPr>
              <w:t>(I.R.S. Employer Identification No.)</w:t>
            </w:r>
          </w:p>
        </w:tc>
      </w:tr>
      <w:tr>
        <w:trPr>
          <w:trHeight w:val="351"/>
        </w:trPr>
        <w:tc>
          <w:tcPr>
            <w:tcW w:w="3800" w:type="dxa"/>
            <w:vAlign w:val="bottom"/>
          </w:tcPr>
          <w:p>
            <w:pPr>
              <w:jc w:val="center"/>
              <w:ind w:right="755"/>
              <w:spacing w:after="0"/>
              <w:rPr>
                <w:sz w:val="20"/>
                <w:szCs w:val="20"/>
                <w:color w:val="auto"/>
              </w:rPr>
            </w:pPr>
            <w:r>
              <w:rPr>
                <w:rFonts w:ascii="Arial" w:cs="Arial" w:eastAsia="Arial" w:hAnsi="Arial"/>
                <w:sz w:val="18"/>
                <w:szCs w:val="18"/>
                <w:b w:val="1"/>
                <w:bCs w:val="1"/>
                <w:color w:val="2A2A2A"/>
                <w:w w:val="99"/>
              </w:rPr>
              <w:t>12500 TI Boulevard, Dallas, Texas</w:t>
            </w:r>
          </w:p>
        </w:tc>
        <w:tc>
          <w:tcPr>
            <w:tcW w:w="3420" w:type="dxa"/>
            <w:vAlign w:val="bottom"/>
          </w:tcPr>
          <w:p>
            <w:pPr>
              <w:jc w:val="right"/>
              <w:ind w:right="975"/>
              <w:spacing w:after="0"/>
              <w:rPr>
                <w:sz w:val="20"/>
                <w:szCs w:val="20"/>
                <w:color w:val="auto"/>
              </w:rPr>
            </w:pPr>
            <w:r>
              <w:rPr>
                <w:rFonts w:ascii="Arial" w:cs="Arial" w:eastAsia="Arial" w:hAnsi="Arial"/>
                <w:sz w:val="18"/>
                <w:szCs w:val="18"/>
                <w:b w:val="1"/>
                <w:bCs w:val="1"/>
                <w:color w:val="2A2A2A"/>
              </w:rPr>
              <w:t>75243</w:t>
            </w:r>
          </w:p>
        </w:tc>
      </w:tr>
      <w:tr>
        <w:trPr>
          <w:trHeight w:val="234"/>
        </w:trPr>
        <w:tc>
          <w:tcPr>
            <w:tcW w:w="3800" w:type="dxa"/>
            <w:vAlign w:val="bottom"/>
          </w:tcPr>
          <w:p>
            <w:pPr>
              <w:jc w:val="center"/>
              <w:ind w:right="735"/>
              <w:spacing w:after="0"/>
              <w:rPr>
                <w:sz w:val="20"/>
                <w:szCs w:val="20"/>
                <w:color w:val="auto"/>
              </w:rPr>
            </w:pPr>
            <w:r>
              <w:rPr>
                <w:rFonts w:ascii="Arial" w:cs="Arial" w:eastAsia="Arial" w:hAnsi="Arial"/>
                <w:sz w:val="16"/>
                <w:szCs w:val="16"/>
                <w:b w:val="1"/>
                <w:bCs w:val="1"/>
                <w:color w:val="2A2A2A"/>
                <w:w w:val="99"/>
              </w:rPr>
              <w:t>(Address of principal executive offices)</w:t>
            </w:r>
          </w:p>
        </w:tc>
        <w:tc>
          <w:tcPr>
            <w:tcW w:w="3420" w:type="dxa"/>
            <w:vAlign w:val="bottom"/>
          </w:tcPr>
          <w:p>
            <w:pPr>
              <w:jc w:val="center"/>
              <w:ind w:left="715"/>
              <w:spacing w:after="0"/>
              <w:rPr>
                <w:sz w:val="20"/>
                <w:szCs w:val="20"/>
                <w:color w:val="auto"/>
              </w:rPr>
            </w:pPr>
            <w:r>
              <w:rPr>
                <w:rFonts w:ascii="Arial" w:cs="Arial" w:eastAsia="Arial" w:hAnsi="Arial"/>
                <w:sz w:val="16"/>
                <w:szCs w:val="16"/>
                <w:b w:val="1"/>
                <w:bCs w:val="1"/>
                <w:color w:val="2A2A2A"/>
                <w:w w:val="98"/>
              </w:rPr>
              <w:t>(Zip Code)</w:t>
            </w:r>
          </w:p>
        </w:tc>
      </w:tr>
    </w:tbl>
    <w:p>
      <w:pPr>
        <w:spacing w:after="0" w:line="10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2A2A2A"/>
        </w:rPr>
        <w:t>Registrant’s telephone number, including area code 214-479-3773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46355</wp:posOffset>
            </wp:positionV>
            <wp:extent cx="501015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0150" cy="12700"/>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Securities registered pursuant to Section 12(b)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5405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300" w:type="dxa"/>
            <w:vAlign w:val="bottom"/>
            <w:tcBorders>
              <w:top w:val="single" w:sz="8" w:color="2A2A2A"/>
              <w:left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rPr>
              <w:t>Title of each class</w:t>
            </w:r>
          </w:p>
        </w:tc>
        <w:tc>
          <w:tcPr>
            <w:tcW w:w="2340" w:type="dxa"/>
            <w:vAlign w:val="bottom"/>
            <w:tcBorders>
              <w:top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Trading Symbol(s)</w:t>
            </w:r>
          </w:p>
        </w:tc>
        <w:tc>
          <w:tcPr>
            <w:tcW w:w="4640" w:type="dxa"/>
            <w:vAlign w:val="bottom"/>
            <w:tcBorders>
              <w:top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rPr>
              <w:t>Name of each exchange on which registered</w:t>
            </w:r>
          </w:p>
        </w:tc>
      </w:tr>
      <w:tr>
        <w:trPr>
          <w:trHeight w:val="24"/>
        </w:trPr>
        <w:tc>
          <w:tcPr>
            <w:tcW w:w="3300" w:type="dxa"/>
            <w:vAlign w:val="bottom"/>
            <w:tcBorders>
              <w:left w:val="single" w:sz="8" w:color="2A2A2A"/>
              <w:bottom w:val="single" w:sz="8" w:color="2A2A2A"/>
              <w:right w:val="single" w:sz="8" w:color="2A2A2A"/>
            </w:tcBorders>
          </w:tcPr>
          <w:p>
            <w:pPr>
              <w:spacing w:after="0"/>
              <w:rPr>
                <w:sz w:val="2"/>
                <w:szCs w:val="2"/>
                <w:color w:val="auto"/>
              </w:rPr>
            </w:pPr>
          </w:p>
        </w:tc>
        <w:tc>
          <w:tcPr>
            <w:tcW w:w="2340" w:type="dxa"/>
            <w:vAlign w:val="bottom"/>
            <w:tcBorders>
              <w:bottom w:val="single" w:sz="8" w:color="2A2A2A"/>
              <w:right w:val="single" w:sz="8" w:color="2A2A2A"/>
            </w:tcBorders>
          </w:tcPr>
          <w:p>
            <w:pPr>
              <w:spacing w:after="0"/>
              <w:rPr>
                <w:sz w:val="2"/>
                <w:szCs w:val="2"/>
                <w:color w:val="auto"/>
              </w:rPr>
            </w:pPr>
          </w:p>
        </w:tc>
        <w:tc>
          <w:tcPr>
            <w:tcW w:w="4640" w:type="dxa"/>
            <w:vAlign w:val="bottom"/>
            <w:tcBorders>
              <w:bottom w:val="single" w:sz="8" w:color="2A2A2A"/>
              <w:right w:val="single" w:sz="8" w:color="2A2A2A"/>
            </w:tcBorders>
          </w:tcPr>
          <w:p>
            <w:pPr>
              <w:spacing w:after="0"/>
              <w:rPr>
                <w:sz w:val="2"/>
                <w:szCs w:val="2"/>
                <w:color w:val="auto"/>
              </w:rPr>
            </w:pPr>
          </w:p>
        </w:tc>
      </w:tr>
      <w:tr>
        <w:trPr>
          <w:trHeight w:val="265"/>
        </w:trPr>
        <w:tc>
          <w:tcPr>
            <w:tcW w:w="330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18"/>
                <w:szCs w:val="18"/>
                <w:color w:val="2A2A2A"/>
              </w:rPr>
              <w:t>Common Stock, par value $1.00</w:t>
            </w:r>
          </w:p>
        </w:tc>
        <w:tc>
          <w:tcPr>
            <w:tcW w:w="234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18"/>
                <w:szCs w:val="18"/>
                <w:color w:val="2A2A2A"/>
                <w:w w:val="99"/>
              </w:rPr>
              <w:t>TXN</w:t>
            </w:r>
          </w:p>
        </w:tc>
        <w:tc>
          <w:tcPr>
            <w:tcW w:w="464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18"/>
                <w:szCs w:val="18"/>
                <w:color w:val="2A2A2A"/>
                <w:w w:val="99"/>
              </w:rPr>
              <w:t>The Nasdaq Global Select 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65405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-18415</wp:posOffset>
            </wp:positionV>
            <wp:extent cx="65405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Securities registered pursuant to Section 12(g) of the Act: None</w:t>
      </w:r>
    </w:p>
    <w:p>
      <w:pPr>
        <w:spacing w:after="0" w:line="149" w:lineRule="exact"/>
        <w:rPr>
          <w:sz w:val="20"/>
          <w:szCs w:val="20"/>
          <w:color w:val="auto"/>
        </w:rPr>
      </w:pPr>
    </w:p>
    <w:p>
      <w:pPr>
        <w:ind w:right="360"/>
        <w:spacing w:after="0" w:line="256" w:lineRule="exact"/>
        <w:rPr>
          <w:sz w:val="20"/>
          <w:szCs w:val="20"/>
          <w:color w:val="auto"/>
        </w:rPr>
      </w:pPr>
      <w:r>
        <w:rPr>
          <w:rFonts w:ascii="Arial" w:cs="Arial" w:eastAsia="Arial" w:hAnsi="Arial"/>
          <w:sz w:val="16"/>
          <w:szCs w:val="16"/>
          <w:color w:val="2A2A2A"/>
        </w:rPr>
        <w:t xml:space="preserve">Indicate by check mark if the Registrant is a well-known seasoned issuer, as defined in Rule 405 of the Securities Act. Yes </w:t>
      </w:r>
      <w:r>
        <w:rPr>
          <w:rFonts w:ascii="MS PGothic" w:cs="MS PGothic" w:eastAsia="MS PGothic" w:hAnsi="MS PGothic"/>
          <w:sz w:val="16"/>
          <w:szCs w:val="16"/>
          <w:color w:val="2A2A2A"/>
        </w:rPr>
        <w:t>☒</w:t>
      </w:r>
      <w:r>
        <w:rPr>
          <w:rFonts w:ascii="Arial" w:cs="Arial" w:eastAsia="Arial" w:hAnsi="Arial"/>
          <w:sz w:val="16"/>
          <w:szCs w:val="16"/>
          <w:color w:val="2A2A2A"/>
        </w:rPr>
        <w:t xml:space="preserve"> No </w:t>
      </w:r>
      <w:r>
        <w:rPr>
          <w:rFonts w:ascii="MS PGothic" w:cs="MS PGothic" w:eastAsia="MS PGothic" w:hAnsi="MS PGothic"/>
          <w:sz w:val="16"/>
          <w:szCs w:val="16"/>
          <w:color w:val="2A2A2A"/>
        </w:rPr>
        <w:t>☐</w:t>
      </w:r>
      <w:r>
        <w:rPr>
          <w:rFonts w:ascii="Arial" w:cs="Arial" w:eastAsia="Arial" w:hAnsi="Arial"/>
          <w:sz w:val="16"/>
          <w:szCs w:val="16"/>
          <w:color w:val="2A2A2A"/>
        </w:rPr>
        <w:t xml:space="preserve"> Indicate by check mark if the Registrant is not required to file reports pursuant to Section 13 or Section 15(d) of the Act. Yes </w:t>
      </w:r>
      <w:r>
        <w:rPr>
          <w:rFonts w:ascii="MS PGothic" w:cs="MS PGothic" w:eastAsia="MS PGothic" w:hAnsi="MS PGothic"/>
          <w:sz w:val="16"/>
          <w:szCs w:val="16"/>
          <w:color w:val="2A2A2A"/>
        </w:rPr>
        <w:t>☐</w:t>
      </w:r>
      <w:r>
        <w:rPr>
          <w:rFonts w:ascii="Arial" w:cs="Arial" w:eastAsia="Arial" w:hAnsi="Arial"/>
          <w:sz w:val="16"/>
          <w:szCs w:val="16"/>
          <w:color w:val="2A2A2A"/>
        </w:rPr>
        <w:t xml:space="preserve"> No </w:t>
      </w:r>
      <w:r>
        <w:rPr>
          <w:rFonts w:ascii="MS PGothic" w:cs="MS PGothic" w:eastAsia="MS PGothic" w:hAnsi="MS PGothic"/>
          <w:sz w:val="16"/>
          <w:szCs w:val="16"/>
          <w:color w:val="2A2A2A"/>
        </w:rPr>
        <w:t>☒</w:t>
      </w:r>
    </w:p>
    <w:p>
      <w:pPr>
        <w:spacing w:after="0" w:line="29" w:lineRule="exact"/>
        <w:rPr>
          <w:sz w:val="20"/>
          <w:szCs w:val="20"/>
          <w:color w:val="auto"/>
        </w:rPr>
      </w:pPr>
    </w:p>
    <w:p>
      <w:pPr>
        <w:ind w:right="200"/>
        <w:spacing w:after="0" w:line="215" w:lineRule="exact"/>
        <w:rPr>
          <w:sz w:val="20"/>
          <w:szCs w:val="20"/>
          <w:color w:val="auto"/>
        </w:rPr>
      </w:pPr>
      <w:r>
        <w:rPr>
          <w:rFonts w:ascii="Arial" w:cs="Arial" w:eastAsia="Arial" w:hAnsi="Arial"/>
          <w:sz w:val="17"/>
          <w:szCs w:val="17"/>
          <w:color w:val="2A2A2A"/>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2A2A2A"/>
        </w:rPr>
        <w:t>☒</w:t>
      </w:r>
      <w:r>
        <w:rPr>
          <w:rFonts w:ascii="Arial" w:cs="Arial" w:eastAsia="Arial" w:hAnsi="Arial"/>
          <w:sz w:val="17"/>
          <w:szCs w:val="17"/>
          <w:color w:val="2A2A2A"/>
        </w:rPr>
        <w:t xml:space="preserve"> No </w:t>
      </w:r>
      <w:r>
        <w:rPr>
          <w:rFonts w:ascii="MS PGothic" w:cs="MS PGothic" w:eastAsia="MS PGothic" w:hAnsi="MS PGothic"/>
          <w:sz w:val="17"/>
          <w:szCs w:val="17"/>
          <w:color w:val="2A2A2A"/>
        </w:rPr>
        <w:t>☐</w:t>
      </w:r>
    </w:p>
    <w:p>
      <w:pPr>
        <w:spacing w:after="0" w:line="29" w:lineRule="exact"/>
        <w:rPr>
          <w:sz w:val="20"/>
          <w:szCs w:val="20"/>
          <w:color w:val="auto"/>
        </w:rPr>
      </w:pPr>
    </w:p>
    <w:p>
      <w:pPr>
        <w:ind w:right="40"/>
        <w:spacing w:after="0" w:line="215" w:lineRule="exact"/>
        <w:rPr>
          <w:sz w:val="20"/>
          <w:szCs w:val="20"/>
          <w:color w:val="auto"/>
        </w:rPr>
      </w:pPr>
      <w:r>
        <w:rPr>
          <w:rFonts w:ascii="Arial" w:cs="Arial" w:eastAsia="Arial" w:hAnsi="Arial"/>
          <w:sz w:val="17"/>
          <w:szCs w:val="17"/>
          <w:color w:val="2A2A2A"/>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2A2A2A"/>
        </w:rPr>
        <w:t>☒</w:t>
      </w:r>
      <w:r>
        <w:rPr>
          <w:rFonts w:ascii="Arial" w:cs="Arial" w:eastAsia="Arial" w:hAnsi="Arial"/>
          <w:sz w:val="17"/>
          <w:szCs w:val="17"/>
          <w:color w:val="2A2A2A"/>
        </w:rPr>
        <w:t xml:space="preserve"> No </w:t>
      </w:r>
      <w:r>
        <w:rPr>
          <w:rFonts w:ascii="MS PGothic" w:cs="MS PGothic" w:eastAsia="MS PGothic" w:hAnsi="MS PGothic"/>
          <w:sz w:val="17"/>
          <w:szCs w:val="17"/>
          <w:color w:val="2A2A2A"/>
        </w:rPr>
        <w:t>☐</w:t>
      </w:r>
    </w:p>
    <w:p>
      <w:pPr>
        <w:spacing w:after="0" w:line="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2A2A2A"/>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2480" w:type="dxa"/>
            <w:vAlign w:val="bottom"/>
          </w:tcPr>
          <w:p>
            <w:pPr>
              <w:spacing w:after="0"/>
              <w:rPr>
                <w:sz w:val="20"/>
                <w:szCs w:val="20"/>
                <w:color w:val="auto"/>
              </w:rPr>
            </w:pPr>
            <w:r>
              <w:rPr>
                <w:rFonts w:ascii="Arial" w:cs="Arial" w:eastAsia="Arial" w:hAnsi="Arial"/>
                <w:sz w:val="17"/>
                <w:szCs w:val="17"/>
                <w:color w:val="2A2A2A"/>
              </w:rPr>
              <w:t>Large accelerated filer</w:t>
            </w:r>
          </w:p>
        </w:tc>
        <w:tc>
          <w:tcPr>
            <w:tcW w:w="2560" w:type="dxa"/>
            <w:vAlign w:val="bottom"/>
          </w:tcPr>
          <w:p>
            <w:pPr>
              <w:ind w:left="460"/>
              <w:spacing w:after="0" w:line="171" w:lineRule="exact"/>
              <w:rPr>
                <w:sz w:val="20"/>
                <w:szCs w:val="20"/>
                <w:color w:val="auto"/>
              </w:rPr>
            </w:pPr>
            <w:r>
              <w:rPr>
                <w:rFonts w:ascii="MS PGothic" w:cs="MS PGothic" w:eastAsia="MS PGothic" w:hAnsi="MS PGothic"/>
                <w:sz w:val="17"/>
                <w:szCs w:val="17"/>
                <w:color w:val="2A2A2A"/>
              </w:rPr>
              <w:t>☒</w:t>
            </w:r>
          </w:p>
        </w:tc>
        <w:tc>
          <w:tcPr>
            <w:tcW w:w="4460" w:type="dxa"/>
            <w:vAlign w:val="bottom"/>
          </w:tcPr>
          <w:p>
            <w:pPr>
              <w:ind w:left="1980"/>
              <w:spacing w:after="0"/>
              <w:rPr>
                <w:sz w:val="20"/>
                <w:szCs w:val="20"/>
                <w:color w:val="auto"/>
              </w:rPr>
            </w:pPr>
            <w:r>
              <w:rPr>
                <w:rFonts w:ascii="Arial" w:cs="Arial" w:eastAsia="Arial" w:hAnsi="Arial"/>
                <w:sz w:val="17"/>
                <w:szCs w:val="17"/>
                <w:color w:val="2A2A2A"/>
              </w:rPr>
              <w:t>Accelerated filer</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2A2A2A"/>
                <w:w w:val="70"/>
              </w:rPr>
              <w:t>☐</w:t>
            </w:r>
          </w:p>
        </w:tc>
      </w:tr>
      <w:tr>
        <w:trPr>
          <w:trHeight w:val="255"/>
        </w:trPr>
        <w:tc>
          <w:tcPr>
            <w:tcW w:w="2480" w:type="dxa"/>
            <w:vAlign w:val="bottom"/>
          </w:tcPr>
          <w:p>
            <w:pPr>
              <w:spacing w:after="0"/>
              <w:rPr>
                <w:sz w:val="20"/>
                <w:szCs w:val="20"/>
                <w:color w:val="auto"/>
              </w:rPr>
            </w:pPr>
            <w:r>
              <w:rPr>
                <w:rFonts w:ascii="Arial" w:cs="Arial" w:eastAsia="Arial" w:hAnsi="Arial"/>
                <w:sz w:val="17"/>
                <w:szCs w:val="17"/>
                <w:color w:val="2A2A2A"/>
              </w:rPr>
              <w:t>Non-accelerated filer</w:t>
            </w:r>
          </w:p>
        </w:tc>
        <w:tc>
          <w:tcPr>
            <w:tcW w:w="2560" w:type="dxa"/>
            <w:vAlign w:val="bottom"/>
          </w:tcPr>
          <w:p>
            <w:pPr>
              <w:ind w:left="460"/>
              <w:spacing w:after="0" w:line="171" w:lineRule="exact"/>
              <w:rPr>
                <w:sz w:val="20"/>
                <w:szCs w:val="20"/>
                <w:color w:val="auto"/>
              </w:rPr>
            </w:pPr>
            <w:r>
              <w:rPr>
                <w:rFonts w:ascii="MS PGothic" w:cs="MS PGothic" w:eastAsia="MS PGothic" w:hAnsi="MS PGothic"/>
                <w:sz w:val="17"/>
                <w:szCs w:val="17"/>
                <w:color w:val="2A2A2A"/>
              </w:rPr>
              <w:t>☐</w:t>
            </w:r>
          </w:p>
        </w:tc>
        <w:tc>
          <w:tcPr>
            <w:tcW w:w="4460" w:type="dxa"/>
            <w:vAlign w:val="bottom"/>
          </w:tcPr>
          <w:p>
            <w:pPr>
              <w:ind w:left="1980"/>
              <w:spacing w:after="0"/>
              <w:rPr>
                <w:sz w:val="20"/>
                <w:szCs w:val="20"/>
                <w:color w:val="auto"/>
              </w:rPr>
            </w:pPr>
            <w:r>
              <w:rPr>
                <w:rFonts w:ascii="Arial" w:cs="Arial" w:eastAsia="Arial" w:hAnsi="Arial"/>
                <w:sz w:val="17"/>
                <w:szCs w:val="17"/>
                <w:color w:val="2A2A2A"/>
              </w:rPr>
              <w:t>Smaller reporting company</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2A2A2A"/>
                <w:w w:val="70"/>
              </w:rPr>
              <w:t>☐</w:t>
            </w:r>
          </w:p>
        </w:tc>
      </w:tr>
      <w:tr>
        <w:trPr>
          <w:trHeight w:val="248"/>
        </w:trPr>
        <w:tc>
          <w:tcPr>
            <w:tcW w:w="2480" w:type="dxa"/>
            <w:vAlign w:val="bottom"/>
          </w:tcPr>
          <w:p>
            <w:pPr>
              <w:spacing w:after="0"/>
              <w:rPr>
                <w:sz w:val="20"/>
                <w:szCs w:val="20"/>
                <w:color w:val="auto"/>
              </w:rPr>
            </w:pPr>
            <w:r>
              <w:rPr>
                <w:rFonts w:ascii="Arial" w:cs="Arial" w:eastAsia="Arial" w:hAnsi="Arial"/>
                <w:sz w:val="17"/>
                <w:szCs w:val="17"/>
                <w:color w:val="2A2A2A"/>
              </w:rPr>
              <w:t>Emerging growth company</w:t>
            </w:r>
          </w:p>
        </w:tc>
        <w:tc>
          <w:tcPr>
            <w:tcW w:w="2560" w:type="dxa"/>
            <w:vAlign w:val="bottom"/>
          </w:tcPr>
          <w:p>
            <w:pPr>
              <w:ind w:left="460"/>
              <w:spacing w:after="0" w:line="171" w:lineRule="exact"/>
              <w:rPr>
                <w:sz w:val="20"/>
                <w:szCs w:val="20"/>
                <w:color w:val="auto"/>
              </w:rPr>
            </w:pPr>
            <w:r>
              <w:rPr>
                <w:rFonts w:ascii="MS PGothic" w:cs="MS PGothic" w:eastAsia="MS PGothic" w:hAnsi="MS PGothic"/>
                <w:sz w:val="17"/>
                <w:szCs w:val="17"/>
                <w:color w:val="2A2A2A"/>
              </w:rPr>
              <w:t>☐</w:t>
            </w:r>
          </w:p>
        </w:tc>
        <w:tc>
          <w:tcPr>
            <w:tcW w:w="446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151" w:lineRule="exact"/>
        <w:rPr>
          <w:sz w:val="20"/>
          <w:szCs w:val="20"/>
          <w:color w:val="auto"/>
        </w:rPr>
      </w:pPr>
    </w:p>
    <w:p>
      <w:pPr>
        <w:sectPr>
          <w:pgSz w:w="12240" w:h="15840" w:orient="portrait"/>
          <w:cols w:equalWidth="0" w:num="1">
            <w:col w:w="10280"/>
          </w:cols>
          <w:pgMar w:left="980" w:top="817" w:right="980" w:bottom="24" w:gutter="0" w:footer="0" w:header="0"/>
        </w:sectPr>
      </w:pPr>
    </w:p>
    <w:p>
      <w:pPr>
        <w:ind w:left="60" w:right="60"/>
        <w:spacing w:after="0" w:line="243" w:lineRule="auto"/>
        <w:rPr>
          <w:sz w:val="20"/>
          <w:szCs w:val="20"/>
          <w:color w:val="auto"/>
        </w:rPr>
      </w:pPr>
      <w:r>
        <w:rPr>
          <w:rFonts w:ascii="Arial" w:cs="Arial" w:eastAsia="Arial" w:hAnsi="Arial"/>
          <w:sz w:val="17"/>
          <w:szCs w:val="17"/>
          <w:color w:val="2A2A2A"/>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9" w:lineRule="exact"/>
        <w:rPr>
          <w:sz w:val="20"/>
          <w:szCs w:val="20"/>
          <w:color w:val="auto"/>
        </w:rPr>
      </w:pPr>
    </w:p>
    <w:p>
      <w:pPr>
        <w:ind w:left="60"/>
        <w:spacing w:after="0" w:line="230" w:lineRule="auto"/>
        <w:rPr>
          <w:sz w:val="20"/>
          <w:szCs w:val="20"/>
          <w:color w:val="auto"/>
        </w:rPr>
      </w:pPr>
      <w:r>
        <w:rPr>
          <w:rFonts w:ascii="Arial" w:cs="Arial" w:eastAsia="Arial" w:hAnsi="Arial"/>
          <w:sz w:val="17"/>
          <w:szCs w:val="17"/>
          <w:color w:val="2A2A2A"/>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83" w:lineRule="exact"/>
        <w:rPr>
          <w:sz w:val="20"/>
          <w:szCs w:val="20"/>
          <w:color w:val="auto"/>
        </w:rPr>
      </w:pPr>
    </w:p>
    <w:p>
      <w:pPr>
        <w:ind w:left="60" w:right="280"/>
        <w:spacing w:after="0" w:line="243" w:lineRule="auto"/>
        <w:rPr>
          <w:sz w:val="20"/>
          <w:szCs w:val="20"/>
          <w:color w:val="auto"/>
        </w:rPr>
      </w:pPr>
      <w:r>
        <w:rPr>
          <w:rFonts w:ascii="Arial" w:cs="Arial" w:eastAsia="Arial" w:hAnsi="Arial"/>
          <w:sz w:val="17"/>
          <w:szCs w:val="17"/>
          <w:color w:val="2A2A2A"/>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99" w:lineRule="exact"/>
        <w:rPr>
          <w:sz w:val="20"/>
          <w:szCs w:val="20"/>
          <w:color w:val="auto"/>
        </w:rPr>
      </w:pPr>
    </w:p>
    <w:p>
      <w:pPr>
        <w:ind w:left="60" w:right="300"/>
        <w:spacing w:after="0" w:line="230" w:lineRule="auto"/>
        <w:rPr>
          <w:sz w:val="20"/>
          <w:szCs w:val="20"/>
          <w:color w:val="auto"/>
        </w:rPr>
      </w:pPr>
      <w:r>
        <w:rPr>
          <w:rFonts w:ascii="Arial" w:cs="Arial" w:eastAsia="Arial" w:hAnsi="Arial"/>
          <w:sz w:val="17"/>
          <w:szCs w:val="17"/>
          <w:color w:val="2A2A2A"/>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96" w:lineRule="exact"/>
        <w:rPr>
          <w:sz w:val="20"/>
          <w:szCs w:val="20"/>
          <w:color w:val="auto"/>
        </w:rPr>
      </w:pPr>
    </w:p>
    <w:p>
      <w:pPr>
        <w:spacing w:after="0" w:line="196" w:lineRule="exact"/>
        <w:rPr>
          <w:sz w:val="20"/>
          <w:szCs w:val="20"/>
          <w:color w:val="auto"/>
        </w:rPr>
      </w:pPr>
      <w:r>
        <w:rPr>
          <w:rFonts w:ascii="Arial" w:cs="Arial" w:eastAsia="Arial" w:hAnsi="Arial"/>
          <w:sz w:val="17"/>
          <w:szCs w:val="17"/>
          <w:color w:val="2A2A2A"/>
        </w:rPr>
        <w:t xml:space="preserve">Indicate by check mark whether the Registrant is a shell company (as defined in Rule 12b-2 of the Act). Yes </w:t>
      </w:r>
      <w:r>
        <w:rPr>
          <w:rFonts w:ascii="MS PGothic" w:cs="MS PGothic" w:eastAsia="MS PGothic" w:hAnsi="MS PGothic"/>
          <w:sz w:val="17"/>
          <w:szCs w:val="17"/>
          <w:color w:val="2A2A2A"/>
        </w:rPr>
        <w:t>☐</w:t>
      </w:r>
      <w:r>
        <w:rPr>
          <w:rFonts w:ascii="Arial" w:cs="Arial" w:eastAsia="Arial" w:hAnsi="Arial"/>
          <w:sz w:val="17"/>
          <w:szCs w:val="17"/>
          <w:color w:val="2A2A2A"/>
        </w:rPr>
        <w:t xml:space="preserve"> No </w:t>
      </w:r>
      <w:r>
        <w:rPr>
          <w:rFonts w:ascii="MS PGothic" w:cs="MS PGothic" w:eastAsia="MS PGothic" w:hAnsi="MS PGothic"/>
          <w:sz w:val="17"/>
          <w:szCs w:val="17"/>
          <w:color w:val="2A2A2A"/>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2A2A2A"/>
        </w:rPr>
        <w:t>☐</w:t>
      </w:r>
    </w:p>
    <w:p>
      <w:pPr>
        <w:spacing w:after="0" w:line="200" w:lineRule="exact"/>
        <w:rPr>
          <w:sz w:val="20"/>
          <w:szCs w:val="20"/>
          <w:color w:val="auto"/>
        </w:rPr>
      </w:pPr>
    </w:p>
    <w:p>
      <w:pPr>
        <w:spacing w:after="0" w:line="2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2A2A2A"/>
        </w:rPr>
        <w:t>☒</w:t>
      </w:r>
    </w:p>
    <w:p>
      <w:pPr>
        <w:spacing w:after="0" w:line="200" w:lineRule="exact"/>
        <w:rPr>
          <w:sz w:val="20"/>
          <w:szCs w:val="20"/>
          <w:color w:val="auto"/>
        </w:rPr>
      </w:pPr>
    </w:p>
    <w:p>
      <w:pPr>
        <w:spacing w:after="0" w:line="2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2A2A2A"/>
        </w:rPr>
        <w:t>☐</w:t>
      </w:r>
    </w:p>
    <w:p>
      <w:pPr>
        <w:spacing w:after="0" w:line="200" w:lineRule="exact"/>
        <w:rPr>
          <w:sz w:val="20"/>
          <w:szCs w:val="20"/>
          <w:color w:val="auto"/>
        </w:rPr>
      </w:pPr>
    </w:p>
    <w:p>
      <w:pPr>
        <w:spacing w:after="0" w:line="2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2A2A2A"/>
        </w:rPr>
        <w:t>☐</w:t>
      </w:r>
    </w:p>
    <w:p>
      <w:pPr>
        <w:spacing w:after="0" w:line="616" w:lineRule="exact"/>
        <w:rPr>
          <w:sz w:val="20"/>
          <w:szCs w:val="20"/>
          <w:color w:val="auto"/>
        </w:rPr>
      </w:pPr>
    </w:p>
    <w:p>
      <w:pPr>
        <w:sectPr>
          <w:pgSz w:w="12240" w:h="15840" w:orient="portrait"/>
          <w:cols w:equalWidth="0" w:num="2">
            <w:col w:w="9780" w:space="240"/>
            <w:col w:w="260"/>
          </w:cols>
          <w:pgMar w:left="980" w:top="817" w:right="980" w:bottom="24" w:gutter="0" w:footer="0" w:header="0"/>
          <w:type w:val="continuous"/>
        </w:sectPr>
      </w:pPr>
    </w:p>
    <w:p>
      <w:pPr>
        <w:ind w:right="140"/>
        <w:spacing w:after="0" w:line="285" w:lineRule="auto"/>
        <w:rPr>
          <w:sz w:val="20"/>
          <w:szCs w:val="20"/>
          <w:color w:val="auto"/>
        </w:rPr>
      </w:pPr>
      <w:r>
        <w:rPr>
          <w:rFonts w:ascii="Arial" w:cs="Arial" w:eastAsia="Arial" w:hAnsi="Arial"/>
          <w:sz w:val="17"/>
          <w:szCs w:val="17"/>
          <w:color w:val="2A2A2A"/>
        </w:rPr>
        <w:t>The aggregate market value of voting stock held by non-affiliates of the Registrant was approximately $163,230,185,912 as of June 30, 2023.</w:t>
      </w:r>
    </w:p>
    <w:p>
      <w:pPr>
        <w:spacing w:after="0" w:line="4" w:lineRule="exact"/>
        <w:rPr>
          <w:sz w:val="20"/>
          <w:szCs w:val="20"/>
          <w:color w:val="auto"/>
        </w:rPr>
      </w:pPr>
    </w:p>
    <w:p>
      <w:pPr>
        <w:ind w:left="1900"/>
        <w:spacing w:after="0"/>
        <w:rPr>
          <w:sz w:val="20"/>
          <w:szCs w:val="20"/>
          <w:color w:val="auto"/>
        </w:rPr>
      </w:pPr>
      <w:r>
        <w:rPr>
          <w:rFonts w:ascii="Arial" w:cs="Arial" w:eastAsia="Arial" w:hAnsi="Arial"/>
          <w:sz w:val="17"/>
          <w:szCs w:val="17"/>
          <w:color w:val="2A2A2A"/>
        </w:rPr>
        <w:t>909,287,673 (Number of shares of common stock outstanding as of January 23, 2024)</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2A2A2A"/>
        </w:rPr>
        <w:t>Part III hereof incorporates information by reference to the Registrant’s 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51510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wp:posOffset>
            </wp:positionV>
            <wp:extent cx="6515100"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ectPr>
          <w:pgSz w:w="12240" w:h="15840" w:orient="portrait"/>
          <w:cols w:equalWidth="0" w:num="1">
            <w:col w:w="10280"/>
          </w:cols>
          <w:pgMar w:left="980" w:top="817" w:right="980" w:bottom="24"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w:t>
      </w:r>
    </w:p>
    <w:p>
      <w:pPr>
        <w:sectPr>
          <w:pgSz w:w="12240" w:h="15840" w:orient="portrait"/>
          <w:cols w:equalWidth="0" w:num="1">
            <w:col w:w="10280"/>
          </w:cols>
          <w:pgMar w:left="980" w:top="817" w:right="980" w:bottom="2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4"/>
          <w:szCs w:val="24"/>
          <w:b w:val="1"/>
          <w:bCs w:val="1"/>
          <w:color w:val="2A2A2A"/>
        </w:rPr>
        <w:t>PART I</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1. Business</w:t>
      </w:r>
    </w:p>
    <w:p>
      <w:pPr>
        <w:spacing w:after="0" w:line="26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2A2A2A"/>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2023, we generated $17.52 billion of revenue.</w:t>
      </w:r>
    </w:p>
    <w:p>
      <w:pPr>
        <w:spacing w:after="0" w:line="199"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color w:val="2A2A2A"/>
        </w:rPr>
        <w:t>For decades, we have operated with a passion to create a better world by making electronics more affordable through semiconductors. We were pioneers in the transition from vacuum tubes to transistors and then to integrated circuits. As each generation has become more reliable, more affordable and lower in power, semiconductors are used by a growing number of customers and markets. Our passion continues to be alive today as we help our customers develop electronics and new applications, particularly in industrial and automotive markets.</w:t>
      </w:r>
    </w:p>
    <w:p>
      <w:pPr>
        <w:spacing w:after="0" w:line="184" w:lineRule="exact"/>
        <w:rPr>
          <w:sz w:val="20"/>
          <w:szCs w:val="20"/>
          <w:color w:val="auto"/>
        </w:rPr>
      </w:pPr>
    </w:p>
    <w:p>
      <w:pPr>
        <w:jc w:val="both"/>
        <w:ind w:right="300"/>
        <w:spacing w:after="0" w:line="270" w:lineRule="auto"/>
        <w:rPr>
          <w:sz w:val="20"/>
          <w:szCs w:val="20"/>
          <w:color w:val="auto"/>
        </w:rPr>
      </w:pPr>
      <w:r>
        <w:rPr>
          <w:rFonts w:ascii="Arial" w:cs="Arial" w:eastAsia="Arial" w:hAnsi="Arial"/>
          <w:sz w:val="19"/>
          <w:szCs w:val="19"/>
          <w:color w:val="2A2A2A"/>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2A2A2A"/>
        </w:rPr>
        <w:t>Our ambitions are foundational to ensuring that we operate in a sustainable, socially thoughtful and environmentally responsible manner. When we are successful in achieving these ambitions, our employees, customers, communities and shareholders all win.</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As engineers, we are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Our strategy to maximize long-term free cash flow per share growth has three elements: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A2A2A"/>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2A2A2A"/>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2014 to 2023, we allocated $94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just over $15 billion to capital expenditures. Our increased capital expenditures are to support future revenue growth, which will be a greater component of free cash flow per share growth going forward.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20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2A2A2A"/>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 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ectPr>
          <w:pgSz w:w="12240" w:h="15840" w:orient="portrait"/>
          <w:cols w:equalWidth="0" w:num="1">
            <w:col w:w="10280"/>
          </w:cols>
          <w:pgMar w:left="980" w:top="653" w:right="980" w:bottom="24"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w:t>
      </w:r>
    </w:p>
    <w:p>
      <w:pPr>
        <w:sectPr>
          <w:pgSz w:w="12240" w:h="15840" w:orient="portrait"/>
          <w:cols w:equalWidth="0" w:num="1">
            <w:col w:w="10280"/>
          </w:cols>
          <w:pgMar w:left="980" w:top="653" w:right="980" w:bottom="24" w:gutter="0" w:footer="0" w:header="0"/>
          <w:type w:val="continuous"/>
        </w:sectPr>
      </w:pPr>
    </w:p>
    <w:bookmarkStart w:id="8" w:name="page9"/>
    <w:bookmarkEnd w:id="8"/>
    <w:p>
      <w:pPr>
        <w:spacing w:after="0" w:line="262" w:lineRule="auto"/>
        <w:rPr>
          <w:sz w:val="20"/>
          <w:szCs w:val="20"/>
          <w:color w:val="auto"/>
        </w:rPr>
      </w:pPr>
      <w:r>
        <w:rPr>
          <w:rFonts w:ascii="Arial" w:cs="Arial" w:eastAsia="Arial" w:hAnsi="Arial"/>
          <w:sz w:val="20"/>
          <w:szCs w:val="20"/>
          <w:color w:val="2A2A2A"/>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Product information</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A2A2A"/>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202" w:lineRule="exact"/>
        <w:rPr>
          <w:sz w:val="20"/>
          <w:szCs w:val="20"/>
          <w:color w:val="auto"/>
        </w:rPr>
      </w:pPr>
    </w:p>
    <w:p>
      <w:pPr>
        <w:ind w:right="740"/>
        <w:spacing w:after="0" w:line="268" w:lineRule="auto"/>
        <w:rPr>
          <w:sz w:val="20"/>
          <w:szCs w:val="20"/>
          <w:color w:val="auto"/>
        </w:rPr>
      </w:pPr>
      <w:r>
        <w:rPr>
          <w:rFonts w:ascii="Arial" w:cs="Arial" w:eastAsia="Arial" w:hAnsi="Arial"/>
          <w:sz w:val="20"/>
          <w:szCs w:val="20"/>
          <w:color w:val="2A2A2A"/>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Analog</w:t>
      </w: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19"/>
          <w:szCs w:val="19"/>
          <w:color w:val="2A2A2A"/>
        </w:rPr>
        <w:t>Our Analog segment generated $13.04 billion of revenue in 2023.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2A2A2A"/>
        </w:rPr>
        <w:t>Sales of our Analog products generated about 74% of our revenue in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Our Analog segment includes the following major product lines: Power and Signal Chain.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Power</w:t>
      </w: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2A2A2A"/>
        </w:rPr>
        <w:t>Power includes products that help customers manage power in electronic systems. Our broad portfolio is designed to manage power requirements across different voltage levels, including battery-management solutions, DC/DC switching regulators, AC/DC and isolated DC/DC switching regulators, power switches, linear and low-dropout regulators, voltage references and lighting products.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Signal Chain</w:t>
      </w:r>
    </w:p>
    <w:p>
      <w:pPr>
        <w:spacing w:after="0" w:line="255" w:lineRule="exact"/>
        <w:rPr>
          <w:sz w:val="20"/>
          <w:szCs w:val="20"/>
          <w:color w:val="auto"/>
        </w:rPr>
      </w:pPr>
    </w:p>
    <w:p>
      <w:pPr>
        <w:jc w:val="both"/>
        <w:ind w:right="540"/>
        <w:spacing w:after="0" w:line="268" w:lineRule="auto"/>
        <w:rPr>
          <w:sz w:val="20"/>
          <w:szCs w:val="20"/>
          <w:color w:val="auto"/>
        </w:rPr>
      </w:pPr>
      <w:r>
        <w:rPr>
          <w:rFonts w:ascii="Arial" w:cs="Arial" w:eastAsia="Arial" w:hAnsi="Arial"/>
          <w:sz w:val="20"/>
          <w:szCs w:val="20"/>
          <w:color w:val="2A2A2A"/>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Embedded Processing</w:t>
      </w:r>
    </w:p>
    <w:p>
      <w:pPr>
        <w:spacing w:after="0" w:line="257"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2A2A2A"/>
        </w:rPr>
        <w:t>Our Embedded Processing segment generated $3.37 billion of revenue in 2023.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202"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2A2A2A"/>
        </w:rPr>
        <w:t>An important characteristic of our Embedded Processing products is that our customers often invest their own R&amp;D to write software that operates on our products. This investment tends to increase the length of our customer relationships because many customers prefer to reuse software from one product generation to the next.</w:t>
      </w:r>
    </w:p>
    <w:p>
      <w:pPr>
        <w:sectPr>
          <w:pgSz w:w="12240" w:h="15840" w:orient="portrait"/>
          <w:cols w:equalWidth="0" w:num="1">
            <w:col w:w="10280"/>
          </w:cols>
          <w:pgMar w:left="980" w:top="664" w:right="980" w:bottom="24"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w:t>
      </w:r>
    </w:p>
    <w:p>
      <w:pPr>
        <w:sectPr>
          <w:pgSz w:w="12240" w:h="15840" w:orient="portrait"/>
          <w:cols w:equalWidth="0" w:num="1">
            <w:col w:w="10280"/>
          </w:cols>
          <w:pgMar w:left="980" w:top="664" w:right="980" w:bottom="24"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color w:val="2A2A2A"/>
        </w:rPr>
        <w:t>Sales of Embedded Processing products generated about 19% of our revenue in 2023.</w:t>
      </w:r>
    </w:p>
    <w:p>
      <w:pPr>
        <w:spacing w:after="0" w:line="250"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2A2A2A"/>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Other</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20"/>
          <w:szCs w:val="20"/>
          <w:color w:val="2A2A2A"/>
        </w:rPr>
        <w:t>We report the results of our remaining business activities in Other, which includes operating segments that do not meet the quantitative thresholds for individually reportable segments and cannot be aggregated with other operating segments. Other generated $1.11 billion of revenue in 2023 and includes revenue from DLP</w:t>
      </w:r>
      <w:r>
        <w:rPr>
          <w:rFonts w:ascii="Arial" w:cs="Arial" w:eastAsia="Arial" w:hAnsi="Arial"/>
          <w:sz w:val="26"/>
          <w:szCs w:val="26"/>
          <w:color w:val="2A2A2A"/>
          <w:vertAlign w:val="superscript"/>
        </w:rPr>
        <w:t>®</w:t>
      </w:r>
      <w:r>
        <w:rPr>
          <w:rFonts w:ascii="Arial" w:cs="Arial" w:eastAsia="Arial" w:hAnsi="Arial"/>
          <w:sz w:val="20"/>
          <w:szCs w:val="20"/>
          <w:color w:val="2A2A2A"/>
        </w:rPr>
        <w:t xml:space="preserve"> products (primarily used to project high-definition images), calculators and certain custom semiconductors known as application-specific integrated circuits (ASICs).</w:t>
      </w:r>
    </w:p>
    <w:p>
      <w:pPr>
        <w:spacing w:after="0" w:line="216"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2A2A2A"/>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ectPr>
          <w:pgSz w:w="12240" w:h="15840" w:orient="portrait"/>
          <w:cols w:equalWidth="0" w:num="1">
            <w:col w:w="10240"/>
          </w:cols>
          <w:pgMar w:left="980" w:top="664"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w:t>
      </w:r>
    </w:p>
    <w:p>
      <w:pPr>
        <w:sectPr>
          <w:pgSz w:w="12240" w:h="15840" w:orient="portrait"/>
          <w:cols w:equalWidth="0" w:num="1">
            <w:col w:w="10240"/>
          </w:cols>
          <w:pgMar w:left="980" w:top="664" w:right="1020" w:bottom="24"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u w:val="single" w:color="auto"/>
          <w:color w:val="2A2A2A"/>
        </w:rPr>
        <w:t>Markets for our products</w:t>
      </w:r>
    </w:p>
    <w:p>
      <w:pPr>
        <w:spacing w:after="0" w:line="257" w:lineRule="exact"/>
        <w:rPr>
          <w:sz w:val="20"/>
          <w:szCs w:val="20"/>
          <w:color w:val="auto"/>
        </w:rPr>
      </w:pPr>
    </w:p>
    <w:p>
      <w:pPr>
        <w:ind w:right="100"/>
        <w:spacing w:after="0" w:line="314" w:lineRule="auto"/>
        <w:rPr>
          <w:sz w:val="20"/>
          <w:szCs w:val="20"/>
          <w:color w:val="auto"/>
        </w:rPr>
      </w:pPr>
      <w:r>
        <w:rPr>
          <w:rFonts w:ascii="Arial" w:cs="Arial" w:eastAsia="Arial" w:hAnsi="Arial"/>
          <w:sz w:val="19"/>
          <w:szCs w:val="19"/>
          <w:color w:val="2A2A2A"/>
        </w:rPr>
        <w:t>The table below lists the major markets for our products in 2023 and the estimated percentage of our 2023 revenue that the market represented. The chart also lists, in declining order of our revenue, the sectors within each market.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60" w:type="dxa"/>
            <w:vAlign w:val="bottom"/>
            <w:tcBorders>
              <w:bottom w:val="single" w:sz="8" w:color="2A2A2A"/>
            </w:tcBorders>
            <w:gridSpan w:val="2"/>
          </w:tcPr>
          <w:p>
            <w:pPr>
              <w:ind w:left="60"/>
              <w:spacing w:after="0"/>
              <w:rPr>
                <w:sz w:val="20"/>
                <w:szCs w:val="20"/>
                <w:color w:val="auto"/>
              </w:rPr>
            </w:pPr>
            <w:r>
              <w:rPr>
                <w:rFonts w:ascii="Arial" w:cs="Arial" w:eastAsia="Arial" w:hAnsi="Arial"/>
                <w:sz w:val="16"/>
                <w:szCs w:val="16"/>
                <w:b w:val="1"/>
                <w:bCs w:val="1"/>
                <w:color w:val="2A2A2A"/>
              </w:rPr>
              <w:t>Market</w:t>
            </w:r>
          </w:p>
        </w:tc>
        <w:tc>
          <w:tcPr>
            <w:tcW w:w="508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Sector</w:t>
            </w:r>
          </w:p>
        </w:tc>
      </w:tr>
      <w:tr>
        <w:trPr>
          <w:trHeight w:val="256"/>
        </w:trPr>
        <w:tc>
          <w:tcPr>
            <w:tcW w:w="5160" w:type="dxa"/>
            <w:vAlign w:val="bottom"/>
            <w:gridSpan w:val="2"/>
            <w:shd w:val="clear" w:color="auto" w:fill="D7D7D7"/>
          </w:tcPr>
          <w:p>
            <w:pPr>
              <w:ind w:left="60"/>
              <w:spacing w:after="0"/>
              <w:rPr>
                <w:sz w:val="20"/>
                <w:szCs w:val="20"/>
                <w:color w:val="auto"/>
              </w:rPr>
            </w:pPr>
            <w:r>
              <w:rPr>
                <w:rFonts w:ascii="Arial" w:cs="Arial" w:eastAsia="Arial" w:hAnsi="Arial"/>
                <w:sz w:val="20"/>
                <w:szCs w:val="20"/>
                <w:b w:val="1"/>
                <w:bCs w:val="1"/>
                <w:color w:val="2A2A2A"/>
              </w:rPr>
              <w:t>Industrial</w:t>
            </w: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Factory automation &amp; control</w:t>
            </w:r>
          </w:p>
        </w:tc>
      </w:tr>
      <w:tr>
        <w:trPr>
          <w:trHeight w:val="265"/>
        </w:trPr>
        <w:tc>
          <w:tcPr>
            <w:tcW w:w="516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(40% of TI revenue)</w:t>
            </w: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Grid infrastructure</w:t>
            </w:r>
          </w:p>
        </w:tc>
      </w:tr>
      <w:tr>
        <w:trPr>
          <w:trHeight w:val="267"/>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Medical</w:t>
            </w:r>
          </w:p>
        </w:tc>
      </w:tr>
      <w:tr>
        <w:trPr>
          <w:trHeight w:val="270"/>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Aerospace &amp; defense</w:t>
            </w:r>
          </w:p>
        </w:tc>
      </w:tr>
      <w:tr>
        <w:trPr>
          <w:trHeight w:val="270"/>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Test &amp; measurement</w:t>
            </w:r>
          </w:p>
        </w:tc>
      </w:tr>
      <w:tr>
        <w:trPr>
          <w:trHeight w:val="270"/>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Building automation</w:t>
            </w:r>
          </w:p>
        </w:tc>
      </w:tr>
      <w:tr>
        <w:trPr>
          <w:trHeight w:val="270"/>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Motor drives</w:t>
            </w:r>
          </w:p>
        </w:tc>
      </w:tr>
      <w:tr>
        <w:trPr>
          <w:trHeight w:val="278"/>
        </w:trPr>
        <w:tc>
          <w:tcPr>
            <w:tcW w:w="508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Power delivery</w:t>
            </w:r>
          </w:p>
        </w:tc>
      </w:tr>
      <w:tr>
        <w:trPr>
          <w:trHeight w:val="268"/>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Appliances</w:t>
            </w:r>
          </w:p>
        </w:tc>
      </w:tr>
      <w:tr>
        <w:trPr>
          <w:trHeight w:val="267"/>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Pro audio, video &amp; signage</w:t>
            </w:r>
          </w:p>
        </w:tc>
      </w:tr>
      <w:tr>
        <w:trPr>
          <w:trHeight w:val="267"/>
        </w:trPr>
        <w:tc>
          <w:tcPr>
            <w:tcW w:w="50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Industrial transport</w:t>
            </w:r>
          </w:p>
        </w:tc>
      </w:tr>
      <w:tr>
        <w:trPr>
          <w:trHeight w:val="278"/>
        </w:trPr>
        <w:tc>
          <w:tcPr>
            <w:tcW w:w="508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Retail automation &amp; payment</w:t>
            </w:r>
          </w:p>
        </w:tc>
      </w:tr>
      <w:tr>
        <w:trPr>
          <w:trHeight w:val="264"/>
        </w:trPr>
        <w:tc>
          <w:tcPr>
            <w:tcW w:w="5080" w:type="dxa"/>
            <w:vAlign w:val="bottom"/>
            <w:tcBorders>
              <w:bottom w:val="single" w:sz="8" w:color="2A2A2A"/>
            </w:tcBorders>
          </w:tcPr>
          <w:p>
            <w:pPr>
              <w:spacing w:after="0"/>
              <w:rPr>
                <w:sz w:val="23"/>
                <w:szCs w:val="23"/>
                <w:color w:val="auto"/>
              </w:rPr>
            </w:pPr>
          </w:p>
        </w:tc>
        <w:tc>
          <w:tcPr>
            <w:tcW w:w="80" w:type="dxa"/>
            <w:vAlign w:val="bottom"/>
            <w:tcBorders>
              <w:bottom w:val="single" w:sz="8" w:color="2A2A2A"/>
            </w:tcBorders>
          </w:tcPr>
          <w:p>
            <w:pPr>
              <w:spacing w:after="0"/>
              <w:rPr>
                <w:sz w:val="23"/>
                <w:szCs w:val="23"/>
                <w:color w:val="auto"/>
              </w:rPr>
            </w:pPr>
          </w:p>
        </w:tc>
        <w:tc>
          <w:tcPr>
            <w:tcW w:w="508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Lighting</w:t>
            </w:r>
          </w:p>
        </w:tc>
      </w:tr>
      <w:tr>
        <w:trPr>
          <w:trHeight w:val="252"/>
        </w:trPr>
        <w:tc>
          <w:tcPr>
            <w:tcW w:w="5160" w:type="dxa"/>
            <w:vAlign w:val="bottom"/>
            <w:gridSpan w:val="2"/>
          </w:tcPr>
          <w:p>
            <w:pPr>
              <w:ind w:left="60"/>
              <w:spacing w:after="0"/>
              <w:rPr>
                <w:sz w:val="20"/>
                <w:szCs w:val="20"/>
                <w:color w:val="auto"/>
              </w:rPr>
            </w:pPr>
            <w:r>
              <w:rPr>
                <w:rFonts w:ascii="Arial" w:cs="Arial" w:eastAsia="Arial" w:hAnsi="Arial"/>
                <w:sz w:val="20"/>
                <w:szCs w:val="20"/>
                <w:b w:val="1"/>
                <w:bCs w:val="1"/>
                <w:color w:val="2A2A2A"/>
              </w:rPr>
              <w:t>Automotive</w:t>
            </w:r>
          </w:p>
        </w:tc>
        <w:tc>
          <w:tcPr>
            <w:tcW w:w="5080" w:type="dxa"/>
            <w:vAlign w:val="bottom"/>
          </w:tcPr>
          <w:p>
            <w:pPr>
              <w:ind w:left="60"/>
              <w:spacing w:after="0"/>
              <w:rPr>
                <w:sz w:val="20"/>
                <w:szCs w:val="20"/>
                <w:color w:val="auto"/>
              </w:rPr>
            </w:pPr>
            <w:r>
              <w:rPr>
                <w:rFonts w:ascii="Arial" w:cs="Arial" w:eastAsia="Arial" w:hAnsi="Arial"/>
                <w:sz w:val="20"/>
                <w:szCs w:val="20"/>
                <w:color w:val="2A2A2A"/>
              </w:rPr>
              <w:t>Infotainment &amp; cluster</w:t>
            </w:r>
          </w:p>
        </w:tc>
      </w:tr>
      <w:tr>
        <w:trPr>
          <w:trHeight w:val="265"/>
        </w:trPr>
        <w:tc>
          <w:tcPr>
            <w:tcW w:w="5160" w:type="dxa"/>
            <w:vAlign w:val="bottom"/>
            <w:gridSpan w:val="2"/>
          </w:tcPr>
          <w:p>
            <w:pPr>
              <w:ind w:left="60"/>
              <w:spacing w:after="0"/>
              <w:rPr>
                <w:sz w:val="20"/>
                <w:szCs w:val="20"/>
                <w:color w:val="auto"/>
              </w:rPr>
            </w:pPr>
            <w:r>
              <w:rPr>
                <w:rFonts w:ascii="Arial" w:cs="Arial" w:eastAsia="Arial" w:hAnsi="Arial"/>
                <w:sz w:val="20"/>
                <w:szCs w:val="20"/>
                <w:color w:val="2A2A2A"/>
              </w:rPr>
              <w:t>(34% of TI revenue)</w:t>
            </w:r>
          </w:p>
        </w:tc>
        <w:tc>
          <w:tcPr>
            <w:tcW w:w="5080" w:type="dxa"/>
            <w:vAlign w:val="bottom"/>
          </w:tcPr>
          <w:p>
            <w:pPr>
              <w:ind w:left="60"/>
              <w:spacing w:after="0"/>
              <w:rPr>
                <w:sz w:val="20"/>
                <w:szCs w:val="20"/>
                <w:color w:val="auto"/>
              </w:rPr>
            </w:pPr>
            <w:r>
              <w:rPr>
                <w:rFonts w:ascii="Arial" w:cs="Arial" w:eastAsia="Arial" w:hAnsi="Arial"/>
                <w:sz w:val="20"/>
                <w:szCs w:val="20"/>
                <w:color w:val="2A2A2A"/>
              </w:rPr>
              <w:t>Hybrid, electric &amp; powertrain systems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Advanced driver assistance systems (ADAS)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Body electronics &amp; lighting</w:t>
            </w:r>
          </w:p>
        </w:tc>
      </w:tr>
      <w:tr>
        <w:trPr>
          <w:trHeight w:val="271"/>
        </w:trPr>
        <w:tc>
          <w:tcPr>
            <w:tcW w:w="5080" w:type="dxa"/>
            <w:vAlign w:val="bottom"/>
            <w:tcBorders>
              <w:bottom w:val="single" w:sz="8" w:color="2A2A2A"/>
            </w:tcBorders>
          </w:tcPr>
          <w:p>
            <w:pPr>
              <w:spacing w:after="0"/>
              <w:rPr>
                <w:sz w:val="23"/>
                <w:szCs w:val="23"/>
                <w:color w:val="auto"/>
              </w:rPr>
            </w:pPr>
          </w:p>
        </w:tc>
        <w:tc>
          <w:tcPr>
            <w:tcW w:w="80" w:type="dxa"/>
            <w:vAlign w:val="bottom"/>
            <w:tcBorders>
              <w:bottom w:val="single" w:sz="8" w:color="2A2A2A"/>
            </w:tcBorders>
          </w:tcPr>
          <w:p>
            <w:pPr>
              <w:spacing w:after="0"/>
              <w:rPr>
                <w:sz w:val="23"/>
                <w:szCs w:val="23"/>
                <w:color w:val="auto"/>
              </w:rPr>
            </w:pPr>
          </w:p>
        </w:tc>
        <w:tc>
          <w:tcPr>
            <w:tcW w:w="508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Passive safety</w:t>
            </w:r>
          </w:p>
        </w:tc>
      </w:tr>
      <w:tr>
        <w:trPr>
          <w:trHeight w:val="254"/>
        </w:trPr>
        <w:tc>
          <w:tcPr>
            <w:tcW w:w="5160" w:type="dxa"/>
            <w:vAlign w:val="bottom"/>
            <w:gridSpan w:val="2"/>
          </w:tcPr>
          <w:p>
            <w:pPr>
              <w:ind w:left="60"/>
              <w:spacing w:after="0"/>
              <w:rPr>
                <w:sz w:val="20"/>
                <w:szCs w:val="20"/>
                <w:color w:val="auto"/>
              </w:rPr>
            </w:pPr>
            <w:r>
              <w:rPr>
                <w:rFonts w:ascii="Arial" w:cs="Arial" w:eastAsia="Arial" w:hAnsi="Arial"/>
                <w:sz w:val="20"/>
                <w:szCs w:val="20"/>
                <w:b w:val="1"/>
                <w:bCs w:val="1"/>
                <w:color w:val="2A2A2A"/>
              </w:rPr>
              <w:t>Personal electronics</w:t>
            </w:r>
          </w:p>
        </w:tc>
        <w:tc>
          <w:tcPr>
            <w:tcW w:w="5080" w:type="dxa"/>
            <w:vAlign w:val="bottom"/>
          </w:tcPr>
          <w:p>
            <w:pPr>
              <w:ind w:left="60"/>
              <w:spacing w:after="0"/>
              <w:rPr>
                <w:sz w:val="20"/>
                <w:szCs w:val="20"/>
                <w:color w:val="auto"/>
              </w:rPr>
            </w:pPr>
            <w:r>
              <w:rPr>
                <w:rFonts w:ascii="Arial" w:cs="Arial" w:eastAsia="Arial" w:hAnsi="Arial"/>
                <w:sz w:val="20"/>
                <w:szCs w:val="20"/>
                <w:color w:val="2A2A2A"/>
              </w:rPr>
              <w:t>Mobile phones</w:t>
            </w:r>
          </w:p>
        </w:tc>
      </w:tr>
      <w:tr>
        <w:trPr>
          <w:trHeight w:val="265"/>
        </w:trPr>
        <w:tc>
          <w:tcPr>
            <w:tcW w:w="5160" w:type="dxa"/>
            <w:vAlign w:val="bottom"/>
            <w:gridSpan w:val="2"/>
          </w:tcPr>
          <w:p>
            <w:pPr>
              <w:ind w:left="60"/>
              <w:spacing w:after="0"/>
              <w:rPr>
                <w:sz w:val="20"/>
                <w:szCs w:val="20"/>
                <w:color w:val="auto"/>
              </w:rPr>
            </w:pPr>
            <w:r>
              <w:rPr>
                <w:rFonts w:ascii="Arial" w:cs="Arial" w:eastAsia="Arial" w:hAnsi="Arial"/>
                <w:sz w:val="20"/>
                <w:szCs w:val="20"/>
                <w:color w:val="2A2A2A"/>
              </w:rPr>
              <w:t>(15% of TI revenue)</w:t>
            </w:r>
          </w:p>
        </w:tc>
        <w:tc>
          <w:tcPr>
            <w:tcW w:w="5080" w:type="dxa"/>
            <w:vAlign w:val="bottom"/>
          </w:tcPr>
          <w:p>
            <w:pPr>
              <w:ind w:left="60"/>
              <w:spacing w:after="0"/>
              <w:rPr>
                <w:sz w:val="20"/>
                <w:szCs w:val="20"/>
                <w:color w:val="auto"/>
              </w:rPr>
            </w:pPr>
            <w:r>
              <w:rPr>
                <w:rFonts w:ascii="Arial" w:cs="Arial" w:eastAsia="Arial" w:hAnsi="Arial"/>
                <w:sz w:val="20"/>
                <w:szCs w:val="20"/>
                <w:color w:val="2A2A2A"/>
              </w:rPr>
              <w:t>PC &amp; notebooks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Portable electronics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TV</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Connected peripherals &amp; printers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Tablets</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Home theater &amp; entertainment</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Gaming</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Wearables (non-medical)</w:t>
            </w:r>
          </w:p>
        </w:tc>
      </w:tr>
      <w:tr>
        <w:trPr>
          <w:trHeight w:val="271"/>
        </w:trPr>
        <w:tc>
          <w:tcPr>
            <w:tcW w:w="5080" w:type="dxa"/>
            <w:vAlign w:val="bottom"/>
            <w:tcBorders>
              <w:bottom w:val="single" w:sz="8" w:color="2A2A2A"/>
            </w:tcBorders>
          </w:tcPr>
          <w:p>
            <w:pPr>
              <w:spacing w:after="0"/>
              <w:rPr>
                <w:sz w:val="23"/>
                <w:szCs w:val="23"/>
                <w:color w:val="auto"/>
              </w:rPr>
            </w:pPr>
          </w:p>
        </w:tc>
        <w:tc>
          <w:tcPr>
            <w:tcW w:w="80" w:type="dxa"/>
            <w:vAlign w:val="bottom"/>
            <w:tcBorders>
              <w:bottom w:val="single" w:sz="8" w:color="2A2A2A"/>
            </w:tcBorders>
          </w:tcPr>
          <w:p>
            <w:pPr>
              <w:spacing w:after="0"/>
              <w:rPr>
                <w:sz w:val="23"/>
                <w:szCs w:val="23"/>
                <w:color w:val="auto"/>
              </w:rPr>
            </w:pPr>
          </w:p>
        </w:tc>
        <w:tc>
          <w:tcPr>
            <w:tcW w:w="508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Data storage</w:t>
            </w:r>
          </w:p>
        </w:tc>
      </w:tr>
      <w:tr>
        <w:trPr>
          <w:trHeight w:val="254"/>
        </w:trPr>
        <w:tc>
          <w:tcPr>
            <w:tcW w:w="5160" w:type="dxa"/>
            <w:vAlign w:val="bottom"/>
            <w:gridSpan w:val="2"/>
          </w:tcPr>
          <w:p>
            <w:pPr>
              <w:ind w:left="60"/>
              <w:spacing w:after="0"/>
              <w:rPr>
                <w:sz w:val="20"/>
                <w:szCs w:val="20"/>
                <w:color w:val="auto"/>
              </w:rPr>
            </w:pPr>
            <w:r>
              <w:rPr>
                <w:rFonts w:ascii="Arial" w:cs="Arial" w:eastAsia="Arial" w:hAnsi="Arial"/>
                <w:sz w:val="20"/>
                <w:szCs w:val="20"/>
                <w:b w:val="1"/>
                <w:bCs w:val="1"/>
                <w:color w:val="2A2A2A"/>
              </w:rPr>
              <w:t>Communications equipment</w:t>
            </w:r>
          </w:p>
        </w:tc>
        <w:tc>
          <w:tcPr>
            <w:tcW w:w="5080" w:type="dxa"/>
            <w:vAlign w:val="bottom"/>
          </w:tcPr>
          <w:p>
            <w:pPr>
              <w:ind w:left="60"/>
              <w:spacing w:after="0"/>
              <w:rPr>
                <w:sz w:val="20"/>
                <w:szCs w:val="20"/>
                <w:color w:val="auto"/>
              </w:rPr>
            </w:pPr>
            <w:r>
              <w:rPr>
                <w:rFonts w:ascii="Arial" w:cs="Arial" w:eastAsia="Arial" w:hAnsi="Arial"/>
                <w:sz w:val="20"/>
                <w:szCs w:val="20"/>
                <w:color w:val="2A2A2A"/>
              </w:rPr>
              <w:t>Wireless infrastructure</w:t>
            </w:r>
          </w:p>
        </w:tc>
      </w:tr>
      <w:tr>
        <w:trPr>
          <w:trHeight w:val="265"/>
        </w:trPr>
        <w:tc>
          <w:tcPr>
            <w:tcW w:w="5160" w:type="dxa"/>
            <w:vAlign w:val="bottom"/>
            <w:gridSpan w:val="2"/>
          </w:tcPr>
          <w:p>
            <w:pPr>
              <w:ind w:left="60"/>
              <w:spacing w:after="0"/>
              <w:rPr>
                <w:sz w:val="20"/>
                <w:szCs w:val="20"/>
                <w:color w:val="auto"/>
              </w:rPr>
            </w:pPr>
            <w:r>
              <w:rPr>
                <w:rFonts w:ascii="Arial" w:cs="Arial" w:eastAsia="Arial" w:hAnsi="Arial"/>
                <w:sz w:val="20"/>
                <w:szCs w:val="20"/>
                <w:color w:val="2A2A2A"/>
              </w:rPr>
              <w:t>(5% of TI revenue)</w:t>
            </w:r>
          </w:p>
        </w:tc>
        <w:tc>
          <w:tcPr>
            <w:tcW w:w="5080" w:type="dxa"/>
            <w:vAlign w:val="bottom"/>
          </w:tcPr>
          <w:p>
            <w:pPr>
              <w:ind w:left="60"/>
              <w:spacing w:after="0"/>
              <w:rPr>
                <w:sz w:val="20"/>
                <w:szCs w:val="20"/>
                <w:color w:val="auto"/>
              </w:rPr>
            </w:pPr>
            <w:r>
              <w:rPr>
                <w:rFonts w:ascii="Arial" w:cs="Arial" w:eastAsia="Arial" w:hAnsi="Arial"/>
                <w:sz w:val="20"/>
                <w:szCs w:val="20"/>
                <w:color w:val="2A2A2A"/>
              </w:rPr>
              <w:t>Wired networking</w:t>
            </w:r>
          </w:p>
        </w:tc>
      </w:tr>
      <w:tr>
        <w:trPr>
          <w:trHeight w:val="270"/>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Broadband fixed line access</w:t>
            </w:r>
          </w:p>
        </w:tc>
      </w:tr>
      <w:tr>
        <w:trPr>
          <w:trHeight w:val="271"/>
        </w:trPr>
        <w:tc>
          <w:tcPr>
            <w:tcW w:w="5080" w:type="dxa"/>
            <w:vAlign w:val="bottom"/>
            <w:tcBorders>
              <w:bottom w:val="single" w:sz="8" w:color="2A2A2A"/>
            </w:tcBorders>
          </w:tcPr>
          <w:p>
            <w:pPr>
              <w:spacing w:after="0"/>
              <w:rPr>
                <w:sz w:val="23"/>
                <w:szCs w:val="23"/>
                <w:color w:val="auto"/>
              </w:rPr>
            </w:pPr>
          </w:p>
        </w:tc>
        <w:tc>
          <w:tcPr>
            <w:tcW w:w="80" w:type="dxa"/>
            <w:vAlign w:val="bottom"/>
            <w:tcBorders>
              <w:bottom w:val="single" w:sz="8" w:color="2A2A2A"/>
            </w:tcBorders>
          </w:tcPr>
          <w:p>
            <w:pPr>
              <w:spacing w:after="0"/>
              <w:rPr>
                <w:sz w:val="23"/>
                <w:szCs w:val="23"/>
                <w:color w:val="auto"/>
              </w:rPr>
            </w:pPr>
          </w:p>
        </w:tc>
        <w:tc>
          <w:tcPr>
            <w:tcW w:w="508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Datacom module</w:t>
            </w:r>
          </w:p>
        </w:tc>
      </w:tr>
      <w:tr>
        <w:trPr>
          <w:trHeight w:val="257"/>
        </w:trPr>
        <w:tc>
          <w:tcPr>
            <w:tcW w:w="508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Enterprise systems</w:t>
            </w:r>
          </w:p>
        </w:tc>
        <w:tc>
          <w:tcPr>
            <w:tcW w:w="80" w:type="dxa"/>
            <w:vAlign w:val="bottom"/>
          </w:tcPr>
          <w:p>
            <w:pPr>
              <w:spacing w:after="0"/>
              <w:rPr>
                <w:sz w:val="22"/>
                <w:szCs w:val="22"/>
                <w:color w:val="auto"/>
              </w:rPr>
            </w:pPr>
          </w:p>
        </w:tc>
        <w:tc>
          <w:tcPr>
            <w:tcW w:w="5080" w:type="dxa"/>
            <w:vAlign w:val="bottom"/>
          </w:tcPr>
          <w:p>
            <w:pPr>
              <w:ind w:left="60"/>
              <w:spacing w:after="0"/>
              <w:rPr>
                <w:sz w:val="20"/>
                <w:szCs w:val="20"/>
                <w:color w:val="auto"/>
              </w:rPr>
            </w:pPr>
            <w:r>
              <w:rPr>
                <w:rFonts w:ascii="Arial" w:cs="Arial" w:eastAsia="Arial" w:hAnsi="Arial"/>
                <w:sz w:val="20"/>
                <w:szCs w:val="20"/>
                <w:color w:val="2A2A2A"/>
              </w:rPr>
              <w:t>Data center &amp; enterprise computing</w:t>
            </w:r>
          </w:p>
        </w:tc>
      </w:tr>
      <w:tr>
        <w:trPr>
          <w:trHeight w:val="270"/>
        </w:trPr>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(4% of TI revenue)</w:t>
            </w:r>
          </w:p>
        </w:tc>
        <w:tc>
          <w:tcPr>
            <w:tcW w:w="80" w:type="dxa"/>
            <w:vAlign w:val="bottom"/>
            <w:shd w:val="clear" w:color="auto" w:fill="D7D7D7"/>
          </w:tcPr>
          <w:p>
            <w:pPr>
              <w:spacing w:after="0"/>
              <w:rPr>
                <w:sz w:val="23"/>
                <w:szCs w:val="23"/>
                <w:color w:val="auto"/>
              </w:rPr>
            </w:pPr>
          </w:p>
        </w:tc>
        <w:tc>
          <w:tcPr>
            <w:tcW w:w="50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Enterprise projectors</w:t>
            </w:r>
          </w:p>
        </w:tc>
      </w:tr>
      <w:tr>
        <w:trPr>
          <w:trHeight w:val="263"/>
        </w:trPr>
        <w:tc>
          <w:tcPr>
            <w:tcW w:w="5080" w:type="dxa"/>
            <w:vAlign w:val="bottom"/>
            <w:tcBorders>
              <w:bottom w:val="single" w:sz="8" w:color="2A2A2A"/>
            </w:tcBorders>
            <w:shd w:val="clear" w:color="auto" w:fill="D7D7D7"/>
          </w:tcPr>
          <w:p>
            <w:pPr>
              <w:spacing w:after="0"/>
              <w:rPr>
                <w:sz w:val="22"/>
                <w:szCs w:val="22"/>
                <w:color w:val="auto"/>
              </w:rPr>
            </w:pPr>
          </w:p>
        </w:tc>
        <w:tc>
          <w:tcPr>
            <w:tcW w:w="80" w:type="dxa"/>
            <w:vAlign w:val="bottom"/>
            <w:tcBorders>
              <w:bottom w:val="single" w:sz="8" w:color="2A2A2A"/>
            </w:tcBorders>
            <w:shd w:val="clear" w:color="auto" w:fill="D7D7D7"/>
          </w:tcPr>
          <w:p>
            <w:pPr>
              <w:spacing w:after="0"/>
              <w:rPr>
                <w:sz w:val="22"/>
                <w:szCs w:val="22"/>
                <w:color w:val="auto"/>
              </w:rPr>
            </w:pPr>
          </w:p>
        </w:tc>
        <w:tc>
          <w:tcPr>
            <w:tcW w:w="5080" w:type="dxa"/>
            <w:vAlign w:val="bottom"/>
            <w:tcBorders>
              <w:bottom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Enterprise machine</w:t>
            </w:r>
          </w:p>
        </w:tc>
      </w:tr>
      <w:tr>
        <w:trPr>
          <w:trHeight w:val="254"/>
        </w:trPr>
        <w:tc>
          <w:tcPr>
            <w:tcW w:w="5160" w:type="dxa"/>
            <w:vAlign w:val="bottom"/>
            <w:gridSpan w:val="2"/>
          </w:tcPr>
          <w:p>
            <w:pPr>
              <w:ind w:left="60"/>
              <w:spacing w:after="0"/>
              <w:rPr>
                <w:sz w:val="20"/>
                <w:szCs w:val="20"/>
                <w:color w:val="auto"/>
              </w:rPr>
            </w:pPr>
            <w:r>
              <w:rPr>
                <w:rFonts w:ascii="Arial" w:cs="Arial" w:eastAsia="Arial" w:hAnsi="Arial"/>
                <w:sz w:val="20"/>
                <w:szCs w:val="20"/>
                <w:b w:val="1"/>
                <w:bCs w:val="1"/>
                <w:color w:val="2A2A2A"/>
              </w:rPr>
              <w:t>Other (calculators and other)</w:t>
            </w:r>
          </w:p>
        </w:tc>
        <w:tc>
          <w:tcPr>
            <w:tcW w:w="5080" w:type="dxa"/>
            <w:vAlign w:val="bottom"/>
          </w:tcPr>
          <w:p>
            <w:pPr>
              <w:spacing w:after="0"/>
              <w:rPr>
                <w:sz w:val="22"/>
                <w:szCs w:val="22"/>
                <w:color w:val="auto"/>
              </w:rPr>
            </w:pPr>
          </w:p>
        </w:tc>
      </w:tr>
      <w:tr>
        <w:trPr>
          <w:trHeight w:val="266"/>
        </w:trPr>
        <w:tc>
          <w:tcPr>
            <w:tcW w:w="5160" w:type="dxa"/>
            <w:vAlign w:val="bottom"/>
            <w:tcBorders>
              <w:bottom w:val="single" w:sz="8" w:color="2A2A2A"/>
            </w:tcBorders>
            <w:gridSpan w:val="2"/>
          </w:tcPr>
          <w:p>
            <w:pPr>
              <w:ind w:left="60"/>
              <w:spacing w:after="0"/>
              <w:rPr>
                <w:sz w:val="20"/>
                <w:szCs w:val="20"/>
                <w:color w:val="auto"/>
              </w:rPr>
            </w:pPr>
            <w:r>
              <w:rPr>
                <w:rFonts w:ascii="Arial" w:cs="Arial" w:eastAsia="Arial" w:hAnsi="Arial"/>
                <w:sz w:val="20"/>
                <w:szCs w:val="20"/>
                <w:color w:val="2A2A2A"/>
              </w:rPr>
              <w:t>(2% of TI revenue)</w:t>
            </w:r>
          </w:p>
        </w:tc>
        <w:tc>
          <w:tcPr>
            <w:tcW w:w="5080" w:type="dxa"/>
            <w:vAlign w:val="bottom"/>
            <w:tcBorders>
              <w:bottom w:val="single" w:sz="8" w:color="2A2A2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-6360795</wp:posOffset>
            </wp:positionV>
            <wp:extent cx="3304540"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4540" cy="279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-4303395</wp:posOffset>
            </wp:positionV>
            <wp:extent cx="6533515" cy="397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3515" cy="39712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Market characteristics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Competitive landscape</w:t>
      </w:r>
    </w:p>
    <w:p>
      <w:pPr>
        <w:spacing w:after="0" w:line="257"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Despite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ectPr>
          <w:pgSz w:w="12240" w:h="15840" w:orient="portrait"/>
          <w:cols w:equalWidth="0" w:num="1">
            <w:col w:w="10280"/>
          </w:cols>
          <w:pgMar w:left="980" w:top="658"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w:t>
      </w:r>
    </w:p>
    <w:p>
      <w:pPr>
        <w:sectPr>
          <w:pgSz w:w="12240" w:h="15840" w:orient="portrait"/>
          <w:cols w:equalWidth="0" w:num="1">
            <w:col w:w="10280"/>
          </w:cols>
          <w:pgMar w:left="980" w:top="658" w:right="980" w:bottom="24" w:gutter="0" w:footer="0" w:header="0"/>
          <w:type w:val="continuous"/>
        </w:sectPr>
      </w:pPr>
    </w:p>
    <w:bookmarkStart w:id="11" w:name="page12"/>
    <w:bookmarkEnd w:id="11"/>
    <w:p>
      <w:pPr>
        <w:ind w:right="80"/>
        <w:spacing w:after="0" w:line="256" w:lineRule="auto"/>
        <w:rPr>
          <w:sz w:val="20"/>
          <w:szCs w:val="20"/>
          <w:color w:val="auto"/>
        </w:rPr>
      </w:pPr>
      <w:r>
        <w:rPr>
          <w:rFonts w:ascii="Arial" w:cs="Arial" w:eastAsia="Arial" w:hAnsi="Arial"/>
          <w:sz w:val="20"/>
          <w:szCs w:val="20"/>
          <w:color w:val="2A2A2A"/>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Market cycle</w:t>
      </w: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Seasonality</w:t>
      </w:r>
    </w:p>
    <w:p>
      <w:pPr>
        <w:spacing w:after="0" w:line="257" w:lineRule="exact"/>
        <w:rPr>
          <w:sz w:val="20"/>
          <w:szCs w:val="20"/>
          <w:color w:val="auto"/>
        </w:rPr>
      </w:pPr>
    </w:p>
    <w:p>
      <w:pPr>
        <w:ind w:right="540"/>
        <w:spacing w:after="0" w:line="287" w:lineRule="auto"/>
        <w:rPr>
          <w:sz w:val="20"/>
          <w:szCs w:val="20"/>
          <w:color w:val="auto"/>
        </w:rPr>
      </w:pPr>
      <w:r>
        <w:rPr>
          <w:rFonts w:ascii="Arial" w:cs="Arial" w:eastAsia="Arial" w:hAnsi="Arial"/>
          <w:sz w:val="20"/>
          <w:szCs w:val="20"/>
          <w:color w:val="2A2A2A"/>
        </w:rPr>
        <w:t>Our revenue is subject to some seasonal variation. Historically, our sequential revenue growth rate tends to be weaker in the first and fourth quarters when compared with the second and third quarters.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Customers, sales and distribution</w:t>
      </w:r>
    </w:p>
    <w:p>
      <w:pPr>
        <w:spacing w:after="0" w:line="257"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2A2A2A"/>
        </w:rPr>
        <w:t>We sell our products to over 100,000 customers. Our customer base is diverse, with more than 40% of our revenue derived from customers outside our largest 100.</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We market and sell our products through direct sales channels, including our website and broad sales and marketing team, and, to a lesser extent, through distributors. Over the past several years, we have been investing in new capabilities to build closer direct customer relationships. As a result, in 2023 about 75% of our revenue was direct, which includes TI.com, as customers valued the convenience of purchasing online.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2A2A2A"/>
        </w:rPr>
        <w:t>Our investments in new and improved capabilities to directly support our customers include website and e-commerce enhancements as well as inventory consignment programs and order fulfillment services. Our TI.com e-commerce channel offers a localized online experience in many countries, with convenience features such as immediate availability, local currency, payment methods, invoicing and importer of record. Our new application programming interfaces (APIs) give customers the ability to directly access real-time information about TI products from their own systems, enabling them to purchase available chips immediately to better support their supply needs, reducing cost and delays.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color w:val="2A2A2A"/>
        </w:rPr>
        <w:t>In addition to doing business directly with TI, we offer customers the option of using a single worldwide distributor and a few region-specific distributors for order fulfillment.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Manufacturing</w:t>
      </w:r>
    </w:p>
    <w:p>
      <w:pPr>
        <w:spacing w:after="0" w:line="257" w:lineRule="exact"/>
        <w:rPr>
          <w:sz w:val="20"/>
          <w:szCs w:val="20"/>
          <w:color w:val="auto"/>
        </w:rPr>
      </w:pPr>
    </w:p>
    <w:p>
      <w:pPr>
        <w:jc w:val="both"/>
        <w:ind w:right="480"/>
        <w:spacing w:after="0" w:line="268" w:lineRule="auto"/>
        <w:rPr>
          <w:sz w:val="20"/>
          <w:szCs w:val="20"/>
          <w:color w:val="auto"/>
        </w:rPr>
      </w:pPr>
      <w:r>
        <w:rPr>
          <w:rFonts w:ascii="Arial" w:cs="Arial" w:eastAsia="Arial" w:hAnsi="Arial"/>
          <w:sz w:val="20"/>
          <w:szCs w:val="20"/>
          <w:color w:val="2A2A2A"/>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90" w:lineRule="exact"/>
        <w:rPr>
          <w:sz w:val="20"/>
          <w:szCs w:val="20"/>
          <w:color w:val="auto"/>
        </w:rPr>
      </w:pPr>
    </w:p>
    <w:p>
      <w:pPr>
        <w:ind w:right="560"/>
        <w:spacing w:after="0" w:line="287" w:lineRule="auto"/>
        <w:rPr>
          <w:sz w:val="20"/>
          <w:szCs w:val="20"/>
          <w:color w:val="auto"/>
        </w:rPr>
      </w:pPr>
      <w:r>
        <w:rPr>
          <w:rFonts w:ascii="Arial" w:cs="Arial" w:eastAsia="Arial" w:hAnsi="Arial"/>
          <w:sz w:val="20"/>
          <w:szCs w:val="20"/>
          <w:color w:val="2A2A2A"/>
        </w:rPr>
        <w:t>We own and operate semiconductor manufacturing facilities in North America, Asia, Japan and Europe. These include both wafer fabrication and assembly/test facilities.</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w:t>
      </w:r>
    </w:p>
    <w:p>
      <w:pPr>
        <w:sectPr>
          <w:pgSz w:w="12240" w:h="15840" w:orient="portrait"/>
          <w:cols w:equalWidth="0" w:num="1">
            <w:col w:w="10280"/>
          </w:cols>
          <w:pgMar w:left="980" w:top="664" w:right="980" w:bottom="24" w:gutter="0" w:footer="0" w:header="0"/>
          <w:type w:val="continuous"/>
        </w:sectPr>
      </w:pPr>
    </w:p>
    <w:bookmarkStart w:id="12" w:name="page13"/>
    <w:bookmarkEnd w:id="12"/>
    <w:p>
      <w:pPr>
        <w:ind w:right="40"/>
        <w:spacing w:after="0" w:line="257" w:lineRule="auto"/>
        <w:rPr>
          <w:sz w:val="20"/>
          <w:szCs w:val="20"/>
          <w:color w:val="auto"/>
        </w:rPr>
      </w:pPr>
      <w:r>
        <w:rPr>
          <w:rFonts w:ascii="Arial" w:cs="Arial" w:eastAsia="Arial" w:hAnsi="Arial"/>
          <w:sz w:val="20"/>
          <w:szCs w:val="20"/>
          <w:color w:val="2A2A2A"/>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offering our customers geopolitically dependable capacity. We have focused on creating a competitive manufacturing structural cost advantage by investing in our advanced 300mm capacity. An unpackaged chip built on a 300mm wafer costs about 40% less than an unpackaged chip built on a 200mm wafer.</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2A2A2A"/>
        </w:rPr>
        <w:t>We continue to invest to strengthen our competitive advantage in manufacturing and technology as part of our long-term capacity plan to meet demand over time. Semiconductor growth in electronics, particularly in industrial and automotive markets, is expected to continue well into the future. Progress and investments include:</w:t>
      </w:r>
    </w:p>
    <w:p>
      <w:pPr>
        <w:spacing w:after="0" w:line="190" w:lineRule="exact"/>
        <w:rPr>
          <w:sz w:val="20"/>
          <w:szCs w:val="20"/>
          <w:color w:val="auto"/>
        </w:rPr>
      </w:pPr>
    </w:p>
    <w:p>
      <w:pPr>
        <w:ind w:left="720" w:hanging="361"/>
        <w:spacing w:after="0"/>
        <w:tabs>
          <w:tab w:leader="none" w:pos="720" w:val="left"/>
        </w:tabs>
        <w:numPr>
          <w:ilvl w:val="0"/>
          <w:numId w:val="4"/>
        </w:numPr>
        <w:rPr>
          <w:rFonts w:ascii="Arial" w:cs="Arial" w:eastAsia="Arial" w:hAnsi="Arial"/>
          <w:sz w:val="20"/>
          <w:szCs w:val="20"/>
          <w:color w:val="2A2A2A"/>
        </w:rPr>
      </w:pPr>
      <w:r>
        <w:rPr>
          <w:rFonts w:ascii="Arial" w:cs="Arial" w:eastAsia="Arial" w:hAnsi="Arial"/>
          <w:sz w:val="20"/>
          <w:szCs w:val="20"/>
          <w:color w:val="2A2A2A"/>
        </w:rPr>
        <w:t>Ramping production in 300mm wafer fabrication facility RFAB2 in Richardson, Texas.</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4"/>
        </w:numPr>
        <w:rPr>
          <w:rFonts w:ascii="Arial" w:cs="Arial" w:eastAsia="Arial" w:hAnsi="Arial"/>
          <w:sz w:val="20"/>
          <w:szCs w:val="20"/>
          <w:color w:val="2A2A2A"/>
        </w:rPr>
      </w:pPr>
      <w:r>
        <w:rPr>
          <w:rFonts w:ascii="Arial" w:cs="Arial" w:eastAsia="Arial" w:hAnsi="Arial"/>
          <w:sz w:val="20"/>
          <w:szCs w:val="20"/>
          <w:color w:val="2A2A2A"/>
        </w:rPr>
        <w:t>Ramping production in 300mm wafer fabrication facility LFAB1 in Lehi, Utah.</w:t>
      </w:r>
    </w:p>
    <w:p>
      <w:pPr>
        <w:spacing w:after="0" w:line="130" w:lineRule="exact"/>
        <w:rPr>
          <w:rFonts w:ascii="Arial" w:cs="Arial" w:eastAsia="Arial" w:hAnsi="Arial"/>
          <w:sz w:val="20"/>
          <w:szCs w:val="20"/>
          <w:color w:val="2A2A2A"/>
        </w:rPr>
      </w:pPr>
    </w:p>
    <w:p>
      <w:pPr>
        <w:ind w:left="720" w:right="420" w:hanging="361"/>
        <w:spacing w:after="0" w:line="287" w:lineRule="auto"/>
        <w:tabs>
          <w:tab w:leader="none" w:pos="720" w:val="left"/>
        </w:tabs>
        <w:numPr>
          <w:ilvl w:val="0"/>
          <w:numId w:val="4"/>
        </w:numPr>
        <w:rPr>
          <w:rFonts w:ascii="Arial" w:cs="Arial" w:eastAsia="Arial" w:hAnsi="Arial"/>
          <w:sz w:val="20"/>
          <w:szCs w:val="20"/>
          <w:color w:val="2A2A2A"/>
        </w:rPr>
      </w:pPr>
      <w:r>
        <w:rPr>
          <w:rFonts w:ascii="Arial" w:cs="Arial" w:eastAsia="Arial" w:hAnsi="Arial"/>
          <w:sz w:val="20"/>
          <w:szCs w:val="20"/>
          <w:color w:val="2A2A2A"/>
        </w:rPr>
        <w:t>Continuing construction on SM1 and SM2 in Sherman, Texas, where we are building four 300mm wafer fabrication facilities.</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4"/>
        </w:numPr>
        <w:rPr>
          <w:rFonts w:ascii="Arial" w:cs="Arial" w:eastAsia="Arial" w:hAnsi="Arial"/>
          <w:sz w:val="20"/>
          <w:szCs w:val="20"/>
          <w:color w:val="2A2A2A"/>
        </w:rPr>
      </w:pPr>
      <w:r>
        <w:rPr>
          <w:rFonts w:ascii="Arial" w:cs="Arial" w:eastAsia="Arial" w:hAnsi="Arial"/>
          <w:sz w:val="20"/>
          <w:szCs w:val="20"/>
          <w:color w:val="2A2A2A"/>
        </w:rPr>
        <w:t>Starting construction on LFAB2, another 300mm wafer fabrication facility in Lehi, Utah.</w:t>
      </w:r>
    </w:p>
    <w:p>
      <w:pPr>
        <w:spacing w:after="0" w:line="250" w:lineRule="exact"/>
        <w:rPr>
          <w:sz w:val="20"/>
          <w:szCs w:val="20"/>
          <w:color w:val="auto"/>
        </w:rPr>
      </w:pPr>
    </w:p>
    <w:p>
      <w:pPr>
        <w:spacing w:after="0" w:line="314" w:lineRule="auto"/>
        <w:rPr>
          <w:sz w:val="20"/>
          <w:szCs w:val="20"/>
          <w:color w:val="auto"/>
        </w:rPr>
      </w:pPr>
      <w:r>
        <w:rPr>
          <w:rFonts w:ascii="Arial" w:cs="Arial" w:eastAsia="Arial" w:hAnsi="Arial"/>
          <w:sz w:val="19"/>
          <w:szCs w:val="19"/>
          <w:color w:val="2A2A2A"/>
        </w:rPr>
        <w:t>Together, these investments are designed to strengthen our manufacturing and technology competitive advantage, provide us with lower costs and greater control of our supply chain, and support growth over the next 10 to 15 years.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2A2A2A"/>
        </w:rPr>
        <w:t>We assess and are careful to address potential health, safety, and environmental risks presented by our operations, including our manufacturing operations. We care for our environment and work to prevent pollution and the potential risks related to climate change. We invest to reduce emissions over the long term in several ways, including installing new factory equipment with state-of-the-art emissions reduction technology, as well as retrofitting existing factory equipment with advanced abatement technology, in addition to using alternative gases and increasing the use of renewable electricity. We also continue to implement practices such as recycling and reusing materials and properly handling hazardous and restricted substances.</w:t>
      </w:r>
    </w:p>
    <w:p>
      <w:pPr>
        <w:spacing w:after="0" w:line="203"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2A2A2A"/>
        </w:rPr>
        <w:t>We expect to continue to maintain sufficient internal manufacturing capacity to meet the majority of our production needs and to obtain manufacturing equipment to support new technology developments and revenue growth. In 2023, we sourced about 80% of our total wafers and about 65% of our assembly/test production internally. With our planned capacity expansions, we expect these percentages to increase. To supplement our internal manufacturing capacity, we selectively use the capacity of outside suppliers, commonly known as foundries and subcontractors.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Inventory</w:t>
      </w:r>
    </w:p>
    <w:p>
      <w:pPr>
        <w:spacing w:after="0" w:line="257"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2A2A2A"/>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Raw materials</w:t>
      </w:r>
    </w:p>
    <w:p>
      <w:pPr>
        <w:spacing w:after="0" w:line="257"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color w:val="2A2A2A"/>
        </w:rPr>
        <w:t>We source materials, parts and supplies from a diverse set of suppliers globally. The materials, parts and supplies essential to our business are generally available, and we believe that such materials, parts and supplies will be available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Intellectual property</w:t>
      </w:r>
    </w:p>
    <w:p>
      <w:pPr>
        <w:spacing w:after="0" w:line="257"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color w:val="2A2A2A"/>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7</w:t>
      </w:r>
    </w:p>
    <w:p>
      <w:pPr>
        <w:sectPr>
          <w:pgSz w:w="12240" w:h="15840" w:orient="portrait"/>
          <w:cols w:equalWidth="0" w:num="1">
            <w:col w:w="10260"/>
          </w:cols>
          <w:pgMar w:left="980" w:top="664" w:right="1000" w:bottom="24" w:gutter="0" w:footer="0" w:header="0"/>
          <w:type w:val="continuous"/>
        </w:sectPr>
      </w:pPr>
    </w:p>
    <w:bookmarkStart w:id="13" w:name="page14"/>
    <w:bookmarkEnd w:id="13"/>
    <w:p>
      <w:pPr>
        <w:ind w:left="1"/>
        <w:spacing w:after="0"/>
        <w:rPr>
          <w:sz w:val="20"/>
          <w:szCs w:val="20"/>
          <w:color w:val="auto"/>
        </w:rPr>
      </w:pPr>
      <w:r>
        <w:rPr>
          <w:rFonts w:ascii="Arial" w:cs="Arial" w:eastAsia="Arial" w:hAnsi="Arial"/>
          <w:sz w:val="22"/>
          <w:szCs w:val="22"/>
          <w:b w:val="1"/>
          <w:bCs w:val="1"/>
          <w:color w:val="2A2A2A"/>
        </w:rPr>
        <w:t>Information about our executive officers</w:t>
      </w:r>
    </w:p>
    <w:p>
      <w:pPr>
        <w:spacing w:after="0" w:line="257" w:lineRule="exact"/>
        <w:rPr>
          <w:sz w:val="20"/>
          <w:szCs w:val="20"/>
          <w:color w:val="auto"/>
        </w:rPr>
      </w:pPr>
    </w:p>
    <w:p>
      <w:pPr>
        <w:ind w:left="1" w:right="820"/>
        <w:spacing w:after="0" w:line="287" w:lineRule="auto"/>
        <w:rPr>
          <w:sz w:val="20"/>
          <w:szCs w:val="20"/>
          <w:color w:val="auto"/>
        </w:rPr>
      </w:pPr>
      <w:r>
        <w:rPr>
          <w:rFonts w:ascii="Arial" w:cs="Arial" w:eastAsia="Arial" w:hAnsi="Arial"/>
          <w:sz w:val="20"/>
          <w:szCs w:val="20"/>
          <w:color w:val="2A2A2A"/>
        </w:rPr>
        <w:t>The following is an alphabetical list of the names and ages of the executive officers of the company and the positions or offices with the company held by each person named:</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240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940" w:type="dxa"/>
            <w:vAlign w:val="bottom"/>
            <w:tcBorders>
              <w:bottom w:val="single" w:sz="8" w:color="2A2A2A"/>
            </w:tcBorders>
          </w:tcPr>
          <w:p>
            <w:pPr>
              <w:ind w:left="420"/>
              <w:spacing w:after="0"/>
              <w:rPr>
                <w:sz w:val="20"/>
                <w:szCs w:val="20"/>
                <w:color w:val="auto"/>
              </w:rPr>
            </w:pPr>
            <w:r>
              <w:rPr>
                <w:rFonts w:ascii="Arial" w:cs="Arial" w:eastAsia="Arial" w:hAnsi="Arial"/>
                <w:sz w:val="16"/>
                <w:szCs w:val="16"/>
                <w:b w:val="1"/>
                <w:bCs w:val="1"/>
                <w:color w:val="2A2A2A"/>
              </w:rPr>
              <w:t>Age</w:t>
            </w:r>
          </w:p>
        </w:tc>
        <w:tc>
          <w:tcPr>
            <w:tcW w:w="6900" w:type="dxa"/>
            <w:vAlign w:val="bottom"/>
            <w:tcBorders>
              <w:bottom w:val="single" w:sz="8" w:color="2A2A2A"/>
            </w:tcBorders>
          </w:tcPr>
          <w:p>
            <w:pPr>
              <w:ind w:left="220"/>
              <w:spacing w:after="0"/>
              <w:rPr>
                <w:sz w:val="20"/>
                <w:szCs w:val="20"/>
                <w:color w:val="auto"/>
              </w:rPr>
            </w:pPr>
            <w:r>
              <w:rPr>
                <w:rFonts w:ascii="Arial" w:cs="Arial" w:eastAsia="Arial" w:hAnsi="Arial"/>
                <w:sz w:val="16"/>
                <w:szCs w:val="16"/>
                <w:b w:val="1"/>
                <w:bCs w:val="1"/>
                <w:color w:val="2A2A2A"/>
              </w:rPr>
              <w:t>Position</w:t>
            </w:r>
          </w:p>
        </w:tc>
      </w:tr>
      <w:tr>
        <w:trPr>
          <w:trHeight w:val="260"/>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Ahmad S. Bahai</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61</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Senior Vice President</w:t>
            </w:r>
          </w:p>
        </w:tc>
      </w:tr>
      <w:tr>
        <w:trPr>
          <w:trHeight w:val="268"/>
        </w:trPr>
        <w:tc>
          <w:tcPr>
            <w:tcW w:w="2400" w:type="dxa"/>
            <w:vAlign w:val="bottom"/>
          </w:tcPr>
          <w:p>
            <w:pPr>
              <w:ind w:left="60"/>
              <w:spacing w:after="0"/>
              <w:rPr>
                <w:sz w:val="20"/>
                <w:szCs w:val="20"/>
                <w:color w:val="auto"/>
              </w:rPr>
            </w:pPr>
            <w:r>
              <w:rPr>
                <w:rFonts w:ascii="Arial" w:cs="Arial" w:eastAsia="Arial" w:hAnsi="Arial"/>
                <w:sz w:val="20"/>
                <w:szCs w:val="20"/>
                <w:color w:val="2A2A2A"/>
              </w:rPr>
              <w:t>Mark S. Gary</w:t>
            </w:r>
          </w:p>
        </w:tc>
        <w:tc>
          <w:tcPr>
            <w:tcW w:w="940" w:type="dxa"/>
            <w:vAlign w:val="bottom"/>
          </w:tcPr>
          <w:p>
            <w:pPr>
              <w:ind w:left="420"/>
              <w:spacing w:after="0"/>
              <w:rPr>
                <w:sz w:val="20"/>
                <w:szCs w:val="20"/>
                <w:color w:val="auto"/>
              </w:rPr>
            </w:pPr>
            <w:r>
              <w:rPr>
                <w:rFonts w:ascii="Arial" w:cs="Arial" w:eastAsia="Arial" w:hAnsi="Arial"/>
                <w:sz w:val="20"/>
                <w:szCs w:val="20"/>
                <w:color w:val="2A2A2A"/>
              </w:rPr>
              <w:t>49</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w:t>
            </w:r>
          </w:p>
        </w:tc>
      </w:tr>
      <w:tr>
        <w:trPr>
          <w:trHeight w:val="272"/>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55</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Director, President and Chief Executive Officer</w:t>
            </w:r>
          </w:p>
        </w:tc>
      </w:tr>
      <w:tr>
        <w:trPr>
          <w:trHeight w:val="268"/>
        </w:trPr>
        <w:tc>
          <w:tcPr>
            <w:tcW w:w="240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940" w:type="dxa"/>
            <w:vAlign w:val="bottom"/>
          </w:tcPr>
          <w:p>
            <w:pPr>
              <w:ind w:left="420"/>
              <w:spacing w:after="0"/>
              <w:rPr>
                <w:sz w:val="20"/>
                <w:szCs w:val="20"/>
                <w:color w:val="auto"/>
              </w:rPr>
            </w:pPr>
            <w:r>
              <w:rPr>
                <w:rFonts w:ascii="Arial" w:cs="Arial" w:eastAsia="Arial" w:hAnsi="Arial"/>
                <w:sz w:val="20"/>
                <w:szCs w:val="20"/>
                <w:color w:val="2A2A2A"/>
              </w:rPr>
              <w:t>41</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w:t>
            </w:r>
          </w:p>
        </w:tc>
      </w:tr>
      <w:tr>
        <w:trPr>
          <w:trHeight w:val="272"/>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Shanon J. Leonard</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48</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Senior Vice President</w:t>
            </w:r>
          </w:p>
        </w:tc>
      </w:tr>
      <w:tr>
        <w:trPr>
          <w:trHeight w:val="268"/>
        </w:trPr>
        <w:tc>
          <w:tcPr>
            <w:tcW w:w="2400" w:type="dxa"/>
            <w:vAlign w:val="bottom"/>
          </w:tcPr>
          <w:p>
            <w:pPr>
              <w:ind w:left="60"/>
              <w:spacing w:after="0"/>
              <w:rPr>
                <w:sz w:val="20"/>
                <w:szCs w:val="20"/>
                <w:color w:val="auto"/>
              </w:rPr>
            </w:pPr>
            <w:r>
              <w:rPr>
                <w:rFonts w:ascii="Arial" w:cs="Arial" w:eastAsia="Arial" w:hAnsi="Arial"/>
                <w:sz w:val="20"/>
                <w:szCs w:val="20"/>
                <w:color w:val="2A2A2A"/>
              </w:rPr>
              <w:t>Rafael R. Lizardi</w:t>
            </w:r>
          </w:p>
        </w:tc>
        <w:tc>
          <w:tcPr>
            <w:tcW w:w="940" w:type="dxa"/>
            <w:vAlign w:val="bottom"/>
          </w:tcPr>
          <w:p>
            <w:pPr>
              <w:ind w:left="420"/>
              <w:spacing w:after="0"/>
              <w:rPr>
                <w:sz w:val="20"/>
                <w:szCs w:val="20"/>
                <w:color w:val="auto"/>
              </w:rPr>
            </w:pPr>
            <w:r>
              <w:rPr>
                <w:rFonts w:ascii="Arial" w:cs="Arial" w:eastAsia="Arial" w:hAnsi="Arial"/>
                <w:sz w:val="20"/>
                <w:szCs w:val="20"/>
                <w:color w:val="2A2A2A"/>
              </w:rPr>
              <w:t>51</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 and Chief Financial Officer</w:t>
            </w:r>
          </w:p>
        </w:tc>
      </w:tr>
      <w:tr>
        <w:trPr>
          <w:trHeight w:val="272"/>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T. Roberts</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48</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Senior Vice President</w:t>
            </w:r>
          </w:p>
        </w:tc>
      </w:tr>
      <w:tr>
        <w:trPr>
          <w:trHeight w:val="268"/>
        </w:trPr>
        <w:tc>
          <w:tcPr>
            <w:tcW w:w="240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940" w:type="dxa"/>
            <w:vAlign w:val="bottom"/>
          </w:tcPr>
          <w:p>
            <w:pPr>
              <w:ind w:left="420"/>
              <w:spacing w:after="0"/>
              <w:rPr>
                <w:sz w:val="20"/>
                <w:szCs w:val="20"/>
                <w:color w:val="auto"/>
              </w:rPr>
            </w:pPr>
            <w:r>
              <w:rPr>
                <w:rFonts w:ascii="Arial" w:cs="Arial" w:eastAsia="Arial" w:hAnsi="Arial"/>
                <w:sz w:val="20"/>
                <w:szCs w:val="20"/>
                <w:color w:val="2A2A2A"/>
              </w:rPr>
              <w:t>46</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w:t>
            </w:r>
          </w:p>
        </w:tc>
      </w:tr>
      <w:tr>
        <w:trPr>
          <w:trHeight w:val="272"/>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Richard K. Templeton</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65</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Director and Chairman of the Board</w:t>
            </w:r>
          </w:p>
        </w:tc>
      </w:tr>
      <w:tr>
        <w:trPr>
          <w:trHeight w:val="268"/>
        </w:trPr>
        <w:tc>
          <w:tcPr>
            <w:tcW w:w="2400" w:type="dxa"/>
            <w:vAlign w:val="bottom"/>
          </w:tcPr>
          <w:p>
            <w:pPr>
              <w:ind w:left="60"/>
              <w:spacing w:after="0"/>
              <w:rPr>
                <w:sz w:val="20"/>
                <w:szCs w:val="20"/>
                <w:color w:val="auto"/>
              </w:rPr>
            </w:pPr>
            <w:r>
              <w:rPr>
                <w:rFonts w:ascii="Arial" w:cs="Arial" w:eastAsia="Arial" w:hAnsi="Arial"/>
                <w:sz w:val="20"/>
                <w:szCs w:val="20"/>
                <w:color w:val="2A2A2A"/>
              </w:rPr>
              <w:t>Cynthia Hoff Trochu</w:t>
            </w:r>
          </w:p>
        </w:tc>
        <w:tc>
          <w:tcPr>
            <w:tcW w:w="940" w:type="dxa"/>
            <w:vAlign w:val="bottom"/>
          </w:tcPr>
          <w:p>
            <w:pPr>
              <w:ind w:left="420"/>
              <w:spacing w:after="0"/>
              <w:rPr>
                <w:sz w:val="20"/>
                <w:szCs w:val="20"/>
                <w:color w:val="auto"/>
              </w:rPr>
            </w:pPr>
            <w:r>
              <w:rPr>
                <w:rFonts w:ascii="Arial" w:cs="Arial" w:eastAsia="Arial" w:hAnsi="Arial"/>
                <w:sz w:val="20"/>
                <w:szCs w:val="20"/>
                <w:color w:val="2A2A2A"/>
              </w:rPr>
              <w:t>60</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 Secretary and General Counsel</w:t>
            </w:r>
          </w:p>
        </w:tc>
      </w:tr>
      <w:tr>
        <w:trPr>
          <w:trHeight w:val="273"/>
        </w:trPr>
        <w:tc>
          <w:tcPr>
            <w:tcW w:w="24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Christine A. Witzsche</w:t>
            </w:r>
          </w:p>
        </w:tc>
        <w:tc>
          <w:tcPr>
            <w:tcW w:w="940" w:type="dxa"/>
            <w:vAlign w:val="bottom"/>
            <w:shd w:val="clear" w:color="auto" w:fill="D7D7D7"/>
          </w:tcPr>
          <w:p>
            <w:pPr>
              <w:ind w:left="420"/>
              <w:spacing w:after="0"/>
              <w:rPr>
                <w:sz w:val="20"/>
                <w:szCs w:val="20"/>
                <w:color w:val="auto"/>
              </w:rPr>
            </w:pPr>
            <w:r>
              <w:rPr>
                <w:rFonts w:ascii="Arial" w:cs="Arial" w:eastAsia="Arial" w:hAnsi="Arial"/>
                <w:sz w:val="20"/>
                <w:szCs w:val="20"/>
                <w:color w:val="2A2A2A"/>
              </w:rPr>
              <w:t>39</w:t>
            </w:r>
          </w:p>
        </w:tc>
        <w:tc>
          <w:tcPr>
            <w:tcW w:w="6900" w:type="dxa"/>
            <w:vAlign w:val="bottom"/>
            <w:shd w:val="clear" w:color="auto" w:fill="D7D7D7"/>
          </w:tcPr>
          <w:p>
            <w:pPr>
              <w:ind w:left="220"/>
              <w:spacing w:after="0"/>
              <w:rPr>
                <w:sz w:val="20"/>
                <w:szCs w:val="20"/>
                <w:color w:val="auto"/>
              </w:rPr>
            </w:pPr>
            <w:r>
              <w:rPr>
                <w:rFonts w:ascii="Arial" w:cs="Arial" w:eastAsia="Arial" w:hAnsi="Arial"/>
                <w:sz w:val="20"/>
                <w:szCs w:val="20"/>
                <w:color w:val="2A2A2A"/>
              </w:rPr>
              <w:t>Senior Vice President</w:t>
            </w:r>
          </w:p>
        </w:tc>
      </w:tr>
      <w:tr>
        <w:trPr>
          <w:trHeight w:val="265"/>
        </w:trPr>
        <w:tc>
          <w:tcPr>
            <w:tcW w:w="2400" w:type="dxa"/>
            <w:vAlign w:val="bottom"/>
          </w:tcPr>
          <w:p>
            <w:pPr>
              <w:ind w:left="60"/>
              <w:spacing w:after="0"/>
              <w:rPr>
                <w:sz w:val="20"/>
                <w:szCs w:val="20"/>
                <w:color w:val="auto"/>
              </w:rPr>
            </w:pPr>
            <w:r>
              <w:rPr>
                <w:rFonts w:ascii="Arial" w:cs="Arial" w:eastAsia="Arial" w:hAnsi="Arial"/>
                <w:sz w:val="20"/>
                <w:szCs w:val="20"/>
                <w:color w:val="2A2A2A"/>
              </w:rPr>
              <w:t>Mohammad Yunus</w:t>
            </w:r>
          </w:p>
        </w:tc>
        <w:tc>
          <w:tcPr>
            <w:tcW w:w="940" w:type="dxa"/>
            <w:vAlign w:val="bottom"/>
          </w:tcPr>
          <w:p>
            <w:pPr>
              <w:ind w:left="420"/>
              <w:spacing w:after="0"/>
              <w:rPr>
                <w:sz w:val="20"/>
                <w:szCs w:val="20"/>
                <w:color w:val="auto"/>
              </w:rPr>
            </w:pPr>
            <w:r>
              <w:rPr>
                <w:rFonts w:ascii="Arial" w:cs="Arial" w:eastAsia="Arial" w:hAnsi="Arial"/>
                <w:sz w:val="20"/>
                <w:szCs w:val="20"/>
                <w:color w:val="2A2A2A"/>
              </w:rPr>
              <w:t>46</w:t>
            </w:r>
          </w:p>
        </w:tc>
        <w:tc>
          <w:tcPr>
            <w:tcW w:w="6900" w:type="dxa"/>
            <w:vAlign w:val="bottom"/>
          </w:tcPr>
          <w:p>
            <w:pPr>
              <w:ind w:left="220"/>
              <w:spacing w:after="0"/>
              <w:rPr>
                <w:sz w:val="20"/>
                <w:szCs w:val="20"/>
                <w:color w:val="auto"/>
              </w:rPr>
            </w:pPr>
            <w:r>
              <w:rPr>
                <w:rFonts w:ascii="Arial" w:cs="Arial" w:eastAsia="Arial" w:hAnsi="Arial"/>
                <w:sz w:val="20"/>
                <w:szCs w:val="20"/>
                <w:color w:val="2A2A2A"/>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-2066290</wp:posOffset>
            </wp:positionV>
            <wp:extent cx="653097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0975" cy="25400"/>
                    </a:xfrm>
                    <a:prstGeom prst="rect">
                      <a:avLst/>
                    </a:prstGeom>
                    <a:noFill/>
                  </pic:spPr>
                </pic:pic>
              </a:graphicData>
            </a:graphic>
          </wp:anchor>
        </w:drawing>
      </w:r>
    </w:p>
    <w:p>
      <w:pPr>
        <w:spacing w:after="0" w:line="270" w:lineRule="exact"/>
        <w:rPr>
          <w:sz w:val="20"/>
          <w:szCs w:val="20"/>
          <w:color w:val="auto"/>
        </w:rPr>
      </w:pPr>
    </w:p>
    <w:p>
      <w:pPr>
        <w:ind w:left="1" w:right="60"/>
        <w:spacing w:after="0" w:line="257" w:lineRule="auto"/>
        <w:rPr>
          <w:sz w:val="20"/>
          <w:szCs w:val="20"/>
          <w:color w:val="auto"/>
        </w:rPr>
      </w:pPr>
      <w:r>
        <w:rPr>
          <w:rFonts w:ascii="Arial" w:cs="Arial" w:eastAsia="Arial" w:hAnsi="Arial"/>
          <w:sz w:val="20"/>
          <w:szCs w:val="20"/>
          <w:color w:val="2A2A2A"/>
        </w:rPr>
        <w:t>The term of office of these officers is from the date of their election until their successor shall have been elected and qualified. All have been employees of the company for more than five years. Messrs. Bahai, Ilan, Kozanian, Lizardi and Templeton and Ms. Trochu have served as executive officers of the company for more than five years. Mr. Ron became an executive officer in 2019. Mr. Gary became an executive officer in 2020. Mr. Roberts and Ms. Witzsche became executive officers in 2021. Mr. Leonard became an executive officer in 2022. Mr. Yunus became an executive officer in 2024.</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Human capital management</w:t>
      </w:r>
    </w:p>
    <w:p>
      <w:pPr>
        <w:spacing w:after="0" w:line="257" w:lineRule="exact"/>
        <w:rPr>
          <w:sz w:val="20"/>
          <w:szCs w:val="20"/>
          <w:color w:val="auto"/>
        </w:rPr>
      </w:pPr>
    </w:p>
    <w:p>
      <w:pPr>
        <w:ind w:left="1"/>
        <w:spacing w:after="0" w:line="259" w:lineRule="auto"/>
        <w:rPr>
          <w:sz w:val="20"/>
          <w:szCs w:val="20"/>
          <w:color w:val="auto"/>
        </w:rPr>
      </w:pPr>
      <w:r>
        <w:rPr>
          <w:rFonts w:ascii="Arial" w:cs="Arial" w:eastAsia="Arial" w:hAnsi="Arial"/>
          <w:sz w:val="20"/>
          <w:szCs w:val="20"/>
          <w:color w:val="2A2A2A"/>
        </w:rPr>
        <w:t>At December 31, 2023, we had about 34,000 employees worldwide. Of those, about 90% were in R&amp;D, sales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2023, our turnover rate was 8.1%.</w:t>
      </w:r>
    </w:p>
    <w:p>
      <w:pPr>
        <w:spacing w:after="0" w:line="199" w:lineRule="exact"/>
        <w:rPr>
          <w:sz w:val="20"/>
          <w:szCs w:val="20"/>
          <w:color w:val="auto"/>
        </w:rPr>
      </w:pPr>
    </w:p>
    <w:p>
      <w:pPr>
        <w:ind w:left="1" w:right="20"/>
        <w:spacing w:after="0" w:line="262" w:lineRule="auto"/>
        <w:rPr>
          <w:sz w:val="20"/>
          <w:szCs w:val="20"/>
          <w:color w:val="auto"/>
        </w:rPr>
      </w:pPr>
      <w:r>
        <w:rPr>
          <w:rFonts w:ascii="Arial" w:cs="Arial" w:eastAsia="Arial" w:hAnsi="Arial"/>
          <w:sz w:val="20"/>
          <w:szCs w:val="20"/>
          <w:color w:val="2A2A2A"/>
        </w:rPr>
        <w:t>It is important that our employees represent a mix of experiences and backgrounds in order to make our company stronger, more innovative and more inclusive. Inclusion is one of our core values, and we have programs in place to promote diversity and inclusion. We encourage you to review our Corporate Citizenship Report for more information. Nothing in the Corporate Citizenship Report shall be deemed incorporated by reference into this report.</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Available information</w:t>
      </w:r>
    </w:p>
    <w:p>
      <w:pPr>
        <w:spacing w:after="0" w:line="257" w:lineRule="exact"/>
        <w:rPr>
          <w:sz w:val="20"/>
          <w:szCs w:val="20"/>
          <w:color w:val="auto"/>
        </w:rPr>
      </w:pPr>
    </w:p>
    <w:p>
      <w:pPr>
        <w:ind w:left="1" w:right="40"/>
        <w:spacing w:after="0" w:line="259" w:lineRule="auto"/>
        <w:rPr>
          <w:sz w:val="20"/>
          <w:szCs w:val="20"/>
          <w:color w:val="auto"/>
        </w:rPr>
      </w:pPr>
      <w:r>
        <w:rPr>
          <w:rFonts w:ascii="Arial" w:cs="Arial" w:eastAsia="Arial" w:hAnsi="Arial"/>
          <w:sz w:val="20"/>
          <w:szCs w:val="20"/>
          <w:color w:val="2A2A2A"/>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199" w:lineRule="exact"/>
        <w:rPr>
          <w:sz w:val="20"/>
          <w:szCs w:val="20"/>
          <w:color w:val="auto"/>
        </w:rPr>
      </w:pPr>
    </w:p>
    <w:p>
      <w:pPr>
        <w:ind w:left="1" w:right="60"/>
        <w:spacing w:after="0" w:line="274" w:lineRule="auto"/>
        <w:rPr>
          <w:sz w:val="20"/>
          <w:szCs w:val="20"/>
          <w:color w:val="auto"/>
        </w:rPr>
      </w:pPr>
      <w:r>
        <w:rPr>
          <w:rFonts w:ascii="Arial" w:cs="Arial" w:eastAsia="Arial" w:hAnsi="Arial"/>
          <w:sz w:val="19"/>
          <w:szCs w:val="19"/>
          <w:color w:val="2A2A2A"/>
        </w:rPr>
        <w:t>Available on our website at www.ti.com/corporategovernance: (i) our Corporate Governance Guidelines; (ii) charters for the Audit, Compensation, and Governance and Stockholder Relations Committees of our board of directors;</w:t>
      </w:r>
    </w:p>
    <w:p>
      <w:pPr>
        <w:spacing w:after="0" w:line="1" w:lineRule="exact"/>
        <w:rPr>
          <w:sz w:val="20"/>
          <w:szCs w:val="20"/>
          <w:color w:val="auto"/>
        </w:rPr>
      </w:pPr>
    </w:p>
    <w:p>
      <w:pPr>
        <w:ind w:left="321" w:hanging="321"/>
        <w:spacing w:after="0"/>
        <w:tabs>
          <w:tab w:leader="none" w:pos="321" w:val="left"/>
        </w:tabs>
        <w:numPr>
          <w:ilvl w:val="0"/>
          <w:numId w:val="5"/>
        </w:numPr>
        <w:rPr>
          <w:rFonts w:ascii="Arial" w:cs="Arial" w:eastAsia="Arial" w:hAnsi="Arial"/>
          <w:sz w:val="20"/>
          <w:szCs w:val="20"/>
          <w:color w:val="2A2A2A"/>
        </w:rPr>
      </w:pPr>
      <w:r>
        <w:rPr>
          <w:rFonts w:ascii="Arial" w:cs="Arial" w:eastAsia="Arial" w:hAnsi="Arial"/>
          <w:sz w:val="20"/>
          <w:szCs w:val="20"/>
          <w:color w:val="2A2A2A"/>
        </w:rPr>
        <w:t>our code of conduct; and (iv) our Code of Ethics for TI Chief Executive Officer and Senior Finance Officers.</w:t>
      </w:r>
    </w:p>
    <w:p>
      <w:pPr>
        <w:spacing w:after="0" w:line="10" w:lineRule="exact"/>
        <w:rPr>
          <w:rFonts w:ascii="Arial" w:cs="Arial" w:eastAsia="Arial" w:hAnsi="Arial"/>
          <w:sz w:val="20"/>
          <w:szCs w:val="20"/>
          <w:color w:val="2A2A2A"/>
        </w:rPr>
      </w:pPr>
    </w:p>
    <w:p>
      <w:pPr>
        <w:ind w:left="1" w:right="220"/>
        <w:spacing w:after="0" w:line="266" w:lineRule="auto"/>
        <w:rPr>
          <w:rFonts w:ascii="Arial" w:cs="Arial" w:eastAsia="Arial" w:hAnsi="Arial"/>
          <w:sz w:val="20"/>
          <w:szCs w:val="20"/>
          <w:color w:val="2A2A2A"/>
        </w:rPr>
      </w:pPr>
      <w:r>
        <w:rPr>
          <w:rFonts w:ascii="Arial" w:cs="Arial" w:eastAsia="Arial" w:hAnsi="Arial"/>
          <w:sz w:val="20"/>
          <w:szCs w:val="20"/>
          <w:color w:val="2A2A2A"/>
        </w:rPr>
        <w:t>Stockholders may request copies of these documents free of charge by writing to Texas Instruments Incorporated, Attention: Investor Relations, P.O. Box 660199, MS 8657, Dallas, Texas, 75266-0199.</w:t>
      </w:r>
    </w:p>
    <w:p>
      <w:pPr>
        <w:sectPr>
          <w:pgSz w:w="12240" w:h="15840" w:orient="portrait"/>
          <w:cols w:equalWidth="0" w:num="1">
            <w:col w:w="10281"/>
          </w:cols>
          <w:pgMar w:left="979" w:top="658"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8</w:t>
      </w:r>
    </w:p>
    <w:p>
      <w:pPr>
        <w:sectPr>
          <w:pgSz w:w="12240" w:h="15840" w:orient="portrait"/>
          <w:cols w:equalWidth="0" w:num="1">
            <w:col w:w="10281"/>
          </w:cols>
          <w:pgMar w:left="979" w:top="658" w:right="980" w:bottom="24" w:gutter="0" w:footer="0" w:header="0"/>
          <w:type w:val="continuous"/>
        </w:sectPr>
      </w:pPr>
    </w:p>
    <w:bookmarkStart w:id="14" w:name="page15"/>
    <w:bookmarkEnd w:id="14"/>
    <w:p>
      <w:pPr>
        <w:spacing w:after="0"/>
        <w:rPr>
          <w:sz w:val="20"/>
          <w:szCs w:val="20"/>
          <w:color w:val="auto"/>
        </w:rPr>
      </w:pPr>
      <w:r>
        <w:rPr>
          <w:rFonts w:ascii="Arial" w:cs="Arial" w:eastAsia="Arial" w:hAnsi="Arial"/>
          <w:sz w:val="24"/>
          <w:szCs w:val="24"/>
          <w:b w:val="1"/>
          <w:bCs w:val="1"/>
          <w:color w:val="2A2A2A"/>
        </w:rPr>
        <w:t>ITEM 1A. Risk factors</w:t>
      </w: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20"/>
          <w:szCs w:val="20"/>
          <w:color w:val="2A2A2A"/>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Risks related to our business and industry</w:t>
      </w:r>
    </w:p>
    <w:p>
      <w:pPr>
        <w:spacing w:after="0" w:line="251" w:lineRule="exact"/>
        <w:rPr>
          <w:sz w:val="20"/>
          <w:szCs w:val="20"/>
          <w:color w:val="auto"/>
        </w:rPr>
      </w:pPr>
    </w:p>
    <w:p>
      <w:pPr>
        <w:ind w:right="780"/>
        <w:spacing w:after="0" w:line="286" w:lineRule="auto"/>
        <w:rPr>
          <w:sz w:val="20"/>
          <w:szCs w:val="20"/>
          <w:color w:val="auto"/>
        </w:rPr>
      </w:pPr>
      <w:r>
        <w:rPr>
          <w:rFonts w:ascii="Arial" w:cs="Arial" w:eastAsia="Arial" w:hAnsi="Arial"/>
          <w:sz w:val="22"/>
          <w:szCs w:val="22"/>
          <w:u w:val="single" w:color="auto"/>
          <w:color w:val="2A2A2A"/>
        </w:rPr>
        <w:t>Our global operations subject us to risks associated with domestic or international political, social, economic or other conditions.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A2A2A"/>
        </w:rPr>
        <w:t>We have facilities in more than 30 countries. About 65% of our revenue comes from customers with headquarter locations outside the United States; revenue from end customers headquartered in China represents about 20% of our revenue. We also continue to expand our offerings of online transactions and services worldwide. Certain countries where we operate have experienced, and other countries may experience, geopolitical tensions that affect global trade and macroeconomic conditions through the enactment of tariffs, import or export restrictions, trade embargoes and sanctions, restrictions on cross-border investment and other trade barriers. Geopolitical tensions may impact our ability to deliver products, support customers, receive manufacturing equipment or cause customers to seek alternate suppliers, which could adversely affect our operations and financial results.</w:t>
      </w:r>
    </w:p>
    <w:p>
      <w:pPr>
        <w:spacing w:after="0" w:line="205"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2A2A2A"/>
        </w:rPr>
        <w:t>We are exposed to political, social and economic conditions (including inflation), security risks, acts of war, terrorism or other hostile acts, pandemics, epidemics or other public health crises, labor conditions, climate change risks and possible disruptions in power, water supply, transportation, communications and information technology networks of the various countries in which we operate. Any of these factors could adversely affect our results of operations, financial condition and reputation.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22"/>
          <w:szCs w:val="22"/>
          <w:u w:val="single" w:color="auto"/>
          <w:color w:val="2A2A2A"/>
        </w:rPr>
        <w:t>We face substantial competition that requires us to respond rapidly to product development and pricing pressures.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2A2A2A"/>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and utilize available incentives offered by various countries and government entities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ectPr>
          <w:pgSz w:w="12240" w:h="15840" w:orient="portrait"/>
          <w:cols w:equalWidth="0" w:num="1">
            <w:col w:w="10260"/>
          </w:cols>
          <w:pgMar w:left="980" w:top="653"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9</w:t>
      </w:r>
    </w:p>
    <w:p>
      <w:pPr>
        <w:sectPr>
          <w:pgSz w:w="12240" w:h="15840" w:orient="portrait"/>
          <w:cols w:equalWidth="0" w:num="1">
            <w:col w:w="10260"/>
          </w:cols>
          <w:pgMar w:left="980" w:top="653" w:right="1000" w:bottom="24" w:gutter="0" w:footer="0" w:header="0"/>
          <w:type w:val="continuous"/>
        </w:sectPr>
      </w:pPr>
    </w:p>
    <w:bookmarkStart w:id="15" w:name="page16"/>
    <w:bookmarkEnd w:id="15"/>
    <w:p>
      <w:pPr>
        <w:ind w:right="500"/>
        <w:spacing w:after="0" w:line="286" w:lineRule="auto"/>
        <w:rPr>
          <w:sz w:val="20"/>
          <w:szCs w:val="20"/>
          <w:color w:val="auto"/>
        </w:rPr>
      </w:pPr>
      <w:r>
        <w:rPr>
          <w:rFonts w:ascii="Arial" w:cs="Arial" w:eastAsia="Arial" w:hAnsi="Arial"/>
          <w:sz w:val="22"/>
          <w:szCs w:val="22"/>
          <w:u w:val="single" w:color="auto"/>
          <w:color w:val="2A2A2A"/>
        </w:rPr>
        <w:t>Changes in expected demand for our products could have a material adverse effect on our results of operations.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2A2A2A"/>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Our results of operations also might suffer because of a general decline or volatility in customer demand resulting from, for example: uncertainty regarding the stability of global credit and financial markets; natural events, pandemics,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Our ability to match inventory and production with the product mix needed to fill orders may affect our ability to meet a quarter’s revenue forecast.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22"/>
          <w:szCs w:val="22"/>
          <w:u w:val="single" w:color="auto"/>
          <w:color w:val="2A2A2A"/>
        </w:rPr>
        <w:t>Our operating results and our reputation could be adversely affected by cybersecurity events, breaches, disruptions or other incidents relating to our information technology systems.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2A2A2A"/>
        </w:rPr>
        <w:t>Breaches, disruptions or other incidents relating to our information technology systems or the systems of our customers, suppliers and other third parties could be caused by factors such as computer viruses, ransomware, malware, system failures, restricted network access, unauthorized access, terrorism, nation-state espionage,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(including our online services, platforms and transactions);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suppliers and other third parties are frequent, increasingly sophisticated and constantly evolving, thereby making them more difficult to detect, mitigate and defend against.</w:t>
      </w:r>
    </w:p>
    <w:p>
      <w:pPr>
        <w:spacing w:after="0" w:line="205" w:lineRule="exact"/>
        <w:rPr>
          <w:sz w:val="20"/>
          <w:szCs w:val="20"/>
          <w:color w:val="auto"/>
        </w:rPr>
      </w:pPr>
    </w:p>
    <w:p>
      <w:pPr>
        <w:ind w:right="500"/>
        <w:spacing w:after="0" w:line="286" w:lineRule="auto"/>
        <w:rPr>
          <w:sz w:val="20"/>
          <w:szCs w:val="20"/>
          <w:color w:val="auto"/>
        </w:rPr>
      </w:pPr>
      <w:r>
        <w:rPr>
          <w:rFonts w:ascii="Arial" w:cs="Arial" w:eastAsia="Arial" w:hAnsi="Arial"/>
          <w:sz w:val="22"/>
          <w:szCs w:val="22"/>
          <w:u w:val="single" w:color="auto"/>
          <w:color w:val="2A2A2A"/>
        </w:rPr>
        <w:t>Our ability to successfully implement strategic, business and organizational changes could affect our business plans and results of operations.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From time to time, we undertake strategic, business and organizational changes, including acquisitions, divestitures, capital investments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ectPr>
          <w:pgSz w:w="12240" w:h="15840" w:orient="portrait"/>
          <w:cols w:equalWidth="0" w:num="1">
            <w:col w:w="10260"/>
          </w:cols>
          <w:pgMar w:left="980" w:top="658"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10</w:t>
      </w:r>
    </w:p>
    <w:p>
      <w:pPr>
        <w:sectPr>
          <w:pgSz w:w="12240" w:h="15840" w:orient="portrait"/>
          <w:cols w:equalWidth="0" w:num="1">
            <w:col w:w="10260"/>
          </w:cols>
          <w:pgMar w:left="980" w:top="658" w:right="1000" w:bottom="24"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u w:val="single" w:color="auto"/>
          <w:color w:val="2A2A2A"/>
        </w:rPr>
        <w:t>Our results of operations could be affected by natural events in the locations in which we operate.</w:t>
      </w:r>
    </w:p>
    <w:p>
      <w:pPr>
        <w:spacing w:after="0" w:line="257"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2A2A2A"/>
        </w:rPr>
        <w:t>We have manufacturing, data and design facilities and other operations in locations subject to natural occurrences such as severe weather, geological events or epidemics that could adversely affect manufacturing capacity, availability and cost of key raw materials, utilities and equipment or otherwise disrupt operations. Climate change might exacerbate these occurrences or cause natural disasters to occur with greater frequency and with more intense effects. A natural disaster that results in a prolonged disruption, particularly where we have principal manufacturing and design operations, as listed in the Properties section in Item 2, may adversely affect our results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Rapid technological change in markets we serve requires us to develop new technologies and products.</w:t>
      </w:r>
    </w:p>
    <w:p>
      <w:pPr>
        <w:spacing w:after="0" w:line="25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2A2A2A"/>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We face supply chain and manufacturing risks.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and high costs of key materials, natural resources,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2A2A2A"/>
        </w:rPr>
        <w:t>In particular, our manufacturing processes and critical manufacturing equipment, and those of our suppliers, require that certain key materials, natural resources, services and utilities be available. Suppliers of these items have and might continue to extend lead times, limit supply or increase prices due to factors beyond our control. Limited or delayed access to and high costs of key materials, natural resources, services and utilities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2A2A2A"/>
        </w:rPr>
        <w:t>Our inability to timely implement new manufacturing technologies, install manufacturing equipment or secure necessary personnel for manufacturing operations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(including contractors and other service providers) to support key portions of our operations (including manufacturing operations and advanced logic manufacturing process technology development) and to construct our facilities.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or build facilities in a timely, cost-effective, and appropriate manner, the possibility of suppliers’ imposition of increased costs on us and the unauthorized disclosure or use of our intellectual property. In addition, failure by these suppliers to fulfill expectations, commitments and responsibilities in accordance with agreed terms or applicable laws, rules and regulations (including health, safety, forced labor, human trafficking and supply chain standards) could adversely affect our results of operations, financial condition and reputation.</w:t>
      </w:r>
    </w:p>
    <w:p>
      <w:pPr>
        <w:sectPr>
          <w:pgSz w:w="12240" w:h="15840" w:orient="portrait"/>
          <w:cols w:equalWidth="0" w:num="1">
            <w:col w:w="10260"/>
          </w:cols>
          <w:pgMar w:left="980" w:top="658"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11</w:t>
      </w:r>
    </w:p>
    <w:p>
      <w:pPr>
        <w:sectPr>
          <w:pgSz w:w="12240" w:h="15840" w:orient="portrait"/>
          <w:cols w:equalWidth="0" w:num="1">
            <w:col w:w="10260"/>
          </w:cols>
          <w:pgMar w:left="980" w:top="658" w:right="1000" w:bottom="24" w:gutter="0" w:footer="0" w:header="0"/>
          <w:type w:val="continuous"/>
        </w:sectPr>
      </w:pPr>
    </w:p>
    <w:bookmarkStart w:id="17" w:name="page18"/>
    <w:bookmarkEnd w:id="17"/>
    <w:p>
      <w:pPr>
        <w:ind w:right="160"/>
        <w:spacing w:after="0" w:line="286" w:lineRule="auto"/>
        <w:rPr>
          <w:sz w:val="20"/>
          <w:szCs w:val="20"/>
          <w:color w:val="auto"/>
        </w:rPr>
      </w:pPr>
      <w:r>
        <w:rPr>
          <w:rFonts w:ascii="Arial" w:cs="Arial" w:eastAsia="Arial" w:hAnsi="Arial"/>
          <w:sz w:val="22"/>
          <w:szCs w:val="22"/>
          <w:u w:val="single" w:color="auto"/>
          <w:color w:val="2A2A2A"/>
        </w:rPr>
        <w:t>Our continued success depends in part on our ability to retain and recruit a sufficient number of qualified employees in a competitive environment.</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2A2A2A"/>
        </w:rPr>
        <w:t>Our continued success depends in part on the retention and recruitment of skilled personnel as well as the contributions and effective succession of senior management and other key employees. Skilled and experienced personnel in our industry, including engineering, management, sales, technical and staff personnel, are in high demand, and competition for their talents is intense. There can be no assurance that we will be able to successfully retain, train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w:t>
      </w:r>
    </w:p>
    <w:p>
      <w:pPr>
        <w:spacing w:after="0" w:line="199" w:lineRule="exact"/>
        <w:rPr>
          <w:sz w:val="20"/>
          <w:szCs w:val="20"/>
          <w:color w:val="auto"/>
        </w:rPr>
      </w:pPr>
    </w:p>
    <w:p>
      <w:pPr>
        <w:ind w:right="80"/>
        <w:spacing w:after="0" w:line="286" w:lineRule="auto"/>
        <w:rPr>
          <w:sz w:val="20"/>
          <w:szCs w:val="20"/>
          <w:color w:val="auto"/>
        </w:rPr>
      </w:pPr>
      <w:r>
        <w:rPr>
          <w:rFonts w:ascii="Arial" w:cs="Arial" w:eastAsia="Arial" w:hAnsi="Arial"/>
          <w:sz w:val="22"/>
          <w:szCs w:val="22"/>
          <w:u w:val="single" w:color="auto"/>
          <w:color w:val="2A2A2A"/>
        </w:rPr>
        <w:t>Our results of operations and our reputation could be affected by warranty claims, product liability claims, product recalls or legal proceedings.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A2A2A"/>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Improper, incorrect, illicit or unauthorized storage, handling, modification or use of our products (including use in applications for which our products were not designed), or use of counterfeit products, by third parties could result in reputational harm. Any of these events could adversely affect our results of operations, financial condition and reputation.</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22"/>
          <w:szCs w:val="22"/>
          <w:u w:val="single" w:color="auto"/>
          <w:color w:val="2A2A2A"/>
        </w:rPr>
        <w:t>Our results of operations could be adversely affected by distributors’ promotion of competing product lines or our distributors’ financial performance.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20"/>
          <w:szCs w:val="20"/>
          <w:color w:val="2A2A2A"/>
        </w:rPr>
        <w:t>In 2023, about 25%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Our margins vary.</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2A2A2A"/>
        </w:rPr>
        <w:t>Our profit margins vary due to a number of factors, which may include customer demand and shipment volume; capital expenditures and resulting depreciation;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With our planned capacity expansions, we expect capital expenditures and depreciation to increase. In general, these fixed costs do not decline with reductions in customer demand or factory loadings, and can adversely affect profit margins as a result.</w:t>
      </w:r>
    </w:p>
    <w:p>
      <w:pPr>
        <w:sectPr>
          <w:pgSz w:w="12240" w:h="15840" w:orient="portrait"/>
          <w:cols w:equalWidth="0" w:num="1">
            <w:col w:w="10280"/>
          </w:cols>
          <w:pgMar w:left="980" w:top="658"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12</w:t>
      </w:r>
    </w:p>
    <w:p>
      <w:pPr>
        <w:sectPr>
          <w:pgSz w:w="12240" w:h="15840" w:orient="portrait"/>
          <w:cols w:equalWidth="0" w:num="1">
            <w:col w:w="10280"/>
          </w:cols>
          <w:pgMar w:left="980" w:top="658" w:right="980" w:bottom="24"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2A2A2A"/>
        </w:rPr>
        <w:t>Legal and regulatory risks</w:t>
      </w:r>
    </w:p>
    <w:p>
      <w:pPr>
        <w:spacing w:after="0" w:line="251" w:lineRule="exact"/>
        <w:rPr>
          <w:sz w:val="20"/>
          <w:szCs w:val="20"/>
          <w:color w:val="auto"/>
        </w:rPr>
      </w:pPr>
    </w:p>
    <w:p>
      <w:pPr>
        <w:ind w:right="500"/>
        <w:spacing w:after="0" w:line="286" w:lineRule="auto"/>
        <w:rPr>
          <w:sz w:val="20"/>
          <w:szCs w:val="20"/>
          <w:color w:val="auto"/>
        </w:rPr>
      </w:pPr>
      <w:r>
        <w:rPr>
          <w:rFonts w:ascii="Arial" w:cs="Arial" w:eastAsia="Arial" w:hAnsi="Arial"/>
          <w:sz w:val="22"/>
          <w:szCs w:val="22"/>
          <w:u w:val="single" w:color="auto"/>
          <w:color w:val="2A2A2A"/>
        </w:rPr>
        <w:t>Our operations could be affected by the complex laws, rules and regulations to which our business is subject.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20"/>
          <w:szCs w:val="20"/>
          <w:color w:val="2A2A2A"/>
        </w:rPr>
        <w:t>We are subject to complex laws, rules and regulations on an international, national and local level that affect our domestic and international operations relating to, for example, the environment and climate change; safety; health; trade, including import and export; bribery and corruption; financial reporting; tax; data privacy and protection; labor and employment; competition; facilities and code compliance; market access; pandemics, epidemics or other public health crises; intellectual property ownership and infringement; and the movement of currency. Compliance with these laws, rules and regulations may be onerous and expensive and could restrict our ability to manufacture or ship our products and operate our business. From time to time, we receive inquiries from government entities regarding our compliance with laws and regulations. If we do not comply with a law or regulation (or the same is alleged), or a government inquiry is unresolved, we could be subject to litigation, investigations or enforcement activity that can be unpredictable and time-consuming, as well as disruptions to our operations, or significant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2A2A2A"/>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2A2A2A"/>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Our results of operations could be affected by changes in tax-related matters.</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2A2A2A"/>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ectPr>
          <w:pgSz w:w="12240" w:h="15840" w:orient="portrait"/>
          <w:cols w:equalWidth="0" w:num="1">
            <w:col w:w="10280"/>
          </w:cols>
          <w:pgMar w:left="980" w:top="658"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13</w:t>
      </w:r>
    </w:p>
    <w:p>
      <w:pPr>
        <w:sectPr>
          <w:pgSz w:w="12240" w:h="15840" w:orient="portrait"/>
          <w:cols w:equalWidth="0" w:num="1">
            <w:col w:w="10280"/>
          </w:cols>
          <w:pgMar w:left="980" w:top="658" w:right="980" w:bottom="24" w:gutter="0" w:footer="0" w:header="0"/>
          <w:type w:val="continuous"/>
        </w:sectPr>
      </w:pPr>
    </w:p>
    <w:bookmarkStart w:id="19" w:name="page20"/>
    <w:bookmarkEnd w:id="19"/>
    <w:p>
      <w:pPr>
        <w:ind w:right="220"/>
        <w:spacing w:after="0" w:line="259" w:lineRule="auto"/>
        <w:rPr>
          <w:sz w:val="20"/>
          <w:szCs w:val="20"/>
          <w:color w:val="auto"/>
        </w:rPr>
      </w:pPr>
      <w:r>
        <w:rPr>
          <w:rFonts w:ascii="Arial" w:cs="Arial" w:eastAsia="Arial" w:hAnsi="Arial"/>
          <w:sz w:val="20"/>
          <w:szCs w:val="20"/>
          <w:color w:val="2A2A2A"/>
        </w:rPr>
        <w:t>We have received and may in the future continue to receive government incentives, including but not limited to tax incentives, designed to encourage certain investments in our operations. We may be subject to increased scrutiny from government entities, shareholders and others on how these incentives are used and spent. Such incentives could be subject to reduction, modification, clawback or termination, and such changes to these incentives could adversely affect our results of operations, financial condition and reputation.</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22"/>
          <w:szCs w:val="22"/>
          <w:u w:val="single" w:color="auto"/>
          <w:color w:val="2A2A2A"/>
        </w:rPr>
        <w:t>Our performance depends in part on our ability to enforce our intellectual property rights and to maintain freedom of operation.</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2A2A2A"/>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A2A2A"/>
        </w:rPr>
        <w:t>We actively enforce and protect our own intellectual property rights. However, our efforts cannot prevent all misappropriation or improper use of our protected technology and information, including, for example, third parties’ use of our patented or copyrighted technology, our trade secrets, or unauthorized copying and cloning, in their products without the right to do so, or third parties’ sale of counterfeit products bearing our trademark. Activities such as those listed above may affect our reputation and impede our ability to sell our products. The laws of countries where we operate may not protect our intellectual property rights to the same extent as U.S. laws.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Risks related to our financing activities and other risks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Our debt could affect our operations and financial condition</w:t>
      </w:r>
      <w:r>
        <w:rPr>
          <w:rFonts w:ascii="Arial" w:cs="Arial" w:eastAsia="Arial" w:hAnsi="Arial"/>
          <w:sz w:val="20"/>
          <w:szCs w:val="20"/>
          <w:u w:val="single" w:color="auto"/>
          <w:color w:val="2A2A2A"/>
        </w:rPr>
        <w:t>.</w:t>
      </w: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Our results of operations and liquidity could be affected by changes in the financial markets.</w:t>
      </w:r>
    </w:p>
    <w:p>
      <w:pPr>
        <w:spacing w:after="0" w:line="257"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2A2A2A"/>
        </w:rPr>
        <w:t>We maintain bank accounts, a portfolio of investments, access to one or more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Material impairments of our goodwill could adversely affect our results of operations</w:t>
      </w:r>
      <w:r>
        <w:rPr>
          <w:rFonts w:ascii="Arial" w:cs="Arial" w:eastAsia="Arial" w:hAnsi="Arial"/>
          <w:sz w:val="20"/>
          <w:szCs w:val="20"/>
          <w:u w:val="single" w:color="auto"/>
          <w:color w:val="2A2A2A"/>
        </w:rPr>
        <w:t>.</w:t>
      </w:r>
    </w:p>
    <w:p>
      <w:pPr>
        <w:spacing w:after="0" w:line="257"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2A2A2A"/>
        </w:rPr>
        <w:t>We have a significant amount of goodwill on our consolidated balance sheet. Charges associated with impairments of goodwill could adversely affect our financial condition and results of operations.</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14</w:t>
      </w:r>
    </w:p>
    <w:p>
      <w:pPr>
        <w:sectPr>
          <w:pgSz w:w="12240" w:h="15840" w:orient="portrait"/>
          <w:cols w:equalWidth="0" w:num="1">
            <w:col w:w="10280"/>
          </w:cols>
          <w:pgMar w:left="980" w:top="664" w:right="980" w:bottom="24" w:gutter="0" w:footer="0" w:header="0"/>
          <w:type w:val="continuous"/>
        </w:sectPr>
      </w:pPr>
    </w:p>
    <w:bookmarkStart w:id="20" w:name="page21"/>
    <w:bookmarkEnd w:id="20"/>
    <w:p>
      <w:pPr>
        <w:spacing w:after="0"/>
        <w:rPr>
          <w:sz w:val="20"/>
          <w:szCs w:val="20"/>
          <w:color w:val="auto"/>
        </w:rPr>
      </w:pPr>
      <w:r>
        <w:rPr>
          <w:rFonts w:ascii="Arial" w:cs="Arial" w:eastAsia="Arial" w:hAnsi="Arial"/>
          <w:sz w:val="24"/>
          <w:szCs w:val="24"/>
          <w:b w:val="1"/>
          <w:bCs w:val="1"/>
          <w:color w:val="2A2A2A"/>
        </w:rPr>
        <w:t>ITEM 1B. Unresolved staff comments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2A2A2A"/>
        </w:rPr>
        <w:t>Not applicable.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1C. Cybersecurity</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Cybersecurity risk management and strategy</w:t>
      </w:r>
    </w:p>
    <w:p>
      <w:pPr>
        <w:spacing w:after="0" w:line="25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A2A2A"/>
        </w:rPr>
        <w:t>Our cybersecurity risk management is based on recognized cybersecurity industry frameworks and standards, including those of the National Institute of Standards and Technology, the Center for Internet Security Controls, and the International Organization for Standardization. We use these frameworks, together with information collected from internal assessments, to develop policies for use of our information assets (for example, TI business information and information resources such as mobile phones, computers and workstations), access to specific intellectual property or technologies, and protection of personal information. We protect these information assets through industry-standard techniques, such as multifactor authentication and malware defenses. We also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also regularly train our employees on cybersecurity awareness, confidential information protection and simulated phishing attacks.</w:t>
      </w:r>
    </w:p>
    <w:p>
      <w:pPr>
        <w:spacing w:after="0" w:line="203"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2A2A2A"/>
        </w:rPr>
        <w:t>We regularly engage third-party assessors to conduct penetration testing and measure our program to industry standard frameworks. We also have standing engagements with incident response experts and external counsel. We frequently collaborate with industry experts and cybersecurity practitioners at other companies to exchange information about potential cybersecurity threats, best practices and trends.</w:t>
      </w:r>
    </w:p>
    <w:p>
      <w:pPr>
        <w:spacing w:after="0" w:line="196"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2A2A2A"/>
        </w:rPr>
        <w:t>Our cybersecurity risk management extends to risks associated with our use of third-party service providers. For instance, we conduct risk and compliance assessments of third-party service providers that request access to our information assets.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Our cybersecurity risk management is an important part of our comprehensive business continuity program and enterprise risk management. Our global information security team periodically engages with a cross-functional group of subject matter experts and leaders to assess and refine our cybersecurity risk posture and preparedness. For example, we regularly evaluate and update contingency strategies for our business in the event that a portion of our information resources were to be unavailable due to a cybersecurity incident. We practice our response to potential cybersecurity incidents through regular tabletop exercises, threat hunting and red team exercises.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A2A2A"/>
        </w:rPr>
        <w:t>For more information about cybersecurity risks, see the Risk factors discussion in Item 1A of this Form 10-K.</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Governance of cybersecurity risk management</w:t>
      </w:r>
    </w:p>
    <w:p>
      <w:pPr>
        <w:spacing w:after="0" w:line="257"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2A2A2A"/>
        </w:rPr>
        <w:t>The board of directors, as a whole, has oversight responsibility for our strategic and operational risks. The audit committee assists the board of directors with this responsibility by reviewing and discussing our risk assessment and risk management practices, including cybersecurity risks, with members of management. The audit committee, in turn, periodically reports on its review with the board of directors.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2A2A2A"/>
        </w:rPr>
        <w:t>Management is responsible for day-to-day assessment and management of cybersecurity risks. Our chief information officer has primary oversight of material risks from cybersecurity threats. Our chief information officer is the senior vice president responsible for the Information Technology Solutions (ITS) organization and for information protection. Our chief information officer has more than 25 years of experience across various engineering, business and management roles, including serving as the vice president of the design and manufacturing ITS organization, leading the development and implementation of information technology strategies and roadmaps for manufacturing automation.</w:t>
      </w:r>
    </w:p>
    <w:p>
      <w:pPr>
        <w:sectPr>
          <w:pgSz w:w="12240" w:h="15840" w:orient="portrait"/>
          <w:cols w:equalWidth="0" w:num="1">
            <w:col w:w="10280"/>
          </w:cols>
          <w:pgMar w:left="980" w:top="653"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15</w:t>
      </w:r>
    </w:p>
    <w:p>
      <w:pPr>
        <w:sectPr>
          <w:pgSz w:w="12240" w:h="15840" w:orient="portrait"/>
          <w:cols w:equalWidth="0" w:num="1">
            <w:col w:w="10280"/>
          </w:cols>
          <w:pgMar w:left="980" w:top="653" w:right="980" w:bottom="24" w:gutter="0" w:footer="0" w:header="0"/>
          <w:type w:val="continuous"/>
        </w:sectPr>
      </w:pPr>
    </w:p>
    <w:bookmarkStart w:id="21" w:name="page22"/>
    <w:bookmarkEnd w:id="21"/>
    <w:p>
      <w:pPr>
        <w:ind w:left="1" w:right="40"/>
        <w:spacing w:after="0" w:line="262" w:lineRule="auto"/>
        <w:rPr>
          <w:sz w:val="20"/>
          <w:szCs w:val="20"/>
          <w:color w:val="auto"/>
        </w:rPr>
      </w:pPr>
      <w:r>
        <w:rPr>
          <w:rFonts w:ascii="Arial" w:cs="Arial" w:eastAsia="Arial" w:hAnsi="Arial"/>
          <w:sz w:val="20"/>
          <w:szCs w:val="20"/>
          <w:color w:val="2A2A2A"/>
        </w:rPr>
        <w:t>Our chief information security officer reports to our chief information officer. Our chief information security officer has more than 15 years of experience working in information technology-related roles, a degree in Information Technology, and Global Information Assurance Certifications in Security Essentials (GSEC) as an Intrusion Analyst (GCIA) and as a Penetration Tester (GPEN).</w:t>
      </w:r>
    </w:p>
    <w:p>
      <w:pPr>
        <w:spacing w:after="0" w:line="196" w:lineRule="exact"/>
        <w:rPr>
          <w:sz w:val="20"/>
          <w:szCs w:val="20"/>
          <w:color w:val="auto"/>
        </w:rPr>
      </w:pPr>
    </w:p>
    <w:p>
      <w:pPr>
        <w:ind w:left="1" w:right="20"/>
        <w:spacing w:after="0" w:line="257" w:lineRule="auto"/>
        <w:rPr>
          <w:sz w:val="20"/>
          <w:szCs w:val="20"/>
          <w:color w:val="auto"/>
        </w:rPr>
      </w:pPr>
      <w:r>
        <w:rPr>
          <w:rFonts w:ascii="Arial" w:cs="Arial" w:eastAsia="Arial" w:hAnsi="Arial"/>
          <w:sz w:val="20"/>
          <w:szCs w:val="20"/>
          <w:color w:val="2A2A2A"/>
        </w:rPr>
        <w:t>Our chief information officer and chief information security officer assess our cybersecurity readiness through internal assessment tools as well as third-party control tests, vulnerability assessments, audits and evaluation against industry standards. We have governance and compliance structures that are designed to elevate issues relating to cybersecurity to our chief information officer and chief information security officer, such as potential threats or vulnerabilities. We also employ various defensive and continuous monitoring techniques using recognized industry frameworks and cybersecurity standards.</w:t>
      </w:r>
    </w:p>
    <w:p>
      <w:pPr>
        <w:spacing w:after="0" w:line="202" w:lineRule="exact"/>
        <w:rPr>
          <w:sz w:val="20"/>
          <w:szCs w:val="20"/>
          <w:color w:val="auto"/>
        </w:rPr>
      </w:pPr>
    </w:p>
    <w:p>
      <w:pPr>
        <w:ind w:left="1" w:right="120"/>
        <w:spacing w:after="0" w:line="262" w:lineRule="auto"/>
        <w:rPr>
          <w:sz w:val="20"/>
          <w:szCs w:val="20"/>
          <w:color w:val="auto"/>
        </w:rPr>
      </w:pPr>
      <w:r>
        <w:rPr>
          <w:rFonts w:ascii="Arial" w:cs="Arial" w:eastAsia="Arial" w:hAnsi="Arial"/>
          <w:sz w:val="20"/>
          <w:szCs w:val="20"/>
          <w:color w:val="2A2A2A"/>
        </w:rPr>
        <w:t>Our chief information officer meets with the audit committee periodically to review our information technology systems and discuss key cybersecurity risks. In addition, the chief financial officer reviews with the audit committee at least annually our global enterprise risk management program, which includes cybersecurity risks, and is also reported to the board.</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ITEM 2. Properties</w:t>
      </w:r>
    </w:p>
    <w:p>
      <w:pPr>
        <w:spacing w:after="0" w:line="263"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2A2A2A"/>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7"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7990" w:type="dxa"/>
            <w:vAlign w:val="bottom"/>
          </w:tcPr>
          <w:p>
            <w:pPr>
              <w:spacing w:after="0"/>
              <w:rPr>
                <w:sz w:val="16"/>
                <w:szCs w:val="16"/>
                <w:color w:val="auto"/>
              </w:rPr>
            </w:pPr>
          </w:p>
        </w:tc>
        <w:tc>
          <w:tcPr>
            <w:tcW w:w="1050" w:type="dxa"/>
            <w:vAlign w:val="bottom"/>
            <w:vMerge w:val="restart"/>
          </w:tcPr>
          <w:p>
            <w:pPr>
              <w:jc w:val="center"/>
              <w:spacing w:after="0"/>
              <w:rPr>
                <w:sz w:val="20"/>
                <w:szCs w:val="20"/>
                <w:color w:val="auto"/>
              </w:rPr>
            </w:pPr>
            <w:r>
              <w:rPr>
                <w:rFonts w:ascii="Arial" w:cs="Arial" w:eastAsia="Arial" w:hAnsi="Arial"/>
                <w:sz w:val="16"/>
                <w:szCs w:val="16"/>
                <w:b w:val="1"/>
                <w:bCs w:val="1"/>
                <w:color w:val="2A2A2A"/>
                <w:w w:val="99"/>
              </w:rPr>
              <w:t>Analog</w:t>
            </w:r>
          </w:p>
        </w:tc>
        <w:tc>
          <w:tcPr>
            <w:tcW w:w="1220" w:type="dxa"/>
            <w:vAlign w:val="bottom"/>
          </w:tcPr>
          <w:p>
            <w:pPr>
              <w:jc w:val="center"/>
              <w:ind w:left="23"/>
              <w:spacing w:after="0"/>
              <w:rPr>
                <w:sz w:val="20"/>
                <w:szCs w:val="20"/>
                <w:color w:val="auto"/>
              </w:rPr>
            </w:pPr>
            <w:r>
              <w:rPr>
                <w:rFonts w:ascii="Arial" w:cs="Arial" w:eastAsia="Arial" w:hAnsi="Arial"/>
                <w:sz w:val="16"/>
                <w:szCs w:val="16"/>
                <w:b w:val="1"/>
                <w:bCs w:val="1"/>
                <w:color w:val="2A2A2A"/>
              </w:rPr>
              <w:t>Embedded</w:t>
            </w:r>
          </w:p>
        </w:tc>
        <w:tc>
          <w:tcPr>
            <w:tcW w:w="0" w:type="dxa"/>
            <w:vAlign w:val="bottom"/>
          </w:tcPr>
          <w:p>
            <w:pPr>
              <w:spacing w:after="0"/>
              <w:rPr>
                <w:sz w:val="1"/>
                <w:szCs w:val="1"/>
                <w:color w:val="auto"/>
              </w:rPr>
            </w:pPr>
          </w:p>
        </w:tc>
      </w:tr>
      <w:tr>
        <w:trPr>
          <w:trHeight w:val="214"/>
        </w:trPr>
        <w:tc>
          <w:tcPr>
            <w:tcW w:w="7990" w:type="dxa"/>
            <w:vAlign w:val="bottom"/>
            <w:tcBorders>
              <w:bottom w:val="single" w:sz="8" w:color="2A2A2A"/>
            </w:tcBorders>
          </w:tcPr>
          <w:p>
            <w:pPr>
              <w:spacing w:after="0"/>
              <w:rPr>
                <w:sz w:val="18"/>
                <w:szCs w:val="18"/>
                <w:color w:val="auto"/>
              </w:rPr>
            </w:pPr>
          </w:p>
        </w:tc>
        <w:tc>
          <w:tcPr>
            <w:tcW w:w="1050" w:type="dxa"/>
            <w:vAlign w:val="bottom"/>
            <w:tcBorders>
              <w:bottom w:val="single" w:sz="8" w:color="2A2A2A"/>
            </w:tcBorders>
            <w:vMerge w:val="continue"/>
          </w:tcPr>
          <w:p>
            <w:pPr>
              <w:spacing w:after="0"/>
              <w:rPr>
                <w:sz w:val="18"/>
                <w:szCs w:val="18"/>
                <w:color w:val="auto"/>
              </w:rPr>
            </w:pPr>
          </w:p>
        </w:tc>
        <w:tc>
          <w:tcPr>
            <w:tcW w:w="1220" w:type="dxa"/>
            <w:vAlign w:val="bottom"/>
            <w:tcBorders>
              <w:bottom w:val="single" w:sz="8" w:color="2A2A2A"/>
            </w:tcBorders>
          </w:tcPr>
          <w:p>
            <w:pPr>
              <w:jc w:val="center"/>
              <w:ind w:left="23"/>
              <w:spacing w:after="0"/>
              <w:rPr>
                <w:sz w:val="20"/>
                <w:szCs w:val="20"/>
                <w:color w:val="auto"/>
              </w:rPr>
            </w:pPr>
            <w:r>
              <w:rPr>
                <w:rFonts w:ascii="Arial" w:cs="Arial" w:eastAsia="Arial" w:hAnsi="Arial"/>
                <w:sz w:val="16"/>
                <w:szCs w:val="16"/>
                <w:b w:val="1"/>
                <w:bCs w:val="1"/>
                <w:color w:val="2A2A2A"/>
                <w:w w:val="99"/>
              </w:rPr>
              <w:t>Processing</w:t>
            </w:r>
          </w:p>
        </w:tc>
        <w:tc>
          <w:tcPr>
            <w:tcW w:w="0" w:type="dxa"/>
            <w:vAlign w:val="bottom"/>
          </w:tcPr>
          <w:p>
            <w:pPr>
              <w:spacing w:after="0"/>
              <w:rPr>
                <w:sz w:val="1"/>
                <w:szCs w:val="1"/>
                <w:color w:val="auto"/>
              </w:rPr>
            </w:pPr>
          </w:p>
        </w:tc>
      </w:tr>
      <w:tr>
        <w:trPr>
          <w:trHeight w:val="260"/>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North Texas (Dallas, Richardson and Sherman)</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Lehi, Utah</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South Portland, Maine</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Santa Clara, California</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Houston, Texas</w:t>
            </w:r>
          </w:p>
        </w:tc>
        <w:tc>
          <w:tcPr>
            <w:tcW w:w="1050" w:type="dxa"/>
            <w:vAlign w:val="bottom"/>
            <w:shd w:val="clear" w:color="auto" w:fill="D7D7D7"/>
          </w:tcPr>
          <w:p>
            <w:pPr>
              <w:spacing w:after="0"/>
              <w:rPr>
                <w:sz w:val="23"/>
                <w:szCs w:val="23"/>
                <w:color w:val="auto"/>
              </w:rPr>
            </w:pP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Tucson, Arizona</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Chengdu, China *</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81"/>
        </w:trPr>
        <w:tc>
          <w:tcPr>
            <w:tcW w:w="7990" w:type="dxa"/>
            <w:vAlign w:val="bottom"/>
          </w:tcPr>
          <w:p>
            <w:pPr>
              <w:ind w:left="60"/>
              <w:spacing w:after="0"/>
              <w:rPr>
                <w:sz w:val="20"/>
                <w:szCs w:val="20"/>
                <w:color w:val="auto"/>
              </w:rPr>
            </w:pPr>
            <w:r>
              <w:rPr>
                <w:rFonts w:ascii="Arial" w:cs="Arial" w:eastAsia="Arial" w:hAnsi="Arial"/>
                <w:sz w:val="20"/>
                <w:szCs w:val="20"/>
                <w:color w:val="2A2A2A"/>
              </w:rPr>
              <w:t>Shanghai, China **</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74"/>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Freising, Germany</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Bangalore, India *</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Aizu, Japan</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Miho, Japan</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Kuala Lumpur, Malaysia *</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Melaka, Malaysia *</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Aguascalientes, Mexico **</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990" w:type="dxa"/>
            <w:vAlign w:val="bottom"/>
          </w:tcPr>
          <w:p>
            <w:pPr>
              <w:ind w:left="60"/>
              <w:spacing w:after="0"/>
              <w:rPr>
                <w:sz w:val="20"/>
                <w:szCs w:val="20"/>
                <w:color w:val="auto"/>
              </w:rPr>
            </w:pPr>
            <w:r>
              <w:rPr>
                <w:rFonts w:ascii="Arial" w:cs="Arial" w:eastAsia="Arial" w:hAnsi="Arial"/>
                <w:sz w:val="20"/>
                <w:szCs w:val="20"/>
                <w:color w:val="2A2A2A"/>
              </w:rPr>
              <w:t>Baguio, Philippines *</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73"/>
        </w:trPr>
        <w:tc>
          <w:tcPr>
            <w:tcW w:w="799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Pampanga (Clark), Philippines *</w:t>
            </w:r>
          </w:p>
        </w:tc>
        <w:tc>
          <w:tcPr>
            <w:tcW w:w="105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shd w:val="clear" w:color="auto" w:fill="D7D7D7"/>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5"/>
        </w:trPr>
        <w:tc>
          <w:tcPr>
            <w:tcW w:w="7990" w:type="dxa"/>
            <w:vAlign w:val="bottom"/>
          </w:tcPr>
          <w:p>
            <w:pPr>
              <w:ind w:left="60"/>
              <w:spacing w:after="0"/>
              <w:rPr>
                <w:sz w:val="20"/>
                <w:szCs w:val="20"/>
                <w:color w:val="auto"/>
              </w:rPr>
            </w:pPr>
            <w:r>
              <w:rPr>
                <w:rFonts w:ascii="Arial" w:cs="Arial" w:eastAsia="Arial" w:hAnsi="Arial"/>
                <w:sz w:val="20"/>
                <w:szCs w:val="20"/>
                <w:color w:val="2A2A2A"/>
              </w:rPr>
              <w:t>Taipei, Taiwan *</w:t>
            </w:r>
          </w:p>
        </w:tc>
        <w:tc>
          <w:tcPr>
            <w:tcW w:w="1050" w:type="dxa"/>
            <w:vAlign w:val="bottom"/>
          </w:tcPr>
          <w:p>
            <w:pPr>
              <w:jc w:val="center"/>
              <w:spacing w:after="0"/>
              <w:rPr>
                <w:sz w:val="20"/>
                <w:szCs w:val="20"/>
                <w:color w:val="auto"/>
              </w:rPr>
            </w:pPr>
            <w:r>
              <w:rPr>
                <w:rFonts w:ascii="Arial" w:cs="Arial" w:eastAsia="Arial" w:hAnsi="Arial"/>
                <w:sz w:val="20"/>
                <w:szCs w:val="20"/>
                <w:color w:val="2A2A2A"/>
                <w:w w:val="89"/>
              </w:rPr>
              <w:t>X</w:t>
            </w:r>
          </w:p>
        </w:tc>
        <w:tc>
          <w:tcPr>
            <w:tcW w:w="1220" w:type="dxa"/>
            <w:vAlign w:val="bottom"/>
          </w:tcPr>
          <w:p>
            <w:pPr>
              <w:jc w:val="center"/>
              <w:ind w:left="23"/>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-3104515</wp:posOffset>
            </wp:positionV>
            <wp:extent cx="6540500" cy="3121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00" cy="3121025"/>
                    </a:xfrm>
                    <a:prstGeom prst="rect">
                      <a:avLst/>
                    </a:prstGeom>
                    <a:noFill/>
                  </pic:spPr>
                </pic:pic>
              </a:graphicData>
            </a:graphic>
          </wp:anchor>
        </w:drawing>
      </w:r>
    </w:p>
    <w:p>
      <w:pPr>
        <w:spacing w:after="0" w:line="150" w:lineRule="exact"/>
        <w:rPr>
          <w:sz w:val="20"/>
          <w:szCs w:val="20"/>
          <w:color w:val="auto"/>
        </w:rPr>
      </w:pPr>
    </w:p>
    <w:p>
      <w:pPr>
        <w:ind w:left="361" w:hanging="361"/>
        <w:spacing w:after="0"/>
        <w:tabs>
          <w:tab w:leader="none" w:pos="361" w:val="left"/>
        </w:tabs>
        <w:numPr>
          <w:ilvl w:val="0"/>
          <w:numId w:val="6"/>
        </w:numPr>
        <w:rPr>
          <w:rFonts w:ascii="Arial" w:cs="Arial" w:eastAsia="Arial" w:hAnsi="Arial"/>
          <w:sz w:val="20"/>
          <w:szCs w:val="20"/>
          <w:color w:val="2A2A2A"/>
        </w:rPr>
      </w:pPr>
      <w:r>
        <w:rPr>
          <w:rFonts w:ascii="Arial" w:cs="Arial" w:eastAsia="Arial" w:hAnsi="Arial"/>
          <w:sz w:val="20"/>
          <w:szCs w:val="20"/>
          <w:color w:val="2A2A2A"/>
        </w:rPr>
        <w:t>Portions of the facilities are leased and owned. This may include land leases.</w:t>
      </w:r>
    </w:p>
    <w:p>
      <w:pPr>
        <w:spacing w:after="0" w:line="130" w:lineRule="exact"/>
        <w:rPr>
          <w:rFonts w:ascii="Arial" w:cs="Arial" w:eastAsia="Arial" w:hAnsi="Arial"/>
          <w:sz w:val="20"/>
          <w:szCs w:val="20"/>
          <w:color w:val="2A2A2A"/>
        </w:rPr>
      </w:pPr>
    </w:p>
    <w:p>
      <w:pPr>
        <w:ind w:left="361" w:hanging="361"/>
        <w:spacing w:after="0"/>
        <w:tabs>
          <w:tab w:leader="none" w:pos="361" w:val="left"/>
        </w:tabs>
        <w:numPr>
          <w:ilvl w:val="0"/>
          <w:numId w:val="7"/>
        </w:numPr>
        <w:rPr>
          <w:rFonts w:ascii="Arial" w:cs="Arial" w:eastAsia="Arial" w:hAnsi="Arial"/>
          <w:sz w:val="20"/>
          <w:szCs w:val="20"/>
          <w:color w:val="2A2A2A"/>
        </w:rPr>
      </w:pPr>
      <w:r>
        <w:rPr>
          <w:rFonts w:ascii="Arial" w:cs="Arial" w:eastAsia="Arial" w:hAnsi="Arial"/>
          <w:sz w:val="20"/>
          <w:szCs w:val="20"/>
          <w:color w:val="2A2A2A"/>
        </w:rPr>
        <w:t>Leased.</w:t>
      </w:r>
    </w:p>
    <w:p>
      <w:pPr>
        <w:spacing w:after="0" w:line="250" w:lineRule="exact"/>
        <w:rPr>
          <w:sz w:val="20"/>
          <w:szCs w:val="20"/>
          <w:color w:val="auto"/>
        </w:rPr>
      </w:pPr>
    </w:p>
    <w:p>
      <w:pPr>
        <w:jc w:val="both"/>
        <w:ind w:left="1" w:right="140"/>
        <w:spacing w:after="0" w:line="289" w:lineRule="auto"/>
        <w:rPr>
          <w:sz w:val="20"/>
          <w:szCs w:val="20"/>
          <w:color w:val="auto"/>
        </w:rPr>
      </w:pPr>
      <w:r>
        <w:rPr>
          <w:rFonts w:ascii="Arial" w:cs="Arial" w:eastAsia="Arial" w:hAnsi="Arial"/>
          <w:sz w:val="19"/>
          <w:szCs w:val="19"/>
          <w:color w:val="2A2A2A"/>
        </w:rPr>
        <w:t>Our facilities in the United States contained approximately 16.1 million square feet at December 31, 2023, of which approximately 0.4 million square feet were leased. Our facilities outside the United States contained approximately 12.7 million square feet at December 31, 2023, of which approximately 2.4 million square feet were leased.</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color w:val="2A2A2A"/>
        </w:rPr>
        <w:t>At the end of 2023, we occupied substantially all of the space in our facilities.</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Leases covering our currently occupied leased facilities expire at varying dates, generally within the next five years.</w:t>
      </w:r>
    </w:p>
    <w:p>
      <w:pPr>
        <w:spacing w:after="0" w:line="3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We believe our current properties are suitable and adequate for their intended purpose.</w:t>
      </w:r>
    </w:p>
    <w:p>
      <w:pPr>
        <w:sectPr>
          <w:pgSz w:w="12240" w:h="15840" w:orient="portrait"/>
          <w:cols w:equalWidth="0" w:num="1">
            <w:col w:w="10261"/>
          </w:cols>
          <w:pgMar w:left="979" w:top="664" w:right="1000" w:bottom="24"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16</w:t>
      </w:r>
    </w:p>
    <w:p>
      <w:pPr>
        <w:sectPr>
          <w:pgSz w:w="12240" w:h="15840" w:orient="portrait"/>
          <w:cols w:equalWidth="0" w:num="1">
            <w:col w:w="10261"/>
          </w:cols>
          <w:pgMar w:left="979" w:top="664" w:right="1000" w:bottom="24" w:gutter="0" w:footer="0" w:header="0"/>
          <w:type w:val="continuous"/>
        </w:sectPr>
      </w:pPr>
    </w:p>
    <w:bookmarkStart w:id="22" w:name="page23"/>
    <w:bookmarkEnd w:id="22"/>
    <w:p>
      <w:pPr>
        <w:spacing w:after="0"/>
        <w:rPr>
          <w:sz w:val="20"/>
          <w:szCs w:val="20"/>
          <w:color w:val="auto"/>
        </w:rPr>
      </w:pPr>
      <w:r>
        <w:rPr>
          <w:rFonts w:ascii="Arial" w:cs="Arial" w:eastAsia="Arial" w:hAnsi="Arial"/>
          <w:sz w:val="24"/>
          <w:szCs w:val="24"/>
          <w:b w:val="1"/>
          <w:bCs w:val="1"/>
          <w:color w:val="2A2A2A"/>
        </w:rPr>
        <w:t>ITEM 3. Legal proceedings</w:t>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2A2A2A"/>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2A2A2A"/>
        </w:rPr>
        <w:t>Not applicable.</w:t>
      </w:r>
    </w:p>
    <w:p>
      <w:pPr>
        <w:sectPr>
          <w:pgSz w:w="12240" w:h="15840" w:orient="portrait"/>
          <w:cols w:equalWidth="0" w:num="1">
            <w:col w:w="10040"/>
          </w:cols>
          <w:pgMar w:left="980" w:top="653" w:right="12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17</w:t>
      </w:r>
    </w:p>
    <w:p>
      <w:pPr>
        <w:sectPr>
          <w:pgSz w:w="12240" w:h="15840" w:orient="portrait"/>
          <w:cols w:equalWidth="0" w:num="1">
            <w:col w:w="10040"/>
          </w:cols>
          <w:pgMar w:left="980" w:top="653" w:right="1220" w:bottom="24" w:gutter="0" w:footer="0" w:header="0"/>
          <w:type w:val="continuous"/>
        </w:sectPr>
      </w:pPr>
    </w:p>
    <w:bookmarkStart w:id="23" w:name="page24"/>
    <w:bookmarkEnd w:id="23"/>
    <w:p>
      <w:pPr>
        <w:jc w:val="center"/>
        <w:ind w:right="-40"/>
        <w:spacing w:after="0"/>
        <w:rPr>
          <w:sz w:val="20"/>
          <w:szCs w:val="20"/>
          <w:color w:val="auto"/>
        </w:rPr>
      </w:pPr>
      <w:r>
        <w:rPr>
          <w:rFonts w:ascii="Arial" w:cs="Arial" w:eastAsia="Arial" w:hAnsi="Arial"/>
          <w:sz w:val="24"/>
          <w:szCs w:val="24"/>
          <w:b w:val="1"/>
          <w:bCs w:val="1"/>
          <w:color w:val="2A2A2A"/>
        </w:rPr>
        <w:t>PART II</w:t>
      </w:r>
    </w:p>
    <w:p>
      <w:pPr>
        <w:spacing w:after="0" w:line="200" w:lineRule="exact"/>
        <w:rPr>
          <w:sz w:val="20"/>
          <w:szCs w:val="20"/>
          <w:color w:val="auto"/>
        </w:rPr>
      </w:pPr>
    </w:p>
    <w:p>
      <w:pPr>
        <w:spacing w:after="0" w:line="292" w:lineRule="exact"/>
        <w:rPr>
          <w:sz w:val="20"/>
          <w:szCs w:val="20"/>
          <w:color w:val="auto"/>
        </w:rPr>
      </w:pPr>
    </w:p>
    <w:p>
      <w:pPr>
        <w:ind w:left="1" w:right="340"/>
        <w:spacing w:after="0" w:line="298" w:lineRule="auto"/>
        <w:rPr>
          <w:sz w:val="20"/>
          <w:szCs w:val="20"/>
          <w:color w:val="auto"/>
        </w:rPr>
      </w:pPr>
      <w:r>
        <w:rPr>
          <w:rFonts w:ascii="Arial" w:cs="Arial" w:eastAsia="Arial" w:hAnsi="Arial"/>
          <w:sz w:val="24"/>
          <w:szCs w:val="24"/>
          <w:b w:val="1"/>
          <w:bCs w:val="1"/>
          <w:color w:val="2A2A2A"/>
        </w:rPr>
        <w:t>ITEM 5. Market for Registrant’s common equity, related stockholder matters and issuer purchases of equity securities</w:t>
      </w:r>
    </w:p>
    <w:p>
      <w:pPr>
        <w:spacing w:after="0" w:line="142" w:lineRule="exact"/>
        <w:rPr>
          <w:sz w:val="20"/>
          <w:szCs w:val="20"/>
          <w:color w:val="auto"/>
        </w:rPr>
      </w:pPr>
    </w:p>
    <w:p>
      <w:pPr>
        <w:ind w:left="1" w:right="360"/>
        <w:spacing w:after="0" w:line="287" w:lineRule="auto"/>
        <w:rPr>
          <w:sz w:val="20"/>
          <w:szCs w:val="20"/>
          <w:color w:val="auto"/>
        </w:rPr>
      </w:pPr>
      <w:r>
        <w:rPr>
          <w:rFonts w:ascii="Arial" w:cs="Arial" w:eastAsia="Arial" w:hAnsi="Arial"/>
          <w:sz w:val="20"/>
          <w:szCs w:val="20"/>
          <w:color w:val="2A2A2A"/>
        </w:rPr>
        <w:t>TI common stock is quoted on The Nasdaq Global Select Market under the ticker symbol TXN. At December 31, 2023, we had 11,261 stockholders of record.</w:t>
      </w:r>
    </w:p>
    <w:p>
      <w:pPr>
        <w:spacing w:after="0" w:line="170" w:lineRule="exact"/>
        <w:rPr>
          <w:sz w:val="20"/>
          <w:szCs w:val="20"/>
          <w:color w:val="auto"/>
        </w:rPr>
      </w:pPr>
    </w:p>
    <w:p>
      <w:pPr>
        <w:ind w:left="1" w:right="180"/>
        <w:spacing w:after="0" w:line="287" w:lineRule="auto"/>
        <w:rPr>
          <w:sz w:val="20"/>
          <w:szCs w:val="20"/>
          <w:color w:val="auto"/>
        </w:rPr>
      </w:pPr>
      <w:r>
        <w:rPr>
          <w:rFonts w:ascii="Arial" w:cs="Arial" w:eastAsia="Arial" w:hAnsi="Arial"/>
          <w:sz w:val="20"/>
          <w:szCs w:val="20"/>
          <w:color w:val="2A2A2A"/>
        </w:rPr>
        <w:t>The following table contains information regarding our purchases of our common stock during the fourth quarter of 2023.</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Total Number of</w:t>
            </w: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Approximate Dollar</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Shares Purchased</w:t>
            </w: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Value of Shares</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2A2A2A"/>
                <w:w w:val="98"/>
              </w:rPr>
              <w:t>Average</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as Part of Publicly</w:t>
            </w: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that May Yet Be</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2A2A2A"/>
                <w:w w:val="99"/>
              </w:rPr>
              <w:t>Total Number of</w:t>
            </w:r>
          </w:p>
        </w:tc>
        <w:tc>
          <w:tcPr>
            <w:tcW w:w="1300" w:type="dxa"/>
            <w:vAlign w:val="bottom"/>
            <w:vMerge w:val="continue"/>
          </w:tcPr>
          <w:p>
            <w:pPr>
              <w:spacing w:after="0"/>
              <w:rPr>
                <w:sz w:val="2"/>
                <w:szCs w:val="2"/>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2A2A2A"/>
              </w:rPr>
              <w:t>Announced Plans</w:t>
            </w:r>
          </w:p>
        </w:tc>
        <w:tc>
          <w:tcPr>
            <w:tcW w:w="18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2A2A2A"/>
                <w:w w:val="99"/>
              </w:rPr>
              <w:t>Purchased Under the</w:t>
            </w:r>
          </w:p>
        </w:tc>
        <w:tc>
          <w:tcPr>
            <w:tcW w:w="0" w:type="dxa"/>
            <w:vAlign w:val="bottom"/>
          </w:tcPr>
          <w:p>
            <w:pPr>
              <w:spacing w:after="0" w:line="20" w:lineRule="exact"/>
              <w:rPr>
                <w:sz w:val="1"/>
                <w:szCs w:val="1"/>
                <w:color w:val="auto"/>
              </w:rPr>
            </w:pPr>
          </w:p>
        </w:tc>
      </w:tr>
      <w:tr>
        <w:trPr>
          <w:trHeight w:val="160"/>
        </w:trPr>
        <w:tc>
          <w:tcPr>
            <w:tcW w:w="3980" w:type="dxa"/>
            <w:vAlign w:val="bottom"/>
            <w:vMerge w:val="restart"/>
          </w:tcPr>
          <w:p>
            <w:pPr>
              <w:ind w:left="60"/>
              <w:spacing w:after="0"/>
              <w:rPr>
                <w:sz w:val="20"/>
                <w:szCs w:val="20"/>
                <w:color w:val="auto"/>
              </w:rPr>
            </w:pPr>
            <w:r>
              <w:rPr>
                <w:rFonts w:ascii="Arial" w:cs="Arial" w:eastAsia="Arial" w:hAnsi="Arial"/>
                <w:sz w:val="16"/>
                <w:szCs w:val="16"/>
                <w:b w:val="1"/>
                <w:bCs w:val="1"/>
                <w:color w:val="2A2A2A"/>
              </w:rPr>
              <w:t>Period</w:t>
            </w:r>
          </w:p>
        </w:tc>
        <w:tc>
          <w:tcPr>
            <w:tcW w:w="1560" w:type="dxa"/>
            <w:vAlign w:val="bottom"/>
            <w:gridSpan w:val="2"/>
            <w:vMerge w:val="continue"/>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Price Paid</w:t>
            </w:r>
          </w:p>
        </w:tc>
        <w:tc>
          <w:tcPr>
            <w:tcW w:w="156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980" w:type="dxa"/>
            <w:vAlign w:val="bottom"/>
            <w:tcBorders>
              <w:bottom w:val="single" w:sz="8" w:color="2A2A2A"/>
            </w:tcBorders>
            <w:vMerge w:val="continue"/>
          </w:tcPr>
          <w:p>
            <w:pPr>
              <w:spacing w:after="0"/>
              <w:rPr>
                <w:sz w:val="18"/>
                <w:szCs w:val="18"/>
                <w:color w:val="auto"/>
              </w:rPr>
            </w:pPr>
          </w:p>
        </w:tc>
        <w:tc>
          <w:tcPr>
            <w:tcW w:w="156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Shares Purchased</w:t>
            </w:r>
          </w:p>
        </w:tc>
        <w:tc>
          <w:tcPr>
            <w:tcW w:w="13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per Share</w:t>
            </w:r>
          </w:p>
        </w:tc>
        <w:tc>
          <w:tcPr>
            <w:tcW w:w="156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or Programs (a)</w:t>
            </w:r>
          </w:p>
        </w:tc>
        <w:tc>
          <w:tcPr>
            <w:tcW w:w="184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Plans or Programs (a)</w:t>
            </w:r>
          </w:p>
        </w:tc>
        <w:tc>
          <w:tcPr>
            <w:tcW w:w="0" w:type="dxa"/>
            <w:vAlign w:val="bottom"/>
          </w:tcPr>
          <w:p>
            <w:pPr>
              <w:spacing w:after="0"/>
              <w:rPr>
                <w:sz w:val="1"/>
                <w:szCs w:val="1"/>
                <w:color w:val="auto"/>
              </w:rPr>
            </w:pPr>
          </w:p>
        </w:tc>
      </w:tr>
      <w:tr>
        <w:trPr>
          <w:trHeight w:val="212"/>
        </w:trPr>
        <w:tc>
          <w:tcPr>
            <w:tcW w:w="3980" w:type="dxa"/>
            <w:vAlign w:val="bottom"/>
            <w:shd w:val="clear" w:color="auto" w:fill="D7D7D7"/>
          </w:tcPr>
          <w:p>
            <w:pPr>
              <w:ind w:left="60"/>
              <w:spacing w:after="0" w:line="212" w:lineRule="exact"/>
              <w:rPr>
                <w:sz w:val="20"/>
                <w:szCs w:val="20"/>
                <w:color w:val="auto"/>
              </w:rPr>
            </w:pPr>
            <w:r>
              <w:rPr>
                <w:rFonts w:ascii="Arial" w:cs="Arial" w:eastAsia="Arial" w:hAnsi="Arial"/>
                <w:sz w:val="20"/>
                <w:szCs w:val="20"/>
                <w:color w:val="2A2A2A"/>
              </w:rPr>
              <w:t>October 1, 2023 through</w:t>
            </w:r>
          </w:p>
        </w:tc>
        <w:tc>
          <w:tcPr>
            <w:tcW w:w="11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329,147</w:t>
            </w:r>
          </w:p>
        </w:tc>
        <w:tc>
          <w:tcPr>
            <w:tcW w:w="400" w:type="dxa"/>
            <w:vAlign w:val="bottom"/>
            <w:shd w:val="clear" w:color="auto" w:fill="D7D7D7"/>
          </w:tcPr>
          <w:p>
            <w:pPr>
              <w:spacing w:after="0"/>
              <w:rPr>
                <w:sz w:val="18"/>
                <w:szCs w:val="18"/>
                <w:color w:val="auto"/>
              </w:rPr>
            </w:pPr>
          </w:p>
        </w:tc>
        <w:tc>
          <w:tcPr>
            <w:tcW w:w="1300" w:type="dxa"/>
            <w:vAlign w:val="bottom"/>
            <w:vMerge w:val="restart"/>
            <w:shd w:val="clear" w:color="auto" w:fill="D7D7D7"/>
          </w:tcPr>
          <w:p>
            <w:pPr>
              <w:jc w:val="right"/>
              <w:ind w:right="369"/>
              <w:spacing w:after="0"/>
              <w:rPr>
                <w:sz w:val="20"/>
                <w:szCs w:val="20"/>
                <w:color w:val="auto"/>
              </w:rPr>
            </w:pPr>
            <w:r>
              <w:rPr>
                <w:rFonts w:ascii="Arial" w:cs="Arial" w:eastAsia="Arial" w:hAnsi="Arial"/>
                <w:sz w:val="20"/>
                <w:szCs w:val="20"/>
                <w:color w:val="2A2A2A"/>
              </w:rPr>
              <w:t>$149.62</w:t>
            </w:r>
          </w:p>
        </w:tc>
        <w:tc>
          <w:tcPr>
            <w:tcW w:w="120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318,738</w:t>
            </w:r>
          </w:p>
        </w:tc>
        <w:tc>
          <w:tcPr>
            <w:tcW w:w="360" w:type="dxa"/>
            <w:vAlign w:val="bottom"/>
            <w:shd w:val="clear" w:color="auto" w:fill="D7D7D7"/>
          </w:tcPr>
          <w:p>
            <w:pPr>
              <w:spacing w:after="0"/>
              <w:rPr>
                <w:sz w:val="18"/>
                <w:szCs w:val="18"/>
                <w:color w:val="auto"/>
              </w:rPr>
            </w:pP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$ 21.21</w:t>
            </w:r>
          </w:p>
        </w:tc>
        <w:tc>
          <w:tcPr>
            <w:tcW w:w="980" w:type="dxa"/>
            <w:vAlign w:val="bottom"/>
            <w:vMerge w:val="restart"/>
            <w:shd w:val="clear" w:color="auto" w:fill="D7D7D7"/>
          </w:tcPr>
          <w:p>
            <w:pPr>
              <w:ind w:left="60"/>
              <w:spacing w:after="0"/>
              <w:rPr>
                <w:sz w:val="20"/>
                <w:szCs w:val="20"/>
                <w:color w:val="auto"/>
              </w:rPr>
            </w:pPr>
            <w:r>
              <w:rPr>
                <w:rFonts w:ascii="Arial" w:cs="Arial" w:eastAsia="Arial" w:hAnsi="Arial"/>
                <w:sz w:val="20"/>
                <w:szCs w:val="20"/>
                <w:color w:val="2A2A2A"/>
              </w:rPr>
              <w:t>billion</w:t>
            </w:r>
          </w:p>
        </w:tc>
        <w:tc>
          <w:tcPr>
            <w:tcW w:w="0" w:type="dxa"/>
            <w:vAlign w:val="bottom"/>
          </w:tcPr>
          <w:p>
            <w:pPr>
              <w:spacing w:after="0"/>
              <w:rPr>
                <w:sz w:val="1"/>
                <w:szCs w:val="1"/>
                <w:color w:val="auto"/>
              </w:rPr>
            </w:pPr>
          </w:p>
        </w:tc>
      </w:tr>
      <w:tr>
        <w:trPr>
          <w:trHeight w:val="273"/>
        </w:trPr>
        <w:tc>
          <w:tcPr>
            <w:tcW w:w="3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October 31, 2023</w:t>
            </w:r>
          </w:p>
        </w:tc>
        <w:tc>
          <w:tcPr>
            <w:tcW w:w="1160" w:type="dxa"/>
            <w:vAlign w:val="bottom"/>
            <w:vMerge w:val="continue"/>
            <w:shd w:val="clear" w:color="auto" w:fill="D7D7D7"/>
          </w:tcPr>
          <w:p>
            <w:pPr>
              <w:spacing w:after="0"/>
              <w:rPr>
                <w:sz w:val="23"/>
                <w:szCs w:val="23"/>
                <w:color w:val="auto"/>
              </w:rPr>
            </w:pPr>
          </w:p>
        </w:tc>
        <w:tc>
          <w:tcPr>
            <w:tcW w:w="400" w:type="dxa"/>
            <w:vAlign w:val="bottom"/>
            <w:shd w:val="clear" w:color="auto" w:fill="D7D7D7"/>
          </w:tcPr>
          <w:p>
            <w:pPr>
              <w:spacing w:after="0"/>
              <w:rPr>
                <w:sz w:val="23"/>
                <w:szCs w:val="23"/>
                <w:color w:val="auto"/>
              </w:rPr>
            </w:pPr>
          </w:p>
        </w:tc>
        <w:tc>
          <w:tcPr>
            <w:tcW w:w="1300" w:type="dxa"/>
            <w:vAlign w:val="bottom"/>
            <w:vMerge w:val="continue"/>
            <w:shd w:val="clear" w:color="auto" w:fill="D7D7D7"/>
          </w:tcPr>
          <w:p>
            <w:pPr>
              <w:spacing w:after="0"/>
              <w:rPr>
                <w:sz w:val="23"/>
                <w:szCs w:val="23"/>
                <w:color w:val="auto"/>
              </w:rPr>
            </w:pPr>
          </w:p>
        </w:tc>
        <w:tc>
          <w:tcPr>
            <w:tcW w:w="1200" w:type="dxa"/>
            <w:vAlign w:val="bottom"/>
            <w:vMerge w:val="continue"/>
            <w:shd w:val="clear" w:color="auto" w:fill="D7D7D7"/>
          </w:tcPr>
          <w:p>
            <w:pPr>
              <w:spacing w:after="0"/>
              <w:rPr>
                <w:sz w:val="23"/>
                <w:szCs w:val="23"/>
                <w:color w:val="auto"/>
              </w:rPr>
            </w:pPr>
          </w:p>
        </w:tc>
        <w:tc>
          <w:tcPr>
            <w:tcW w:w="360" w:type="dxa"/>
            <w:vAlign w:val="bottom"/>
            <w:shd w:val="clear" w:color="auto" w:fill="D7D7D7"/>
          </w:tcPr>
          <w:p>
            <w:pPr>
              <w:spacing w:after="0"/>
              <w:rPr>
                <w:sz w:val="23"/>
                <w:szCs w:val="23"/>
                <w:color w:val="auto"/>
              </w:rPr>
            </w:pPr>
          </w:p>
        </w:tc>
        <w:tc>
          <w:tcPr>
            <w:tcW w:w="860" w:type="dxa"/>
            <w:vAlign w:val="bottom"/>
            <w:vMerge w:val="continue"/>
            <w:shd w:val="clear" w:color="auto" w:fill="D7D7D7"/>
          </w:tcPr>
          <w:p>
            <w:pPr>
              <w:spacing w:after="0"/>
              <w:rPr>
                <w:sz w:val="23"/>
                <w:szCs w:val="23"/>
                <w:color w:val="auto"/>
              </w:rPr>
            </w:pPr>
          </w:p>
        </w:tc>
        <w:tc>
          <w:tcPr>
            <w:tcW w:w="98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60"/>
              <w:spacing w:after="0" w:line="222" w:lineRule="exact"/>
              <w:rPr>
                <w:sz w:val="20"/>
                <w:szCs w:val="20"/>
                <w:color w:val="auto"/>
              </w:rPr>
            </w:pPr>
            <w:r>
              <w:rPr>
                <w:rFonts w:ascii="Arial" w:cs="Arial" w:eastAsia="Arial" w:hAnsi="Arial"/>
                <w:sz w:val="20"/>
                <w:szCs w:val="20"/>
                <w:color w:val="2A2A2A"/>
              </w:rPr>
              <w:t>November 1, 2023 through</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2A2A2A"/>
              </w:rPr>
              <w:t>76,200</w:t>
            </w:r>
          </w:p>
        </w:tc>
        <w:tc>
          <w:tcPr>
            <w:tcW w:w="400" w:type="dxa"/>
            <w:vAlign w:val="bottom"/>
          </w:tcPr>
          <w:p>
            <w:pPr>
              <w:spacing w:after="0"/>
              <w:rPr>
                <w:sz w:val="19"/>
                <w:szCs w:val="19"/>
                <w:color w:val="auto"/>
              </w:rPr>
            </w:pPr>
          </w:p>
        </w:tc>
        <w:tc>
          <w:tcPr>
            <w:tcW w:w="1300" w:type="dxa"/>
            <w:vAlign w:val="bottom"/>
            <w:vMerge w:val="restart"/>
          </w:tcPr>
          <w:p>
            <w:pPr>
              <w:jc w:val="right"/>
              <w:ind w:right="389"/>
              <w:spacing w:after="0"/>
              <w:rPr>
                <w:sz w:val="20"/>
                <w:szCs w:val="20"/>
                <w:color w:val="auto"/>
              </w:rPr>
            </w:pPr>
            <w:r>
              <w:rPr>
                <w:rFonts w:ascii="Arial" w:cs="Arial" w:eastAsia="Arial" w:hAnsi="Arial"/>
                <w:sz w:val="20"/>
                <w:szCs w:val="20"/>
                <w:color w:val="2A2A2A"/>
              </w:rPr>
              <w:t>148.19</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2A2A2A"/>
              </w:rPr>
              <w:t>76,200</w:t>
            </w:r>
          </w:p>
        </w:tc>
        <w:tc>
          <w:tcPr>
            <w:tcW w:w="3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2A2A2A"/>
              </w:rPr>
              <w:t>21.20</w:t>
            </w:r>
          </w:p>
        </w:tc>
        <w:tc>
          <w:tcPr>
            <w:tcW w:w="980" w:type="dxa"/>
            <w:vAlign w:val="bottom"/>
            <w:vMerge w:val="restart"/>
          </w:tcPr>
          <w:p>
            <w:pPr>
              <w:ind w:left="60"/>
              <w:spacing w:after="0"/>
              <w:rPr>
                <w:sz w:val="20"/>
                <w:szCs w:val="20"/>
                <w:color w:val="auto"/>
              </w:rPr>
            </w:pPr>
            <w:r>
              <w:rPr>
                <w:rFonts w:ascii="Arial" w:cs="Arial" w:eastAsia="Arial" w:hAnsi="Arial"/>
                <w:sz w:val="20"/>
                <w:szCs w:val="20"/>
                <w:color w:val="2A2A2A"/>
              </w:rPr>
              <w:t>billion</w:t>
            </w:r>
          </w:p>
        </w:tc>
        <w:tc>
          <w:tcPr>
            <w:tcW w:w="0" w:type="dxa"/>
            <w:vAlign w:val="bottom"/>
          </w:tcPr>
          <w:p>
            <w:pPr>
              <w:spacing w:after="0"/>
              <w:rPr>
                <w:sz w:val="1"/>
                <w:szCs w:val="1"/>
                <w:color w:val="auto"/>
              </w:rPr>
            </w:pPr>
          </w:p>
        </w:tc>
      </w:tr>
      <w:tr>
        <w:trPr>
          <w:trHeight w:val="269"/>
        </w:trPr>
        <w:tc>
          <w:tcPr>
            <w:tcW w:w="3980" w:type="dxa"/>
            <w:vAlign w:val="bottom"/>
          </w:tcPr>
          <w:p>
            <w:pPr>
              <w:ind w:left="60"/>
              <w:spacing w:after="0"/>
              <w:rPr>
                <w:sz w:val="20"/>
                <w:szCs w:val="20"/>
                <w:color w:val="auto"/>
              </w:rPr>
            </w:pPr>
            <w:r>
              <w:rPr>
                <w:rFonts w:ascii="Arial" w:cs="Arial" w:eastAsia="Arial" w:hAnsi="Arial"/>
                <w:sz w:val="20"/>
                <w:szCs w:val="20"/>
                <w:color w:val="2A2A2A"/>
              </w:rPr>
              <w:t>November 30, 2023</w:t>
            </w:r>
          </w:p>
        </w:tc>
        <w:tc>
          <w:tcPr>
            <w:tcW w:w="116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980" w:type="dxa"/>
            <w:vAlign w:val="bottom"/>
            <w:shd w:val="clear" w:color="auto" w:fill="D7D7D7"/>
          </w:tcPr>
          <w:p>
            <w:pPr>
              <w:ind w:left="60"/>
              <w:spacing w:after="0" w:line="227" w:lineRule="exact"/>
              <w:rPr>
                <w:sz w:val="20"/>
                <w:szCs w:val="20"/>
                <w:color w:val="auto"/>
              </w:rPr>
            </w:pPr>
            <w:r>
              <w:rPr>
                <w:rFonts w:ascii="Arial" w:cs="Arial" w:eastAsia="Arial" w:hAnsi="Arial"/>
                <w:sz w:val="20"/>
                <w:szCs w:val="20"/>
                <w:color w:val="2A2A2A"/>
              </w:rPr>
              <w:t>December 1, 2023 through</w:t>
            </w:r>
          </w:p>
        </w:tc>
        <w:tc>
          <w:tcPr>
            <w:tcW w:w="11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17,652</w:t>
            </w:r>
          </w:p>
        </w:tc>
        <w:tc>
          <w:tcPr>
            <w:tcW w:w="400" w:type="dxa"/>
            <w:vAlign w:val="bottom"/>
            <w:shd w:val="clear" w:color="auto" w:fill="D7D7D7"/>
          </w:tcPr>
          <w:p>
            <w:pPr>
              <w:spacing w:after="0"/>
              <w:rPr>
                <w:sz w:val="19"/>
                <w:szCs w:val="19"/>
                <w:color w:val="auto"/>
              </w:rPr>
            </w:pPr>
          </w:p>
        </w:tc>
        <w:tc>
          <w:tcPr>
            <w:tcW w:w="1300" w:type="dxa"/>
            <w:vAlign w:val="bottom"/>
            <w:vMerge w:val="restart"/>
            <w:shd w:val="clear" w:color="auto" w:fill="D7D7D7"/>
          </w:tcPr>
          <w:p>
            <w:pPr>
              <w:jc w:val="right"/>
              <w:ind w:right="389"/>
              <w:spacing w:after="0"/>
              <w:rPr>
                <w:sz w:val="20"/>
                <w:szCs w:val="20"/>
                <w:color w:val="auto"/>
              </w:rPr>
            </w:pPr>
            <w:r>
              <w:rPr>
                <w:rFonts w:ascii="Arial" w:cs="Arial" w:eastAsia="Arial" w:hAnsi="Arial"/>
                <w:sz w:val="20"/>
                <w:szCs w:val="20"/>
                <w:color w:val="2A2A2A"/>
              </w:rPr>
              <w:t>157.14</w:t>
            </w:r>
          </w:p>
        </w:tc>
        <w:tc>
          <w:tcPr>
            <w:tcW w:w="120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17,652</w:t>
            </w:r>
          </w:p>
        </w:tc>
        <w:tc>
          <w:tcPr>
            <w:tcW w:w="360" w:type="dxa"/>
            <w:vAlign w:val="bottom"/>
            <w:shd w:val="clear" w:color="auto" w:fill="D7D7D7"/>
          </w:tcPr>
          <w:p>
            <w:pPr>
              <w:spacing w:after="0"/>
              <w:rPr>
                <w:sz w:val="19"/>
                <w:szCs w:val="19"/>
                <w:color w:val="auto"/>
              </w:rPr>
            </w:pP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21.20</w:t>
            </w:r>
          </w:p>
        </w:tc>
        <w:tc>
          <w:tcPr>
            <w:tcW w:w="980" w:type="dxa"/>
            <w:vAlign w:val="bottom"/>
            <w:vMerge w:val="restart"/>
            <w:shd w:val="clear" w:color="auto" w:fill="D7D7D7"/>
          </w:tcPr>
          <w:p>
            <w:pPr>
              <w:ind w:left="60"/>
              <w:spacing w:after="0"/>
              <w:rPr>
                <w:sz w:val="20"/>
                <w:szCs w:val="20"/>
                <w:color w:val="auto"/>
              </w:rPr>
            </w:pPr>
            <w:r>
              <w:rPr>
                <w:rFonts w:ascii="Arial" w:cs="Arial" w:eastAsia="Arial" w:hAnsi="Arial"/>
                <w:sz w:val="20"/>
                <w:szCs w:val="20"/>
                <w:color w:val="2A2A2A"/>
              </w:rPr>
              <w:t>billion</w:t>
            </w:r>
          </w:p>
        </w:tc>
        <w:tc>
          <w:tcPr>
            <w:tcW w:w="0" w:type="dxa"/>
            <w:vAlign w:val="bottom"/>
          </w:tcPr>
          <w:p>
            <w:pPr>
              <w:spacing w:after="0"/>
              <w:rPr>
                <w:sz w:val="1"/>
                <w:szCs w:val="1"/>
                <w:color w:val="auto"/>
              </w:rPr>
            </w:pPr>
          </w:p>
        </w:tc>
      </w:tr>
      <w:tr>
        <w:trPr>
          <w:trHeight w:val="262"/>
        </w:trPr>
        <w:tc>
          <w:tcPr>
            <w:tcW w:w="39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December 31, 2023</w:t>
            </w:r>
          </w:p>
        </w:tc>
        <w:tc>
          <w:tcPr>
            <w:tcW w:w="1160" w:type="dxa"/>
            <w:vAlign w:val="bottom"/>
            <w:tcBorders>
              <w:bottom w:val="single" w:sz="8" w:color="2A2A2A"/>
            </w:tcBorders>
            <w:vMerge w:val="continue"/>
            <w:shd w:val="clear" w:color="auto" w:fill="D7D7D7"/>
          </w:tcPr>
          <w:p>
            <w:pPr>
              <w:spacing w:after="0"/>
              <w:rPr>
                <w:sz w:val="22"/>
                <w:szCs w:val="22"/>
                <w:color w:val="auto"/>
              </w:rPr>
            </w:pPr>
          </w:p>
        </w:tc>
        <w:tc>
          <w:tcPr>
            <w:tcW w:w="400" w:type="dxa"/>
            <w:vAlign w:val="bottom"/>
            <w:tcBorders>
              <w:bottom w:val="single" w:sz="8" w:color="2A2A2A"/>
            </w:tcBorders>
            <w:shd w:val="clear" w:color="auto" w:fill="D7D7D7"/>
          </w:tcPr>
          <w:p>
            <w:pPr>
              <w:spacing w:after="0"/>
              <w:rPr>
                <w:sz w:val="22"/>
                <w:szCs w:val="22"/>
                <w:color w:val="auto"/>
              </w:rPr>
            </w:pPr>
          </w:p>
        </w:tc>
        <w:tc>
          <w:tcPr>
            <w:tcW w:w="1300" w:type="dxa"/>
            <w:vAlign w:val="bottom"/>
            <w:tcBorders>
              <w:bottom w:val="single" w:sz="8" w:color="D7D7D7"/>
            </w:tcBorders>
            <w:vMerge w:val="continue"/>
            <w:shd w:val="clear" w:color="auto" w:fill="D7D7D7"/>
          </w:tcPr>
          <w:p>
            <w:pPr>
              <w:spacing w:after="0"/>
              <w:rPr>
                <w:sz w:val="22"/>
                <w:szCs w:val="22"/>
                <w:color w:val="auto"/>
              </w:rPr>
            </w:pPr>
          </w:p>
        </w:tc>
        <w:tc>
          <w:tcPr>
            <w:tcW w:w="1200" w:type="dxa"/>
            <w:vAlign w:val="bottom"/>
            <w:tcBorders>
              <w:bottom w:val="single" w:sz="8" w:color="2A2A2A"/>
            </w:tcBorders>
            <w:vMerge w:val="continue"/>
            <w:shd w:val="clear" w:color="auto" w:fill="D7D7D7"/>
          </w:tcPr>
          <w:p>
            <w:pPr>
              <w:spacing w:after="0"/>
              <w:rPr>
                <w:sz w:val="22"/>
                <w:szCs w:val="22"/>
                <w:color w:val="auto"/>
              </w:rPr>
            </w:pPr>
          </w:p>
        </w:tc>
        <w:tc>
          <w:tcPr>
            <w:tcW w:w="360" w:type="dxa"/>
            <w:vAlign w:val="bottom"/>
            <w:tcBorders>
              <w:bottom w:val="single" w:sz="8" w:color="2A2A2A"/>
            </w:tcBorders>
            <w:shd w:val="clear" w:color="auto" w:fill="D7D7D7"/>
          </w:tcPr>
          <w:p>
            <w:pPr>
              <w:spacing w:after="0"/>
              <w:rPr>
                <w:sz w:val="22"/>
                <w:szCs w:val="22"/>
                <w:color w:val="auto"/>
              </w:rPr>
            </w:pPr>
          </w:p>
        </w:tc>
        <w:tc>
          <w:tcPr>
            <w:tcW w:w="860" w:type="dxa"/>
            <w:vAlign w:val="bottom"/>
            <w:tcBorders>
              <w:bottom w:val="single" w:sz="8" w:color="D7D7D7"/>
            </w:tcBorders>
            <w:vMerge w:val="continue"/>
            <w:shd w:val="clear" w:color="auto" w:fill="D7D7D7"/>
          </w:tcPr>
          <w:p>
            <w:pPr>
              <w:spacing w:after="0"/>
              <w:rPr>
                <w:sz w:val="22"/>
                <w:szCs w:val="22"/>
                <w:color w:val="auto"/>
              </w:rPr>
            </w:pPr>
          </w:p>
        </w:tc>
        <w:tc>
          <w:tcPr>
            <w:tcW w:w="980" w:type="dxa"/>
            <w:vAlign w:val="bottom"/>
            <w:tcBorders>
              <w:bottom w:val="single" w:sz="8" w:color="D7D7D7"/>
            </w:tcBorders>
            <w:vMerge w:val="continue"/>
            <w:shd w:val="clear" w:color="auto" w:fill="D7D7D7"/>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80" w:type="dxa"/>
            <w:vAlign w:val="bottom"/>
          </w:tcPr>
          <w:p>
            <w:pPr>
              <w:ind w:left="60"/>
              <w:spacing w:after="0"/>
              <w:rPr>
                <w:sz w:val="20"/>
                <w:szCs w:val="20"/>
                <w:color w:val="auto"/>
              </w:rPr>
            </w:pPr>
            <w:r>
              <w:rPr>
                <w:rFonts w:ascii="Arial" w:cs="Arial" w:eastAsia="Arial" w:hAnsi="Arial"/>
                <w:sz w:val="20"/>
                <w:szCs w:val="20"/>
                <w:color w:val="2A2A2A"/>
              </w:rPr>
              <w:t>Total</w:t>
            </w:r>
          </w:p>
        </w:tc>
        <w:tc>
          <w:tcPr>
            <w:tcW w:w="116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422,999</w:t>
            </w:r>
          </w:p>
        </w:tc>
        <w:tc>
          <w:tcPr>
            <w:tcW w:w="400" w:type="dxa"/>
            <w:vAlign w:val="bottom"/>
            <w:tcBorders>
              <w:bottom w:val="single" w:sz="8" w:color="2A2A2A"/>
            </w:tcBorders>
          </w:tcPr>
          <w:p>
            <w:pPr>
              <w:ind w:left="20"/>
              <w:spacing w:after="0"/>
              <w:rPr>
                <w:sz w:val="20"/>
                <w:szCs w:val="20"/>
                <w:color w:val="auto"/>
              </w:rPr>
            </w:pPr>
            <w:r>
              <w:rPr>
                <w:rFonts w:ascii="Arial" w:cs="Arial" w:eastAsia="Arial" w:hAnsi="Arial"/>
                <w:sz w:val="20"/>
                <w:szCs w:val="20"/>
                <w:color w:val="2A2A2A"/>
              </w:rPr>
              <w:t>(b)</w:t>
            </w:r>
          </w:p>
        </w:tc>
        <w:tc>
          <w:tcPr>
            <w:tcW w:w="1300" w:type="dxa"/>
            <w:vAlign w:val="bottom"/>
          </w:tcPr>
          <w:p>
            <w:pPr>
              <w:jc w:val="center"/>
              <w:spacing w:after="0"/>
              <w:rPr>
                <w:sz w:val="20"/>
                <w:szCs w:val="20"/>
                <w:color w:val="auto"/>
              </w:rPr>
            </w:pPr>
            <w:r>
              <w:rPr>
                <w:rFonts w:ascii="Arial" w:cs="Arial" w:eastAsia="Arial" w:hAnsi="Arial"/>
                <w:sz w:val="20"/>
                <w:szCs w:val="20"/>
                <w:color w:val="2A2A2A"/>
                <w:w w:val="99"/>
              </w:rPr>
              <w:t>$149.67 (b)</w:t>
            </w:r>
          </w:p>
        </w:tc>
        <w:tc>
          <w:tcPr>
            <w:tcW w:w="1200" w:type="dxa"/>
            <w:vAlign w:val="bottom"/>
          </w:tcPr>
          <w:p>
            <w:pPr>
              <w:jc w:val="right"/>
              <w:spacing w:after="0"/>
              <w:rPr>
                <w:sz w:val="20"/>
                <w:szCs w:val="20"/>
                <w:color w:val="auto"/>
              </w:rPr>
            </w:pPr>
            <w:r>
              <w:rPr>
                <w:rFonts w:ascii="Arial" w:cs="Arial" w:eastAsia="Arial" w:hAnsi="Arial"/>
                <w:sz w:val="20"/>
                <w:szCs w:val="20"/>
                <w:color w:val="2A2A2A"/>
              </w:rPr>
              <w:t>412,590</w:t>
            </w:r>
          </w:p>
        </w:tc>
        <w:tc>
          <w:tcPr>
            <w:tcW w:w="360" w:type="dxa"/>
            <w:vAlign w:val="bottom"/>
            <w:tcBorders>
              <w:bottom w:val="single" w:sz="8" w:color="2A2A2A"/>
            </w:tcBorders>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A2A2A"/>
              </w:rPr>
              <w:t>$ 21.20</w:t>
            </w:r>
          </w:p>
        </w:tc>
        <w:tc>
          <w:tcPr>
            <w:tcW w:w="980" w:type="dxa"/>
            <w:vAlign w:val="bottom"/>
          </w:tcPr>
          <w:p>
            <w:pPr>
              <w:ind w:left="60"/>
              <w:spacing w:after="0"/>
              <w:rPr>
                <w:sz w:val="20"/>
                <w:szCs w:val="20"/>
                <w:color w:val="auto"/>
              </w:rPr>
            </w:pPr>
            <w:r>
              <w:rPr>
                <w:rFonts w:ascii="Arial" w:cs="Arial" w:eastAsia="Arial" w:hAnsi="Arial"/>
                <w:sz w:val="20"/>
                <w:szCs w:val="20"/>
                <w:color w:val="2A2A2A"/>
              </w:rPr>
              <w:t>billion (c)</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2A2A2A"/>
            </w:tcBorders>
          </w:tcPr>
          <w:p>
            <w:pPr>
              <w:spacing w:after="0" w:line="20" w:lineRule="exact"/>
              <w:rPr>
                <w:sz w:val="1"/>
                <w:szCs w:val="1"/>
                <w:color w:val="auto"/>
              </w:rPr>
            </w:pPr>
          </w:p>
        </w:tc>
        <w:tc>
          <w:tcPr>
            <w:tcW w:w="400" w:type="dxa"/>
            <w:vAlign w:val="bottom"/>
            <w:tcBorders>
              <w:bottom w:val="single" w:sz="8" w:color="2A2A2A"/>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2A2A2A"/>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653097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-221615</wp:posOffset>
            </wp:positionV>
            <wp:extent cx="10160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6000" cy="2540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-221615</wp:posOffset>
            </wp:positionV>
            <wp:extent cx="2540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0" cy="254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-50165</wp:posOffset>
            </wp:positionV>
            <wp:extent cx="1016000" cy="6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6000" cy="63500"/>
                    </a:xfrm>
                    <a:prstGeom prst="rect">
                      <a:avLst/>
                    </a:prstGeom>
                    <a:noFill/>
                  </pic:spPr>
                </pic:pic>
              </a:graphicData>
            </a:graphic>
          </wp:anchor>
        </w:drawing>
      </w:r>
    </w:p>
    <w:p>
      <w:pPr>
        <w:spacing w:after="0" w:line="235" w:lineRule="exact"/>
        <w:rPr>
          <w:sz w:val="20"/>
          <w:szCs w:val="20"/>
          <w:color w:val="auto"/>
        </w:rPr>
      </w:pPr>
    </w:p>
    <w:p>
      <w:pPr>
        <w:ind w:left="541" w:right="40" w:hanging="541"/>
        <w:spacing w:after="0" w:line="268" w:lineRule="auto"/>
        <w:tabs>
          <w:tab w:leader="none" w:pos="541" w:val="left"/>
        </w:tabs>
        <w:numPr>
          <w:ilvl w:val="0"/>
          <w:numId w:val="8"/>
        </w:numPr>
        <w:rPr>
          <w:rFonts w:ascii="Arial" w:cs="Arial" w:eastAsia="Arial" w:hAnsi="Arial"/>
          <w:sz w:val="20"/>
          <w:szCs w:val="20"/>
          <w:color w:val="2A2A2A"/>
        </w:rPr>
      </w:pPr>
      <w:r>
        <w:rPr>
          <w:rFonts w:ascii="Arial" w:cs="Arial" w:eastAsia="Arial" w:hAnsi="Arial"/>
          <w:sz w:val="20"/>
          <w:szCs w:val="20"/>
          <w:color w:val="2A2A2A"/>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69" w:lineRule="exact"/>
        <w:rPr>
          <w:rFonts w:ascii="Arial" w:cs="Arial" w:eastAsia="Arial" w:hAnsi="Arial"/>
          <w:sz w:val="20"/>
          <w:szCs w:val="20"/>
          <w:color w:val="2A2A2A"/>
        </w:rPr>
      </w:pPr>
    </w:p>
    <w:p>
      <w:pPr>
        <w:ind w:left="541" w:right="320" w:hanging="541"/>
        <w:spacing w:after="0" w:line="287" w:lineRule="auto"/>
        <w:tabs>
          <w:tab w:leader="none" w:pos="541" w:val="left"/>
        </w:tabs>
        <w:numPr>
          <w:ilvl w:val="0"/>
          <w:numId w:val="8"/>
        </w:numPr>
        <w:rPr>
          <w:rFonts w:ascii="Arial" w:cs="Arial" w:eastAsia="Arial" w:hAnsi="Arial"/>
          <w:sz w:val="20"/>
          <w:szCs w:val="20"/>
          <w:color w:val="2A2A2A"/>
        </w:rPr>
      </w:pPr>
      <w:r>
        <w:rPr>
          <w:rFonts w:ascii="Arial" w:cs="Arial" w:eastAsia="Arial" w:hAnsi="Arial"/>
          <w:sz w:val="20"/>
          <w:szCs w:val="20"/>
          <w:color w:val="2A2A2A"/>
        </w:rPr>
        <w:t>In addition to open-market purchases, 10,409 shares of common stock were surrendered by employees to satisfy tax withholding obligations in connection with the vesting of restricted stock units.</w:t>
      </w:r>
    </w:p>
    <w:p>
      <w:pPr>
        <w:spacing w:after="0" w:line="49" w:lineRule="exact"/>
        <w:rPr>
          <w:rFonts w:ascii="Arial" w:cs="Arial" w:eastAsia="Arial" w:hAnsi="Arial"/>
          <w:sz w:val="20"/>
          <w:szCs w:val="20"/>
          <w:color w:val="2A2A2A"/>
        </w:rPr>
      </w:pPr>
    </w:p>
    <w:p>
      <w:pPr>
        <w:ind w:left="541" w:right="200" w:hanging="541"/>
        <w:spacing w:after="0" w:line="268" w:lineRule="auto"/>
        <w:tabs>
          <w:tab w:leader="none" w:pos="541" w:val="left"/>
        </w:tabs>
        <w:numPr>
          <w:ilvl w:val="0"/>
          <w:numId w:val="8"/>
        </w:numPr>
        <w:rPr>
          <w:rFonts w:ascii="Arial" w:cs="Arial" w:eastAsia="Arial" w:hAnsi="Arial"/>
          <w:sz w:val="20"/>
          <w:szCs w:val="20"/>
          <w:color w:val="2A2A2A"/>
        </w:rPr>
      </w:pPr>
      <w:r>
        <w:rPr>
          <w:rFonts w:ascii="Arial" w:cs="Arial" w:eastAsia="Arial" w:hAnsi="Arial"/>
          <w:sz w:val="20"/>
          <w:szCs w:val="20"/>
          <w:color w:val="2A2A2A"/>
        </w:rPr>
        <w:t>As of December 31, 2023,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18"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ITEM 6. (Reserved)</w:t>
      </w:r>
    </w:p>
    <w:p>
      <w:pPr>
        <w:sectPr>
          <w:pgSz w:w="12240" w:h="15840" w:orient="portrait"/>
          <w:cols w:equalWidth="0" w:num="1">
            <w:col w:w="10241"/>
          </w:cols>
          <w:pgMar w:left="979" w:top="653"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18</w:t>
      </w:r>
    </w:p>
    <w:p>
      <w:pPr>
        <w:sectPr>
          <w:pgSz w:w="12240" w:h="15840" w:orient="portrait"/>
          <w:cols w:equalWidth="0" w:num="1">
            <w:col w:w="10241"/>
          </w:cols>
          <w:pgMar w:left="979" w:top="653" w:right="1020" w:bottom="24" w:gutter="0" w:footer="0" w:header="0"/>
          <w:type w:val="continuous"/>
        </w:sectPr>
      </w:pPr>
    </w:p>
    <w:bookmarkStart w:id="24" w:name="page25"/>
    <w:bookmarkEnd w:id="24"/>
    <w:p>
      <w:pPr>
        <w:ind w:right="760"/>
        <w:spacing w:after="0" w:line="298" w:lineRule="auto"/>
        <w:rPr>
          <w:sz w:val="20"/>
          <w:szCs w:val="20"/>
          <w:color w:val="auto"/>
        </w:rPr>
      </w:pPr>
      <w:r>
        <w:rPr>
          <w:rFonts w:ascii="Arial" w:cs="Arial" w:eastAsia="Arial" w:hAnsi="Arial"/>
          <w:sz w:val="24"/>
          <w:szCs w:val="24"/>
          <w:b w:val="1"/>
          <w:bCs w:val="1"/>
          <w:color w:val="2A2A2A"/>
        </w:rPr>
        <w:t>ITEM 7. 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Overview</w:t>
      </w:r>
    </w:p>
    <w:p>
      <w:pPr>
        <w:spacing w:after="0" w:line="257" w:lineRule="exact"/>
        <w:rPr>
          <w:sz w:val="20"/>
          <w:szCs w:val="20"/>
          <w:color w:val="auto"/>
        </w:rPr>
      </w:pPr>
    </w:p>
    <w:p>
      <w:pPr>
        <w:jc w:val="both"/>
        <w:ind w:right="260"/>
        <w:spacing w:after="0" w:line="268" w:lineRule="auto"/>
        <w:rPr>
          <w:sz w:val="20"/>
          <w:szCs w:val="20"/>
          <w:color w:val="auto"/>
        </w:rPr>
      </w:pPr>
      <w:r>
        <w:rPr>
          <w:rFonts w:ascii="Arial" w:cs="Arial" w:eastAsia="Arial" w:hAnsi="Arial"/>
          <w:sz w:val="20"/>
          <w:szCs w:val="20"/>
          <w:color w:val="2A2A2A"/>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Our strategy to maximize long-term free cash flow per share growth has three elements:</w:t>
      </w:r>
    </w:p>
    <w:p>
      <w:pPr>
        <w:spacing w:after="0" w:line="250" w:lineRule="exact"/>
        <w:rPr>
          <w:sz w:val="20"/>
          <w:szCs w:val="20"/>
          <w:color w:val="auto"/>
        </w:rPr>
      </w:pPr>
    </w:p>
    <w:p>
      <w:pPr>
        <w:ind w:left="720" w:right="80" w:hanging="361"/>
        <w:spacing w:after="0" w:line="268" w:lineRule="auto"/>
        <w:tabs>
          <w:tab w:leader="none" w:pos="720" w:val="left"/>
        </w:tabs>
        <w:numPr>
          <w:ilvl w:val="0"/>
          <w:numId w:val="9"/>
        </w:numPr>
        <w:rPr>
          <w:rFonts w:ascii="Arial" w:cs="Arial" w:eastAsia="Arial" w:hAnsi="Arial"/>
          <w:sz w:val="20"/>
          <w:szCs w:val="20"/>
          <w:color w:val="2A2A2A"/>
        </w:rPr>
      </w:pPr>
      <w:r>
        <w:rPr>
          <w:rFonts w:ascii="Arial" w:cs="Arial" w:eastAsia="Arial" w:hAnsi="Arial"/>
          <w:sz w:val="20"/>
          <w:szCs w:val="20"/>
          <w:color w:val="2A2A2A"/>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9" w:lineRule="exact"/>
        <w:rPr>
          <w:rFonts w:ascii="Arial" w:cs="Arial" w:eastAsia="Arial" w:hAnsi="Arial"/>
          <w:sz w:val="20"/>
          <w:szCs w:val="20"/>
          <w:color w:val="2A2A2A"/>
        </w:rPr>
      </w:pPr>
    </w:p>
    <w:p>
      <w:pPr>
        <w:ind w:left="1080" w:right="320" w:hanging="361"/>
        <w:spacing w:after="0" w:line="287" w:lineRule="auto"/>
        <w:tabs>
          <w:tab w:leader="none" w:pos="1080" w:val="left"/>
        </w:tabs>
        <w:numPr>
          <w:ilvl w:val="1"/>
          <w:numId w:val="9"/>
        </w:numPr>
        <w:rPr>
          <w:rFonts w:ascii="Arial" w:cs="Arial" w:eastAsia="Arial" w:hAnsi="Arial"/>
          <w:sz w:val="20"/>
          <w:szCs w:val="20"/>
          <w:color w:val="2A2A2A"/>
        </w:rPr>
      </w:pPr>
      <w:r>
        <w:rPr>
          <w:rFonts w:ascii="Arial" w:cs="Arial" w:eastAsia="Arial" w:hAnsi="Arial"/>
          <w:sz w:val="20"/>
          <w:szCs w:val="20"/>
          <w:color w:val="2A2A2A"/>
        </w:rPr>
        <w:t>A strong foundation of manufacturing and technology that provides lower costs and greater control of our supply chain.</w:t>
      </w:r>
    </w:p>
    <w:p>
      <w:pPr>
        <w:spacing w:after="0" w:line="49" w:lineRule="exact"/>
        <w:rPr>
          <w:rFonts w:ascii="Arial" w:cs="Arial" w:eastAsia="Arial" w:hAnsi="Arial"/>
          <w:sz w:val="20"/>
          <w:szCs w:val="20"/>
          <w:color w:val="2A2A2A"/>
        </w:rPr>
      </w:pPr>
    </w:p>
    <w:p>
      <w:pPr>
        <w:ind w:left="1080" w:right="800" w:hanging="361"/>
        <w:spacing w:after="0" w:line="287" w:lineRule="auto"/>
        <w:tabs>
          <w:tab w:leader="none" w:pos="1080" w:val="left"/>
        </w:tabs>
        <w:numPr>
          <w:ilvl w:val="1"/>
          <w:numId w:val="9"/>
        </w:numPr>
        <w:rPr>
          <w:rFonts w:ascii="Arial" w:cs="Arial" w:eastAsia="Arial" w:hAnsi="Arial"/>
          <w:sz w:val="20"/>
          <w:szCs w:val="20"/>
          <w:color w:val="2A2A2A"/>
        </w:rPr>
      </w:pPr>
      <w:r>
        <w:rPr>
          <w:rFonts w:ascii="Arial" w:cs="Arial" w:eastAsia="Arial" w:hAnsi="Arial"/>
          <w:sz w:val="20"/>
          <w:szCs w:val="20"/>
          <w:color w:val="2A2A2A"/>
        </w:rPr>
        <w:t>A broad portfolio of analog and embedded processing products that offers more opportunity per customer and more value for our investments.</w:t>
      </w:r>
    </w:p>
    <w:p>
      <w:pPr>
        <w:spacing w:after="0" w:line="49" w:lineRule="exact"/>
        <w:rPr>
          <w:rFonts w:ascii="Arial" w:cs="Arial" w:eastAsia="Arial" w:hAnsi="Arial"/>
          <w:sz w:val="20"/>
          <w:szCs w:val="20"/>
          <w:color w:val="2A2A2A"/>
        </w:rPr>
      </w:pPr>
    </w:p>
    <w:p>
      <w:pPr>
        <w:ind w:left="1080" w:right="420" w:hanging="361"/>
        <w:spacing w:after="0" w:line="268" w:lineRule="auto"/>
        <w:tabs>
          <w:tab w:leader="none" w:pos="1080" w:val="left"/>
        </w:tabs>
        <w:numPr>
          <w:ilvl w:val="1"/>
          <w:numId w:val="9"/>
        </w:numPr>
        <w:rPr>
          <w:rFonts w:ascii="Arial" w:cs="Arial" w:eastAsia="Arial" w:hAnsi="Arial"/>
          <w:sz w:val="20"/>
          <w:szCs w:val="20"/>
          <w:color w:val="2A2A2A"/>
        </w:rPr>
      </w:pPr>
      <w:r>
        <w:rPr>
          <w:rFonts w:ascii="Arial" w:cs="Arial" w:eastAsia="Arial" w:hAnsi="Arial"/>
          <w:sz w:val="20"/>
          <w:szCs w:val="20"/>
          <w:color w:val="2A2A2A"/>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9" w:lineRule="exact"/>
        <w:rPr>
          <w:rFonts w:ascii="Arial" w:cs="Arial" w:eastAsia="Arial" w:hAnsi="Arial"/>
          <w:sz w:val="20"/>
          <w:szCs w:val="20"/>
          <w:color w:val="2A2A2A"/>
        </w:rPr>
      </w:pPr>
    </w:p>
    <w:p>
      <w:pPr>
        <w:ind w:left="1080" w:right="300" w:hanging="361"/>
        <w:spacing w:after="0" w:line="287" w:lineRule="auto"/>
        <w:tabs>
          <w:tab w:leader="none" w:pos="1080" w:val="left"/>
        </w:tabs>
        <w:numPr>
          <w:ilvl w:val="1"/>
          <w:numId w:val="9"/>
        </w:numPr>
        <w:rPr>
          <w:rFonts w:ascii="Arial" w:cs="Arial" w:eastAsia="Arial" w:hAnsi="Arial"/>
          <w:sz w:val="20"/>
          <w:szCs w:val="20"/>
          <w:color w:val="2A2A2A"/>
        </w:rPr>
      </w:pPr>
      <w:r>
        <w:rPr>
          <w:rFonts w:ascii="Arial" w:cs="Arial" w:eastAsia="Arial" w:hAnsi="Arial"/>
          <w:sz w:val="20"/>
          <w:szCs w:val="20"/>
          <w:color w:val="2A2A2A"/>
        </w:rPr>
        <w:t>Diversity and longevity of our products, markets and customer positions that provide less single point dependency and longer returns on our investments.</w:t>
      </w:r>
    </w:p>
    <w:p>
      <w:pPr>
        <w:spacing w:after="0" w:line="50" w:lineRule="exact"/>
        <w:rPr>
          <w:sz w:val="20"/>
          <w:szCs w:val="20"/>
          <w:color w:val="auto"/>
        </w:rPr>
      </w:pPr>
    </w:p>
    <w:p>
      <w:pPr>
        <w:ind w:left="720" w:right="100"/>
        <w:spacing w:after="0" w:line="268" w:lineRule="auto"/>
        <w:rPr>
          <w:sz w:val="20"/>
          <w:szCs w:val="20"/>
          <w:color w:val="auto"/>
        </w:rPr>
      </w:pPr>
      <w:r>
        <w:rPr>
          <w:rFonts w:ascii="Arial" w:cs="Arial" w:eastAsia="Arial" w:hAnsi="Arial"/>
          <w:sz w:val="20"/>
          <w:szCs w:val="20"/>
          <w:color w:val="2A2A2A"/>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70" w:lineRule="exact"/>
        <w:rPr>
          <w:sz w:val="20"/>
          <w:szCs w:val="20"/>
          <w:color w:val="auto"/>
        </w:rPr>
      </w:pPr>
    </w:p>
    <w:p>
      <w:pPr>
        <w:ind w:left="720" w:right="260" w:hanging="361"/>
        <w:spacing w:after="0" w:line="268" w:lineRule="auto"/>
        <w:tabs>
          <w:tab w:leader="none" w:pos="720" w:val="left"/>
        </w:tabs>
        <w:numPr>
          <w:ilvl w:val="0"/>
          <w:numId w:val="10"/>
        </w:numPr>
        <w:rPr>
          <w:rFonts w:ascii="Arial" w:cs="Arial" w:eastAsia="Arial" w:hAnsi="Arial"/>
          <w:sz w:val="20"/>
          <w:szCs w:val="20"/>
          <w:color w:val="2A2A2A"/>
        </w:rPr>
      </w:pPr>
      <w:r>
        <w:rPr>
          <w:rFonts w:ascii="Arial" w:cs="Arial" w:eastAsia="Arial" w:hAnsi="Arial"/>
          <w:sz w:val="20"/>
          <w:szCs w:val="20"/>
          <w:color w:val="2A2A2A"/>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9" w:lineRule="exact"/>
        <w:rPr>
          <w:rFonts w:ascii="Arial" w:cs="Arial" w:eastAsia="Arial" w:hAnsi="Arial"/>
          <w:sz w:val="20"/>
          <w:szCs w:val="20"/>
          <w:color w:val="2A2A2A"/>
        </w:rPr>
      </w:pPr>
    </w:p>
    <w:p>
      <w:pPr>
        <w:ind w:left="720" w:hanging="361"/>
        <w:spacing w:after="0"/>
        <w:tabs>
          <w:tab w:leader="none" w:pos="720" w:val="left"/>
        </w:tabs>
        <w:numPr>
          <w:ilvl w:val="0"/>
          <w:numId w:val="10"/>
        </w:numPr>
        <w:rPr>
          <w:rFonts w:ascii="Arial" w:cs="Arial" w:eastAsia="Arial" w:hAnsi="Arial"/>
          <w:sz w:val="20"/>
          <w:szCs w:val="20"/>
          <w:color w:val="2A2A2A"/>
        </w:rPr>
      </w:pPr>
      <w:r>
        <w:rPr>
          <w:rFonts w:ascii="Arial" w:cs="Arial" w:eastAsia="Arial" w:hAnsi="Arial"/>
          <w:sz w:val="20"/>
          <w:szCs w:val="20"/>
          <w:color w:val="2A2A2A"/>
        </w:rPr>
        <w:t>Efficiency, which means constantly striving for more output for every dollar spent.</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20"/>
          <w:szCs w:val="20"/>
          <w:color w:val="2A2A2A"/>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96"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2A2A2A"/>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90" w:lineRule="exact"/>
        <w:rPr>
          <w:sz w:val="20"/>
          <w:szCs w:val="20"/>
          <w:color w:val="auto"/>
        </w:rPr>
      </w:pPr>
    </w:p>
    <w:p>
      <w:pPr>
        <w:ind w:left="720" w:right="20" w:hanging="361"/>
        <w:spacing w:after="0" w:line="262" w:lineRule="auto"/>
        <w:tabs>
          <w:tab w:leader="none" w:pos="720" w:val="left"/>
        </w:tabs>
        <w:numPr>
          <w:ilvl w:val="0"/>
          <w:numId w:val="11"/>
        </w:numPr>
        <w:rPr>
          <w:rFonts w:ascii="Arial" w:cs="Arial" w:eastAsia="Arial" w:hAnsi="Arial"/>
          <w:sz w:val="20"/>
          <w:szCs w:val="20"/>
          <w:color w:val="2A2A2A"/>
        </w:rPr>
      </w:pPr>
      <w:r>
        <w:rPr>
          <w:rFonts w:ascii="Arial" w:cs="Arial" w:eastAsia="Arial" w:hAnsi="Arial"/>
          <w:sz w:val="20"/>
          <w:szCs w:val="20"/>
          <w:color w:val="2A2A2A"/>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20"/>
          <w:szCs w:val="20"/>
          <w:color w:val="2A2A2A"/>
        </w:rPr>
      </w:pPr>
    </w:p>
    <w:p>
      <w:pPr>
        <w:ind w:left="720" w:hanging="361"/>
        <w:spacing w:after="0"/>
        <w:tabs>
          <w:tab w:leader="none" w:pos="720" w:val="left"/>
        </w:tabs>
        <w:numPr>
          <w:ilvl w:val="0"/>
          <w:numId w:val="11"/>
        </w:numPr>
        <w:rPr>
          <w:rFonts w:ascii="Arial" w:cs="Arial" w:eastAsia="Arial" w:hAnsi="Arial"/>
          <w:sz w:val="20"/>
          <w:szCs w:val="20"/>
          <w:color w:val="2A2A2A"/>
        </w:rPr>
      </w:pPr>
      <w:r>
        <w:rPr>
          <w:rFonts w:ascii="Arial" w:cs="Arial" w:eastAsia="Arial" w:hAnsi="Arial"/>
          <w:sz w:val="20"/>
          <w:szCs w:val="20"/>
          <w:color w:val="2A2A2A"/>
        </w:rPr>
        <w:t>When we discuss our results:</w:t>
      </w:r>
    </w:p>
    <w:p>
      <w:pPr>
        <w:spacing w:after="0" w:line="130" w:lineRule="exact"/>
        <w:rPr>
          <w:rFonts w:ascii="Arial" w:cs="Arial" w:eastAsia="Arial" w:hAnsi="Arial"/>
          <w:sz w:val="20"/>
          <w:szCs w:val="20"/>
          <w:color w:val="2A2A2A"/>
        </w:rPr>
      </w:pPr>
    </w:p>
    <w:p>
      <w:pPr>
        <w:ind w:left="1080" w:right="20" w:hanging="361"/>
        <w:spacing w:after="0" w:line="287" w:lineRule="auto"/>
        <w:tabs>
          <w:tab w:leader="none" w:pos="1080" w:val="left"/>
        </w:tabs>
        <w:numPr>
          <w:ilvl w:val="1"/>
          <w:numId w:val="11"/>
        </w:numPr>
        <w:rPr>
          <w:rFonts w:ascii="Arial" w:cs="Arial" w:eastAsia="Arial" w:hAnsi="Arial"/>
          <w:sz w:val="20"/>
          <w:szCs w:val="20"/>
          <w:color w:val="2A2A2A"/>
        </w:rPr>
      </w:pPr>
      <w:r>
        <w:rPr>
          <w:rFonts w:ascii="Arial" w:cs="Arial" w:eastAsia="Arial" w:hAnsi="Arial"/>
          <w:sz w:val="20"/>
          <w:szCs w:val="20"/>
          <w:color w:val="2A2A2A"/>
        </w:rPr>
        <w:t>Unless otherwise noted, changes in our revenue are attributable to changes in customer demand, which are evidenced by fluctuations in shipment volumes.</w:t>
      </w:r>
    </w:p>
    <w:p>
      <w:pPr>
        <w:spacing w:after="0" w:line="49" w:lineRule="exact"/>
        <w:rPr>
          <w:rFonts w:ascii="Arial" w:cs="Arial" w:eastAsia="Arial" w:hAnsi="Arial"/>
          <w:sz w:val="20"/>
          <w:szCs w:val="20"/>
          <w:color w:val="2A2A2A"/>
        </w:rPr>
      </w:pPr>
    </w:p>
    <w:p>
      <w:pPr>
        <w:ind w:left="1080" w:right="200" w:hanging="361"/>
        <w:spacing w:after="0" w:line="287" w:lineRule="auto"/>
        <w:tabs>
          <w:tab w:leader="none" w:pos="1080" w:val="left"/>
        </w:tabs>
        <w:numPr>
          <w:ilvl w:val="1"/>
          <w:numId w:val="11"/>
        </w:numPr>
        <w:rPr>
          <w:rFonts w:ascii="Arial" w:cs="Arial" w:eastAsia="Arial" w:hAnsi="Arial"/>
          <w:sz w:val="20"/>
          <w:szCs w:val="20"/>
          <w:color w:val="2A2A2A"/>
        </w:rPr>
      </w:pPr>
      <w:r>
        <w:rPr>
          <w:rFonts w:ascii="Arial" w:cs="Arial" w:eastAsia="Arial" w:hAnsi="Arial"/>
          <w:sz w:val="20"/>
          <w:szCs w:val="20"/>
          <w:color w:val="2A2A2A"/>
        </w:rPr>
        <w:t>New products do not tend to have a significant impact on our revenue in any given period because we sell such a large number of products.</w:t>
      </w:r>
    </w:p>
    <w:p>
      <w:pPr>
        <w:spacing w:after="0" w:line="49" w:lineRule="exact"/>
        <w:rPr>
          <w:rFonts w:ascii="Arial" w:cs="Arial" w:eastAsia="Arial" w:hAnsi="Arial"/>
          <w:sz w:val="20"/>
          <w:szCs w:val="20"/>
          <w:color w:val="2A2A2A"/>
        </w:rPr>
      </w:pPr>
    </w:p>
    <w:p>
      <w:pPr>
        <w:ind w:left="1080" w:right="120" w:hanging="361"/>
        <w:spacing w:after="0" w:line="287" w:lineRule="auto"/>
        <w:tabs>
          <w:tab w:leader="none" w:pos="1080" w:val="left"/>
        </w:tabs>
        <w:numPr>
          <w:ilvl w:val="1"/>
          <w:numId w:val="11"/>
        </w:numPr>
        <w:rPr>
          <w:rFonts w:ascii="Arial" w:cs="Arial" w:eastAsia="Arial" w:hAnsi="Arial"/>
          <w:sz w:val="20"/>
          <w:szCs w:val="20"/>
          <w:color w:val="2A2A2A"/>
        </w:rPr>
      </w:pPr>
      <w:r>
        <w:rPr>
          <w:rFonts w:ascii="Arial" w:cs="Arial" w:eastAsia="Arial" w:hAnsi="Arial"/>
          <w:sz w:val="20"/>
          <w:szCs w:val="20"/>
          <w:color w:val="2A2A2A"/>
        </w:rPr>
        <w:t>From time to time, our revenue and gross profit are affected by changes in demand for higher-priced or lower-priced products, which we refer to as changes in the “mix” of products shipped.</w:t>
      </w:r>
    </w:p>
    <w:p>
      <w:pPr>
        <w:sectPr>
          <w:pgSz w:w="12240" w:h="15840" w:orient="portrait"/>
          <w:cols w:equalWidth="0" w:num="1">
            <w:col w:w="10280"/>
          </w:cols>
          <w:pgMar w:left="980" w:top="653"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19</w:t>
      </w:r>
    </w:p>
    <w:p>
      <w:pPr>
        <w:sectPr>
          <w:pgSz w:w="12240" w:h="15840" w:orient="portrait"/>
          <w:cols w:equalWidth="0" w:num="1">
            <w:col w:w="10280"/>
          </w:cols>
          <w:pgMar w:left="980" w:top="653" w:right="980" w:bottom="24" w:gutter="0" w:footer="0" w:header="0"/>
          <w:type w:val="continuous"/>
        </w:sectPr>
      </w:pPr>
    </w:p>
    <w:bookmarkStart w:id="25" w:name="page26"/>
    <w:bookmarkEnd w:id="25"/>
    <w:p>
      <w:pPr>
        <w:ind w:left="1080" w:right="260" w:hanging="361"/>
        <w:spacing w:after="0" w:line="262" w:lineRule="auto"/>
        <w:tabs>
          <w:tab w:leader="none" w:pos="1080" w:val="left"/>
        </w:tabs>
        <w:numPr>
          <w:ilvl w:val="1"/>
          <w:numId w:val="12"/>
        </w:numPr>
        <w:rPr>
          <w:rFonts w:ascii="Arial" w:cs="Arial" w:eastAsia="Arial" w:hAnsi="Arial"/>
          <w:sz w:val="20"/>
          <w:szCs w:val="20"/>
          <w:color w:val="2A2A2A"/>
        </w:rPr>
      </w:pPr>
      <w:r>
        <w:rPr>
          <w:rFonts w:ascii="Arial" w:cs="Arial" w:eastAsia="Arial" w:hAnsi="Arial"/>
          <w:sz w:val="20"/>
          <w:szCs w:val="20"/>
          <w:color w:val="2A2A2A"/>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75" w:lineRule="exact"/>
        <w:rPr>
          <w:rFonts w:ascii="Arial" w:cs="Arial" w:eastAsia="Arial" w:hAnsi="Arial"/>
          <w:sz w:val="20"/>
          <w:szCs w:val="20"/>
          <w:color w:val="2A2A2A"/>
        </w:rPr>
      </w:pPr>
    </w:p>
    <w:p>
      <w:pPr>
        <w:ind w:left="720" w:hanging="361"/>
        <w:spacing w:after="0"/>
        <w:tabs>
          <w:tab w:leader="none" w:pos="720" w:val="left"/>
        </w:tabs>
        <w:numPr>
          <w:ilvl w:val="0"/>
          <w:numId w:val="12"/>
        </w:numPr>
        <w:rPr>
          <w:rFonts w:ascii="Arial" w:cs="Arial" w:eastAsia="Arial" w:hAnsi="Arial"/>
          <w:sz w:val="20"/>
          <w:szCs w:val="20"/>
          <w:color w:val="2A2A2A"/>
        </w:rPr>
      </w:pPr>
      <w:r>
        <w:rPr>
          <w:rFonts w:ascii="Arial" w:cs="Arial" w:eastAsia="Arial" w:hAnsi="Arial"/>
          <w:sz w:val="20"/>
          <w:szCs w:val="20"/>
          <w:color w:val="2A2A2A"/>
        </w:rPr>
        <w:t>For an explanation of free cash flow, see the Non-GAAP financial information section.</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2"/>
        </w:numPr>
        <w:rPr>
          <w:rFonts w:ascii="Arial" w:cs="Arial" w:eastAsia="Arial" w:hAnsi="Arial"/>
          <w:sz w:val="20"/>
          <w:szCs w:val="20"/>
          <w:color w:val="2A2A2A"/>
        </w:rPr>
      </w:pPr>
      <w:r>
        <w:rPr>
          <w:rFonts w:ascii="Arial" w:cs="Arial" w:eastAsia="Arial" w:hAnsi="Arial"/>
          <w:sz w:val="20"/>
          <w:szCs w:val="20"/>
          <w:color w:val="2A2A2A"/>
        </w:rPr>
        <w:t>All dollar amounts in the tables are stated in millions of U.S. dollars.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2A2A2A"/>
        </w:rPr>
        <w:t>Our results of operations provides details of our financial results for 2023 and 2022 and year-to-year comparisons between 2023 and 2022. Discussion of 2021 items and year-to-year comparisons between 2022 and 2021 that are not included in this Form 10-K can be found in “Management’s discussion and analysis of financial condition and results of operations” in Part II, Item 7 of the Company’s Annual Report on Form 10-K for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Results of operations</w:t>
      </w:r>
    </w:p>
    <w:p>
      <w:pPr>
        <w:spacing w:after="0" w:line="25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2A2A2A"/>
        </w:rPr>
        <w:t>Our strategic focus is on analog and embedded processing products. We sell our products into six end markets: industrial, automotive, personal electronics, communications equipment, enterprise systems and other. While all of these end markets represent good opportunities, we place additional strategic emphasis on designing and selling our products into the industrial and automotive markets, which we believe represent the best long-term growth opportunities.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Our focus on analog and embedded processing allows us to generate strong cash flow from operations. Our cash flow from operations of $6.42 billion underscored the strength of our business model, the quality of our product portfolio and the benefit of 300mm production. Free cash flow was $1.35 billion and represented 7.7% of revenue. During 2023, we invested $3.69 billion in R&amp;D and SG&amp;A, invested $5.07 billion in capital expenditures and returned $4.85 billion to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Details of financial results – 2023 compared with 2022</w:t>
      </w:r>
    </w:p>
    <w:p>
      <w:pPr>
        <w:spacing w:after="0" w:line="257"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color w:val="2A2A2A"/>
        </w:rPr>
        <w:t>Revenue of $17.52 billion decreased $2.51 billion, or 12.5%, primarily due to lower revenue from Analog, partially offset by higher revenue from Embedded Processing.</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color w:val="2A2A2A"/>
        </w:rPr>
        <w:t>Gross profit of $11.02 billion was down $2.75 billion, or 20.0%, primarily due to lower revenue and, to a lesser extent, higher manufacturing costs associated with planned capacity expansion and reduced factory loadings. As a percentage of revenue, gross profit decreased to 62.9% from 68.8%.</w:t>
      </w:r>
    </w:p>
    <w:p>
      <w:pPr>
        <w:spacing w:after="0" w:line="190"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A2A2A"/>
        </w:rPr>
        <w:t>Operating expenses (R&amp;D and SG&amp;A) were $3.69 billion compared with $3.37 billion. This increase was primarily due to higher employee-related costs as we invest to strengthen our competitive advantages.</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2A2A2A"/>
        </w:rPr>
        <w:t>Restructuring charges/other in the year-ago period was $257 million due to preproduction costs at our Lehi, Utah, manufacturing facility. These costs transitioned primarily to cost of revenue after production began in December 2022. See Note 11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Operating profit was $7.33 billion, or 41.8% of revenue, compared with $10.14 billion, or 50.6% of revenue.</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2A2A2A"/>
        </w:rPr>
        <w:t>Other income and expense (OI&amp;E) was $440 million of income compared with $106 million of income, due to higher interest income. See Note 11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2A2A2A"/>
        </w:rPr>
        <w:t>Interest and debt expense of $353 million increased $139 million due to the issuance of additional long-term debt.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See Note 8 to the financial statements.</w:t>
      </w:r>
    </w:p>
    <w:p>
      <w:pPr>
        <w:spacing w:after="0" w:line="23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2A2A2A"/>
        </w:rPr>
        <w:t>Our provision for income taxes was $908 million compared with $1.28 billion. This decrease was due to lower income before income taxes. Our effective tax rate, which includes discrete tax items, was 12.2% in 2023 compared with 12.8% in 2022. See Note 4 to the financial statements for a reconciliation of the U.S. statutory corporate tax rate to our effective tax 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2A2A2A"/>
        </w:rPr>
        <w:t>Net income was $6.51 billion compared with $8.75 billion. EPS was $7.07 compared with $9.41.</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20</w:t>
      </w:r>
    </w:p>
    <w:p>
      <w:pPr>
        <w:sectPr>
          <w:pgSz w:w="12240" w:h="15840" w:orient="portrait"/>
          <w:cols w:equalWidth="0" w:num="1">
            <w:col w:w="10280"/>
          </w:cols>
          <w:pgMar w:left="980" w:top="664" w:right="980" w:bottom="24" w:gutter="0" w:footer="0" w:header="0"/>
          <w:type w:val="continuous"/>
        </w:sectPr>
      </w:pPr>
    </w:p>
    <w:bookmarkStart w:id="26" w:name="page27"/>
    <w:bookmarkEnd w:id="26"/>
    <w:p>
      <w:pPr>
        <w:ind w:left="1"/>
        <w:spacing w:after="0"/>
        <w:rPr>
          <w:sz w:val="20"/>
          <w:szCs w:val="20"/>
          <w:color w:val="auto"/>
        </w:rPr>
      </w:pPr>
      <w:r>
        <w:rPr>
          <w:rFonts w:ascii="Arial" w:cs="Arial" w:eastAsia="Arial" w:hAnsi="Arial"/>
          <w:sz w:val="22"/>
          <w:szCs w:val="22"/>
          <w:u w:val="single" w:color="auto"/>
          <w:color w:val="2A2A2A"/>
        </w:rPr>
        <w:t>Segment results – 2023 compared with 2022</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Analog (includes Power and Signal Chain product lines)</w:t>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4760" w:type="dxa"/>
            <w:vAlign w:val="bottom"/>
            <w:tcBorders>
              <w:bottom w:val="single" w:sz="8" w:color="2A2A2A"/>
            </w:tcBorders>
          </w:tcPr>
          <w:p>
            <w:pPr>
              <w:spacing w:after="0"/>
              <w:rPr>
                <w:sz w:val="19"/>
                <w:szCs w:val="19"/>
                <w:color w:val="auto"/>
              </w:rPr>
            </w:pPr>
          </w:p>
        </w:tc>
        <w:tc>
          <w:tcPr>
            <w:tcW w:w="3220" w:type="dxa"/>
            <w:vAlign w:val="bottom"/>
            <w:tcBorders>
              <w:bottom w:val="single" w:sz="8" w:color="2A2A2A"/>
            </w:tcBorders>
          </w:tcPr>
          <w:p>
            <w:pPr>
              <w:jc w:val="right"/>
              <w:ind w:right="345"/>
              <w:spacing w:after="0"/>
              <w:rPr>
                <w:sz w:val="20"/>
                <w:szCs w:val="20"/>
                <w:color w:val="auto"/>
              </w:rPr>
            </w:pPr>
            <w:r>
              <w:rPr>
                <w:rFonts w:ascii="Arial" w:cs="Arial" w:eastAsia="Arial" w:hAnsi="Arial"/>
                <w:sz w:val="16"/>
                <w:szCs w:val="16"/>
                <w:b w:val="1"/>
                <w:bCs w:val="1"/>
                <w:color w:val="2A2A2A"/>
              </w:rPr>
              <w:t>2023</w:t>
            </w:r>
          </w:p>
        </w:tc>
        <w:tc>
          <w:tcPr>
            <w:tcW w:w="1260" w:type="dxa"/>
            <w:vAlign w:val="bottom"/>
            <w:tcBorders>
              <w:bottom w:val="single" w:sz="8" w:color="2A2A2A"/>
            </w:tcBorders>
          </w:tcPr>
          <w:p>
            <w:pPr>
              <w:jc w:val="right"/>
              <w:ind w:right="425"/>
              <w:spacing w:after="0"/>
              <w:rPr>
                <w:sz w:val="20"/>
                <w:szCs w:val="20"/>
                <w:color w:val="auto"/>
              </w:rPr>
            </w:pPr>
            <w:r>
              <w:rPr>
                <w:rFonts w:ascii="Arial" w:cs="Arial" w:eastAsia="Arial" w:hAnsi="Arial"/>
                <w:sz w:val="16"/>
                <w:szCs w:val="16"/>
                <w:b w:val="1"/>
                <w:bCs w:val="1"/>
                <w:color w:val="2A2A2A"/>
              </w:rPr>
              <w:t>2022</w:t>
            </w:r>
          </w:p>
        </w:tc>
        <w:tc>
          <w:tcPr>
            <w:tcW w:w="1020" w:type="dxa"/>
            <w:vAlign w:val="bottom"/>
            <w:tcBorders>
              <w:bottom w:val="single" w:sz="8" w:color="2A2A2A"/>
            </w:tcBorders>
          </w:tcPr>
          <w:p>
            <w:pPr>
              <w:jc w:val="right"/>
              <w:ind w:right="167"/>
              <w:spacing w:after="0"/>
              <w:rPr>
                <w:sz w:val="20"/>
                <w:szCs w:val="20"/>
                <w:color w:val="auto"/>
              </w:rPr>
            </w:pPr>
            <w:r>
              <w:rPr>
                <w:rFonts w:ascii="Arial" w:cs="Arial" w:eastAsia="Arial" w:hAnsi="Arial"/>
                <w:sz w:val="16"/>
                <w:szCs w:val="16"/>
                <w:b w:val="1"/>
                <w:bCs w:val="1"/>
                <w:color w:val="2A2A2A"/>
              </w:rPr>
              <w:t>Change</w:t>
            </w:r>
          </w:p>
        </w:tc>
      </w:tr>
      <w:tr>
        <w:trPr>
          <w:trHeight w:val="256"/>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w:t>
            </w:r>
          </w:p>
        </w:tc>
        <w:tc>
          <w:tcPr>
            <w:tcW w:w="3220" w:type="dxa"/>
            <w:vAlign w:val="bottom"/>
            <w:shd w:val="clear" w:color="auto" w:fill="D7D7D7"/>
          </w:tcPr>
          <w:p>
            <w:pPr>
              <w:jc w:val="right"/>
              <w:ind w:right="165"/>
              <w:spacing w:after="0"/>
              <w:rPr>
                <w:sz w:val="20"/>
                <w:szCs w:val="20"/>
                <w:color w:val="auto"/>
              </w:rPr>
            </w:pPr>
            <w:r>
              <w:rPr>
                <w:rFonts w:ascii="Arial" w:cs="Arial" w:eastAsia="Arial" w:hAnsi="Arial"/>
                <w:sz w:val="20"/>
                <w:szCs w:val="20"/>
                <w:b w:val="1"/>
                <w:bCs w:val="1"/>
                <w:color w:val="2A2A2A"/>
              </w:rPr>
              <w:t>$ 13,040</w:t>
            </w:r>
          </w:p>
        </w:tc>
        <w:tc>
          <w:tcPr>
            <w:tcW w:w="1260" w:type="dxa"/>
            <w:vAlign w:val="bottom"/>
            <w:shd w:val="clear" w:color="auto" w:fill="D7D7D7"/>
          </w:tcPr>
          <w:p>
            <w:pPr>
              <w:jc w:val="right"/>
              <w:ind w:right="245"/>
              <w:spacing w:after="0"/>
              <w:rPr>
                <w:sz w:val="20"/>
                <w:szCs w:val="20"/>
                <w:color w:val="auto"/>
              </w:rPr>
            </w:pPr>
            <w:r>
              <w:rPr>
                <w:rFonts w:ascii="Arial" w:cs="Arial" w:eastAsia="Arial" w:hAnsi="Arial"/>
                <w:sz w:val="20"/>
                <w:szCs w:val="20"/>
                <w:color w:val="2A2A2A"/>
              </w:rPr>
              <w:t>$ 15,359</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w:t>
            </w:r>
          </w:p>
        </w:tc>
      </w:tr>
      <w:tr>
        <w:trPr>
          <w:trHeight w:val="270"/>
        </w:trPr>
        <w:tc>
          <w:tcPr>
            <w:tcW w:w="4760" w:type="dxa"/>
            <w:vAlign w:val="bottom"/>
          </w:tcPr>
          <w:p>
            <w:pPr>
              <w:ind w:left="60"/>
              <w:spacing w:after="0"/>
              <w:rPr>
                <w:sz w:val="20"/>
                <w:szCs w:val="20"/>
                <w:color w:val="auto"/>
              </w:rPr>
            </w:pPr>
            <w:r>
              <w:rPr>
                <w:rFonts w:ascii="Arial" w:cs="Arial" w:eastAsia="Arial" w:hAnsi="Arial"/>
                <w:sz w:val="20"/>
                <w:szCs w:val="20"/>
                <w:color w:val="2A2A2A"/>
              </w:rPr>
              <w:t>Operating profit</w:t>
            </w:r>
          </w:p>
        </w:tc>
        <w:tc>
          <w:tcPr>
            <w:tcW w:w="3220" w:type="dxa"/>
            <w:vAlign w:val="bottom"/>
          </w:tcPr>
          <w:p>
            <w:pPr>
              <w:jc w:val="right"/>
              <w:ind w:right="165"/>
              <w:spacing w:after="0"/>
              <w:rPr>
                <w:sz w:val="20"/>
                <w:szCs w:val="20"/>
                <w:color w:val="auto"/>
              </w:rPr>
            </w:pPr>
            <w:r>
              <w:rPr>
                <w:rFonts w:ascii="Arial" w:cs="Arial" w:eastAsia="Arial" w:hAnsi="Arial"/>
                <w:sz w:val="20"/>
                <w:szCs w:val="20"/>
                <w:b w:val="1"/>
                <w:bCs w:val="1"/>
                <w:color w:val="2A2A2A"/>
              </w:rPr>
              <w:t>5,821</w:t>
            </w:r>
          </w:p>
        </w:tc>
        <w:tc>
          <w:tcPr>
            <w:tcW w:w="1260" w:type="dxa"/>
            <w:vAlign w:val="bottom"/>
          </w:tcPr>
          <w:p>
            <w:pPr>
              <w:jc w:val="right"/>
              <w:ind w:right="245"/>
              <w:spacing w:after="0"/>
              <w:rPr>
                <w:sz w:val="20"/>
                <w:szCs w:val="20"/>
                <w:color w:val="auto"/>
              </w:rPr>
            </w:pPr>
            <w:r>
              <w:rPr>
                <w:rFonts w:ascii="Arial" w:cs="Arial" w:eastAsia="Arial" w:hAnsi="Arial"/>
                <w:sz w:val="20"/>
                <w:szCs w:val="20"/>
                <w:color w:val="2A2A2A"/>
              </w:rPr>
              <w:t>8,359</w:t>
            </w:r>
          </w:p>
        </w:tc>
        <w:tc>
          <w:tcPr>
            <w:tcW w:w="1020" w:type="dxa"/>
            <w:vAlign w:val="bottom"/>
          </w:tcPr>
          <w:p>
            <w:pPr>
              <w:jc w:val="right"/>
              <w:spacing w:after="0"/>
              <w:rPr>
                <w:sz w:val="20"/>
                <w:szCs w:val="20"/>
                <w:color w:val="auto"/>
              </w:rPr>
            </w:pPr>
            <w:r>
              <w:rPr>
                <w:rFonts w:ascii="Arial" w:cs="Arial" w:eastAsia="Arial" w:hAnsi="Arial"/>
                <w:sz w:val="20"/>
                <w:szCs w:val="20"/>
                <w:color w:val="2A2A2A"/>
              </w:rPr>
              <w:t>(30)%</w:t>
            </w:r>
          </w:p>
        </w:tc>
      </w:tr>
      <w:tr>
        <w:trPr>
          <w:trHeight w:val="270"/>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Operating profit % of revenue</w:t>
            </w:r>
          </w:p>
        </w:tc>
        <w:tc>
          <w:tcPr>
            <w:tcW w:w="32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44.6%</w:t>
            </w:r>
          </w:p>
        </w:tc>
        <w:tc>
          <w:tcPr>
            <w:tcW w:w="1260" w:type="dxa"/>
            <w:vAlign w:val="bottom"/>
            <w:shd w:val="clear" w:color="auto" w:fill="D7D7D7"/>
          </w:tcPr>
          <w:p>
            <w:pPr>
              <w:jc w:val="right"/>
              <w:ind w:right="65"/>
              <w:spacing w:after="0"/>
              <w:rPr>
                <w:sz w:val="20"/>
                <w:szCs w:val="20"/>
                <w:color w:val="auto"/>
              </w:rPr>
            </w:pPr>
            <w:r>
              <w:rPr>
                <w:rFonts w:ascii="Arial" w:cs="Arial" w:eastAsia="Arial" w:hAnsi="Arial"/>
                <w:sz w:val="20"/>
                <w:szCs w:val="20"/>
                <w:color w:val="2A2A2A"/>
              </w:rPr>
              <w:t>54.4%</w:t>
            </w:r>
          </w:p>
        </w:tc>
        <w:tc>
          <w:tcPr>
            <w:tcW w:w="1020" w:type="dxa"/>
            <w:vAlign w:val="bottom"/>
            <w:shd w:val="clear" w:color="auto" w:fill="D7D7D7"/>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-527685</wp:posOffset>
            </wp:positionV>
            <wp:extent cx="654304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3040" cy="27940"/>
                    </a:xfrm>
                    <a:prstGeom prst="rect">
                      <a:avLst/>
                    </a:prstGeom>
                    <a:noFill/>
                  </pic:spPr>
                </pic:pic>
              </a:graphicData>
            </a:graphic>
          </wp:anchor>
        </w:drawing>
      </w:r>
    </w:p>
    <w:p>
      <w:pPr>
        <w:spacing w:after="0" w:line="265" w:lineRule="exact"/>
        <w:rPr>
          <w:sz w:val="20"/>
          <w:szCs w:val="20"/>
          <w:color w:val="auto"/>
        </w:rPr>
      </w:pPr>
    </w:p>
    <w:p>
      <w:pPr>
        <w:ind w:left="1" w:right="360"/>
        <w:spacing w:after="0" w:line="287" w:lineRule="auto"/>
        <w:rPr>
          <w:sz w:val="20"/>
          <w:szCs w:val="20"/>
          <w:color w:val="auto"/>
        </w:rPr>
      </w:pPr>
      <w:r>
        <w:rPr>
          <w:rFonts w:ascii="Arial" w:cs="Arial" w:eastAsia="Arial" w:hAnsi="Arial"/>
          <w:sz w:val="20"/>
          <w:szCs w:val="20"/>
          <w:color w:val="2A2A2A"/>
        </w:rPr>
        <w:t>Analog revenue decreased in both product lines about equally. Operating profit decreased primarily due to lower revenue and higher manufacturing costs.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Embedded Processing (includes microcontrollers and processors)</w:t>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4760" w:type="dxa"/>
            <w:vAlign w:val="bottom"/>
            <w:tcBorders>
              <w:bottom w:val="single" w:sz="8" w:color="2A2A2A"/>
            </w:tcBorders>
          </w:tcPr>
          <w:p>
            <w:pPr>
              <w:spacing w:after="0"/>
              <w:rPr>
                <w:sz w:val="19"/>
                <w:szCs w:val="19"/>
                <w:color w:val="auto"/>
              </w:rPr>
            </w:pPr>
          </w:p>
        </w:tc>
        <w:tc>
          <w:tcPr>
            <w:tcW w:w="3220" w:type="dxa"/>
            <w:vAlign w:val="bottom"/>
            <w:tcBorders>
              <w:bottom w:val="single" w:sz="8" w:color="2A2A2A"/>
            </w:tcBorders>
          </w:tcPr>
          <w:p>
            <w:pPr>
              <w:jc w:val="right"/>
              <w:ind w:right="345"/>
              <w:spacing w:after="0"/>
              <w:rPr>
                <w:sz w:val="20"/>
                <w:szCs w:val="20"/>
                <w:color w:val="auto"/>
              </w:rPr>
            </w:pPr>
            <w:r>
              <w:rPr>
                <w:rFonts w:ascii="Arial" w:cs="Arial" w:eastAsia="Arial" w:hAnsi="Arial"/>
                <w:sz w:val="16"/>
                <w:szCs w:val="16"/>
                <w:b w:val="1"/>
                <w:bCs w:val="1"/>
                <w:color w:val="2A2A2A"/>
              </w:rPr>
              <w:t>2023</w:t>
            </w:r>
          </w:p>
        </w:tc>
        <w:tc>
          <w:tcPr>
            <w:tcW w:w="1260" w:type="dxa"/>
            <w:vAlign w:val="bottom"/>
            <w:tcBorders>
              <w:bottom w:val="single" w:sz="8" w:color="2A2A2A"/>
            </w:tcBorders>
          </w:tcPr>
          <w:p>
            <w:pPr>
              <w:jc w:val="right"/>
              <w:ind w:right="425"/>
              <w:spacing w:after="0"/>
              <w:rPr>
                <w:sz w:val="20"/>
                <w:szCs w:val="20"/>
                <w:color w:val="auto"/>
              </w:rPr>
            </w:pPr>
            <w:r>
              <w:rPr>
                <w:rFonts w:ascii="Arial" w:cs="Arial" w:eastAsia="Arial" w:hAnsi="Arial"/>
                <w:sz w:val="16"/>
                <w:szCs w:val="16"/>
                <w:b w:val="1"/>
                <w:bCs w:val="1"/>
                <w:color w:val="2A2A2A"/>
              </w:rPr>
              <w:t>2022</w:t>
            </w:r>
          </w:p>
        </w:tc>
        <w:tc>
          <w:tcPr>
            <w:tcW w:w="1020" w:type="dxa"/>
            <w:vAlign w:val="bottom"/>
            <w:tcBorders>
              <w:bottom w:val="single" w:sz="8" w:color="2A2A2A"/>
            </w:tcBorders>
          </w:tcPr>
          <w:p>
            <w:pPr>
              <w:jc w:val="right"/>
              <w:ind w:right="167"/>
              <w:spacing w:after="0"/>
              <w:rPr>
                <w:sz w:val="20"/>
                <w:szCs w:val="20"/>
                <w:color w:val="auto"/>
              </w:rPr>
            </w:pPr>
            <w:r>
              <w:rPr>
                <w:rFonts w:ascii="Arial" w:cs="Arial" w:eastAsia="Arial" w:hAnsi="Arial"/>
                <w:sz w:val="16"/>
                <w:szCs w:val="16"/>
                <w:b w:val="1"/>
                <w:bCs w:val="1"/>
                <w:color w:val="2A2A2A"/>
              </w:rPr>
              <w:t>Change</w:t>
            </w:r>
          </w:p>
        </w:tc>
      </w:tr>
      <w:tr>
        <w:trPr>
          <w:trHeight w:val="256"/>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w:t>
            </w:r>
          </w:p>
        </w:tc>
        <w:tc>
          <w:tcPr>
            <w:tcW w:w="3220" w:type="dxa"/>
            <w:vAlign w:val="bottom"/>
            <w:shd w:val="clear" w:color="auto" w:fill="D7D7D7"/>
          </w:tcPr>
          <w:p>
            <w:pPr>
              <w:jc w:val="right"/>
              <w:ind w:right="165"/>
              <w:spacing w:after="0"/>
              <w:rPr>
                <w:sz w:val="20"/>
                <w:szCs w:val="20"/>
                <w:color w:val="auto"/>
              </w:rPr>
            </w:pPr>
            <w:r>
              <w:rPr>
                <w:rFonts w:ascii="Arial" w:cs="Arial" w:eastAsia="Arial" w:hAnsi="Arial"/>
                <w:sz w:val="20"/>
                <w:szCs w:val="20"/>
                <w:b w:val="1"/>
                <w:bCs w:val="1"/>
                <w:color w:val="2A2A2A"/>
              </w:rPr>
              <w:t>$  3,368</w:t>
            </w:r>
          </w:p>
        </w:tc>
        <w:tc>
          <w:tcPr>
            <w:tcW w:w="1260" w:type="dxa"/>
            <w:vAlign w:val="bottom"/>
            <w:shd w:val="clear" w:color="auto" w:fill="D7D7D7"/>
          </w:tcPr>
          <w:p>
            <w:pPr>
              <w:jc w:val="right"/>
              <w:ind w:right="245"/>
              <w:spacing w:after="0"/>
              <w:rPr>
                <w:sz w:val="20"/>
                <w:szCs w:val="20"/>
                <w:color w:val="auto"/>
              </w:rPr>
            </w:pPr>
            <w:r>
              <w:rPr>
                <w:rFonts w:ascii="Arial" w:cs="Arial" w:eastAsia="Arial" w:hAnsi="Arial"/>
                <w:sz w:val="20"/>
                <w:szCs w:val="20"/>
                <w:color w:val="2A2A2A"/>
              </w:rPr>
              <w:t>$  3,261</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3 %</w:t>
            </w:r>
          </w:p>
        </w:tc>
      </w:tr>
      <w:tr>
        <w:trPr>
          <w:trHeight w:val="270"/>
        </w:trPr>
        <w:tc>
          <w:tcPr>
            <w:tcW w:w="4760" w:type="dxa"/>
            <w:vAlign w:val="bottom"/>
          </w:tcPr>
          <w:p>
            <w:pPr>
              <w:ind w:left="60"/>
              <w:spacing w:after="0"/>
              <w:rPr>
                <w:sz w:val="20"/>
                <w:szCs w:val="20"/>
                <w:color w:val="auto"/>
              </w:rPr>
            </w:pPr>
            <w:r>
              <w:rPr>
                <w:rFonts w:ascii="Arial" w:cs="Arial" w:eastAsia="Arial" w:hAnsi="Arial"/>
                <w:sz w:val="20"/>
                <w:szCs w:val="20"/>
                <w:color w:val="2A2A2A"/>
              </w:rPr>
              <w:t>Operating profit</w:t>
            </w:r>
          </w:p>
        </w:tc>
        <w:tc>
          <w:tcPr>
            <w:tcW w:w="3220" w:type="dxa"/>
            <w:vAlign w:val="bottom"/>
          </w:tcPr>
          <w:p>
            <w:pPr>
              <w:jc w:val="right"/>
              <w:ind w:right="165"/>
              <w:spacing w:after="0"/>
              <w:rPr>
                <w:sz w:val="20"/>
                <w:szCs w:val="20"/>
                <w:color w:val="auto"/>
              </w:rPr>
            </w:pPr>
            <w:r>
              <w:rPr>
                <w:rFonts w:ascii="Arial" w:cs="Arial" w:eastAsia="Arial" w:hAnsi="Arial"/>
                <w:sz w:val="20"/>
                <w:szCs w:val="20"/>
                <w:b w:val="1"/>
                <w:bCs w:val="1"/>
                <w:color w:val="2A2A2A"/>
              </w:rPr>
              <w:t>1,008</w:t>
            </w:r>
          </w:p>
        </w:tc>
        <w:tc>
          <w:tcPr>
            <w:tcW w:w="1260" w:type="dxa"/>
            <w:vAlign w:val="bottom"/>
          </w:tcPr>
          <w:p>
            <w:pPr>
              <w:jc w:val="right"/>
              <w:ind w:right="245"/>
              <w:spacing w:after="0"/>
              <w:rPr>
                <w:sz w:val="20"/>
                <w:szCs w:val="20"/>
                <w:color w:val="auto"/>
              </w:rPr>
            </w:pPr>
            <w:r>
              <w:rPr>
                <w:rFonts w:ascii="Arial" w:cs="Arial" w:eastAsia="Arial" w:hAnsi="Arial"/>
                <w:sz w:val="20"/>
                <w:szCs w:val="20"/>
                <w:color w:val="2A2A2A"/>
              </w:rPr>
              <w:t>1,253</w:t>
            </w:r>
          </w:p>
        </w:tc>
        <w:tc>
          <w:tcPr>
            <w:tcW w:w="1020" w:type="dxa"/>
            <w:vAlign w:val="bottom"/>
          </w:tcPr>
          <w:p>
            <w:pPr>
              <w:jc w:val="right"/>
              <w:spacing w:after="0"/>
              <w:rPr>
                <w:sz w:val="20"/>
                <w:szCs w:val="20"/>
                <w:color w:val="auto"/>
              </w:rPr>
            </w:pPr>
            <w:r>
              <w:rPr>
                <w:rFonts w:ascii="Arial" w:cs="Arial" w:eastAsia="Arial" w:hAnsi="Arial"/>
                <w:sz w:val="20"/>
                <w:szCs w:val="20"/>
                <w:color w:val="2A2A2A"/>
              </w:rPr>
              <w:t>(20)%</w:t>
            </w:r>
          </w:p>
        </w:tc>
      </w:tr>
      <w:tr>
        <w:trPr>
          <w:trHeight w:val="270"/>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Operating profit % of revenue</w:t>
            </w:r>
          </w:p>
        </w:tc>
        <w:tc>
          <w:tcPr>
            <w:tcW w:w="32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29.9%</w:t>
            </w:r>
          </w:p>
        </w:tc>
        <w:tc>
          <w:tcPr>
            <w:tcW w:w="1260" w:type="dxa"/>
            <w:vAlign w:val="bottom"/>
            <w:shd w:val="clear" w:color="auto" w:fill="D7D7D7"/>
          </w:tcPr>
          <w:p>
            <w:pPr>
              <w:jc w:val="right"/>
              <w:ind w:right="65"/>
              <w:spacing w:after="0"/>
              <w:rPr>
                <w:sz w:val="20"/>
                <w:szCs w:val="20"/>
                <w:color w:val="auto"/>
              </w:rPr>
            </w:pPr>
            <w:r>
              <w:rPr>
                <w:rFonts w:ascii="Arial" w:cs="Arial" w:eastAsia="Arial" w:hAnsi="Arial"/>
                <w:sz w:val="20"/>
                <w:szCs w:val="20"/>
                <w:color w:val="2A2A2A"/>
              </w:rPr>
              <w:t>38.4%</w:t>
            </w:r>
          </w:p>
        </w:tc>
        <w:tc>
          <w:tcPr>
            <w:tcW w:w="1020" w:type="dxa"/>
            <w:vAlign w:val="bottom"/>
            <w:shd w:val="clear" w:color="auto" w:fill="D7D7D7"/>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-527685</wp:posOffset>
            </wp:positionV>
            <wp:extent cx="6543040"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3040" cy="27940"/>
                    </a:xfrm>
                    <a:prstGeom prst="rect">
                      <a:avLst/>
                    </a:prstGeom>
                    <a:noFill/>
                  </pic:spPr>
                </pic:pic>
              </a:graphicData>
            </a:graphic>
          </wp:anchor>
        </w:drawing>
      </w:r>
    </w:p>
    <w:p>
      <w:pPr>
        <w:spacing w:after="0" w:line="265" w:lineRule="exact"/>
        <w:rPr>
          <w:sz w:val="20"/>
          <w:szCs w:val="20"/>
          <w:color w:val="auto"/>
        </w:rPr>
      </w:pPr>
    </w:p>
    <w:p>
      <w:pPr>
        <w:ind w:left="1" w:right="160"/>
        <w:spacing w:after="0" w:line="287" w:lineRule="auto"/>
        <w:rPr>
          <w:sz w:val="20"/>
          <w:szCs w:val="20"/>
          <w:color w:val="auto"/>
        </w:rPr>
      </w:pPr>
      <w:r>
        <w:rPr>
          <w:rFonts w:ascii="Arial" w:cs="Arial" w:eastAsia="Arial" w:hAnsi="Arial"/>
          <w:sz w:val="20"/>
          <w:szCs w:val="20"/>
          <w:color w:val="2A2A2A"/>
        </w:rPr>
        <w:t>Embedded Processing revenue increased due to the mix of products shipped. Operating profit decreased primarily due to higher manufacturing costs, partially offset by higher revenue.</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Other (includes DLP</w:t>
      </w:r>
      <w:r>
        <w:rPr>
          <w:rFonts w:ascii="Arial" w:cs="Arial" w:eastAsia="Arial" w:hAnsi="Arial"/>
          <w:sz w:val="28"/>
          <w:szCs w:val="28"/>
          <w:i w:val="1"/>
          <w:iCs w:val="1"/>
          <w:color w:val="2A2A2A"/>
          <w:vertAlign w:val="superscript"/>
        </w:rPr>
        <w:t>®</w:t>
      </w:r>
      <w:r>
        <w:rPr>
          <w:rFonts w:ascii="Arial" w:cs="Arial" w:eastAsia="Arial" w:hAnsi="Arial"/>
          <w:sz w:val="22"/>
          <w:szCs w:val="22"/>
          <w:i w:val="1"/>
          <w:iCs w:val="1"/>
          <w:color w:val="2A2A2A"/>
        </w:rPr>
        <w:t xml:space="preserve"> products, calculators and custom ASIC products)</w:t>
      </w:r>
    </w:p>
    <w:p>
      <w:pPr>
        <w:spacing w:after="0" w:line="69"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4760" w:type="dxa"/>
            <w:vAlign w:val="bottom"/>
            <w:tcBorders>
              <w:bottom w:val="single" w:sz="8" w:color="2A2A2A"/>
            </w:tcBorders>
          </w:tcPr>
          <w:p>
            <w:pPr>
              <w:spacing w:after="0"/>
              <w:rPr>
                <w:sz w:val="19"/>
                <w:szCs w:val="19"/>
                <w:color w:val="auto"/>
              </w:rPr>
            </w:pPr>
          </w:p>
        </w:tc>
        <w:tc>
          <w:tcPr>
            <w:tcW w:w="3220" w:type="dxa"/>
            <w:vAlign w:val="bottom"/>
            <w:tcBorders>
              <w:bottom w:val="single" w:sz="8" w:color="2A2A2A"/>
            </w:tcBorders>
          </w:tcPr>
          <w:p>
            <w:pPr>
              <w:jc w:val="right"/>
              <w:ind w:right="345"/>
              <w:spacing w:after="0"/>
              <w:rPr>
                <w:sz w:val="20"/>
                <w:szCs w:val="20"/>
                <w:color w:val="auto"/>
              </w:rPr>
            </w:pPr>
            <w:r>
              <w:rPr>
                <w:rFonts w:ascii="Arial" w:cs="Arial" w:eastAsia="Arial" w:hAnsi="Arial"/>
                <w:sz w:val="16"/>
                <w:szCs w:val="16"/>
                <w:b w:val="1"/>
                <w:bCs w:val="1"/>
                <w:color w:val="2A2A2A"/>
              </w:rPr>
              <w:t>2023</w:t>
            </w:r>
          </w:p>
        </w:tc>
        <w:tc>
          <w:tcPr>
            <w:tcW w:w="1260" w:type="dxa"/>
            <w:vAlign w:val="bottom"/>
            <w:tcBorders>
              <w:bottom w:val="single" w:sz="8" w:color="2A2A2A"/>
            </w:tcBorders>
          </w:tcPr>
          <w:p>
            <w:pPr>
              <w:jc w:val="right"/>
              <w:ind w:right="425"/>
              <w:spacing w:after="0"/>
              <w:rPr>
                <w:sz w:val="20"/>
                <w:szCs w:val="20"/>
                <w:color w:val="auto"/>
              </w:rPr>
            </w:pPr>
            <w:r>
              <w:rPr>
                <w:rFonts w:ascii="Arial" w:cs="Arial" w:eastAsia="Arial" w:hAnsi="Arial"/>
                <w:sz w:val="16"/>
                <w:szCs w:val="16"/>
                <w:b w:val="1"/>
                <w:bCs w:val="1"/>
                <w:color w:val="2A2A2A"/>
              </w:rPr>
              <w:t>2022</w:t>
            </w:r>
          </w:p>
        </w:tc>
        <w:tc>
          <w:tcPr>
            <w:tcW w:w="1020" w:type="dxa"/>
            <w:vAlign w:val="bottom"/>
            <w:tcBorders>
              <w:bottom w:val="single" w:sz="8" w:color="2A2A2A"/>
            </w:tcBorders>
          </w:tcPr>
          <w:p>
            <w:pPr>
              <w:jc w:val="right"/>
              <w:ind w:right="167"/>
              <w:spacing w:after="0"/>
              <w:rPr>
                <w:sz w:val="20"/>
                <w:szCs w:val="20"/>
                <w:color w:val="auto"/>
              </w:rPr>
            </w:pPr>
            <w:r>
              <w:rPr>
                <w:rFonts w:ascii="Arial" w:cs="Arial" w:eastAsia="Arial" w:hAnsi="Arial"/>
                <w:sz w:val="16"/>
                <w:szCs w:val="16"/>
                <w:b w:val="1"/>
                <w:bCs w:val="1"/>
                <w:color w:val="2A2A2A"/>
              </w:rPr>
              <w:t>Change</w:t>
            </w:r>
          </w:p>
        </w:tc>
      </w:tr>
      <w:tr>
        <w:trPr>
          <w:trHeight w:val="255"/>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w:t>
            </w:r>
          </w:p>
        </w:tc>
        <w:tc>
          <w:tcPr>
            <w:tcW w:w="3220" w:type="dxa"/>
            <w:vAlign w:val="bottom"/>
            <w:shd w:val="clear" w:color="auto" w:fill="D7D7D7"/>
          </w:tcPr>
          <w:p>
            <w:pPr>
              <w:jc w:val="right"/>
              <w:ind w:right="165"/>
              <w:spacing w:after="0"/>
              <w:rPr>
                <w:sz w:val="20"/>
                <w:szCs w:val="20"/>
                <w:color w:val="auto"/>
              </w:rPr>
            </w:pPr>
            <w:r>
              <w:rPr>
                <w:rFonts w:ascii="Arial" w:cs="Arial" w:eastAsia="Arial" w:hAnsi="Arial"/>
                <w:sz w:val="20"/>
                <w:szCs w:val="20"/>
                <w:b w:val="1"/>
                <w:bCs w:val="1"/>
                <w:color w:val="2A2A2A"/>
              </w:rPr>
              <w:t>$  1,111</w:t>
            </w:r>
          </w:p>
        </w:tc>
        <w:tc>
          <w:tcPr>
            <w:tcW w:w="1260" w:type="dxa"/>
            <w:vAlign w:val="bottom"/>
            <w:shd w:val="clear" w:color="auto" w:fill="D7D7D7"/>
          </w:tcPr>
          <w:p>
            <w:pPr>
              <w:jc w:val="right"/>
              <w:ind w:right="245"/>
              <w:spacing w:after="0"/>
              <w:rPr>
                <w:sz w:val="20"/>
                <w:szCs w:val="20"/>
                <w:color w:val="auto"/>
              </w:rPr>
            </w:pPr>
            <w:r>
              <w:rPr>
                <w:rFonts w:ascii="Arial" w:cs="Arial" w:eastAsia="Arial" w:hAnsi="Arial"/>
                <w:sz w:val="20"/>
                <w:szCs w:val="20"/>
                <w:color w:val="2A2A2A"/>
              </w:rPr>
              <w:t>$  1,408</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(21)%</w:t>
            </w:r>
          </w:p>
        </w:tc>
      </w:tr>
      <w:tr>
        <w:trPr>
          <w:trHeight w:val="270"/>
        </w:trPr>
        <w:tc>
          <w:tcPr>
            <w:tcW w:w="4760" w:type="dxa"/>
            <w:vAlign w:val="bottom"/>
          </w:tcPr>
          <w:p>
            <w:pPr>
              <w:ind w:left="60"/>
              <w:spacing w:after="0"/>
              <w:rPr>
                <w:sz w:val="20"/>
                <w:szCs w:val="20"/>
                <w:color w:val="auto"/>
              </w:rPr>
            </w:pPr>
            <w:r>
              <w:rPr>
                <w:rFonts w:ascii="Arial" w:cs="Arial" w:eastAsia="Arial" w:hAnsi="Arial"/>
                <w:sz w:val="20"/>
                <w:szCs w:val="20"/>
                <w:color w:val="2A2A2A"/>
              </w:rPr>
              <w:t>Operating profit *</w:t>
            </w:r>
          </w:p>
        </w:tc>
        <w:tc>
          <w:tcPr>
            <w:tcW w:w="3220" w:type="dxa"/>
            <w:vAlign w:val="bottom"/>
          </w:tcPr>
          <w:p>
            <w:pPr>
              <w:jc w:val="right"/>
              <w:ind w:right="165"/>
              <w:spacing w:after="0"/>
              <w:rPr>
                <w:sz w:val="20"/>
                <w:szCs w:val="20"/>
                <w:color w:val="auto"/>
              </w:rPr>
            </w:pPr>
            <w:r>
              <w:rPr>
                <w:rFonts w:ascii="Arial" w:cs="Arial" w:eastAsia="Arial" w:hAnsi="Arial"/>
                <w:sz w:val="20"/>
                <w:szCs w:val="20"/>
                <w:b w:val="1"/>
                <w:bCs w:val="1"/>
                <w:color w:val="2A2A2A"/>
              </w:rPr>
              <w:t>502</w:t>
            </w:r>
          </w:p>
        </w:tc>
        <w:tc>
          <w:tcPr>
            <w:tcW w:w="1260" w:type="dxa"/>
            <w:vAlign w:val="bottom"/>
          </w:tcPr>
          <w:p>
            <w:pPr>
              <w:jc w:val="right"/>
              <w:ind w:right="245"/>
              <w:spacing w:after="0"/>
              <w:rPr>
                <w:sz w:val="20"/>
                <w:szCs w:val="20"/>
                <w:color w:val="auto"/>
              </w:rPr>
            </w:pPr>
            <w:r>
              <w:rPr>
                <w:rFonts w:ascii="Arial" w:cs="Arial" w:eastAsia="Arial" w:hAnsi="Arial"/>
                <w:sz w:val="20"/>
                <w:szCs w:val="20"/>
                <w:color w:val="2A2A2A"/>
              </w:rPr>
              <w:t>528</w:t>
            </w:r>
          </w:p>
        </w:tc>
        <w:tc>
          <w:tcPr>
            <w:tcW w:w="1020" w:type="dxa"/>
            <w:vAlign w:val="bottom"/>
          </w:tcPr>
          <w:p>
            <w:pPr>
              <w:jc w:val="right"/>
              <w:spacing w:after="0"/>
              <w:rPr>
                <w:sz w:val="20"/>
                <w:szCs w:val="20"/>
                <w:color w:val="auto"/>
              </w:rPr>
            </w:pPr>
            <w:r>
              <w:rPr>
                <w:rFonts w:ascii="Arial" w:cs="Arial" w:eastAsia="Arial" w:hAnsi="Arial"/>
                <w:sz w:val="20"/>
                <w:szCs w:val="20"/>
                <w:color w:val="2A2A2A"/>
              </w:rPr>
              <w:t>(5)%</w:t>
            </w:r>
          </w:p>
        </w:tc>
      </w:tr>
      <w:tr>
        <w:trPr>
          <w:trHeight w:val="270"/>
        </w:trPr>
        <w:tc>
          <w:tcPr>
            <w:tcW w:w="47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Operating profit % of revenue</w:t>
            </w:r>
          </w:p>
        </w:tc>
        <w:tc>
          <w:tcPr>
            <w:tcW w:w="32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45.2%</w:t>
            </w:r>
          </w:p>
        </w:tc>
        <w:tc>
          <w:tcPr>
            <w:tcW w:w="1260" w:type="dxa"/>
            <w:vAlign w:val="bottom"/>
            <w:shd w:val="clear" w:color="auto" w:fill="D7D7D7"/>
          </w:tcPr>
          <w:p>
            <w:pPr>
              <w:jc w:val="right"/>
              <w:ind w:right="65"/>
              <w:spacing w:after="0"/>
              <w:rPr>
                <w:sz w:val="20"/>
                <w:szCs w:val="20"/>
                <w:color w:val="auto"/>
              </w:rPr>
            </w:pPr>
            <w:r>
              <w:rPr>
                <w:rFonts w:ascii="Arial" w:cs="Arial" w:eastAsia="Arial" w:hAnsi="Arial"/>
                <w:sz w:val="20"/>
                <w:szCs w:val="20"/>
                <w:color w:val="2A2A2A"/>
              </w:rPr>
              <w:t>37.5%</w:t>
            </w:r>
          </w:p>
        </w:tc>
        <w:tc>
          <w:tcPr>
            <w:tcW w:w="1020" w:type="dxa"/>
            <w:vAlign w:val="bottom"/>
            <w:shd w:val="clear" w:color="auto" w:fill="D7D7D7"/>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-527685</wp:posOffset>
            </wp:positionV>
            <wp:extent cx="6543040"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3040" cy="27940"/>
                    </a:xfrm>
                    <a:prstGeom prst="rect">
                      <a:avLst/>
                    </a:prstGeom>
                    <a:noFill/>
                  </pic:spPr>
                </pic:pic>
              </a:graphicData>
            </a:graphic>
          </wp:anchor>
        </w:drawing>
      </w:r>
    </w:p>
    <w:p>
      <w:pPr>
        <w:spacing w:after="0" w:line="145" w:lineRule="exact"/>
        <w:rPr>
          <w:sz w:val="20"/>
          <w:szCs w:val="20"/>
          <w:color w:val="auto"/>
        </w:rPr>
      </w:pPr>
    </w:p>
    <w:p>
      <w:pPr>
        <w:ind w:left="361" w:hanging="361"/>
        <w:spacing w:after="0"/>
        <w:tabs>
          <w:tab w:leader="none" w:pos="361" w:val="left"/>
        </w:tabs>
        <w:numPr>
          <w:ilvl w:val="0"/>
          <w:numId w:val="13"/>
        </w:numPr>
        <w:rPr>
          <w:rFonts w:ascii="Arial" w:cs="Arial" w:eastAsia="Arial" w:hAnsi="Arial"/>
          <w:sz w:val="20"/>
          <w:szCs w:val="20"/>
          <w:color w:val="2A2A2A"/>
        </w:rPr>
      </w:pPr>
      <w:r>
        <w:rPr>
          <w:rFonts w:ascii="Arial" w:cs="Arial" w:eastAsia="Arial" w:hAnsi="Arial"/>
          <w:sz w:val="20"/>
          <w:szCs w:val="20"/>
          <w:color w:val="2A2A2A"/>
        </w:rPr>
        <w:t>Includes restructuring charges/other</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Other revenue decreased $297 million, and operating profit decreased $26 million.</w:t>
      </w:r>
    </w:p>
    <w:p>
      <w:pPr>
        <w:spacing w:after="0" w:line="24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Financial condition</w:t>
      </w:r>
    </w:p>
    <w:p>
      <w:pPr>
        <w:spacing w:after="0" w:line="257" w:lineRule="exact"/>
        <w:rPr>
          <w:sz w:val="20"/>
          <w:szCs w:val="20"/>
          <w:color w:val="auto"/>
        </w:rPr>
      </w:pPr>
    </w:p>
    <w:p>
      <w:pPr>
        <w:ind w:left="1" w:right="860"/>
        <w:spacing w:after="0" w:line="287" w:lineRule="auto"/>
        <w:rPr>
          <w:sz w:val="20"/>
          <w:szCs w:val="20"/>
          <w:color w:val="auto"/>
        </w:rPr>
      </w:pPr>
      <w:r>
        <w:rPr>
          <w:rFonts w:ascii="Arial" w:cs="Arial" w:eastAsia="Arial" w:hAnsi="Arial"/>
          <w:sz w:val="20"/>
          <w:szCs w:val="20"/>
          <w:color w:val="2A2A2A"/>
        </w:rPr>
        <w:t>At the end of 2023, total cash (cash and cash equivalents plus short-term investments) was $8.58 billion, a decrease of $492 million from the end of 2022.</w:t>
      </w:r>
    </w:p>
    <w:p>
      <w:pPr>
        <w:spacing w:after="0" w:line="170" w:lineRule="exact"/>
        <w:rPr>
          <w:sz w:val="20"/>
          <w:szCs w:val="20"/>
          <w:color w:val="auto"/>
        </w:rPr>
      </w:pPr>
    </w:p>
    <w:p>
      <w:pPr>
        <w:ind w:left="1" w:right="540"/>
        <w:spacing w:after="0" w:line="287" w:lineRule="auto"/>
        <w:rPr>
          <w:sz w:val="20"/>
          <w:szCs w:val="20"/>
          <w:color w:val="auto"/>
        </w:rPr>
      </w:pPr>
      <w:r>
        <w:rPr>
          <w:rFonts w:ascii="Arial" w:cs="Arial" w:eastAsia="Arial" w:hAnsi="Arial"/>
          <w:sz w:val="20"/>
          <w:szCs w:val="20"/>
          <w:color w:val="2A2A2A"/>
        </w:rPr>
        <w:t>Accounts receivable were $1.79 billion, a decrease of $108 million compared with the end of 2022. Days sales outstanding at the end of 2023 were 39 compared with 37 at the end of 2022.</w:t>
      </w:r>
    </w:p>
    <w:p>
      <w:pPr>
        <w:spacing w:after="0" w:line="170" w:lineRule="exact"/>
        <w:rPr>
          <w:sz w:val="20"/>
          <w:szCs w:val="20"/>
          <w:color w:val="auto"/>
        </w:rPr>
      </w:pPr>
    </w:p>
    <w:p>
      <w:pPr>
        <w:ind w:left="1" w:right="200"/>
        <w:spacing w:after="0" w:line="287" w:lineRule="auto"/>
        <w:rPr>
          <w:sz w:val="20"/>
          <w:szCs w:val="20"/>
          <w:color w:val="auto"/>
        </w:rPr>
      </w:pPr>
      <w:r>
        <w:rPr>
          <w:rFonts w:ascii="Arial" w:cs="Arial" w:eastAsia="Arial" w:hAnsi="Arial"/>
          <w:sz w:val="20"/>
          <w:szCs w:val="20"/>
          <w:color w:val="2A2A2A"/>
        </w:rPr>
        <w:t>Inventory was $4.00 billion, an increase of $1.24 billion from the end of 2022. Days of inventory at the end of 2023 were 219 compared with 157 at the end of 2022.</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Liquidity and capital resources</w:t>
      </w:r>
    </w:p>
    <w:p>
      <w:pPr>
        <w:spacing w:after="0" w:line="257" w:lineRule="exact"/>
        <w:rPr>
          <w:sz w:val="20"/>
          <w:szCs w:val="20"/>
          <w:color w:val="auto"/>
        </w:rPr>
      </w:pPr>
    </w:p>
    <w:p>
      <w:pPr>
        <w:ind w:left="1" w:right="100"/>
        <w:spacing w:after="0" w:line="259" w:lineRule="auto"/>
        <w:rPr>
          <w:sz w:val="20"/>
          <w:szCs w:val="20"/>
          <w:color w:val="auto"/>
        </w:rPr>
      </w:pPr>
      <w:r>
        <w:rPr>
          <w:rFonts w:ascii="Arial" w:cs="Arial" w:eastAsia="Arial" w:hAnsi="Arial"/>
          <w:sz w:val="20"/>
          <w:szCs w:val="20"/>
          <w:color w:val="2A2A2A"/>
        </w:rPr>
        <w:t>Our primary source of liquidity is cash flow from operations. Additional sources of liquidity are cash and cash equivalents, short-term investments and access to debt markets. We also have a variable-rate, revolving credit facility. As of December 31, 2023, our credit facility was undrawn, and we had no commercial paper outstanding. Cash flows from operating activities for 2023 were $6.42 billion, a decrease of $2.30 billion due to lower net income and higher cash used for working capital, as we continued to strategically build inventory.</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Investing activities for 2023 used $4.36 billion compared with $3.58 billion in 2022. Capital expenditures were</w:t>
      </w:r>
    </w:p>
    <w:p>
      <w:pPr>
        <w:spacing w:after="0" w:line="30" w:lineRule="exact"/>
        <w:rPr>
          <w:sz w:val="20"/>
          <w:szCs w:val="20"/>
          <w:color w:val="auto"/>
        </w:rPr>
      </w:pPr>
    </w:p>
    <w:p>
      <w:pPr>
        <w:ind w:left="1" w:right="40"/>
        <w:spacing w:after="0" w:line="258" w:lineRule="auto"/>
        <w:rPr>
          <w:sz w:val="20"/>
          <w:szCs w:val="20"/>
          <w:color w:val="auto"/>
        </w:rPr>
      </w:pPr>
      <w:r>
        <w:rPr>
          <w:rFonts w:ascii="Arial" w:cs="Arial" w:eastAsia="Arial" w:hAnsi="Arial"/>
          <w:sz w:val="20"/>
          <w:szCs w:val="20"/>
          <w:color w:val="2A2A2A"/>
        </w:rPr>
        <w:t>$5.07 billion compared with $2.80 billion in 2022 and were primarily for semiconductor manufacturing equipment and facilities in both periods. Short-term investments provided cash proceeds of $682 million in 2023 compared with $826 million of cash used in 2022.</w:t>
      </w:r>
    </w:p>
    <w:p>
      <w:pPr>
        <w:sectPr>
          <w:pgSz w:w="12240" w:h="15840" w:orient="portrait"/>
          <w:cols w:equalWidth="0" w:num="1">
            <w:col w:w="10261"/>
          </w:cols>
          <w:pgMar w:left="979" w:top="658"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21</w:t>
      </w:r>
    </w:p>
    <w:p>
      <w:pPr>
        <w:sectPr>
          <w:pgSz w:w="12240" w:h="15840" w:orient="portrait"/>
          <w:cols w:equalWidth="0" w:num="1">
            <w:col w:w="10261"/>
          </w:cols>
          <w:pgMar w:left="979" w:top="658" w:right="1000" w:bottom="24" w:gutter="0" w:footer="0" w:header="0"/>
          <w:type w:val="continuous"/>
        </w:sectPr>
      </w:pPr>
    </w:p>
    <w:bookmarkStart w:id="27" w:name="page28"/>
    <w:bookmarkEnd w:id="27"/>
    <w:p>
      <w:pPr>
        <w:ind w:right="20"/>
        <w:spacing w:after="0" w:line="256" w:lineRule="auto"/>
        <w:rPr>
          <w:sz w:val="20"/>
          <w:szCs w:val="20"/>
          <w:color w:val="auto"/>
        </w:rPr>
      </w:pPr>
      <w:r>
        <w:rPr>
          <w:rFonts w:ascii="Arial" w:cs="Arial" w:eastAsia="Arial" w:hAnsi="Arial"/>
          <w:sz w:val="20"/>
          <w:szCs w:val="20"/>
          <w:color w:val="2A2A2A"/>
        </w:rPr>
        <w:t>As we continue to invest to strengthen our competitive advantage in manufacturing and technology as part of our long-term capacity planning, our capital expenditures are expected to continue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and we have submitted applications for the manufacturing grants provided by the legislation. See Note 11 to the financial statements.</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2A2A2A"/>
        </w:rPr>
        <w:t>Financing activities for 2023 used $2.14 billion compared with $6.72 billion in 2022. In 2023, we received net proceeds of $3.00 billion from the issuance of fixed-rate, long-term debt and retired maturing debt of $500 million. In 2022, we received net proceeds of $1.49 billion from the issuance of fixed-rate, long-term debt and retired maturing debt of $500 million. Dividends paid in 2023 were $4.56 billion compared with $4.30 billion in 2022, reflecting an increased dividend rate. We used $293 million to repurchase 1.8 million shares of our common stock compared with $3.62 billion used in 2022 to repurchase 22.2 million shares. Employee exercises of stock options provided cash proceeds of $263 million compared with $241 million in 2022.</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2A2A2A"/>
        </w:rPr>
        <w:t>We had $2.96 billion of cash and cash equivalents and $5.61 billion of short-term investments as of December 31, 2023. We believe we have the necessary financial resources and operating plans to fund our working capital needs, capital expenditures, dividend and debt-related payments and other business requirements for at least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Non-GAAP financial information</w:t>
      </w:r>
    </w:p>
    <w:p>
      <w:pPr>
        <w:spacing w:after="0" w:line="257"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2A2A2A"/>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96"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2A2A2A"/>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Reconciliation to the most directly comparable GAAP measures is provided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00" w:type="dxa"/>
            <w:vAlign w:val="bottom"/>
          </w:tcPr>
          <w:p>
            <w:pPr>
              <w:spacing w:after="0"/>
              <w:rPr>
                <w:sz w:val="18"/>
                <w:szCs w:val="18"/>
                <w:color w:val="auto"/>
              </w:rPr>
            </w:pPr>
          </w:p>
        </w:tc>
        <w:tc>
          <w:tcPr>
            <w:tcW w:w="2560" w:type="dxa"/>
            <w:vAlign w:val="bottom"/>
            <w:tcBorders>
              <w:bottom w:val="single" w:sz="8" w:color="2A2A2A"/>
            </w:tcBorders>
            <w:gridSpan w:val="5"/>
          </w:tcPr>
          <w:p>
            <w:pPr>
              <w:jc w:val="right"/>
              <w:ind w:right="3"/>
              <w:spacing w:after="0"/>
              <w:rPr>
                <w:sz w:val="20"/>
                <w:szCs w:val="20"/>
                <w:color w:val="auto"/>
              </w:rPr>
            </w:pPr>
            <w:r>
              <w:rPr>
                <w:rFonts w:ascii="Arial" w:cs="Arial" w:eastAsia="Arial" w:hAnsi="Arial"/>
                <w:sz w:val="16"/>
                <w:szCs w:val="16"/>
                <w:b w:val="1"/>
                <w:bCs w:val="1"/>
                <w:color w:val="2A2A2A"/>
              </w:rPr>
              <w:t>For Years Ended December 31,</w:t>
            </w:r>
          </w:p>
        </w:tc>
      </w:tr>
      <w:tr>
        <w:trPr>
          <w:trHeight w:val="265"/>
        </w:trPr>
        <w:tc>
          <w:tcPr>
            <w:tcW w:w="7700" w:type="dxa"/>
            <w:vAlign w:val="bottom"/>
            <w:tcBorders>
              <w:bottom w:val="single" w:sz="8" w:color="2A2A2A"/>
            </w:tcBorders>
          </w:tcPr>
          <w:p>
            <w:pPr>
              <w:spacing w:after="0"/>
              <w:rPr>
                <w:sz w:val="23"/>
                <w:szCs w:val="23"/>
                <w:color w:val="auto"/>
              </w:rPr>
            </w:pPr>
          </w:p>
        </w:tc>
        <w:tc>
          <w:tcPr>
            <w:tcW w:w="300" w:type="dxa"/>
            <w:vAlign w:val="bottom"/>
            <w:tcBorders>
              <w:bottom w:val="single" w:sz="8" w:color="2A2A2A"/>
            </w:tcBorders>
          </w:tcPr>
          <w:p>
            <w:pPr>
              <w:spacing w:after="0"/>
              <w:rPr>
                <w:sz w:val="23"/>
                <w:szCs w:val="23"/>
                <w:color w:val="auto"/>
              </w:rPr>
            </w:pPr>
          </w:p>
        </w:tc>
        <w:tc>
          <w:tcPr>
            <w:tcW w:w="940" w:type="dxa"/>
            <w:vAlign w:val="bottom"/>
            <w:tcBorders>
              <w:bottom w:val="single" w:sz="8" w:color="2A2A2A"/>
            </w:tcBorders>
          </w:tcPr>
          <w:p>
            <w:pPr>
              <w:jc w:val="right"/>
              <w:ind w:right="343"/>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3"/>
                <w:szCs w:val="23"/>
                <w:color w:val="auto"/>
              </w:rPr>
            </w:pPr>
          </w:p>
        </w:tc>
        <w:tc>
          <w:tcPr>
            <w:tcW w:w="300" w:type="dxa"/>
            <w:vAlign w:val="bottom"/>
            <w:tcBorders>
              <w:bottom w:val="single" w:sz="8" w:color="2A2A2A"/>
            </w:tcBorders>
          </w:tcPr>
          <w:p>
            <w:pPr>
              <w:spacing w:after="0"/>
              <w:rPr>
                <w:sz w:val="23"/>
                <w:szCs w:val="23"/>
                <w:color w:val="auto"/>
              </w:rPr>
            </w:pPr>
          </w:p>
        </w:tc>
        <w:tc>
          <w:tcPr>
            <w:tcW w:w="940" w:type="dxa"/>
            <w:vAlign w:val="bottom"/>
            <w:tcBorders>
              <w:bottom w:val="single" w:sz="8" w:color="2A2A2A"/>
            </w:tcBorders>
          </w:tcPr>
          <w:p>
            <w:pPr>
              <w:jc w:val="right"/>
              <w:ind w:right="343"/>
              <w:spacing w:after="0"/>
              <w:rPr>
                <w:sz w:val="20"/>
                <w:szCs w:val="20"/>
                <w:color w:val="auto"/>
              </w:rPr>
            </w:pPr>
            <w:r>
              <w:rPr>
                <w:rFonts w:ascii="Arial" w:cs="Arial" w:eastAsia="Arial" w:hAnsi="Arial"/>
                <w:sz w:val="16"/>
                <w:szCs w:val="16"/>
                <w:b w:val="1"/>
                <w:bCs w:val="1"/>
                <w:color w:val="2A2A2A"/>
              </w:rPr>
              <w:t>2022</w:t>
            </w:r>
          </w:p>
        </w:tc>
      </w:tr>
      <w:tr>
        <w:trPr>
          <w:trHeight w:val="275"/>
        </w:trPr>
        <w:tc>
          <w:tcPr>
            <w:tcW w:w="77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Cash flow from operations (GAAP)</w:t>
            </w:r>
          </w:p>
        </w:tc>
        <w:tc>
          <w:tcPr>
            <w:tcW w:w="300" w:type="dxa"/>
            <w:vAlign w:val="bottom"/>
            <w:shd w:val="clear" w:color="auto" w:fill="D7D7D7"/>
          </w:tcPr>
          <w:p>
            <w:pPr>
              <w:jc w:val="right"/>
              <w:ind w:right="45"/>
              <w:spacing w:after="0"/>
              <w:rPr>
                <w:sz w:val="20"/>
                <w:szCs w:val="20"/>
                <w:color w:val="auto"/>
              </w:rPr>
            </w:pPr>
            <w:r>
              <w:rPr>
                <w:rFonts w:ascii="Arial" w:cs="Arial" w:eastAsia="Arial" w:hAnsi="Arial"/>
                <w:sz w:val="20"/>
                <w:szCs w:val="20"/>
                <w:b w:val="1"/>
                <w:bCs w:val="1"/>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b w:val="1"/>
                <w:bCs w:val="1"/>
                <w:color w:val="2A2A2A"/>
              </w:rPr>
              <w:t>6,420</w:t>
            </w:r>
          </w:p>
        </w:tc>
        <w:tc>
          <w:tcPr>
            <w:tcW w:w="380" w:type="dxa"/>
            <w:vAlign w:val="bottom"/>
            <w:gridSpan w:val="2"/>
            <w:shd w:val="clear" w:color="auto" w:fill="D7D7D7"/>
          </w:tcPr>
          <w:p>
            <w:pPr>
              <w:jc w:val="right"/>
              <w:ind w:right="140"/>
              <w:spacing w:after="0"/>
              <w:rPr>
                <w:sz w:val="20"/>
                <w:szCs w:val="20"/>
                <w:color w:val="auto"/>
              </w:rPr>
            </w:pPr>
            <w:r>
              <w:rPr>
                <w:rFonts w:ascii="Arial" w:cs="Arial" w:eastAsia="Arial" w:hAnsi="Arial"/>
                <w:sz w:val="20"/>
                <w:szCs w:val="20"/>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8,720</w:t>
            </w:r>
          </w:p>
        </w:tc>
      </w:tr>
      <w:tr>
        <w:trPr>
          <w:trHeight w:val="275"/>
        </w:trPr>
        <w:tc>
          <w:tcPr>
            <w:tcW w:w="77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Capital expenditures</w:t>
            </w:r>
          </w:p>
        </w:tc>
        <w:tc>
          <w:tcPr>
            <w:tcW w:w="300" w:type="dxa"/>
            <w:vAlign w:val="bottom"/>
            <w:tcBorders>
              <w:bottom w:val="single" w:sz="8" w:color="2A2A2A"/>
            </w:tcBorders>
          </w:tcPr>
          <w:p>
            <w:pPr>
              <w:spacing w:after="0"/>
              <w:rPr>
                <w:sz w:val="23"/>
                <w:szCs w:val="23"/>
                <w:color w:val="auto"/>
              </w:rPr>
            </w:pPr>
          </w:p>
        </w:tc>
        <w:tc>
          <w:tcPr>
            <w:tcW w:w="940" w:type="dxa"/>
            <w:vAlign w:val="bottom"/>
            <w:tcBorders>
              <w:bottom w:val="single" w:sz="8" w:color="2A2A2A"/>
            </w:tcBorders>
          </w:tcPr>
          <w:p>
            <w:pPr>
              <w:jc w:val="right"/>
              <w:ind w:right="23"/>
              <w:spacing w:after="0"/>
              <w:rPr>
                <w:sz w:val="20"/>
                <w:szCs w:val="20"/>
                <w:color w:val="auto"/>
              </w:rPr>
            </w:pPr>
            <w:r>
              <w:rPr>
                <w:rFonts w:ascii="Arial" w:cs="Arial" w:eastAsia="Arial" w:hAnsi="Arial"/>
                <w:sz w:val="20"/>
                <w:szCs w:val="20"/>
                <w:b w:val="1"/>
                <w:bCs w:val="1"/>
                <w:color w:val="2A2A2A"/>
              </w:rPr>
              <w:t>(5,071)</w:t>
            </w:r>
          </w:p>
        </w:tc>
        <w:tc>
          <w:tcPr>
            <w:tcW w:w="80" w:type="dxa"/>
            <w:vAlign w:val="bottom"/>
            <w:tcBorders>
              <w:bottom w:val="single" w:sz="8" w:color="D7D7D7"/>
            </w:tcBorders>
          </w:tcPr>
          <w:p>
            <w:pPr>
              <w:spacing w:after="0"/>
              <w:rPr>
                <w:sz w:val="23"/>
                <w:szCs w:val="23"/>
                <w:color w:val="auto"/>
              </w:rPr>
            </w:pPr>
          </w:p>
        </w:tc>
        <w:tc>
          <w:tcPr>
            <w:tcW w:w="300" w:type="dxa"/>
            <w:vAlign w:val="bottom"/>
            <w:tcBorders>
              <w:bottom w:val="single" w:sz="8" w:color="2A2A2A"/>
            </w:tcBorders>
          </w:tcPr>
          <w:p>
            <w:pPr>
              <w:spacing w:after="0"/>
              <w:rPr>
                <w:sz w:val="23"/>
                <w:szCs w:val="23"/>
                <w:color w:val="auto"/>
              </w:rPr>
            </w:pPr>
          </w:p>
        </w:tc>
        <w:tc>
          <w:tcPr>
            <w:tcW w:w="940" w:type="dxa"/>
            <w:vAlign w:val="bottom"/>
            <w:tcBorders>
              <w:bottom w:val="single" w:sz="8" w:color="2A2A2A"/>
            </w:tcBorders>
          </w:tcPr>
          <w:p>
            <w:pPr>
              <w:jc w:val="right"/>
              <w:ind w:right="23"/>
              <w:spacing w:after="0"/>
              <w:rPr>
                <w:sz w:val="20"/>
                <w:szCs w:val="20"/>
                <w:color w:val="auto"/>
              </w:rPr>
            </w:pPr>
            <w:r>
              <w:rPr>
                <w:rFonts w:ascii="Arial" w:cs="Arial" w:eastAsia="Arial" w:hAnsi="Arial"/>
                <w:sz w:val="20"/>
                <w:szCs w:val="20"/>
                <w:color w:val="2A2A2A"/>
              </w:rPr>
              <w:t>(2,797)</w:t>
            </w:r>
          </w:p>
        </w:tc>
      </w:tr>
      <w:tr>
        <w:trPr>
          <w:trHeight w:val="265"/>
        </w:trPr>
        <w:tc>
          <w:tcPr>
            <w:tcW w:w="77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Free cash flow (non-GAAP)</w:t>
            </w:r>
          </w:p>
        </w:tc>
        <w:tc>
          <w:tcPr>
            <w:tcW w:w="300" w:type="dxa"/>
            <w:vAlign w:val="bottom"/>
            <w:shd w:val="clear" w:color="auto" w:fill="D7D7D7"/>
          </w:tcPr>
          <w:p>
            <w:pPr>
              <w:jc w:val="right"/>
              <w:ind w:right="45"/>
              <w:spacing w:after="0"/>
              <w:rPr>
                <w:sz w:val="20"/>
                <w:szCs w:val="20"/>
                <w:color w:val="auto"/>
              </w:rPr>
            </w:pPr>
            <w:r>
              <w:rPr>
                <w:rFonts w:ascii="Arial" w:cs="Arial" w:eastAsia="Arial" w:hAnsi="Arial"/>
                <w:sz w:val="20"/>
                <w:szCs w:val="20"/>
                <w:b w:val="1"/>
                <w:bCs w:val="1"/>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b w:val="1"/>
                <w:bCs w:val="1"/>
                <w:color w:val="2A2A2A"/>
              </w:rPr>
              <w:t>1,349</w:t>
            </w:r>
          </w:p>
        </w:tc>
        <w:tc>
          <w:tcPr>
            <w:tcW w:w="380" w:type="dxa"/>
            <w:vAlign w:val="bottom"/>
            <w:gridSpan w:val="2"/>
            <w:shd w:val="clear" w:color="auto" w:fill="D7D7D7"/>
          </w:tcPr>
          <w:p>
            <w:pPr>
              <w:jc w:val="right"/>
              <w:ind w:right="140"/>
              <w:spacing w:after="0"/>
              <w:rPr>
                <w:sz w:val="20"/>
                <w:szCs w:val="20"/>
                <w:color w:val="auto"/>
              </w:rPr>
            </w:pPr>
            <w:r>
              <w:rPr>
                <w:rFonts w:ascii="Arial" w:cs="Arial" w:eastAsia="Arial" w:hAnsi="Arial"/>
                <w:sz w:val="20"/>
                <w:szCs w:val="20"/>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5,923</w:t>
            </w:r>
          </w:p>
        </w:tc>
      </w:tr>
      <w:tr>
        <w:trPr>
          <w:trHeight w:val="20"/>
        </w:trPr>
        <w:tc>
          <w:tcPr>
            <w:tcW w:w="770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2A2A2A"/>
              <w:bottom w:val="single" w:sz="8" w:color="2A2A2A"/>
            </w:tcBorders>
          </w:tcPr>
          <w:p>
            <w:pPr>
              <w:spacing w:after="0" w:line="20" w:lineRule="exact"/>
              <w:rPr>
                <w:sz w:val="1"/>
                <w:szCs w:val="1"/>
                <w:color w:val="auto"/>
              </w:rPr>
            </w:pPr>
          </w:p>
        </w:tc>
        <w:tc>
          <w:tcPr>
            <w:tcW w:w="9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2A2A2A"/>
              <w:bottom w:val="single" w:sz="8" w:color="2A2A2A"/>
            </w:tcBorders>
          </w:tcPr>
          <w:p>
            <w:pPr>
              <w:spacing w:after="0" w:line="20" w:lineRule="exact"/>
              <w:rPr>
                <w:sz w:val="1"/>
                <w:szCs w:val="1"/>
                <w:color w:val="auto"/>
              </w:rPr>
            </w:pPr>
          </w:p>
        </w:tc>
        <w:tc>
          <w:tcPr>
            <w:tcW w:w="940" w:type="dxa"/>
            <w:vAlign w:val="bottom"/>
            <w:tcBorders>
              <w:top w:val="single" w:sz="8" w:color="2A2A2A"/>
              <w:bottom w:val="single" w:sz="8" w:color="2A2A2A"/>
            </w:tcBorders>
          </w:tcPr>
          <w:p>
            <w:pPr>
              <w:spacing w:after="0" w:line="20" w:lineRule="exact"/>
              <w:rPr>
                <w:sz w:val="1"/>
                <w:szCs w:val="1"/>
                <w:color w:val="auto"/>
              </w:rPr>
            </w:pPr>
          </w:p>
        </w:tc>
      </w:tr>
      <w:tr>
        <w:trPr>
          <w:trHeight w:val="235"/>
        </w:trPr>
        <w:tc>
          <w:tcPr>
            <w:tcW w:w="7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5"/>
        </w:trPr>
        <w:tc>
          <w:tcPr>
            <w:tcW w:w="77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w:t>
            </w:r>
          </w:p>
        </w:tc>
        <w:tc>
          <w:tcPr>
            <w:tcW w:w="300" w:type="dxa"/>
            <w:vAlign w:val="bottom"/>
            <w:shd w:val="clear" w:color="auto" w:fill="D7D7D7"/>
          </w:tcPr>
          <w:p>
            <w:pPr>
              <w:jc w:val="right"/>
              <w:ind w:right="45"/>
              <w:spacing w:after="0"/>
              <w:rPr>
                <w:sz w:val="20"/>
                <w:szCs w:val="20"/>
                <w:color w:val="auto"/>
              </w:rPr>
            </w:pPr>
            <w:r>
              <w:rPr>
                <w:rFonts w:ascii="Arial" w:cs="Arial" w:eastAsia="Arial" w:hAnsi="Arial"/>
                <w:sz w:val="20"/>
                <w:szCs w:val="20"/>
                <w:b w:val="1"/>
                <w:bCs w:val="1"/>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b w:val="1"/>
                <w:bCs w:val="1"/>
                <w:color w:val="2A2A2A"/>
              </w:rPr>
              <w:t>17,519</w:t>
            </w:r>
          </w:p>
        </w:tc>
        <w:tc>
          <w:tcPr>
            <w:tcW w:w="380" w:type="dxa"/>
            <w:vAlign w:val="bottom"/>
            <w:gridSpan w:val="2"/>
            <w:shd w:val="clear" w:color="auto" w:fill="D7D7D7"/>
          </w:tcPr>
          <w:p>
            <w:pPr>
              <w:jc w:val="right"/>
              <w:ind w:right="140"/>
              <w:spacing w:after="0"/>
              <w:rPr>
                <w:sz w:val="20"/>
                <w:szCs w:val="20"/>
                <w:color w:val="auto"/>
              </w:rPr>
            </w:pPr>
            <w:r>
              <w:rPr>
                <w:rFonts w:ascii="Arial" w:cs="Arial" w:eastAsia="Arial" w:hAnsi="Arial"/>
                <w:sz w:val="20"/>
                <w:szCs w:val="20"/>
                <w:color w:val="2A2A2A"/>
              </w:rPr>
              <w:t>$</w:t>
            </w:r>
          </w:p>
        </w:tc>
        <w:tc>
          <w:tcPr>
            <w:tcW w:w="94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20,028</w:t>
            </w:r>
          </w:p>
        </w:tc>
      </w:tr>
      <w:tr>
        <w:trPr>
          <w:trHeight w:val="20"/>
        </w:trPr>
        <w:tc>
          <w:tcPr>
            <w:tcW w:w="770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2A2A2A"/>
              <w:bottom w:val="single" w:sz="8" w:color="2A2A2A"/>
            </w:tcBorders>
          </w:tcPr>
          <w:p>
            <w:pPr>
              <w:spacing w:after="0" w:line="20" w:lineRule="exact"/>
              <w:rPr>
                <w:sz w:val="1"/>
                <w:szCs w:val="1"/>
                <w:color w:val="auto"/>
              </w:rPr>
            </w:pPr>
          </w:p>
        </w:tc>
        <w:tc>
          <w:tcPr>
            <w:tcW w:w="9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2A2A2A"/>
              <w:bottom w:val="single" w:sz="8" w:color="2A2A2A"/>
            </w:tcBorders>
          </w:tcPr>
          <w:p>
            <w:pPr>
              <w:spacing w:after="0" w:line="20" w:lineRule="exact"/>
              <w:rPr>
                <w:sz w:val="1"/>
                <w:szCs w:val="1"/>
                <w:color w:val="auto"/>
              </w:rPr>
            </w:pPr>
          </w:p>
        </w:tc>
        <w:tc>
          <w:tcPr>
            <w:tcW w:w="940" w:type="dxa"/>
            <w:vAlign w:val="bottom"/>
            <w:tcBorders>
              <w:top w:val="single" w:sz="8" w:color="2A2A2A"/>
              <w:bottom w:val="single" w:sz="8" w:color="2A2A2A"/>
            </w:tcBorders>
          </w:tcPr>
          <w:p>
            <w:pPr>
              <w:spacing w:after="0" w:line="20" w:lineRule="exact"/>
              <w:rPr>
                <w:sz w:val="1"/>
                <w:szCs w:val="1"/>
                <w:color w:val="auto"/>
              </w:rPr>
            </w:pPr>
          </w:p>
        </w:tc>
      </w:tr>
      <w:tr>
        <w:trPr>
          <w:trHeight w:val="235"/>
        </w:trPr>
        <w:tc>
          <w:tcPr>
            <w:tcW w:w="7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5"/>
        </w:trPr>
        <w:tc>
          <w:tcPr>
            <w:tcW w:w="77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Cash flow from operations as a percentage of revenue (GAAP)</w:t>
            </w:r>
          </w:p>
        </w:tc>
        <w:tc>
          <w:tcPr>
            <w:tcW w:w="300" w:type="dxa"/>
            <w:vAlign w:val="bottom"/>
            <w:shd w:val="clear" w:color="auto" w:fill="D7D7D7"/>
          </w:tcPr>
          <w:p>
            <w:pPr>
              <w:spacing w:after="0"/>
              <w:rPr>
                <w:sz w:val="24"/>
                <w:szCs w:val="24"/>
                <w:color w:val="auto"/>
              </w:rPr>
            </w:pP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36.6%</w:t>
            </w:r>
          </w:p>
        </w:tc>
        <w:tc>
          <w:tcPr>
            <w:tcW w:w="8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43.5%</w:t>
            </w:r>
          </w:p>
        </w:tc>
      </w:tr>
      <w:tr>
        <w:trPr>
          <w:trHeight w:val="287"/>
        </w:trPr>
        <w:tc>
          <w:tcPr>
            <w:tcW w:w="7700" w:type="dxa"/>
            <w:vAlign w:val="bottom"/>
          </w:tcPr>
          <w:p>
            <w:pPr>
              <w:ind w:left="60"/>
              <w:spacing w:after="0"/>
              <w:rPr>
                <w:sz w:val="20"/>
                <w:szCs w:val="20"/>
                <w:color w:val="auto"/>
              </w:rPr>
            </w:pPr>
            <w:r>
              <w:rPr>
                <w:rFonts w:ascii="Arial" w:cs="Arial" w:eastAsia="Arial" w:hAnsi="Arial"/>
                <w:sz w:val="20"/>
                <w:szCs w:val="20"/>
                <w:color w:val="2A2A2A"/>
              </w:rPr>
              <w:t>Free cash flow as a percentage of revenue (non-GAAP)</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2A2A2A"/>
              </w:rPr>
              <w:t>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A2A2A"/>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-1461135</wp:posOffset>
            </wp:positionV>
            <wp:extent cx="65405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-1099185</wp:posOffset>
            </wp:positionV>
            <wp:extent cx="165417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-930910</wp:posOffset>
            </wp:positionV>
            <wp:extent cx="165417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4175" cy="2540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-568960</wp:posOffset>
            </wp:positionV>
            <wp:extent cx="165417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22</w:t>
      </w:r>
    </w:p>
    <w:p>
      <w:pPr>
        <w:sectPr>
          <w:pgSz w:w="12240" w:h="15840" w:orient="portrait"/>
          <w:cols w:equalWidth="0" w:num="1">
            <w:col w:w="10260"/>
          </w:cols>
          <w:pgMar w:left="980" w:top="664" w:right="1000" w:bottom="24"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b w:val="1"/>
          <w:bCs w:val="1"/>
          <w:color w:val="2A2A2A"/>
        </w:rPr>
        <w:t>Critical accounting estimates</w:t>
      </w:r>
    </w:p>
    <w:p>
      <w:pPr>
        <w:spacing w:after="0" w:line="257"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2A2A2A"/>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Income taxes</w:t>
      </w:r>
    </w:p>
    <w:p>
      <w:pPr>
        <w:spacing w:after="0" w:line="257" w:lineRule="exact"/>
        <w:rPr>
          <w:sz w:val="20"/>
          <w:szCs w:val="20"/>
          <w:color w:val="auto"/>
        </w:rPr>
      </w:pPr>
    </w:p>
    <w:p>
      <w:pPr>
        <w:jc w:val="both"/>
        <w:ind w:right="80"/>
        <w:spacing w:after="0" w:line="268" w:lineRule="auto"/>
        <w:rPr>
          <w:sz w:val="20"/>
          <w:szCs w:val="20"/>
          <w:color w:val="auto"/>
        </w:rPr>
      </w:pPr>
      <w:r>
        <w:rPr>
          <w:rFonts w:ascii="Arial" w:cs="Arial" w:eastAsia="Arial" w:hAnsi="Arial"/>
          <w:sz w:val="20"/>
          <w:szCs w:val="20"/>
          <w:color w:val="2A2A2A"/>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Inventory valuation allowances</w:t>
      </w:r>
    </w:p>
    <w:p>
      <w:pPr>
        <w:spacing w:after="0" w:line="25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A2A2A"/>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Commitments and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See Note 10 to the financial statements for a discussion of our commitments and contingencies.</w:t>
      </w:r>
    </w:p>
    <w:p>
      <w:pPr>
        <w:sectPr>
          <w:pgSz w:w="12240" w:h="15840" w:orient="portrait"/>
          <w:cols w:equalWidth="0" w:num="1">
            <w:col w:w="10220"/>
          </w:cols>
          <w:pgMar w:left="980" w:top="658" w:right="104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23</w:t>
      </w:r>
    </w:p>
    <w:p>
      <w:pPr>
        <w:sectPr>
          <w:pgSz w:w="12240" w:h="15840" w:orient="portrait"/>
          <w:cols w:equalWidth="0" w:num="1">
            <w:col w:w="10220"/>
          </w:cols>
          <w:pgMar w:left="980" w:top="658" w:right="1040" w:bottom="24" w:gutter="0" w:footer="0" w:header="0"/>
          <w:type w:val="continuous"/>
        </w:sectPr>
      </w:pPr>
    </w:p>
    <w:bookmarkStart w:id="29" w:name="page30"/>
    <w:bookmarkEnd w:id="29"/>
    <w:p>
      <w:pPr>
        <w:spacing w:after="0"/>
        <w:rPr>
          <w:sz w:val="20"/>
          <w:szCs w:val="20"/>
          <w:color w:val="auto"/>
        </w:rPr>
      </w:pPr>
      <w:r>
        <w:rPr>
          <w:rFonts w:ascii="Arial" w:cs="Arial" w:eastAsia="Arial" w:hAnsi="Arial"/>
          <w:sz w:val="24"/>
          <w:szCs w:val="24"/>
          <w:b w:val="1"/>
          <w:bCs w:val="1"/>
          <w:color w:val="2A2A2A"/>
        </w:rPr>
        <w:t>ITEM 7A. Quantitative and qualitative disclosures about market risk</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Foreign exchange risk</w:t>
      </w:r>
    </w:p>
    <w:p>
      <w:pPr>
        <w:spacing w:after="0" w:line="257"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color w:val="2A2A2A"/>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90"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color w:val="2A2A2A"/>
        </w:rPr>
        <w:t>Our balance sheet also reflects amounts remeasured from non-U.S. dollar currencies. Because most of the aggregate non-U.S. dollar balance sheet exposure is hedged by forward currency exchange contracts, which are based on year-end 2023 balances and currency exchange rates, a hypothetical 10% plus or minus fluctuation in non-U.S. currency exchange rates relative to the U.S. dollar would result in a pretax currency exchange gain or loss of approximately $4 million.</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We use these forward currency exchange contracts to reduce the earnings impact that exchange rate fluctuations may have on our non-U.S. dollar net balance sheet exposures. As of December 31, 2023, we had forward currency exchange contracts outstanding with a notional value of $328 million to hedge net balance sheet exposures (including $102 million to sell Japanese yen, $77 million to sell British pounds and $58 million to buy Chinese yuan). Similar hedging activities existed at year-end 2022.</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Interest rate risk</w:t>
      </w:r>
    </w:p>
    <w:p>
      <w:pPr>
        <w:spacing w:after="0" w:line="257" w:lineRule="exact"/>
        <w:rPr>
          <w:sz w:val="20"/>
          <w:szCs w:val="20"/>
          <w:color w:val="auto"/>
        </w:rPr>
      </w:pPr>
    </w:p>
    <w:p>
      <w:pPr>
        <w:jc w:val="both"/>
        <w:ind w:right="240"/>
        <w:spacing w:after="0" w:line="268" w:lineRule="auto"/>
        <w:rPr>
          <w:sz w:val="20"/>
          <w:szCs w:val="20"/>
          <w:color w:val="auto"/>
        </w:rPr>
      </w:pPr>
      <w:r>
        <w:rPr>
          <w:rFonts w:ascii="Arial" w:cs="Arial" w:eastAsia="Arial" w:hAnsi="Arial"/>
          <w:sz w:val="20"/>
          <w:szCs w:val="20"/>
          <w:color w:val="2A2A2A"/>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90"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2A2A2A"/>
        </w:rPr>
        <w:t>As of December 31, 2023, a hypothetical 100 basis point increase in interest rates would decrease the fair value of our investments in cash equivalents and short-term investments by about $22 million and decrease the fair value of our long-term debt by $891 million. Because interest rates on our long-term debt are fixed, changes in interest rates would not affect the cash flows associated with long-term debt.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Equity risk</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Long-term investments at year-end 2023 include the following:</w:t>
      </w:r>
    </w:p>
    <w:p>
      <w:pPr>
        <w:spacing w:after="0" w:line="250" w:lineRule="exact"/>
        <w:rPr>
          <w:sz w:val="20"/>
          <w:szCs w:val="20"/>
          <w:color w:val="auto"/>
        </w:rPr>
      </w:pPr>
    </w:p>
    <w:p>
      <w:pPr>
        <w:jc w:val="both"/>
        <w:ind w:left="720" w:right="520" w:hanging="361"/>
        <w:spacing w:after="0" w:line="268" w:lineRule="auto"/>
        <w:tabs>
          <w:tab w:leader="none" w:pos="720" w:val="left"/>
        </w:tabs>
        <w:numPr>
          <w:ilvl w:val="0"/>
          <w:numId w:val="14"/>
        </w:numPr>
        <w:rPr>
          <w:rFonts w:ascii="Arial" w:cs="Arial" w:eastAsia="Arial" w:hAnsi="Arial"/>
          <w:sz w:val="20"/>
          <w:szCs w:val="20"/>
          <w:color w:val="2A2A2A"/>
        </w:rPr>
      </w:pPr>
      <w:r>
        <w:rPr>
          <w:rFonts w:ascii="Arial" w:cs="Arial" w:eastAsia="Arial" w:hAnsi="Arial"/>
          <w:sz w:val="20"/>
          <w:szCs w:val="20"/>
          <w:i w:val="1"/>
          <w:iCs w:val="1"/>
          <w:color w:val="2A2A2A"/>
        </w:rPr>
        <w:t xml:space="preserve">Investments in mutual funds </w:t>
      </w:r>
      <w:r>
        <w:rPr>
          <w:rFonts w:ascii="Arial" w:cs="Arial" w:eastAsia="Arial" w:hAnsi="Arial"/>
          <w:sz w:val="20"/>
          <w:szCs w:val="20"/>
          <w:color w:val="2A2A2A"/>
        </w:rPr>
        <w:t>– includes mutual funds that were selected to generate returns that offset</w:t>
      </w:r>
      <w:r>
        <w:rPr>
          <w:rFonts w:ascii="Arial" w:cs="Arial" w:eastAsia="Arial" w:hAnsi="Arial"/>
          <w:sz w:val="20"/>
          <w:szCs w:val="20"/>
          <w:i w:val="1"/>
          <w:iCs w:val="1"/>
          <w:color w:val="2A2A2A"/>
        </w:rPr>
        <w:t xml:space="preserve"> </w:t>
      </w:r>
      <w:r>
        <w:rPr>
          <w:rFonts w:ascii="Arial" w:cs="Arial" w:eastAsia="Arial" w:hAnsi="Arial"/>
          <w:sz w:val="20"/>
          <w:szCs w:val="20"/>
          <w:color w:val="2A2A2A"/>
        </w:rPr>
        <w:t>changes in certain liabilities related to deferred compensation arrangements. The mutual funds hold a variety of debt and equity investments.</w:t>
      </w:r>
    </w:p>
    <w:p>
      <w:pPr>
        <w:spacing w:after="0" w:line="69" w:lineRule="exact"/>
        <w:rPr>
          <w:rFonts w:ascii="Arial" w:cs="Arial" w:eastAsia="Arial" w:hAnsi="Arial"/>
          <w:sz w:val="20"/>
          <w:szCs w:val="20"/>
          <w:color w:val="2A2A2A"/>
        </w:rPr>
      </w:pPr>
    </w:p>
    <w:p>
      <w:pPr>
        <w:ind w:left="720" w:right="360" w:hanging="361"/>
        <w:spacing w:after="0" w:line="314" w:lineRule="auto"/>
        <w:tabs>
          <w:tab w:leader="none" w:pos="720" w:val="left"/>
        </w:tabs>
        <w:numPr>
          <w:ilvl w:val="0"/>
          <w:numId w:val="14"/>
        </w:numPr>
        <w:rPr>
          <w:rFonts w:ascii="Arial" w:cs="Arial" w:eastAsia="Arial" w:hAnsi="Arial"/>
          <w:sz w:val="19"/>
          <w:szCs w:val="19"/>
          <w:color w:val="2A2A2A"/>
        </w:rPr>
      </w:pPr>
      <w:r>
        <w:rPr>
          <w:rFonts w:ascii="Arial" w:cs="Arial" w:eastAsia="Arial" w:hAnsi="Arial"/>
          <w:sz w:val="19"/>
          <w:szCs w:val="19"/>
          <w:i w:val="1"/>
          <w:iCs w:val="1"/>
          <w:color w:val="2A2A2A"/>
        </w:rPr>
        <w:t xml:space="preserve">Investments in venture capital funds </w:t>
      </w:r>
      <w:r>
        <w:rPr>
          <w:rFonts w:ascii="Arial" w:cs="Arial" w:eastAsia="Arial" w:hAnsi="Arial"/>
          <w:sz w:val="19"/>
          <w:szCs w:val="19"/>
          <w:color w:val="2A2A2A"/>
        </w:rPr>
        <w:t>– includes investments in limited partnerships (accounted for under</w:t>
      </w:r>
      <w:r>
        <w:rPr>
          <w:rFonts w:ascii="Arial" w:cs="Arial" w:eastAsia="Arial" w:hAnsi="Arial"/>
          <w:sz w:val="19"/>
          <w:szCs w:val="19"/>
          <w:i w:val="1"/>
          <w:iCs w:val="1"/>
          <w:color w:val="2A2A2A"/>
        </w:rPr>
        <w:t xml:space="preserve"> </w:t>
      </w:r>
      <w:r>
        <w:rPr>
          <w:rFonts w:ascii="Arial" w:cs="Arial" w:eastAsia="Arial" w:hAnsi="Arial"/>
          <w:sz w:val="19"/>
          <w:szCs w:val="19"/>
          <w:color w:val="2A2A2A"/>
        </w:rPr>
        <w:t>either the equity method or at cost with adjustments to observable market changes or impairments).</w:t>
      </w:r>
    </w:p>
    <w:p>
      <w:pPr>
        <w:spacing w:after="0" w:line="28" w:lineRule="exact"/>
        <w:rPr>
          <w:rFonts w:ascii="Arial" w:cs="Arial" w:eastAsia="Arial" w:hAnsi="Arial"/>
          <w:sz w:val="19"/>
          <w:szCs w:val="19"/>
          <w:color w:val="2A2A2A"/>
        </w:rPr>
      </w:pPr>
    </w:p>
    <w:p>
      <w:pPr>
        <w:ind w:left="720" w:hanging="361"/>
        <w:spacing w:after="0"/>
        <w:tabs>
          <w:tab w:leader="none" w:pos="720" w:val="left"/>
        </w:tabs>
        <w:numPr>
          <w:ilvl w:val="0"/>
          <w:numId w:val="14"/>
        </w:numPr>
        <w:rPr>
          <w:rFonts w:ascii="Arial" w:cs="Arial" w:eastAsia="Arial" w:hAnsi="Arial"/>
          <w:sz w:val="20"/>
          <w:szCs w:val="20"/>
          <w:color w:val="2A2A2A"/>
        </w:rPr>
      </w:pPr>
      <w:r>
        <w:rPr>
          <w:rFonts w:ascii="Arial" w:cs="Arial" w:eastAsia="Arial" w:hAnsi="Arial"/>
          <w:sz w:val="20"/>
          <w:szCs w:val="20"/>
          <w:i w:val="1"/>
          <w:iCs w:val="1"/>
          <w:color w:val="2A2A2A"/>
        </w:rPr>
        <w:t xml:space="preserve">Equity investments </w:t>
      </w:r>
      <w:r>
        <w:rPr>
          <w:rFonts w:ascii="Arial" w:cs="Arial" w:eastAsia="Arial" w:hAnsi="Arial"/>
          <w:sz w:val="20"/>
          <w:szCs w:val="20"/>
          <w:color w:val="2A2A2A"/>
        </w:rPr>
        <w:t>– includes nonmarketable (nonpublicly traded) equity securities.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199" w:lineRule="exact"/>
        <w:rPr>
          <w:sz w:val="20"/>
          <w:szCs w:val="20"/>
          <w:color w:val="auto"/>
        </w:rPr>
      </w:pPr>
    </w:p>
    <w:p>
      <w:pPr>
        <w:spacing w:after="0" w:line="289" w:lineRule="auto"/>
        <w:rPr>
          <w:sz w:val="20"/>
          <w:szCs w:val="20"/>
          <w:color w:val="auto"/>
        </w:rPr>
      </w:pPr>
      <w:r>
        <w:rPr>
          <w:rFonts w:ascii="Arial" w:cs="Arial" w:eastAsia="Arial" w:hAnsi="Arial"/>
          <w:sz w:val="19"/>
          <w:szCs w:val="19"/>
          <w:color w:val="2A2A2A"/>
        </w:rPr>
        <w:t>We also utilize total return swaps to economically hedge exposure to changes in liabilities related to the market risks of certain deferred compensation arrangements with employees. Gains or losses from changes in the fair value of these total return swaps generally offset the related losses or gains on the deferred compensation liabilities.</w:t>
      </w:r>
    </w:p>
    <w:p>
      <w:pPr>
        <w:sectPr>
          <w:pgSz w:w="12240" w:h="15840" w:orient="portrait"/>
          <w:cols w:equalWidth="0" w:num="1">
            <w:col w:w="10240"/>
          </w:cols>
          <w:pgMar w:left="980" w:top="653"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24</w:t>
      </w:r>
    </w:p>
    <w:p>
      <w:pPr>
        <w:sectPr>
          <w:pgSz w:w="12240" w:h="15840" w:orient="portrait"/>
          <w:cols w:equalWidth="0" w:num="1">
            <w:col w:w="10240"/>
          </w:cols>
          <w:pgMar w:left="980" w:top="653" w:right="1020" w:bottom="24" w:gutter="0" w:footer="0" w:header="0"/>
          <w:type w:val="continuous"/>
        </w:sectPr>
      </w:pPr>
    </w:p>
    <w:bookmarkStart w:id="30" w:name="page31"/>
    <w:bookmarkEnd w:id="30"/>
    <w:p>
      <w:pPr>
        <w:spacing w:after="0"/>
        <w:rPr>
          <w:sz w:val="20"/>
          <w:szCs w:val="20"/>
          <w:color w:val="auto"/>
        </w:rPr>
      </w:pPr>
      <w:r>
        <w:rPr>
          <w:rFonts w:ascii="Arial" w:cs="Arial" w:eastAsia="Arial" w:hAnsi="Arial"/>
          <w:sz w:val="24"/>
          <w:szCs w:val="24"/>
          <w:b w:val="1"/>
          <w:bCs w:val="1"/>
          <w:color w:val="2A2A2A"/>
        </w:rPr>
        <w:t>ITEM 8. Financial statements and supplementary data</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2A2A2A"/>
        </w:rPr>
        <w:t>List of financial statements:</w:t>
      </w:r>
    </w:p>
    <w:p>
      <w:pPr>
        <w:spacing w:after="0" w:line="250"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Income for each of the three years in the period ended December 31, 2023.</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Comprehensive income for each of the three years in the period ended December 31, 2023.</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Balance sheets as of December 31, 2023 and 2022.</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Cash flows for each of the three years in the period ended December 31, 2023.</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Stockholders’ equity for each of the three years in the period ended December 31, 2023.</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15"/>
        </w:numPr>
        <w:rPr>
          <w:rFonts w:ascii="Arial" w:cs="Arial" w:eastAsia="Arial" w:hAnsi="Arial"/>
          <w:sz w:val="20"/>
          <w:szCs w:val="20"/>
          <w:color w:val="2A2A2A"/>
        </w:rPr>
      </w:pPr>
      <w:r>
        <w:rPr>
          <w:rFonts w:ascii="Arial" w:cs="Arial" w:eastAsia="Arial" w:hAnsi="Arial"/>
          <w:sz w:val="20"/>
          <w:szCs w:val="20"/>
          <w:color w:val="2A2A2A"/>
        </w:rPr>
        <w:t>Reports of independent registered public accounting firm (PCAOB ID: 42).</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ectPr>
          <w:pgSz w:w="12240" w:h="15840" w:orient="portrait"/>
          <w:cols w:equalWidth="0" w:num="1">
            <w:col w:w="10240"/>
          </w:cols>
          <w:pgMar w:left="980" w:top="653"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25</w:t>
      </w:r>
    </w:p>
    <w:p>
      <w:pPr>
        <w:sectPr>
          <w:pgSz w:w="12240" w:h="15840" w:orient="portrait"/>
          <w:cols w:equalWidth="0" w:num="1">
            <w:col w:w="10240"/>
          </w:cols>
          <w:pgMar w:left="980" w:top="653" w:right="1020" w:bottom="24"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87"/>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22"/>
                <w:szCs w:val="22"/>
                <w:b w:val="1"/>
                <w:bCs w:val="1"/>
                <w:color w:val="2A2A2A"/>
              </w:rPr>
              <w:t>Consolidated Statements of Income</w:t>
            </w:r>
          </w:p>
        </w:tc>
        <w:tc>
          <w:tcPr>
            <w:tcW w:w="280" w:type="dxa"/>
            <w:vAlign w:val="bottom"/>
            <w:tcBorders>
              <w:bottom w:val="single" w:sz="8" w:color="2A2A2A"/>
            </w:tcBorders>
          </w:tcPr>
          <w:p>
            <w:pPr>
              <w:spacing w:after="0"/>
              <w:rPr>
                <w:sz w:val="24"/>
                <w:szCs w:val="24"/>
                <w:color w:val="auto"/>
              </w:rPr>
            </w:pPr>
          </w:p>
        </w:tc>
        <w:tc>
          <w:tcPr>
            <w:tcW w:w="3160" w:type="dxa"/>
            <w:vAlign w:val="bottom"/>
            <w:tcBorders>
              <w:bottom w:val="single" w:sz="8" w:color="2A2A2A"/>
            </w:tcBorders>
            <w:gridSpan w:val="7"/>
          </w:tcPr>
          <w:p>
            <w:pPr>
              <w:jc w:val="right"/>
              <w:ind w:right="441"/>
              <w:spacing w:after="0"/>
              <w:rPr>
                <w:sz w:val="20"/>
                <w:szCs w:val="20"/>
                <w:color w:val="auto"/>
              </w:rPr>
            </w:pPr>
            <w:r>
              <w:rPr>
                <w:rFonts w:ascii="Arial" w:cs="Arial" w:eastAsia="Arial" w:hAnsi="Arial"/>
                <w:sz w:val="16"/>
                <w:szCs w:val="16"/>
                <w:b w:val="1"/>
                <w:bCs w:val="1"/>
                <w:color w:val="2A2A2A"/>
              </w:rPr>
              <w:t>For Years Ended December 31,</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(In millions, except per-share amounts)</w:t>
            </w: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2"/>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1"/>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2021</w:t>
            </w:r>
          </w:p>
        </w:tc>
        <w:tc>
          <w:tcPr>
            <w:tcW w:w="0" w:type="dxa"/>
            <w:vAlign w:val="bottom"/>
          </w:tcPr>
          <w:p>
            <w:pPr>
              <w:spacing w:after="0"/>
              <w:rPr>
                <w:sz w:val="1"/>
                <w:szCs w:val="1"/>
                <w:color w:val="auto"/>
              </w:rPr>
            </w:pP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w:t>
            </w:r>
          </w:p>
        </w:tc>
        <w:tc>
          <w:tcPr>
            <w:tcW w:w="280" w:type="dxa"/>
            <w:vAlign w:val="bottom"/>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17,519</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20,028</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18,344</w:t>
            </w:r>
          </w:p>
        </w:tc>
        <w:tc>
          <w:tcPr>
            <w:tcW w:w="0" w:type="dxa"/>
            <w:vAlign w:val="bottom"/>
          </w:tcPr>
          <w:p>
            <w:pPr>
              <w:spacing w:after="0"/>
              <w:rPr>
                <w:sz w:val="1"/>
                <w:szCs w:val="1"/>
                <w:color w:val="auto"/>
              </w:rPr>
            </w:pPr>
          </w:p>
        </w:tc>
      </w:tr>
      <w:tr>
        <w:trPr>
          <w:trHeight w:val="260"/>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Cost of revenue (COR)</w:t>
            </w: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6,500</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6,257</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5,968</w:t>
            </w:r>
          </w:p>
        </w:tc>
        <w:tc>
          <w:tcPr>
            <w:tcW w:w="0" w:type="dxa"/>
            <w:vAlign w:val="bottom"/>
          </w:tcPr>
          <w:p>
            <w:pPr>
              <w:spacing w:after="0"/>
              <w:rPr>
                <w:sz w:val="1"/>
                <w:szCs w:val="1"/>
                <w:color w:val="auto"/>
              </w:rPr>
            </w:pP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Gross profit</w:t>
            </w: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11,019</w:t>
            </w: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13,771</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12,376</w:t>
            </w:r>
          </w:p>
        </w:tc>
        <w:tc>
          <w:tcPr>
            <w:tcW w:w="0" w:type="dxa"/>
            <w:vAlign w:val="bottom"/>
          </w:tcPr>
          <w:p>
            <w:pPr>
              <w:spacing w:after="0"/>
              <w:rPr>
                <w:sz w:val="1"/>
                <w:szCs w:val="1"/>
                <w:color w:val="auto"/>
              </w:rPr>
            </w:pP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Research and development (R&amp;D)</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1,863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1,670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1,554</w:t>
            </w:r>
          </w:p>
        </w:tc>
        <w:tc>
          <w:tcPr>
            <w:tcW w:w="0" w:type="dxa"/>
            <w:vAlign w:val="bottom"/>
          </w:tcPr>
          <w:p>
            <w:pPr>
              <w:spacing w:after="0"/>
              <w:rPr>
                <w:sz w:val="1"/>
                <w:szCs w:val="1"/>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Selling, general and administrative (SG&amp;A)</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1,825</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1,704</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1,666</w:t>
            </w:r>
          </w:p>
        </w:tc>
        <w:tc>
          <w:tcPr>
            <w:tcW w:w="0" w:type="dxa"/>
            <w:vAlign w:val="bottom"/>
          </w:tcPr>
          <w:p>
            <w:pPr>
              <w:spacing w:after="0"/>
              <w:rPr>
                <w:sz w:val="1"/>
                <w:szCs w:val="1"/>
                <w:color w:val="auto"/>
              </w:rPr>
            </w:pP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Acquisition charges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142</w:t>
            </w:r>
          </w:p>
        </w:tc>
        <w:tc>
          <w:tcPr>
            <w:tcW w:w="0" w:type="dxa"/>
            <w:vAlign w:val="bottom"/>
          </w:tcPr>
          <w:p>
            <w:pPr>
              <w:spacing w:after="0"/>
              <w:rPr>
                <w:sz w:val="1"/>
                <w:szCs w:val="1"/>
                <w:color w:val="auto"/>
              </w:rPr>
            </w:pPr>
          </w:p>
        </w:tc>
      </w:tr>
      <w:tr>
        <w:trPr>
          <w:trHeight w:val="280"/>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Restructuring charges/other</w:t>
            </w: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257</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54</w:t>
            </w:r>
          </w:p>
        </w:tc>
        <w:tc>
          <w:tcPr>
            <w:tcW w:w="0" w:type="dxa"/>
            <w:vAlign w:val="bottom"/>
          </w:tcPr>
          <w:p>
            <w:pPr>
              <w:spacing w:after="0"/>
              <w:rPr>
                <w:sz w:val="1"/>
                <w:szCs w:val="1"/>
                <w:color w:val="auto"/>
              </w:rPr>
            </w:pPr>
          </w:p>
        </w:tc>
      </w:tr>
      <w:tr>
        <w:trPr>
          <w:trHeight w:val="240"/>
        </w:trPr>
        <w:tc>
          <w:tcPr>
            <w:tcW w:w="6820" w:type="dxa"/>
            <w:vAlign w:val="bottom"/>
          </w:tcPr>
          <w:p>
            <w:pPr>
              <w:ind w:left="60"/>
              <w:spacing w:after="0"/>
              <w:rPr>
                <w:sz w:val="20"/>
                <w:szCs w:val="20"/>
                <w:color w:val="auto"/>
              </w:rPr>
            </w:pPr>
            <w:r>
              <w:rPr>
                <w:rFonts w:ascii="Arial" w:cs="Arial" w:eastAsia="Arial" w:hAnsi="Arial"/>
                <w:sz w:val="20"/>
                <w:szCs w:val="20"/>
                <w:color w:val="2A2A2A"/>
              </w:rPr>
              <w:t>Operating profit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7,331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10,140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8,960</w:t>
            </w:r>
          </w:p>
        </w:tc>
        <w:tc>
          <w:tcPr>
            <w:tcW w:w="0" w:type="dxa"/>
            <w:vAlign w:val="bottom"/>
          </w:tcPr>
          <w:p>
            <w:pPr>
              <w:spacing w:after="0"/>
              <w:rPr>
                <w:sz w:val="1"/>
                <w:szCs w:val="1"/>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Other income (expense), net (OI&amp;E)</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440</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106</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143</w:t>
            </w:r>
          </w:p>
        </w:tc>
        <w:tc>
          <w:tcPr>
            <w:tcW w:w="0" w:type="dxa"/>
            <w:vAlign w:val="bottom"/>
          </w:tcPr>
          <w:p>
            <w:pPr>
              <w:spacing w:after="0"/>
              <w:rPr>
                <w:sz w:val="1"/>
                <w:szCs w:val="1"/>
                <w:color w:val="auto"/>
              </w:rPr>
            </w:pPr>
          </w:p>
        </w:tc>
      </w:tr>
      <w:tr>
        <w:trPr>
          <w:trHeight w:val="260"/>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Interest and debt expense</w:t>
            </w: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353</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214</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184</w:t>
            </w:r>
          </w:p>
        </w:tc>
        <w:tc>
          <w:tcPr>
            <w:tcW w:w="0" w:type="dxa"/>
            <w:vAlign w:val="bottom"/>
          </w:tcPr>
          <w:p>
            <w:pPr>
              <w:spacing w:after="0"/>
              <w:rPr>
                <w:sz w:val="1"/>
                <w:szCs w:val="1"/>
                <w:color w:val="auto"/>
              </w:rPr>
            </w:pP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Income before income taxes</w:t>
            </w: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7,418</w:t>
            </w: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10,032</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8,919</w:t>
            </w:r>
          </w:p>
        </w:tc>
        <w:tc>
          <w:tcPr>
            <w:tcW w:w="0" w:type="dxa"/>
            <w:vAlign w:val="bottom"/>
          </w:tcPr>
          <w:p>
            <w:pPr>
              <w:spacing w:after="0"/>
              <w:rPr>
                <w:sz w:val="1"/>
                <w:szCs w:val="1"/>
                <w:color w:val="auto"/>
              </w:rPr>
            </w:pPr>
          </w:p>
        </w:tc>
      </w:tr>
      <w:tr>
        <w:trPr>
          <w:trHeight w:val="260"/>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Provision for income taxes</w:t>
            </w: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908</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1,283</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1,150</w:t>
            </w:r>
          </w:p>
        </w:tc>
        <w:tc>
          <w:tcPr>
            <w:tcW w:w="0" w:type="dxa"/>
            <w:vAlign w:val="bottom"/>
          </w:tcPr>
          <w:p>
            <w:pPr>
              <w:spacing w:after="0"/>
              <w:rPr>
                <w:sz w:val="1"/>
                <w:szCs w:val="1"/>
                <w:color w:val="auto"/>
              </w:rPr>
            </w:pP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Net income</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6,510</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8,749</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7,769</w:t>
            </w:r>
          </w:p>
        </w:tc>
        <w:tc>
          <w:tcPr>
            <w:tcW w:w="0" w:type="dxa"/>
            <w:vAlign w:val="bottom"/>
          </w:tcPr>
          <w:p>
            <w:pPr>
              <w:spacing w:after="0"/>
              <w:rPr>
                <w:sz w:val="1"/>
                <w:szCs w:val="1"/>
                <w:color w:val="auto"/>
              </w:rPr>
            </w:pP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Earnings per common share (EPS):</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20" w:type="dxa"/>
            <w:vAlign w:val="bottom"/>
          </w:tcPr>
          <w:p>
            <w:pPr>
              <w:ind w:left="180"/>
              <w:spacing w:after="0"/>
              <w:rPr>
                <w:sz w:val="20"/>
                <w:szCs w:val="20"/>
                <w:color w:val="auto"/>
              </w:rPr>
            </w:pPr>
            <w:r>
              <w:rPr>
                <w:rFonts w:ascii="Arial" w:cs="Arial" w:eastAsia="Arial" w:hAnsi="Arial"/>
                <w:sz w:val="20"/>
                <w:szCs w:val="20"/>
                <w:color w:val="2A2A2A"/>
              </w:rPr>
              <w:t>Basic</w:t>
            </w:r>
          </w:p>
        </w:tc>
        <w:tc>
          <w:tcPr>
            <w:tcW w:w="280" w:type="dxa"/>
            <w:vAlign w:val="bottom"/>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7.13</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9.51</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8.38</w:t>
            </w:r>
          </w:p>
        </w:tc>
        <w:tc>
          <w:tcPr>
            <w:tcW w:w="0" w:type="dxa"/>
            <w:vAlign w:val="bottom"/>
          </w:tcPr>
          <w:p>
            <w:pPr>
              <w:spacing w:after="0"/>
              <w:rPr>
                <w:sz w:val="1"/>
                <w:szCs w:val="1"/>
                <w:color w:val="auto"/>
              </w:rPr>
            </w:pPr>
          </w:p>
        </w:tc>
      </w:tr>
      <w:tr>
        <w:trPr>
          <w:trHeight w:val="20"/>
        </w:trPr>
        <w:tc>
          <w:tcPr>
            <w:tcW w:w="6820" w:type="dxa"/>
            <w:vAlign w:val="bottom"/>
            <w:tcBorders>
              <w:bottom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6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6820" w:type="dxa"/>
            <w:vAlign w:val="bottom"/>
            <w:tcBorders>
              <w:bottom w:val="single" w:sz="8" w:color="D7D7D7"/>
            </w:tcBorders>
            <w:shd w:val="clear" w:color="auto" w:fill="D7D7D7"/>
          </w:tcPr>
          <w:p>
            <w:pPr>
              <w:ind w:left="180"/>
              <w:spacing w:after="0" w:line="210" w:lineRule="exact"/>
              <w:rPr>
                <w:sz w:val="20"/>
                <w:szCs w:val="20"/>
                <w:color w:val="auto"/>
              </w:rPr>
            </w:pPr>
            <w:r>
              <w:rPr>
                <w:rFonts w:ascii="Arial" w:cs="Arial" w:eastAsia="Arial" w:hAnsi="Arial"/>
                <w:sz w:val="20"/>
                <w:szCs w:val="20"/>
                <w:color w:val="2A2A2A"/>
              </w:rPr>
              <w:t>Diluted</w:t>
            </w:r>
          </w:p>
        </w:tc>
        <w:tc>
          <w:tcPr>
            <w:tcW w:w="280" w:type="dxa"/>
            <w:vAlign w:val="bottom"/>
            <w:tcBorders>
              <w:bottom w:val="single" w:sz="8" w:color="2A2A2A"/>
            </w:tcBorders>
            <w:shd w:val="clear" w:color="auto" w:fill="D7D7D7"/>
          </w:tcPr>
          <w:p>
            <w:pPr>
              <w:jc w:val="right"/>
              <w:ind w:right="20"/>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line="210" w:lineRule="exact"/>
              <w:rPr>
                <w:sz w:val="20"/>
                <w:szCs w:val="20"/>
                <w:color w:val="auto"/>
              </w:rPr>
            </w:pPr>
            <w:r>
              <w:rPr>
                <w:rFonts w:ascii="Arial" w:cs="Arial" w:eastAsia="Arial" w:hAnsi="Arial"/>
                <w:sz w:val="20"/>
                <w:szCs w:val="20"/>
                <w:b w:val="1"/>
                <w:bCs w:val="1"/>
                <w:color w:val="2A2A2A"/>
              </w:rPr>
              <w:t>7.07</w:t>
            </w:r>
          </w:p>
        </w:tc>
        <w:tc>
          <w:tcPr>
            <w:tcW w:w="80" w:type="dxa"/>
            <w:vAlign w:val="bottom"/>
            <w:tcBorders>
              <w:bottom w:val="single" w:sz="8" w:color="D7D7D7"/>
            </w:tcBorders>
            <w:shd w:val="clear" w:color="auto" w:fill="D7D7D7"/>
          </w:tcPr>
          <w:p>
            <w:pPr>
              <w:spacing w:after="0"/>
              <w:rPr>
                <w:sz w:val="20"/>
                <w:szCs w:val="20"/>
                <w:color w:val="auto"/>
              </w:rPr>
            </w:pPr>
          </w:p>
        </w:tc>
        <w:tc>
          <w:tcPr>
            <w:tcW w:w="260" w:type="dxa"/>
            <w:vAlign w:val="bottom"/>
            <w:tcBorders>
              <w:bottom w:val="single" w:sz="8" w:color="2A2A2A"/>
            </w:tcBorders>
            <w:shd w:val="clear" w:color="auto" w:fill="D7D7D7"/>
          </w:tcPr>
          <w:p>
            <w:pPr>
              <w:jc w:val="right"/>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line="210" w:lineRule="exact"/>
              <w:rPr>
                <w:sz w:val="20"/>
                <w:szCs w:val="20"/>
                <w:color w:val="auto"/>
              </w:rPr>
            </w:pPr>
            <w:r>
              <w:rPr>
                <w:rFonts w:ascii="Arial" w:cs="Arial" w:eastAsia="Arial" w:hAnsi="Arial"/>
                <w:sz w:val="20"/>
                <w:szCs w:val="20"/>
                <w:color w:val="2A2A2A"/>
              </w:rPr>
              <w:t>9.41</w:t>
            </w:r>
          </w:p>
        </w:tc>
        <w:tc>
          <w:tcPr>
            <w:tcW w:w="80" w:type="dxa"/>
            <w:vAlign w:val="bottom"/>
            <w:tcBorders>
              <w:bottom w:val="single" w:sz="8" w:color="D7D7D7"/>
            </w:tcBorders>
            <w:shd w:val="clear" w:color="auto" w:fill="D7D7D7"/>
          </w:tcPr>
          <w:p>
            <w:pPr>
              <w:spacing w:after="0"/>
              <w:rPr>
                <w:sz w:val="20"/>
                <w:szCs w:val="20"/>
                <w:color w:val="auto"/>
              </w:rPr>
            </w:pPr>
          </w:p>
        </w:tc>
        <w:tc>
          <w:tcPr>
            <w:tcW w:w="280" w:type="dxa"/>
            <w:vAlign w:val="bottom"/>
            <w:tcBorders>
              <w:bottom w:val="single" w:sz="8" w:color="2A2A2A"/>
            </w:tcBorders>
            <w:shd w:val="clear" w:color="auto" w:fill="D7D7D7"/>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line="210" w:lineRule="exact"/>
              <w:rPr>
                <w:sz w:val="20"/>
                <w:szCs w:val="20"/>
                <w:color w:val="auto"/>
              </w:rPr>
            </w:pPr>
            <w:r>
              <w:rPr>
                <w:rFonts w:ascii="Arial" w:cs="Arial" w:eastAsia="Arial" w:hAnsi="Arial"/>
                <w:sz w:val="20"/>
                <w:szCs w:val="20"/>
                <w:color w:val="2A2A2A"/>
              </w:rPr>
              <w:t>8.26</w:t>
            </w:r>
          </w:p>
        </w:tc>
        <w:tc>
          <w:tcPr>
            <w:tcW w:w="0" w:type="dxa"/>
            <w:vAlign w:val="bottom"/>
          </w:tcPr>
          <w:p>
            <w:pPr>
              <w:spacing w:after="0"/>
              <w:rPr>
                <w:sz w:val="1"/>
                <w:szCs w:val="1"/>
                <w:color w:val="auto"/>
              </w:rPr>
            </w:pP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Average shares outstanding:</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20" w:type="dxa"/>
            <w:vAlign w:val="bottom"/>
          </w:tcPr>
          <w:p>
            <w:pPr>
              <w:ind w:left="180"/>
              <w:spacing w:after="0"/>
              <w:rPr>
                <w:sz w:val="20"/>
                <w:szCs w:val="20"/>
                <w:color w:val="auto"/>
              </w:rPr>
            </w:pPr>
            <w:r>
              <w:rPr>
                <w:rFonts w:ascii="Arial" w:cs="Arial" w:eastAsia="Arial" w:hAnsi="Arial"/>
                <w:sz w:val="20"/>
                <w:szCs w:val="20"/>
                <w:color w:val="2A2A2A"/>
              </w:rPr>
              <w:t>Basic</w:t>
            </w:r>
          </w:p>
        </w:tc>
        <w:tc>
          <w:tcPr>
            <w:tcW w:w="28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908</w:t>
            </w:r>
          </w:p>
        </w:tc>
        <w:tc>
          <w:tcPr>
            <w:tcW w:w="80" w:type="dxa"/>
            <w:vAlign w:val="bottom"/>
          </w:tcPr>
          <w:p>
            <w:pPr>
              <w:spacing w:after="0"/>
              <w:rPr>
                <w:sz w:val="20"/>
                <w:szCs w:val="20"/>
                <w:color w:val="auto"/>
              </w:rPr>
            </w:pPr>
          </w:p>
        </w:tc>
        <w:tc>
          <w:tcPr>
            <w:tcW w:w="26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916</w:t>
            </w:r>
          </w:p>
        </w:tc>
        <w:tc>
          <w:tcPr>
            <w:tcW w:w="80" w:type="dxa"/>
            <w:vAlign w:val="bottom"/>
          </w:tcPr>
          <w:p>
            <w:pPr>
              <w:spacing w:after="0"/>
              <w:rPr>
                <w:sz w:val="20"/>
                <w:szCs w:val="20"/>
                <w:color w:val="auto"/>
              </w:rPr>
            </w:pPr>
          </w:p>
        </w:tc>
        <w:tc>
          <w:tcPr>
            <w:tcW w:w="28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923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180"/>
              <w:spacing w:after="0"/>
              <w:rPr>
                <w:sz w:val="20"/>
                <w:szCs w:val="20"/>
                <w:color w:val="auto"/>
              </w:rPr>
            </w:pPr>
            <w:r>
              <w:rPr>
                <w:rFonts w:ascii="Arial" w:cs="Arial" w:eastAsia="Arial" w:hAnsi="Arial"/>
                <w:sz w:val="20"/>
                <w:szCs w:val="20"/>
                <w:color w:val="2A2A2A"/>
              </w:rPr>
              <w:t>Diluted</w:t>
            </w: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28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916</w:t>
            </w:r>
          </w:p>
        </w:tc>
        <w:tc>
          <w:tcPr>
            <w:tcW w:w="8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926</w:t>
            </w:r>
          </w:p>
        </w:tc>
        <w:tc>
          <w:tcPr>
            <w:tcW w:w="80" w:type="dxa"/>
            <w:vAlign w:val="bottom"/>
          </w:tcPr>
          <w:p>
            <w:pPr>
              <w:spacing w:after="0"/>
              <w:rPr>
                <w:sz w:val="18"/>
                <w:szCs w:val="18"/>
                <w:color w:val="auto"/>
              </w:rPr>
            </w:pPr>
          </w:p>
        </w:tc>
        <w:tc>
          <w:tcPr>
            <w:tcW w:w="28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936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-3650615</wp:posOffset>
            </wp:positionV>
            <wp:extent cx="65405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-3307715</wp:posOffset>
            </wp:positionV>
            <wp:extent cx="220662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-2450465</wp:posOffset>
            </wp:positionV>
            <wp:extent cx="220662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-1936115</wp:posOffset>
            </wp:positionV>
            <wp:extent cx="220662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-1593215</wp:posOffset>
            </wp:positionV>
            <wp:extent cx="220662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-1434465</wp:posOffset>
            </wp:positionV>
            <wp:extent cx="220662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-885190</wp:posOffset>
            </wp:positionV>
            <wp:extent cx="220662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-739140</wp:posOffset>
            </wp:positionV>
            <wp:extent cx="6540500" cy="1965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00" cy="1965325"/>
                    </a:xfrm>
                    <a:prstGeom prst="rect">
                      <a:avLst/>
                    </a:prstGeom>
                    <a:noFill/>
                  </pic:spPr>
                </pic:pic>
              </a:graphicData>
            </a:graphic>
          </wp:anchor>
        </w:drawing>
      </w:r>
    </w:p>
    <w:p>
      <w:pPr>
        <w:spacing w:after="0" w:line="262" w:lineRule="exact"/>
        <w:rPr>
          <w:sz w:val="20"/>
          <w:szCs w:val="20"/>
          <w:color w:val="auto"/>
        </w:rPr>
      </w:pPr>
    </w:p>
    <w:p>
      <w:pPr>
        <w:ind w:left="60" w:right="1100"/>
        <w:spacing w:after="0" w:line="287" w:lineRule="auto"/>
        <w:rPr>
          <w:sz w:val="20"/>
          <w:szCs w:val="20"/>
          <w:color w:val="auto"/>
        </w:rPr>
      </w:pPr>
      <w:r>
        <w:rPr>
          <w:rFonts w:ascii="Arial" w:cs="Arial" w:eastAsia="Arial" w:hAnsi="Arial"/>
          <w:sz w:val="20"/>
          <w:szCs w:val="20"/>
          <w:color w:val="2A2A2A"/>
        </w:rPr>
        <w:t>A portion of net income is allocated to unvested restricted stock units (RSUs) on which we pay dividend equivalents. Diluted EPS is calculated using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20" w:type="dxa"/>
            <w:vAlign w:val="bottom"/>
          </w:tcPr>
          <w:p>
            <w:pPr>
              <w:ind w:left="60"/>
              <w:spacing w:after="0"/>
              <w:rPr>
                <w:sz w:val="20"/>
                <w:szCs w:val="20"/>
                <w:color w:val="auto"/>
              </w:rPr>
            </w:pPr>
            <w:r>
              <w:rPr>
                <w:rFonts w:ascii="Arial" w:cs="Arial" w:eastAsia="Arial" w:hAnsi="Arial"/>
                <w:sz w:val="20"/>
                <w:szCs w:val="20"/>
                <w:color w:val="2A2A2A"/>
              </w:rPr>
              <w:t>Net income</w:t>
            </w:r>
          </w:p>
        </w:tc>
        <w:tc>
          <w:tcPr>
            <w:tcW w:w="340" w:type="dxa"/>
            <w:vAlign w:val="bottom"/>
          </w:tcPr>
          <w:p>
            <w:pPr>
              <w:jc w:val="right"/>
              <w:ind w:right="80"/>
              <w:spacing w:after="0"/>
              <w:rPr>
                <w:sz w:val="20"/>
                <w:szCs w:val="20"/>
                <w:color w:val="auto"/>
              </w:rPr>
            </w:pPr>
            <w:r>
              <w:rPr>
                <w:rFonts w:ascii="Arial" w:cs="Arial" w:eastAsia="Arial" w:hAnsi="Arial"/>
                <w:sz w:val="20"/>
                <w:szCs w:val="20"/>
                <w:b w:val="1"/>
                <w:bCs w:val="1"/>
                <w:color w:val="2A2A2A"/>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A2A2A"/>
              </w:rPr>
              <w:t>6,510</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2A2A2A"/>
              </w:rPr>
              <w:t>$</w:t>
            </w:r>
          </w:p>
        </w:tc>
        <w:tc>
          <w:tcPr>
            <w:tcW w:w="740" w:type="dxa"/>
            <w:vAlign w:val="bottom"/>
          </w:tcPr>
          <w:p>
            <w:pPr>
              <w:jc w:val="right"/>
              <w:spacing w:after="0"/>
              <w:rPr>
                <w:sz w:val="20"/>
                <w:szCs w:val="20"/>
                <w:color w:val="auto"/>
              </w:rPr>
            </w:pPr>
            <w:r>
              <w:rPr>
                <w:rFonts w:ascii="Arial" w:cs="Arial" w:eastAsia="Arial" w:hAnsi="Arial"/>
                <w:sz w:val="20"/>
                <w:szCs w:val="20"/>
                <w:color w:val="2A2A2A"/>
              </w:rPr>
              <w:t>8,749</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2A2A2A"/>
              </w:rPr>
              <w:t>$</w:t>
            </w:r>
          </w:p>
        </w:tc>
        <w:tc>
          <w:tcPr>
            <w:tcW w:w="760" w:type="dxa"/>
            <w:vAlign w:val="bottom"/>
          </w:tcPr>
          <w:p>
            <w:pPr>
              <w:jc w:val="right"/>
              <w:spacing w:after="0"/>
              <w:rPr>
                <w:sz w:val="20"/>
                <w:szCs w:val="20"/>
                <w:color w:val="auto"/>
              </w:rPr>
            </w:pPr>
            <w:r>
              <w:rPr>
                <w:rFonts w:ascii="Arial" w:cs="Arial" w:eastAsia="Arial" w:hAnsi="Arial"/>
                <w:sz w:val="20"/>
                <w:szCs w:val="20"/>
                <w:color w:val="2A2A2A"/>
              </w:rPr>
              <w:t>7,769</w:t>
            </w:r>
          </w:p>
        </w:tc>
      </w:tr>
      <w:tr>
        <w:trPr>
          <w:trHeight w:val="280"/>
        </w:trPr>
        <w:tc>
          <w:tcPr>
            <w:tcW w:w="6820" w:type="dxa"/>
            <w:vAlign w:val="bottom"/>
          </w:tcPr>
          <w:p>
            <w:pPr>
              <w:ind w:left="60"/>
              <w:spacing w:after="0"/>
              <w:rPr>
                <w:sz w:val="20"/>
                <w:szCs w:val="20"/>
                <w:color w:val="auto"/>
              </w:rPr>
            </w:pPr>
            <w:r>
              <w:rPr>
                <w:rFonts w:ascii="Arial" w:cs="Arial" w:eastAsia="Arial" w:hAnsi="Arial"/>
                <w:sz w:val="20"/>
                <w:szCs w:val="20"/>
                <w:color w:val="2A2A2A"/>
              </w:rPr>
              <w:t>Income allocated to RSUs</w:t>
            </w:r>
          </w:p>
        </w:tc>
        <w:tc>
          <w:tcPr>
            <w:tcW w:w="340" w:type="dxa"/>
            <w:vAlign w:val="bottom"/>
            <w:tcBorders>
              <w:bottom w:val="single" w:sz="8" w:color="2A2A2A"/>
            </w:tcBorders>
          </w:tcPr>
          <w:p>
            <w:pPr>
              <w:spacing w:after="0"/>
              <w:rPr>
                <w:sz w:val="24"/>
                <w:szCs w:val="24"/>
                <w:color w:val="auto"/>
              </w:rPr>
            </w:pPr>
          </w:p>
        </w:tc>
        <w:tc>
          <w:tcPr>
            <w:tcW w:w="7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(33)</w:t>
            </w:r>
          </w:p>
        </w:tc>
        <w:tc>
          <w:tcPr>
            <w:tcW w:w="80" w:type="dxa"/>
            <w:vAlign w:val="bottom"/>
          </w:tcPr>
          <w:p>
            <w:pPr>
              <w:spacing w:after="0"/>
              <w:rPr>
                <w:sz w:val="24"/>
                <w:szCs w:val="24"/>
                <w:color w:val="auto"/>
              </w:rPr>
            </w:pPr>
          </w:p>
        </w:tc>
        <w:tc>
          <w:tcPr>
            <w:tcW w:w="340" w:type="dxa"/>
            <w:vAlign w:val="bottom"/>
            <w:tcBorders>
              <w:bottom w:val="single" w:sz="8" w:color="2A2A2A"/>
            </w:tcBorders>
          </w:tcPr>
          <w:p>
            <w:pPr>
              <w:spacing w:after="0"/>
              <w:rPr>
                <w:sz w:val="24"/>
                <w:szCs w:val="24"/>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(39)</w:t>
            </w:r>
          </w:p>
        </w:tc>
        <w:tc>
          <w:tcPr>
            <w:tcW w:w="80" w:type="dxa"/>
            <w:vAlign w:val="bottom"/>
          </w:tcPr>
          <w:p>
            <w:pPr>
              <w:spacing w:after="0"/>
              <w:rPr>
                <w:sz w:val="24"/>
                <w:szCs w:val="24"/>
                <w:color w:val="auto"/>
              </w:rPr>
            </w:pPr>
          </w:p>
        </w:tc>
        <w:tc>
          <w:tcPr>
            <w:tcW w:w="340" w:type="dxa"/>
            <w:vAlign w:val="bottom"/>
            <w:tcBorders>
              <w:bottom w:val="single" w:sz="8" w:color="2A2A2A"/>
            </w:tcBorders>
          </w:tcPr>
          <w:p>
            <w:pPr>
              <w:spacing w:after="0"/>
              <w:rPr>
                <w:sz w:val="24"/>
                <w:szCs w:val="24"/>
                <w:color w:val="auto"/>
              </w:rPr>
            </w:pPr>
          </w:p>
        </w:tc>
        <w:tc>
          <w:tcPr>
            <w:tcW w:w="76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(33)</w:t>
            </w:r>
          </w:p>
        </w:tc>
      </w:tr>
      <w:tr>
        <w:trPr>
          <w:trHeight w:val="210"/>
        </w:trPr>
        <w:tc>
          <w:tcPr>
            <w:tcW w:w="6820" w:type="dxa"/>
            <w:vAlign w:val="bottom"/>
          </w:tcPr>
          <w:p>
            <w:pPr>
              <w:ind w:left="60"/>
              <w:spacing w:after="0" w:line="210" w:lineRule="exact"/>
              <w:rPr>
                <w:sz w:val="20"/>
                <w:szCs w:val="20"/>
                <w:color w:val="auto"/>
              </w:rPr>
            </w:pPr>
            <w:r>
              <w:rPr>
                <w:rFonts w:ascii="Arial" w:cs="Arial" w:eastAsia="Arial" w:hAnsi="Arial"/>
                <w:sz w:val="20"/>
                <w:szCs w:val="20"/>
                <w:color w:val="2A2A2A"/>
              </w:rPr>
              <w:t>Income allocated to common stock for diluted EPS</w:t>
            </w:r>
          </w:p>
        </w:tc>
        <w:tc>
          <w:tcPr>
            <w:tcW w:w="340" w:type="dxa"/>
            <w:vAlign w:val="bottom"/>
            <w:tcBorders>
              <w:bottom w:val="single" w:sz="8" w:color="2A2A2A"/>
            </w:tcBorders>
          </w:tcPr>
          <w:p>
            <w:pPr>
              <w:jc w:val="right"/>
              <w:ind w:right="80"/>
              <w:spacing w:after="0" w:line="210" w:lineRule="exact"/>
              <w:rPr>
                <w:sz w:val="20"/>
                <w:szCs w:val="20"/>
                <w:color w:val="auto"/>
              </w:rPr>
            </w:pPr>
            <w:r>
              <w:rPr>
                <w:rFonts w:ascii="Arial" w:cs="Arial" w:eastAsia="Arial" w:hAnsi="Arial"/>
                <w:sz w:val="20"/>
                <w:szCs w:val="20"/>
                <w:b w:val="1"/>
                <w:bCs w:val="1"/>
                <w:color w:val="2A2A2A"/>
              </w:rPr>
              <w:t>$</w:t>
            </w:r>
          </w:p>
        </w:tc>
        <w:tc>
          <w:tcPr>
            <w:tcW w:w="7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6,477</w:t>
            </w:r>
          </w:p>
        </w:tc>
        <w:tc>
          <w:tcPr>
            <w:tcW w:w="80" w:type="dxa"/>
            <w:vAlign w:val="bottom"/>
          </w:tcPr>
          <w:p>
            <w:pPr>
              <w:spacing w:after="0"/>
              <w:rPr>
                <w:sz w:val="18"/>
                <w:szCs w:val="18"/>
                <w:color w:val="auto"/>
              </w:rPr>
            </w:pPr>
          </w:p>
        </w:tc>
        <w:tc>
          <w:tcPr>
            <w:tcW w:w="340" w:type="dxa"/>
            <w:vAlign w:val="bottom"/>
            <w:tcBorders>
              <w:bottom w:val="single" w:sz="8" w:color="2A2A2A"/>
            </w:tcBorders>
          </w:tcPr>
          <w:p>
            <w:pPr>
              <w:jc w:val="right"/>
              <w:ind w:right="80"/>
              <w:spacing w:after="0" w:line="210" w:lineRule="exact"/>
              <w:rPr>
                <w:sz w:val="20"/>
                <w:szCs w:val="20"/>
                <w:color w:val="auto"/>
              </w:rPr>
            </w:pPr>
            <w:r>
              <w:rPr>
                <w:rFonts w:ascii="Arial" w:cs="Arial" w:eastAsia="Arial" w:hAnsi="Arial"/>
                <w:sz w:val="20"/>
                <w:szCs w:val="20"/>
                <w:color w:val="2A2A2A"/>
              </w:rPr>
              <w:t>$</w:t>
            </w:r>
          </w:p>
        </w:tc>
        <w:tc>
          <w:tcPr>
            <w:tcW w:w="7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8,710</w:t>
            </w:r>
          </w:p>
        </w:tc>
        <w:tc>
          <w:tcPr>
            <w:tcW w:w="80" w:type="dxa"/>
            <w:vAlign w:val="bottom"/>
          </w:tcPr>
          <w:p>
            <w:pPr>
              <w:spacing w:after="0"/>
              <w:rPr>
                <w:sz w:val="18"/>
                <w:szCs w:val="18"/>
                <w:color w:val="auto"/>
              </w:rPr>
            </w:pPr>
          </w:p>
        </w:tc>
        <w:tc>
          <w:tcPr>
            <w:tcW w:w="340" w:type="dxa"/>
            <w:vAlign w:val="bottom"/>
            <w:tcBorders>
              <w:bottom w:val="single" w:sz="8" w:color="2A2A2A"/>
            </w:tcBorders>
          </w:tcPr>
          <w:p>
            <w:pPr>
              <w:jc w:val="right"/>
              <w:ind w:right="80"/>
              <w:spacing w:after="0" w:line="210" w:lineRule="exact"/>
              <w:rPr>
                <w:sz w:val="20"/>
                <w:szCs w:val="20"/>
                <w:color w:val="auto"/>
              </w:rPr>
            </w:pPr>
            <w:r>
              <w:rPr>
                <w:rFonts w:ascii="Arial" w:cs="Arial" w:eastAsia="Arial" w:hAnsi="Arial"/>
                <w:sz w:val="20"/>
                <w:szCs w:val="20"/>
                <w:color w:val="2A2A2A"/>
              </w:rPr>
              <w:t>$</w:t>
            </w:r>
          </w:p>
        </w:tc>
        <w:tc>
          <w:tcPr>
            <w:tcW w:w="7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7,736</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4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60" w:type="dxa"/>
            <w:vAlign w:val="bottom"/>
            <w:tcBorders>
              <w:bottom w:val="single" w:sz="8" w:color="2A2A2A"/>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A2A2A"/>
        </w:rPr>
        <w:t>See accompanying notes.</w:t>
      </w:r>
    </w:p>
    <w:p>
      <w:pPr>
        <w:sectPr>
          <w:pgSz w:w="12240" w:h="15840" w:orient="portrait"/>
          <w:cols w:equalWidth="0" w:num="1">
            <w:col w:w="10260"/>
          </w:cols>
          <w:pgMar w:left="980" w:top="692"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26</w:t>
      </w:r>
    </w:p>
    <w:p>
      <w:pPr>
        <w:sectPr>
          <w:pgSz w:w="12240" w:h="15840" w:orient="portrait"/>
          <w:cols w:equalWidth="0" w:num="1">
            <w:col w:w="10260"/>
          </w:cols>
          <w:pgMar w:left="980" w:top="692" w:right="1000" w:bottom="24"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87"/>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22"/>
                <w:szCs w:val="22"/>
                <w:b w:val="1"/>
                <w:bCs w:val="1"/>
                <w:color w:val="2A2A2A"/>
              </w:rPr>
              <w:t>Consolidated Statements of Comprehensive Income</w:t>
            </w:r>
          </w:p>
        </w:tc>
        <w:tc>
          <w:tcPr>
            <w:tcW w:w="280" w:type="dxa"/>
            <w:vAlign w:val="bottom"/>
            <w:tcBorders>
              <w:bottom w:val="single" w:sz="8" w:color="2A2A2A"/>
            </w:tcBorders>
          </w:tcPr>
          <w:p>
            <w:pPr>
              <w:spacing w:after="0"/>
              <w:rPr>
                <w:sz w:val="24"/>
                <w:szCs w:val="24"/>
                <w:color w:val="auto"/>
              </w:rPr>
            </w:pPr>
          </w:p>
        </w:tc>
        <w:tc>
          <w:tcPr>
            <w:tcW w:w="3160" w:type="dxa"/>
            <w:vAlign w:val="bottom"/>
            <w:tcBorders>
              <w:bottom w:val="single" w:sz="8" w:color="2A2A2A"/>
            </w:tcBorders>
            <w:gridSpan w:val="7"/>
          </w:tcPr>
          <w:p>
            <w:pPr>
              <w:jc w:val="right"/>
              <w:ind w:right="442"/>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(In millions)</w:t>
            </w: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4"/>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2"/>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2"/>
              <w:spacing w:after="0"/>
              <w:rPr>
                <w:sz w:val="20"/>
                <w:szCs w:val="20"/>
                <w:color w:val="auto"/>
              </w:rPr>
            </w:pPr>
            <w:r>
              <w:rPr>
                <w:rFonts w:ascii="Arial" w:cs="Arial" w:eastAsia="Arial" w:hAnsi="Arial"/>
                <w:sz w:val="16"/>
                <w:szCs w:val="16"/>
                <w:b w:val="1"/>
                <w:bCs w:val="1"/>
                <w:color w:val="2A2A2A"/>
              </w:rPr>
              <w:t>2021</w:t>
            </w: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Net income</w:t>
            </w:r>
          </w:p>
        </w:tc>
        <w:tc>
          <w:tcPr>
            <w:tcW w:w="280" w:type="dxa"/>
            <w:vAlign w:val="bottom"/>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6,510</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8,749</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7,769</w:t>
            </w:r>
          </w:p>
        </w:tc>
      </w:tr>
      <w:tr>
        <w:trPr>
          <w:trHeight w:val="268"/>
        </w:trPr>
        <w:tc>
          <w:tcPr>
            <w:tcW w:w="6820" w:type="dxa"/>
            <w:vAlign w:val="bottom"/>
          </w:tcPr>
          <w:p>
            <w:pPr>
              <w:ind w:left="60"/>
              <w:spacing w:after="0"/>
              <w:rPr>
                <w:sz w:val="20"/>
                <w:szCs w:val="20"/>
                <w:color w:val="auto"/>
              </w:rPr>
            </w:pPr>
            <w:r>
              <w:rPr>
                <w:rFonts w:ascii="Arial" w:cs="Arial" w:eastAsia="Arial" w:hAnsi="Arial"/>
                <w:sz w:val="20"/>
                <w:szCs w:val="20"/>
                <w:color w:val="2A2A2A"/>
              </w:rPr>
              <w:t>Other comprehensive income (loss)</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3"/>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Net actuarial losses of defined benefit plans:</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Adjustments, net of tax effect of ($9), $48 and ($56)</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27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(155)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175</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Recognized within net income, net of tax effect of ($5), ($17) and ($8)</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15</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61</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29</w:t>
            </w:r>
          </w:p>
        </w:tc>
      </w:tr>
      <w:tr>
        <w:trPr>
          <w:trHeight w:val="268"/>
        </w:trPr>
        <w:tc>
          <w:tcPr>
            <w:tcW w:w="6820" w:type="dxa"/>
            <w:vAlign w:val="bottom"/>
          </w:tcPr>
          <w:p>
            <w:pPr>
              <w:ind w:left="180"/>
              <w:spacing w:after="0"/>
              <w:rPr>
                <w:sz w:val="20"/>
                <w:szCs w:val="20"/>
                <w:color w:val="auto"/>
              </w:rPr>
            </w:pPr>
            <w:r>
              <w:rPr>
                <w:rFonts w:ascii="Arial" w:cs="Arial" w:eastAsia="Arial" w:hAnsi="Arial"/>
                <w:sz w:val="20"/>
                <w:szCs w:val="20"/>
                <w:color w:val="2A2A2A"/>
              </w:rPr>
              <w:t>Prior service cost (credit) of defined benefit plans:</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3"/>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Recognized within net income, net of tax effect of $0, $0 and $0</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w:t>
            </w:r>
          </w:p>
        </w:tc>
      </w:tr>
      <w:tr>
        <w:trPr>
          <w:trHeight w:val="268"/>
        </w:trPr>
        <w:tc>
          <w:tcPr>
            <w:tcW w:w="6820" w:type="dxa"/>
            <w:vAlign w:val="bottom"/>
          </w:tcPr>
          <w:p>
            <w:pPr>
              <w:ind w:left="180"/>
              <w:spacing w:after="0"/>
              <w:rPr>
                <w:sz w:val="20"/>
                <w:szCs w:val="20"/>
                <w:color w:val="auto"/>
              </w:rPr>
            </w:pPr>
            <w:r>
              <w:rPr>
                <w:rFonts w:ascii="Arial" w:cs="Arial" w:eastAsia="Arial" w:hAnsi="Arial"/>
                <w:sz w:val="20"/>
                <w:szCs w:val="20"/>
                <w:color w:val="2A2A2A"/>
              </w:rPr>
              <w:t>Derivative instruments:</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3"/>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Change in fair value, net of tax effect of $0, $0 and $0</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8"/>
        </w:trPr>
        <w:tc>
          <w:tcPr>
            <w:tcW w:w="6820" w:type="dxa"/>
            <w:vAlign w:val="bottom"/>
          </w:tcPr>
          <w:p>
            <w:pPr>
              <w:ind w:left="180"/>
              <w:spacing w:after="0"/>
              <w:rPr>
                <w:sz w:val="20"/>
                <w:szCs w:val="20"/>
                <w:color w:val="auto"/>
              </w:rPr>
            </w:pPr>
            <w:r>
              <w:rPr>
                <w:rFonts w:ascii="Arial" w:cs="Arial" w:eastAsia="Arial" w:hAnsi="Arial"/>
                <w:sz w:val="20"/>
                <w:szCs w:val="20"/>
                <w:color w:val="2A2A2A"/>
              </w:rPr>
              <w:t>Available-for-sale investments:</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83"/>
        </w:trPr>
        <w:tc>
          <w:tcPr>
            <w:tcW w:w="6820" w:type="dxa"/>
            <w:vAlign w:val="bottom"/>
            <w:tcBorders>
              <w:bottom w:val="single" w:sz="8" w:color="D7D7D7"/>
            </w:tcBorders>
            <w:shd w:val="clear" w:color="auto" w:fill="D7D7D7"/>
          </w:tcPr>
          <w:p>
            <w:pPr>
              <w:ind w:left="280"/>
              <w:spacing w:after="0"/>
              <w:rPr>
                <w:sz w:val="20"/>
                <w:szCs w:val="20"/>
                <w:color w:val="auto"/>
              </w:rPr>
            </w:pPr>
            <w:r>
              <w:rPr>
                <w:rFonts w:ascii="Arial" w:cs="Arial" w:eastAsia="Arial" w:hAnsi="Arial"/>
                <w:sz w:val="20"/>
                <w:szCs w:val="20"/>
                <w:color w:val="2A2A2A"/>
              </w:rPr>
              <w:t>Unrealized gains (losses), net of tax effect of ($1), $1 and $0</w:t>
            </w: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30"/>
        </w:trPr>
        <w:tc>
          <w:tcPr>
            <w:tcW w:w="682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 comprehensive income (loss), net of taxes</w:t>
            </w:r>
          </w:p>
        </w:tc>
        <w:tc>
          <w:tcPr>
            <w:tcW w:w="28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49</w:t>
            </w:r>
          </w:p>
        </w:tc>
        <w:tc>
          <w:tcPr>
            <w:tcW w:w="80" w:type="dxa"/>
            <w:vAlign w:val="bottom"/>
            <w:tcBorders>
              <w:bottom w:val="single" w:sz="8" w:color="D7D7D7"/>
            </w:tcBorders>
          </w:tcPr>
          <w:p>
            <w:pPr>
              <w:spacing w:after="0"/>
              <w:rPr>
                <w:sz w:val="20"/>
                <w:szCs w:val="20"/>
                <w:color w:val="auto"/>
              </w:rPr>
            </w:pPr>
          </w:p>
        </w:tc>
        <w:tc>
          <w:tcPr>
            <w:tcW w:w="26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(97)</w:t>
            </w:r>
          </w:p>
        </w:tc>
        <w:tc>
          <w:tcPr>
            <w:tcW w:w="80" w:type="dxa"/>
            <w:vAlign w:val="bottom"/>
            <w:tcBorders>
              <w:bottom w:val="single" w:sz="8" w:color="D7D7D7"/>
            </w:tcBorders>
          </w:tcPr>
          <w:p>
            <w:pPr>
              <w:spacing w:after="0"/>
              <w:rPr>
                <w:sz w:val="20"/>
                <w:szCs w:val="20"/>
                <w:color w:val="auto"/>
              </w:rPr>
            </w:pPr>
          </w:p>
        </w:tc>
        <w:tc>
          <w:tcPr>
            <w:tcW w:w="280" w:type="dxa"/>
            <w:vAlign w:val="bottom"/>
            <w:tcBorders>
              <w:bottom w:val="single" w:sz="8" w:color="2A2A2A"/>
            </w:tcBorders>
          </w:tcPr>
          <w:p>
            <w:pPr>
              <w:spacing w:after="0"/>
              <w:rPr>
                <w:sz w:val="20"/>
                <w:szCs w:val="20"/>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203</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comprehensive income</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6,559</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8,652</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7,972</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-2259965</wp:posOffset>
            </wp:positionV>
            <wp:extent cx="65405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-374015</wp:posOffset>
            </wp:positionV>
            <wp:extent cx="22066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-202565</wp:posOffset>
            </wp:positionV>
            <wp:extent cx="220662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-43815</wp:posOffset>
            </wp:positionV>
            <wp:extent cx="220662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6625" cy="25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A2A2A"/>
        </w:rPr>
        <w:t>See accompanying notes.</w:t>
      </w:r>
    </w:p>
    <w:p>
      <w:pPr>
        <w:sectPr>
          <w:pgSz w:w="12240" w:h="15840" w:orient="portrait"/>
          <w:cols w:equalWidth="0" w:num="1">
            <w:col w:w="10260"/>
          </w:cols>
          <w:pgMar w:left="980" w:top="692"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27</w:t>
      </w:r>
    </w:p>
    <w:p>
      <w:pPr>
        <w:sectPr>
          <w:pgSz w:w="12240" w:h="15840" w:orient="portrait"/>
          <w:cols w:equalWidth="0" w:num="1">
            <w:col w:w="10260"/>
          </w:cols>
          <w:pgMar w:left="980" w:top="692" w:right="1000" w:bottom="24"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87"/>
        </w:trPr>
        <w:tc>
          <w:tcPr>
            <w:tcW w:w="8000" w:type="dxa"/>
            <w:vAlign w:val="bottom"/>
            <w:tcBorders>
              <w:bottom w:val="single" w:sz="8" w:color="2A2A2A"/>
            </w:tcBorders>
          </w:tcPr>
          <w:p>
            <w:pPr>
              <w:ind w:left="60"/>
              <w:spacing w:after="0"/>
              <w:rPr>
                <w:sz w:val="20"/>
                <w:szCs w:val="20"/>
                <w:color w:val="auto"/>
              </w:rPr>
            </w:pPr>
            <w:r>
              <w:rPr>
                <w:rFonts w:ascii="Arial" w:cs="Arial" w:eastAsia="Arial" w:hAnsi="Arial"/>
                <w:sz w:val="22"/>
                <w:szCs w:val="22"/>
                <w:b w:val="1"/>
                <w:bCs w:val="1"/>
                <w:color w:val="2A2A2A"/>
              </w:rPr>
              <w:t>Consolidated Balance Sheets</w:t>
            </w:r>
          </w:p>
        </w:tc>
        <w:tc>
          <w:tcPr>
            <w:tcW w:w="240" w:type="dxa"/>
            <w:vAlign w:val="bottom"/>
            <w:tcBorders>
              <w:bottom w:val="single" w:sz="8" w:color="2A2A2A"/>
            </w:tcBorders>
          </w:tcPr>
          <w:p>
            <w:pPr>
              <w:spacing w:after="0"/>
              <w:rPr>
                <w:sz w:val="24"/>
                <w:szCs w:val="24"/>
                <w:color w:val="auto"/>
              </w:rPr>
            </w:pPr>
          </w:p>
        </w:tc>
        <w:tc>
          <w:tcPr>
            <w:tcW w:w="2020" w:type="dxa"/>
            <w:vAlign w:val="bottom"/>
            <w:tcBorders>
              <w:bottom w:val="single" w:sz="8" w:color="2A2A2A"/>
            </w:tcBorders>
            <w:gridSpan w:val="4"/>
          </w:tcPr>
          <w:p>
            <w:pPr>
              <w:jc w:val="right"/>
              <w:ind w:right="521"/>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(In millions, except par value)</w:t>
            </w:r>
          </w:p>
        </w:tc>
        <w:tc>
          <w:tcPr>
            <w:tcW w:w="24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61"/>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2022</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Assets</w:t>
            </w:r>
          </w:p>
        </w:tc>
        <w:tc>
          <w:tcPr>
            <w:tcW w:w="24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r>
      <w:tr>
        <w:trPr>
          <w:trHeight w:val="268"/>
        </w:trPr>
        <w:tc>
          <w:tcPr>
            <w:tcW w:w="8000" w:type="dxa"/>
            <w:vAlign w:val="bottom"/>
          </w:tcPr>
          <w:p>
            <w:pPr>
              <w:ind w:left="60"/>
              <w:spacing w:after="0"/>
              <w:rPr>
                <w:sz w:val="20"/>
                <w:szCs w:val="20"/>
                <w:color w:val="auto"/>
              </w:rPr>
            </w:pPr>
            <w:r>
              <w:rPr>
                <w:rFonts w:ascii="Arial" w:cs="Arial" w:eastAsia="Arial" w:hAnsi="Arial"/>
                <w:sz w:val="20"/>
                <w:szCs w:val="20"/>
                <w:color w:val="2A2A2A"/>
              </w:rPr>
              <w:t>Current assets: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3"/>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Cash and cash equivalents</w:t>
            </w:r>
          </w:p>
        </w:tc>
        <w:tc>
          <w:tcPr>
            <w:tcW w:w="2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2,964</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3,050</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Short-term investments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5,611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6,017</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Accounts receivable, net of allowances of ($16) and ($13)</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1,787</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1,895</w:t>
            </w:r>
          </w:p>
        </w:tc>
      </w:tr>
      <w:tr>
        <w:trPr>
          <w:trHeight w:val="270"/>
        </w:trPr>
        <w:tc>
          <w:tcPr>
            <w:tcW w:w="8000" w:type="dxa"/>
            <w:vAlign w:val="bottom"/>
          </w:tcPr>
          <w:p>
            <w:pPr>
              <w:ind w:left="280"/>
              <w:spacing w:after="0"/>
              <w:rPr>
                <w:sz w:val="20"/>
                <w:szCs w:val="20"/>
                <w:color w:val="auto"/>
              </w:rPr>
            </w:pPr>
            <w:r>
              <w:rPr>
                <w:rFonts w:ascii="Arial" w:cs="Arial" w:eastAsia="Arial" w:hAnsi="Arial"/>
                <w:sz w:val="20"/>
                <w:szCs w:val="20"/>
                <w:color w:val="2A2A2A"/>
              </w:rPr>
              <w:t>Raw materials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420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353</w:t>
            </w:r>
          </w:p>
        </w:tc>
      </w:tr>
      <w:tr>
        <w:trPr>
          <w:trHeight w:val="270"/>
        </w:trPr>
        <w:tc>
          <w:tcPr>
            <w:tcW w:w="80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Work in process</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2,109</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1,546</w:t>
            </w:r>
          </w:p>
        </w:tc>
      </w:tr>
      <w:tr>
        <w:trPr>
          <w:trHeight w:val="260"/>
        </w:trPr>
        <w:tc>
          <w:tcPr>
            <w:tcW w:w="8000" w:type="dxa"/>
            <w:vAlign w:val="bottom"/>
            <w:tcBorders>
              <w:bottom w:val="single" w:sz="8" w:color="D7D7D7"/>
            </w:tcBorders>
          </w:tcPr>
          <w:p>
            <w:pPr>
              <w:ind w:left="280"/>
              <w:spacing w:after="0"/>
              <w:rPr>
                <w:sz w:val="20"/>
                <w:szCs w:val="20"/>
                <w:color w:val="auto"/>
              </w:rPr>
            </w:pPr>
            <w:r>
              <w:rPr>
                <w:rFonts w:ascii="Arial" w:cs="Arial" w:eastAsia="Arial" w:hAnsi="Arial"/>
                <w:sz w:val="20"/>
                <w:szCs w:val="20"/>
                <w:color w:val="2A2A2A"/>
              </w:rPr>
              <w:t>Finished goods</w:t>
            </w: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1,470</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858</w:t>
            </w:r>
          </w:p>
        </w:tc>
      </w:tr>
      <w:tr>
        <w:trPr>
          <w:trHeight w:val="26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Inventories</w:t>
            </w:r>
          </w:p>
        </w:tc>
        <w:tc>
          <w:tcPr>
            <w:tcW w:w="240" w:type="dxa"/>
            <w:vAlign w:val="bottom"/>
            <w:shd w:val="clear" w:color="auto" w:fill="D7D7D7"/>
          </w:tcPr>
          <w:p>
            <w:pPr>
              <w:spacing w:after="0"/>
              <w:rPr>
                <w:sz w:val="22"/>
                <w:szCs w:val="22"/>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3,999</w:t>
            </w: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2,757</w:t>
            </w:r>
          </w:p>
        </w:tc>
      </w:tr>
      <w:tr>
        <w:trPr>
          <w:trHeight w:val="260"/>
        </w:trPr>
        <w:tc>
          <w:tcPr>
            <w:tcW w:w="80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Prepaid expenses and other current assets</w:t>
            </w: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761</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302</w:t>
            </w:r>
          </w:p>
        </w:tc>
      </w:tr>
      <w:tr>
        <w:trPr>
          <w:trHeight w:val="270"/>
        </w:trPr>
        <w:tc>
          <w:tcPr>
            <w:tcW w:w="80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Total current assets</w:t>
            </w:r>
          </w:p>
        </w:tc>
        <w:tc>
          <w:tcPr>
            <w:tcW w:w="24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15,122</w:t>
            </w:r>
          </w:p>
        </w:tc>
        <w:tc>
          <w:tcPr>
            <w:tcW w:w="80" w:type="dxa"/>
            <w:vAlign w:val="bottom"/>
            <w:tcBorders>
              <w:bottom w:val="single" w:sz="8" w:color="D7D7D7"/>
            </w:tcBorders>
            <w:shd w:val="clear" w:color="auto" w:fill="D7D7D7"/>
          </w:tcPr>
          <w:p>
            <w:pPr>
              <w:spacing w:after="0"/>
              <w:rPr>
                <w:sz w:val="23"/>
                <w:szCs w:val="23"/>
                <w:color w:val="auto"/>
              </w:rPr>
            </w:pPr>
          </w:p>
        </w:tc>
        <w:tc>
          <w:tcPr>
            <w:tcW w:w="26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14,021</w:t>
            </w:r>
          </w:p>
        </w:tc>
      </w:tr>
      <w:tr>
        <w:trPr>
          <w:trHeight w:val="240"/>
        </w:trPr>
        <w:tc>
          <w:tcPr>
            <w:tcW w:w="8000" w:type="dxa"/>
            <w:vAlign w:val="bottom"/>
          </w:tcPr>
          <w:p>
            <w:pPr>
              <w:ind w:left="60"/>
              <w:spacing w:after="0"/>
              <w:rPr>
                <w:sz w:val="20"/>
                <w:szCs w:val="20"/>
                <w:color w:val="auto"/>
              </w:rPr>
            </w:pPr>
            <w:r>
              <w:rPr>
                <w:rFonts w:ascii="Arial" w:cs="Arial" w:eastAsia="Arial" w:hAnsi="Arial"/>
                <w:sz w:val="20"/>
                <w:szCs w:val="20"/>
                <w:color w:val="2A2A2A"/>
              </w:rPr>
              <w:t>Property, plant and equipment at cost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13,268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9,950</w:t>
            </w:r>
          </w:p>
        </w:tc>
      </w:tr>
      <w:tr>
        <w:trPr>
          <w:trHeight w:val="280"/>
        </w:trPr>
        <w:tc>
          <w:tcPr>
            <w:tcW w:w="80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Accumulated depreciation</w:t>
            </w:r>
          </w:p>
        </w:tc>
        <w:tc>
          <w:tcPr>
            <w:tcW w:w="24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(3,269)</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(3,074)</w:t>
            </w:r>
          </w:p>
        </w:tc>
      </w:tr>
      <w:tr>
        <w:trPr>
          <w:trHeight w:val="240"/>
        </w:trPr>
        <w:tc>
          <w:tcPr>
            <w:tcW w:w="8000" w:type="dxa"/>
            <w:vAlign w:val="bottom"/>
          </w:tcPr>
          <w:p>
            <w:pPr>
              <w:ind w:left="180"/>
              <w:spacing w:after="0"/>
              <w:rPr>
                <w:sz w:val="20"/>
                <w:szCs w:val="20"/>
                <w:color w:val="auto"/>
              </w:rPr>
            </w:pPr>
            <w:r>
              <w:rPr>
                <w:rFonts w:ascii="Arial" w:cs="Arial" w:eastAsia="Arial" w:hAnsi="Arial"/>
                <w:sz w:val="20"/>
                <w:szCs w:val="20"/>
                <w:color w:val="2A2A2A"/>
              </w:rPr>
              <w:t>Property, plant and equipment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9,999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6,876</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Goodwill</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4,362</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4,362</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Deferred tax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757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473</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Capitalized software licenses</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223</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152</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Overfunded retirement plans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173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188</w:t>
            </w:r>
          </w:p>
        </w:tc>
      </w:tr>
      <w:tr>
        <w:trPr>
          <w:trHeight w:val="280"/>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Other long-term assets</w:t>
            </w:r>
          </w:p>
        </w:tc>
        <w:tc>
          <w:tcPr>
            <w:tcW w:w="24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1,712</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1,135</w:t>
            </w:r>
          </w:p>
        </w:tc>
      </w:tr>
      <w:tr>
        <w:trPr>
          <w:trHeight w:val="210"/>
        </w:trPr>
        <w:tc>
          <w:tcPr>
            <w:tcW w:w="8000" w:type="dxa"/>
            <w:vAlign w:val="bottom"/>
          </w:tcPr>
          <w:p>
            <w:pPr>
              <w:ind w:left="60"/>
              <w:spacing w:after="0" w:line="210" w:lineRule="exact"/>
              <w:rPr>
                <w:sz w:val="20"/>
                <w:szCs w:val="20"/>
                <w:color w:val="auto"/>
              </w:rPr>
            </w:pPr>
            <w:r>
              <w:rPr>
                <w:rFonts w:ascii="Arial" w:cs="Arial" w:eastAsia="Arial" w:hAnsi="Arial"/>
                <w:sz w:val="20"/>
                <w:szCs w:val="20"/>
                <w:color w:val="2A2A2A"/>
              </w:rPr>
              <w:t>Total assets</w:t>
            </w:r>
          </w:p>
        </w:tc>
        <w:tc>
          <w:tcPr>
            <w:tcW w:w="2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32,348</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27,207</w:t>
            </w:r>
          </w:p>
        </w:tc>
      </w:tr>
      <w:tr>
        <w:trPr>
          <w:trHeight w:val="20"/>
        </w:trPr>
        <w:tc>
          <w:tcPr>
            <w:tcW w:w="8000" w:type="dxa"/>
            <w:vAlign w:val="bottom"/>
            <w:tcBorders>
              <w:bottom w:val="single" w:sz="8" w:color="D7D7D7"/>
            </w:tcBorders>
          </w:tcPr>
          <w:p>
            <w:pPr>
              <w:spacing w:after="0" w:line="20" w:lineRule="exact"/>
              <w:rPr>
                <w:sz w:val="1"/>
                <w:szCs w:val="1"/>
                <w:color w:val="auto"/>
              </w:rPr>
            </w:pPr>
          </w:p>
        </w:tc>
        <w:tc>
          <w:tcPr>
            <w:tcW w:w="24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r>
        <w:trPr>
          <w:trHeight w:val="225"/>
        </w:trPr>
        <w:tc>
          <w:tcPr>
            <w:tcW w:w="8000" w:type="dxa"/>
            <w:vAlign w:val="bottom"/>
            <w:shd w:val="clear" w:color="auto" w:fill="D7D7D7"/>
          </w:tcPr>
          <w:p>
            <w:pPr>
              <w:spacing w:after="0"/>
              <w:rPr>
                <w:sz w:val="19"/>
                <w:szCs w:val="19"/>
                <w:color w:val="auto"/>
              </w:rPr>
            </w:pPr>
          </w:p>
        </w:tc>
        <w:tc>
          <w:tcPr>
            <w:tcW w:w="240" w:type="dxa"/>
            <w:vAlign w:val="bottom"/>
            <w:shd w:val="clear" w:color="auto" w:fill="D7D7D7"/>
          </w:tcPr>
          <w:p>
            <w:pPr>
              <w:spacing w:after="0"/>
              <w:rPr>
                <w:sz w:val="19"/>
                <w:szCs w:val="19"/>
                <w:color w:val="auto"/>
              </w:rPr>
            </w:pPr>
          </w:p>
        </w:tc>
        <w:tc>
          <w:tcPr>
            <w:tcW w:w="840" w:type="dxa"/>
            <w:vAlign w:val="bottom"/>
            <w:shd w:val="clear" w:color="auto" w:fill="D7D7D7"/>
          </w:tcPr>
          <w:p>
            <w:pPr>
              <w:spacing w:after="0"/>
              <w:rPr>
                <w:sz w:val="19"/>
                <w:szCs w:val="19"/>
                <w:color w:val="auto"/>
              </w:rPr>
            </w:pPr>
          </w:p>
        </w:tc>
        <w:tc>
          <w:tcPr>
            <w:tcW w:w="80" w:type="dxa"/>
            <w:vAlign w:val="bottom"/>
            <w:shd w:val="clear" w:color="auto" w:fill="D7D7D7"/>
          </w:tcPr>
          <w:p>
            <w:pPr>
              <w:spacing w:after="0"/>
              <w:rPr>
                <w:sz w:val="19"/>
                <w:szCs w:val="19"/>
                <w:color w:val="auto"/>
              </w:rPr>
            </w:pPr>
          </w:p>
        </w:tc>
        <w:tc>
          <w:tcPr>
            <w:tcW w:w="260" w:type="dxa"/>
            <w:vAlign w:val="bottom"/>
            <w:shd w:val="clear" w:color="auto" w:fill="D7D7D7"/>
          </w:tcPr>
          <w:p>
            <w:pPr>
              <w:spacing w:after="0"/>
              <w:rPr>
                <w:sz w:val="19"/>
                <w:szCs w:val="19"/>
                <w:color w:val="auto"/>
              </w:rPr>
            </w:pPr>
          </w:p>
        </w:tc>
        <w:tc>
          <w:tcPr>
            <w:tcW w:w="840" w:type="dxa"/>
            <w:vAlign w:val="bottom"/>
            <w:shd w:val="clear" w:color="auto" w:fill="D7D7D7"/>
          </w:tcPr>
          <w:p>
            <w:pPr>
              <w:spacing w:after="0"/>
              <w:rPr>
                <w:sz w:val="19"/>
                <w:szCs w:val="19"/>
                <w:color w:val="auto"/>
              </w:rPr>
            </w:pP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b w:val="1"/>
                <w:bCs w:val="1"/>
                <w:color w:val="2A2A2A"/>
              </w:rPr>
              <w:t>Liabilities and stockholders’ equity</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Current liabilities:</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Current portion of long-term debt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599</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Accounts payable</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802</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851</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Accrued compensation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836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799</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Income taxes payable</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172</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189</w:t>
            </w:r>
          </w:p>
        </w:tc>
      </w:tr>
      <w:tr>
        <w:trPr>
          <w:trHeight w:val="260"/>
        </w:trPr>
        <w:tc>
          <w:tcPr>
            <w:tcW w:w="80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Accrued expenses and other liabilities</w:t>
            </w: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911</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646</w:t>
            </w:r>
          </w:p>
        </w:tc>
      </w:tr>
      <w:tr>
        <w:trPr>
          <w:trHeight w:val="270"/>
        </w:trPr>
        <w:tc>
          <w:tcPr>
            <w:tcW w:w="80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Total current liabilities</w:t>
            </w:r>
          </w:p>
        </w:tc>
        <w:tc>
          <w:tcPr>
            <w:tcW w:w="24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3,320</w:t>
            </w:r>
          </w:p>
        </w:tc>
        <w:tc>
          <w:tcPr>
            <w:tcW w:w="80" w:type="dxa"/>
            <w:vAlign w:val="bottom"/>
            <w:tcBorders>
              <w:bottom w:val="single" w:sz="8" w:color="D7D7D7"/>
            </w:tcBorders>
            <w:shd w:val="clear" w:color="auto" w:fill="D7D7D7"/>
          </w:tcPr>
          <w:p>
            <w:pPr>
              <w:spacing w:after="0"/>
              <w:rPr>
                <w:sz w:val="23"/>
                <w:szCs w:val="23"/>
                <w:color w:val="auto"/>
              </w:rPr>
            </w:pPr>
          </w:p>
        </w:tc>
        <w:tc>
          <w:tcPr>
            <w:tcW w:w="26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2,985</w:t>
            </w:r>
          </w:p>
        </w:tc>
      </w:tr>
      <w:tr>
        <w:trPr>
          <w:trHeight w:val="240"/>
        </w:trPr>
        <w:tc>
          <w:tcPr>
            <w:tcW w:w="8000" w:type="dxa"/>
            <w:vAlign w:val="bottom"/>
          </w:tcPr>
          <w:p>
            <w:pPr>
              <w:ind w:left="60"/>
              <w:spacing w:after="0"/>
              <w:rPr>
                <w:sz w:val="20"/>
                <w:szCs w:val="20"/>
                <w:color w:val="auto"/>
              </w:rPr>
            </w:pPr>
            <w:r>
              <w:rPr>
                <w:rFonts w:ascii="Arial" w:cs="Arial" w:eastAsia="Arial" w:hAnsi="Arial"/>
                <w:sz w:val="20"/>
                <w:szCs w:val="20"/>
                <w:color w:val="2A2A2A"/>
              </w:rPr>
              <w:t>Long-term debt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10,624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8,235</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Underfunded retirement plans</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108</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118</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Deferred tax liabilities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63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66</w:t>
            </w:r>
          </w:p>
        </w:tc>
      </w:tr>
      <w:tr>
        <w:trPr>
          <w:trHeight w:val="280"/>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Other long-term liabilities</w:t>
            </w:r>
          </w:p>
        </w:tc>
        <w:tc>
          <w:tcPr>
            <w:tcW w:w="24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1,336</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1,226</w:t>
            </w:r>
          </w:p>
        </w:tc>
      </w:tr>
      <w:tr>
        <w:trPr>
          <w:trHeight w:val="23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Total liabilities</w:t>
            </w:r>
          </w:p>
        </w:tc>
        <w:tc>
          <w:tcPr>
            <w:tcW w:w="240" w:type="dxa"/>
            <w:vAlign w:val="bottom"/>
            <w:tcBorders>
              <w:bottom w:val="single" w:sz="8" w:color="2A2A2A"/>
            </w:tcBorders>
          </w:tcPr>
          <w:p>
            <w:pPr>
              <w:spacing w:after="0"/>
              <w:rPr>
                <w:sz w:val="20"/>
                <w:szCs w:val="20"/>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15,451</w:t>
            </w:r>
          </w:p>
        </w:tc>
        <w:tc>
          <w:tcPr>
            <w:tcW w:w="80" w:type="dxa"/>
            <w:vAlign w:val="bottom"/>
            <w:tcBorders>
              <w:bottom w:val="single" w:sz="8" w:color="D7D7D7"/>
            </w:tcBorders>
          </w:tcPr>
          <w:p>
            <w:pPr>
              <w:spacing w:after="0"/>
              <w:rPr>
                <w:sz w:val="20"/>
                <w:szCs w:val="20"/>
                <w:color w:val="auto"/>
              </w:rPr>
            </w:pPr>
          </w:p>
        </w:tc>
        <w:tc>
          <w:tcPr>
            <w:tcW w:w="260" w:type="dxa"/>
            <w:vAlign w:val="bottom"/>
            <w:tcBorders>
              <w:bottom w:val="single" w:sz="8" w:color="2A2A2A"/>
            </w:tcBorders>
          </w:tcPr>
          <w:p>
            <w:pPr>
              <w:spacing w:after="0"/>
              <w:rPr>
                <w:sz w:val="20"/>
                <w:szCs w:val="20"/>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12,630</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Stockholders’ equity:</w:t>
            </w:r>
          </w:p>
        </w:tc>
        <w:tc>
          <w:tcPr>
            <w:tcW w:w="24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Preferred stock, $25 par value. Shares authorized – 10; none issued</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Common stock, $1 par value. Shares authorized – 2,400; shares issued – 1,741</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1,741</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1,741</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Paid-in capital</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3,362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2,951</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Retained earnings</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52,283</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50,353</w:t>
            </w:r>
          </w:p>
        </w:tc>
      </w:tr>
      <w:tr>
        <w:trPr>
          <w:trHeight w:val="268"/>
        </w:trPr>
        <w:tc>
          <w:tcPr>
            <w:tcW w:w="8000" w:type="dxa"/>
            <w:vAlign w:val="bottom"/>
          </w:tcPr>
          <w:p>
            <w:pPr>
              <w:ind w:left="180"/>
              <w:spacing w:after="0"/>
              <w:rPr>
                <w:sz w:val="20"/>
                <w:szCs w:val="20"/>
                <w:color w:val="auto"/>
              </w:rPr>
            </w:pPr>
            <w:r>
              <w:rPr>
                <w:rFonts w:ascii="Arial" w:cs="Arial" w:eastAsia="Arial" w:hAnsi="Arial"/>
                <w:sz w:val="20"/>
                <w:szCs w:val="20"/>
                <w:color w:val="2A2A2A"/>
              </w:rPr>
              <w:t>Treasury common stock at cost</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3"/>
        </w:trPr>
        <w:tc>
          <w:tcPr>
            <w:tcW w:w="80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Shares: 2023 – 832; 2022 – 835</w:t>
            </w: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(40,284)</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(40,214)</w:t>
            </w:r>
          </w:p>
        </w:tc>
      </w:tr>
      <w:tr>
        <w:trPr>
          <w:trHeight w:val="260"/>
        </w:trPr>
        <w:tc>
          <w:tcPr>
            <w:tcW w:w="80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Accumulated other comprehensive income (loss), net of taxes (AOCI)</w:t>
            </w: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(205)</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(254)</w:t>
            </w:r>
          </w:p>
        </w:tc>
      </w:tr>
      <w:tr>
        <w:trPr>
          <w:trHeight w:val="270"/>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stockholders’ equity</w:t>
            </w:r>
          </w:p>
        </w:tc>
        <w:tc>
          <w:tcPr>
            <w:tcW w:w="24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16,897</w:t>
            </w:r>
          </w:p>
        </w:tc>
        <w:tc>
          <w:tcPr>
            <w:tcW w:w="80" w:type="dxa"/>
            <w:vAlign w:val="bottom"/>
            <w:tcBorders>
              <w:bottom w:val="single" w:sz="8" w:color="D7D7D7"/>
            </w:tcBorders>
            <w:shd w:val="clear" w:color="auto" w:fill="D7D7D7"/>
          </w:tcPr>
          <w:p>
            <w:pPr>
              <w:spacing w:after="0"/>
              <w:rPr>
                <w:sz w:val="23"/>
                <w:szCs w:val="23"/>
                <w:color w:val="auto"/>
              </w:rPr>
            </w:pPr>
          </w:p>
        </w:tc>
        <w:tc>
          <w:tcPr>
            <w:tcW w:w="260" w:type="dxa"/>
            <w:vAlign w:val="bottom"/>
            <w:tcBorders>
              <w:bottom w:val="single" w:sz="8" w:color="2A2A2A"/>
            </w:tcBorders>
            <w:shd w:val="clear" w:color="auto" w:fill="D7D7D7"/>
          </w:tcPr>
          <w:p>
            <w:pPr>
              <w:spacing w:after="0"/>
              <w:rPr>
                <w:sz w:val="23"/>
                <w:szCs w:val="23"/>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14,577</w:t>
            </w:r>
          </w:p>
        </w:tc>
      </w:tr>
      <w:tr>
        <w:trPr>
          <w:trHeight w:val="210"/>
        </w:trPr>
        <w:tc>
          <w:tcPr>
            <w:tcW w:w="8000" w:type="dxa"/>
            <w:vAlign w:val="bottom"/>
          </w:tcPr>
          <w:p>
            <w:pPr>
              <w:ind w:left="60"/>
              <w:spacing w:after="0" w:line="210" w:lineRule="exact"/>
              <w:rPr>
                <w:sz w:val="20"/>
                <w:szCs w:val="20"/>
                <w:color w:val="auto"/>
              </w:rPr>
            </w:pPr>
            <w:r>
              <w:rPr>
                <w:rFonts w:ascii="Arial" w:cs="Arial" w:eastAsia="Arial" w:hAnsi="Arial"/>
                <w:sz w:val="20"/>
                <w:szCs w:val="20"/>
                <w:color w:val="2A2A2A"/>
              </w:rPr>
              <w:t>Total liabilities and stockholders’ equity</w:t>
            </w:r>
          </w:p>
        </w:tc>
        <w:tc>
          <w:tcPr>
            <w:tcW w:w="2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32,348</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27,207</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-7565390</wp:posOffset>
            </wp:positionV>
            <wp:extent cx="65405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-6193790</wp:posOffset>
            </wp:positionV>
            <wp:extent cx="14636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-5850890</wp:posOffset>
            </wp:positionV>
            <wp:extent cx="14636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-5679440</wp:posOffset>
            </wp:positionV>
            <wp:extent cx="14636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-5336540</wp:posOffset>
            </wp:positionV>
            <wp:extent cx="14636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-4307840</wp:posOffset>
            </wp:positionV>
            <wp:extent cx="146367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-4123690</wp:posOffset>
            </wp:positionV>
            <wp:extent cx="146367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-2774315</wp:posOffset>
            </wp:positionV>
            <wp:extent cx="146367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-2602865</wp:posOffset>
            </wp:positionV>
            <wp:extent cx="14636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-1917065</wp:posOffset>
            </wp:positionV>
            <wp:extent cx="14636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-1745615</wp:posOffset>
            </wp:positionV>
            <wp:extent cx="146367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-374015</wp:posOffset>
            </wp:positionV>
            <wp:extent cx="146367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A2A2A"/>
        </w:rPr>
        <w:t>See accompanying notes.</w:t>
      </w:r>
    </w:p>
    <w:p>
      <w:pPr>
        <w:sectPr>
          <w:pgSz w:w="12240" w:h="15840" w:orient="portrait"/>
          <w:cols w:equalWidth="0" w:num="1">
            <w:col w:w="10260"/>
          </w:cols>
          <w:pgMar w:left="980" w:top="692"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28</w:t>
      </w:r>
    </w:p>
    <w:p>
      <w:pPr>
        <w:sectPr>
          <w:pgSz w:w="12240" w:h="15840" w:orient="portrait"/>
          <w:cols w:equalWidth="0" w:num="1">
            <w:col w:w="10260"/>
          </w:cols>
          <w:pgMar w:left="980" w:top="692" w:right="1000" w:bottom="24"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87"/>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22"/>
                <w:szCs w:val="22"/>
                <w:b w:val="1"/>
                <w:bCs w:val="1"/>
                <w:color w:val="2A2A2A"/>
              </w:rPr>
              <w:t>Consolidated Statements of Cash Flows</w:t>
            </w:r>
          </w:p>
        </w:tc>
        <w:tc>
          <w:tcPr>
            <w:tcW w:w="260" w:type="dxa"/>
            <w:vAlign w:val="bottom"/>
            <w:tcBorders>
              <w:bottom w:val="single" w:sz="8" w:color="2A2A2A"/>
            </w:tcBorders>
          </w:tcPr>
          <w:p>
            <w:pPr>
              <w:spacing w:after="0"/>
              <w:rPr>
                <w:sz w:val="24"/>
                <w:szCs w:val="24"/>
                <w:color w:val="auto"/>
              </w:rPr>
            </w:pPr>
          </w:p>
        </w:tc>
        <w:tc>
          <w:tcPr>
            <w:tcW w:w="3180" w:type="dxa"/>
            <w:vAlign w:val="bottom"/>
            <w:tcBorders>
              <w:bottom w:val="single" w:sz="8" w:color="2A2A2A"/>
            </w:tcBorders>
            <w:gridSpan w:val="7"/>
          </w:tcPr>
          <w:p>
            <w:pPr>
              <w:jc w:val="right"/>
              <w:ind w:right="441"/>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(In millions)</w:t>
            </w: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4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61"/>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2021</w:t>
            </w: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Cash flows from operating activities</w:t>
            </w: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4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Net income</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6,510</w:t>
            </w:r>
          </w:p>
        </w:tc>
        <w:tc>
          <w:tcPr>
            <w:tcW w:w="32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8,749</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7,769</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Adjustments to net income:</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Depreciation</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1,175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925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755</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Amortization of acquisition-related intangibles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142</w:t>
            </w: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Amortization of capitalized software</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63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57</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Stock compensation</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362</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289</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230</w:t>
            </w: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Gains on sales of assets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(57)</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Deferred taxes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(299)</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(191)</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w:t>
            </w:r>
          </w:p>
        </w:tc>
      </w:tr>
      <w:tr>
        <w:trPr>
          <w:trHeight w:val="268"/>
        </w:trPr>
        <w:tc>
          <w:tcPr>
            <w:tcW w:w="6820" w:type="dxa"/>
            <w:vAlign w:val="bottom"/>
          </w:tcPr>
          <w:p>
            <w:pPr>
              <w:ind w:left="180"/>
              <w:spacing w:after="0"/>
              <w:rPr>
                <w:sz w:val="20"/>
                <w:szCs w:val="20"/>
                <w:color w:val="auto"/>
              </w:rPr>
            </w:pPr>
            <w:r>
              <w:rPr>
                <w:rFonts w:ascii="Arial" w:cs="Arial" w:eastAsia="Arial" w:hAnsi="Arial"/>
                <w:sz w:val="20"/>
                <w:szCs w:val="20"/>
                <w:color w:val="2A2A2A"/>
              </w:rPr>
              <w:t>Increase (decrease) from changes in:</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3"/>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Accounts receivable</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108</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(194)</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(287)</w:t>
            </w: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Inventories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(1,242)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(847)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45</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Prepaid expenses and other current assets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46</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57</w:t>
            </w: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Accounts payable and accrued expenses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106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33</w:t>
            </w:r>
          </w:p>
        </w:tc>
      </w:tr>
      <w:tr>
        <w:trPr>
          <w:trHeight w:val="270"/>
        </w:trPr>
        <w:tc>
          <w:tcPr>
            <w:tcW w:w="682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Accrued compensation</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22</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w:t>
            </w:r>
          </w:p>
        </w:tc>
      </w:tr>
      <w:tr>
        <w:trPr>
          <w:trHeight w:val="270"/>
        </w:trPr>
        <w:tc>
          <w:tcPr>
            <w:tcW w:w="6820" w:type="dxa"/>
            <w:vAlign w:val="bottom"/>
          </w:tcPr>
          <w:p>
            <w:pPr>
              <w:ind w:left="280"/>
              <w:spacing w:after="0"/>
              <w:rPr>
                <w:sz w:val="20"/>
                <w:szCs w:val="20"/>
                <w:color w:val="auto"/>
              </w:rPr>
            </w:pPr>
            <w:r>
              <w:rPr>
                <w:rFonts w:ascii="Arial" w:cs="Arial" w:eastAsia="Arial" w:hAnsi="Arial"/>
                <w:sz w:val="20"/>
                <w:szCs w:val="20"/>
                <w:color w:val="2A2A2A"/>
              </w:rPr>
              <w:t>Income taxes payable</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(20)</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Changes in funded status of retirement plans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45</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114</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62</w:t>
            </w:r>
          </w:p>
        </w:tc>
      </w:tr>
      <w:tr>
        <w:trPr>
          <w:trHeight w:val="260"/>
        </w:trPr>
        <w:tc>
          <w:tcPr>
            <w:tcW w:w="682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(337)</w:t>
            </w:r>
          </w:p>
        </w:tc>
        <w:tc>
          <w:tcPr>
            <w:tcW w:w="80" w:type="dxa"/>
            <w:vAlign w:val="bottom"/>
            <w:tcBorders>
              <w:bottom w:val="single" w:sz="8" w:color="D7D7D7"/>
            </w:tcBorders>
          </w:tcPr>
          <w:p>
            <w:pPr>
              <w:spacing w:after="0"/>
              <w:rPr>
                <w:sz w:val="22"/>
                <w:szCs w:val="22"/>
                <w:color w:val="auto"/>
              </w:rPr>
            </w:pP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(404)</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(52)</w:t>
            </w:r>
          </w:p>
        </w:tc>
      </w:tr>
      <w:tr>
        <w:trPr>
          <w:trHeight w:val="250"/>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Cash flows from operating activities</w:t>
            </w:r>
          </w:p>
        </w:tc>
        <w:tc>
          <w:tcPr>
            <w:tcW w:w="26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6,420</w:t>
            </w:r>
          </w:p>
        </w:tc>
        <w:tc>
          <w:tcPr>
            <w:tcW w:w="80" w:type="dxa"/>
            <w:vAlign w:val="bottom"/>
            <w:tcBorders>
              <w:bottom w:val="single" w:sz="8" w:color="D7D7D7"/>
            </w:tcBorders>
            <w:shd w:val="clear" w:color="auto" w:fill="D7D7D7"/>
          </w:tcPr>
          <w:p>
            <w:pPr>
              <w:spacing w:after="0"/>
              <w:rPr>
                <w:sz w:val="21"/>
                <w:szCs w:val="21"/>
                <w:color w:val="auto"/>
              </w:rPr>
            </w:pPr>
          </w:p>
        </w:tc>
        <w:tc>
          <w:tcPr>
            <w:tcW w:w="24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8,720</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8,756</w:t>
            </w:r>
          </w:p>
        </w:tc>
      </w:tr>
      <w:tr>
        <w:trPr>
          <w:trHeight w:val="275"/>
        </w:trPr>
        <w:tc>
          <w:tcPr>
            <w:tcW w:w="6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Cash flows from investing activities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Capital expenditures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(5,071)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(2,797)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(2,462)</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Proceeds from asset sales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75</w:t>
            </w: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Purchases of short-term investments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(12,705)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(14,483)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(10,124)</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Proceeds from short-term investments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13,387</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13,657</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8,478</w:t>
            </w:r>
          </w:p>
        </w:tc>
      </w:tr>
      <w:tr>
        <w:trPr>
          <w:trHeight w:val="260"/>
        </w:trPr>
        <w:tc>
          <w:tcPr>
            <w:tcW w:w="682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24</w:t>
            </w:r>
          </w:p>
        </w:tc>
        <w:tc>
          <w:tcPr>
            <w:tcW w:w="80" w:type="dxa"/>
            <w:vAlign w:val="bottom"/>
            <w:tcBorders>
              <w:bottom w:val="single" w:sz="8" w:color="D7D7D7"/>
            </w:tcBorders>
          </w:tcPr>
          <w:p>
            <w:pPr>
              <w:spacing w:after="0"/>
              <w:rPr>
                <w:sz w:val="22"/>
                <w:szCs w:val="22"/>
                <w:color w:val="auto"/>
              </w:rPr>
            </w:pPr>
          </w:p>
        </w:tc>
        <w:tc>
          <w:tcPr>
            <w:tcW w:w="24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37</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(62)</w:t>
            </w:r>
          </w:p>
        </w:tc>
      </w:tr>
      <w:tr>
        <w:trPr>
          <w:trHeight w:val="250"/>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Cash flows from investing activities</w:t>
            </w:r>
          </w:p>
        </w:tc>
        <w:tc>
          <w:tcPr>
            <w:tcW w:w="26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(4,362)</w:t>
            </w:r>
          </w:p>
        </w:tc>
        <w:tc>
          <w:tcPr>
            <w:tcW w:w="80" w:type="dxa"/>
            <w:vAlign w:val="bottom"/>
            <w:tcBorders>
              <w:bottom w:val="single" w:sz="8" w:color="D7D7D7"/>
            </w:tcBorders>
            <w:shd w:val="clear" w:color="auto" w:fill="D7D7D7"/>
          </w:tcPr>
          <w:p>
            <w:pPr>
              <w:spacing w:after="0"/>
              <w:rPr>
                <w:sz w:val="21"/>
                <w:szCs w:val="21"/>
                <w:color w:val="auto"/>
              </w:rPr>
            </w:pPr>
          </w:p>
        </w:tc>
        <w:tc>
          <w:tcPr>
            <w:tcW w:w="24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(3,583)</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spacing w:after="0"/>
              <w:rPr>
                <w:sz w:val="21"/>
                <w:szCs w:val="21"/>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(4,095)</w:t>
            </w:r>
          </w:p>
        </w:tc>
      </w:tr>
      <w:tr>
        <w:trPr>
          <w:trHeight w:val="275"/>
        </w:trPr>
        <w:tc>
          <w:tcPr>
            <w:tcW w:w="6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Cash flows from financing activities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Proceeds from issuance of long-term debt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3,000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1,494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1,495</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Repayment of debt</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(500)</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(500)</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(550)</w:t>
            </w: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Dividends paid</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(4,557)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(4,297)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(3,886)</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Stock repurchases</w:t>
            </w: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(293)</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(3,615)</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(527)</w:t>
            </w: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Proceeds from common stock transactions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263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241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377</w:t>
            </w:r>
          </w:p>
        </w:tc>
      </w:tr>
      <w:tr>
        <w:trPr>
          <w:trHeight w:val="280"/>
        </w:trPr>
        <w:tc>
          <w:tcPr>
            <w:tcW w:w="682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(57)</w:t>
            </w:r>
          </w:p>
        </w:tc>
        <w:tc>
          <w:tcPr>
            <w:tcW w:w="80" w:type="dxa"/>
            <w:vAlign w:val="bottom"/>
            <w:tcBorders>
              <w:bottom w:val="single" w:sz="8" w:color="D7D7D7"/>
            </w:tcBorders>
            <w:shd w:val="clear" w:color="auto" w:fill="D7D7D7"/>
          </w:tcPr>
          <w:p>
            <w:pPr>
              <w:spacing w:after="0"/>
              <w:rPr>
                <w:sz w:val="24"/>
                <w:szCs w:val="24"/>
                <w:color w:val="auto"/>
              </w:rPr>
            </w:pPr>
          </w:p>
        </w:tc>
        <w:tc>
          <w:tcPr>
            <w:tcW w:w="24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(41)</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(46)</w:t>
            </w:r>
          </w:p>
        </w:tc>
      </w:tr>
      <w:tr>
        <w:trPr>
          <w:trHeight w:val="230"/>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Cash flows from financing activities</w:t>
            </w:r>
          </w:p>
        </w:tc>
        <w:tc>
          <w:tcPr>
            <w:tcW w:w="260" w:type="dxa"/>
            <w:vAlign w:val="bottom"/>
            <w:tcBorders>
              <w:bottom w:val="single" w:sz="8" w:color="2A2A2A"/>
            </w:tcBorders>
          </w:tcPr>
          <w:p>
            <w:pPr>
              <w:spacing w:after="0"/>
              <w:rPr>
                <w:sz w:val="20"/>
                <w:szCs w:val="20"/>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(2,144)</w:t>
            </w:r>
          </w:p>
        </w:tc>
        <w:tc>
          <w:tcPr>
            <w:tcW w:w="80" w:type="dxa"/>
            <w:vAlign w:val="bottom"/>
            <w:tcBorders>
              <w:bottom w:val="single" w:sz="8" w:color="D7D7D7"/>
            </w:tcBorders>
          </w:tcPr>
          <w:p>
            <w:pPr>
              <w:spacing w:after="0"/>
              <w:rPr>
                <w:sz w:val="20"/>
                <w:szCs w:val="20"/>
                <w:color w:val="auto"/>
              </w:rPr>
            </w:pPr>
          </w:p>
        </w:tc>
        <w:tc>
          <w:tcPr>
            <w:tcW w:w="240" w:type="dxa"/>
            <w:vAlign w:val="bottom"/>
            <w:tcBorders>
              <w:bottom w:val="single" w:sz="8" w:color="2A2A2A"/>
            </w:tcBorders>
          </w:tcPr>
          <w:p>
            <w:pPr>
              <w:spacing w:after="0"/>
              <w:rPr>
                <w:sz w:val="20"/>
                <w:szCs w:val="20"/>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(6,718)</w:t>
            </w:r>
          </w:p>
        </w:tc>
        <w:tc>
          <w:tcPr>
            <w:tcW w:w="80" w:type="dxa"/>
            <w:vAlign w:val="bottom"/>
            <w:tcBorders>
              <w:bottom w:val="single" w:sz="8" w:color="D7D7D7"/>
            </w:tcBorders>
          </w:tcPr>
          <w:p>
            <w:pPr>
              <w:spacing w:after="0"/>
              <w:rPr>
                <w:sz w:val="20"/>
                <w:szCs w:val="20"/>
                <w:color w:val="auto"/>
              </w:rPr>
            </w:pPr>
          </w:p>
        </w:tc>
        <w:tc>
          <w:tcPr>
            <w:tcW w:w="260" w:type="dxa"/>
            <w:vAlign w:val="bottom"/>
            <w:tcBorders>
              <w:bottom w:val="single" w:sz="8" w:color="2A2A2A"/>
            </w:tcBorders>
          </w:tcPr>
          <w:p>
            <w:pPr>
              <w:spacing w:after="0"/>
              <w:rPr>
                <w:sz w:val="20"/>
                <w:szCs w:val="20"/>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(3,137)</w:t>
            </w:r>
          </w:p>
        </w:tc>
      </w:tr>
      <w:tr>
        <w:trPr>
          <w:trHeight w:val="275"/>
        </w:trPr>
        <w:tc>
          <w:tcPr>
            <w:tcW w:w="682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Net change in cash and cash equivalents</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(86)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(1,581)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1,524</w:t>
            </w:r>
          </w:p>
        </w:tc>
      </w:tr>
      <w:tr>
        <w:trPr>
          <w:trHeight w:val="280"/>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Cash and cash equivalents at beginning of period</w:t>
            </w: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3,050</w:t>
            </w:r>
          </w:p>
        </w:tc>
        <w:tc>
          <w:tcPr>
            <w:tcW w:w="80" w:type="dxa"/>
            <w:vAlign w:val="bottom"/>
            <w:tcBorders>
              <w:bottom w:val="single" w:sz="8" w:color="D7D7D7"/>
            </w:tcBorders>
            <w:shd w:val="clear" w:color="auto" w:fill="D7D7D7"/>
          </w:tcPr>
          <w:p>
            <w:pPr>
              <w:spacing w:after="0"/>
              <w:rPr>
                <w:sz w:val="24"/>
                <w:szCs w:val="24"/>
                <w:color w:val="auto"/>
              </w:rPr>
            </w:pPr>
          </w:p>
        </w:tc>
        <w:tc>
          <w:tcPr>
            <w:tcW w:w="24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4,631</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3,107</w:t>
            </w:r>
          </w:p>
        </w:tc>
      </w:tr>
      <w:tr>
        <w:trPr>
          <w:trHeight w:val="210"/>
        </w:trPr>
        <w:tc>
          <w:tcPr>
            <w:tcW w:w="6820" w:type="dxa"/>
            <w:vAlign w:val="bottom"/>
          </w:tcPr>
          <w:p>
            <w:pPr>
              <w:ind w:left="60"/>
              <w:spacing w:after="0" w:line="210" w:lineRule="exact"/>
              <w:rPr>
                <w:sz w:val="20"/>
                <w:szCs w:val="20"/>
                <w:color w:val="auto"/>
              </w:rPr>
            </w:pPr>
            <w:r>
              <w:rPr>
                <w:rFonts w:ascii="Arial" w:cs="Arial" w:eastAsia="Arial" w:hAnsi="Arial"/>
                <w:sz w:val="20"/>
                <w:szCs w:val="20"/>
                <w:color w:val="2A2A2A"/>
              </w:rPr>
              <w:t>Cash and cash equivalents at end of period</w:t>
            </w: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2,964</w:t>
            </w:r>
          </w:p>
        </w:tc>
        <w:tc>
          <w:tcPr>
            <w:tcW w:w="80" w:type="dxa"/>
            <w:vAlign w:val="bottom"/>
          </w:tcPr>
          <w:p>
            <w:pPr>
              <w:spacing w:after="0"/>
              <w:rPr>
                <w:sz w:val="18"/>
                <w:szCs w:val="18"/>
                <w:color w:val="auto"/>
              </w:rPr>
            </w:pPr>
          </w:p>
        </w:tc>
        <w:tc>
          <w:tcPr>
            <w:tcW w:w="2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3,050</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4,631</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-6917690</wp:posOffset>
            </wp:positionV>
            <wp:extent cx="654050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-3831590</wp:posOffset>
            </wp:positionV>
            <wp:extent cx="220662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-3660140</wp:posOffset>
            </wp:positionV>
            <wp:extent cx="220662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-2450465</wp:posOffset>
            </wp:positionV>
            <wp:extent cx="220662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-2279015</wp:posOffset>
            </wp:positionV>
            <wp:extent cx="220662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-897890</wp:posOffset>
            </wp:positionV>
            <wp:extent cx="220662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-726440</wp:posOffset>
            </wp:positionV>
            <wp:extent cx="220662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-202565</wp:posOffset>
            </wp:positionV>
            <wp:extent cx="220662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6625" cy="25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A2A2A"/>
        </w:rPr>
        <w:t>See accompanying notes.</w:t>
      </w:r>
    </w:p>
    <w:p>
      <w:pPr>
        <w:sectPr>
          <w:pgSz w:w="12240" w:h="15840" w:orient="portrait"/>
          <w:cols w:equalWidth="0" w:num="1">
            <w:col w:w="10260"/>
          </w:cols>
          <w:pgMar w:left="980" w:top="692"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29</w:t>
      </w:r>
    </w:p>
    <w:p>
      <w:pPr>
        <w:sectPr>
          <w:pgSz w:w="12240" w:h="15840" w:orient="portrait"/>
          <w:cols w:equalWidth="0" w:num="1">
            <w:col w:w="10260"/>
          </w:cols>
          <w:pgMar w:left="980" w:top="692" w:right="1000" w:bottom="24"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5340" w:type="dxa"/>
            <w:vAlign w:val="bottom"/>
          </w:tcPr>
          <w:p>
            <w:pPr>
              <w:ind w:left="60"/>
              <w:spacing w:after="0"/>
              <w:rPr>
                <w:sz w:val="20"/>
                <w:szCs w:val="20"/>
                <w:color w:val="auto"/>
              </w:rPr>
            </w:pPr>
            <w:r>
              <w:rPr>
                <w:rFonts w:ascii="Arial" w:cs="Arial" w:eastAsia="Arial" w:hAnsi="Arial"/>
                <w:sz w:val="22"/>
                <w:szCs w:val="22"/>
                <w:b w:val="1"/>
                <w:bCs w:val="1"/>
                <w:color w:val="2A2A2A"/>
              </w:rPr>
              <w:t>Consolidated Statements of Stockholders’ Equity</w:t>
            </w:r>
          </w:p>
        </w:tc>
        <w:tc>
          <w:tcPr>
            <w:tcW w:w="9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2A2A2A"/>
              </w:rPr>
              <w:t>Common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2A2A2A"/>
              </w:rPr>
              <w:t>Paid-in</w:t>
            </w:r>
          </w:p>
        </w:tc>
        <w:tc>
          <w:tcPr>
            <w:tcW w:w="80" w:type="dxa"/>
            <w:vAlign w:val="bottom"/>
          </w:tcPr>
          <w:p>
            <w:pPr>
              <w:spacing w:after="0"/>
              <w:rPr>
                <w:sz w:val="21"/>
                <w:szCs w:val="21"/>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2A2A2A"/>
              </w:rPr>
              <w:t>Retained</w:t>
            </w:r>
          </w:p>
        </w:tc>
        <w:tc>
          <w:tcPr>
            <w:tcW w:w="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2A2A2A"/>
              </w:rPr>
              <w:t>Common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1"/>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2A2A2A"/>
              </w:rPr>
              <w:t>Treasury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98"/>
        </w:trPr>
        <w:tc>
          <w:tcPr>
            <w:tcW w:w="53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(In millions, except per-share amounts)</w:t>
            </w:r>
          </w:p>
        </w:tc>
        <w:tc>
          <w:tcPr>
            <w:tcW w:w="200" w:type="dxa"/>
            <w:vAlign w:val="bottom"/>
            <w:tcBorders>
              <w:bottom w:val="single" w:sz="8" w:color="2A2A2A"/>
            </w:tcBorders>
          </w:tcPr>
          <w:p>
            <w:pPr>
              <w:spacing w:after="0"/>
              <w:rPr>
                <w:sz w:val="24"/>
                <w:szCs w:val="24"/>
                <w:color w:val="auto"/>
              </w:rPr>
            </w:pPr>
          </w:p>
        </w:tc>
        <w:tc>
          <w:tcPr>
            <w:tcW w:w="720" w:type="dxa"/>
            <w:vAlign w:val="bottom"/>
            <w:tcBorders>
              <w:bottom w:val="single" w:sz="8" w:color="2A2A2A"/>
            </w:tcBorders>
          </w:tcPr>
          <w:p>
            <w:pPr>
              <w:jc w:val="right"/>
              <w:ind w:right="141"/>
              <w:spacing w:after="0"/>
              <w:rPr>
                <w:sz w:val="20"/>
                <w:szCs w:val="20"/>
                <w:color w:val="auto"/>
              </w:rPr>
            </w:pPr>
            <w:r>
              <w:rPr>
                <w:rFonts w:ascii="Arial" w:cs="Arial" w:eastAsia="Arial" w:hAnsi="Arial"/>
                <w:sz w:val="16"/>
                <w:szCs w:val="16"/>
                <w:b w:val="1"/>
                <w:bCs w:val="1"/>
                <w:color w:val="2A2A2A"/>
              </w:rPr>
              <w:t>Stock</w:t>
            </w:r>
          </w:p>
        </w:tc>
        <w:tc>
          <w:tcPr>
            <w:tcW w:w="60" w:type="dxa"/>
            <w:vAlign w:val="bottom"/>
            <w:tcBorders>
              <w:bottom w:val="single" w:sz="8" w:color="2A2A2A"/>
            </w:tcBorders>
          </w:tcPr>
          <w:p>
            <w:pPr>
              <w:spacing w:after="0"/>
              <w:rPr>
                <w:sz w:val="24"/>
                <w:szCs w:val="24"/>
                <w:color w:val="auto"/>
              </w:rPr>
            </w:pPr>
          </w:p>
        </w:tc>
        <w:tc>
          <w:tcPr>
            <w:tcW w:w="180" w:type="dxa"/>
            <w:vAlign w:val="bottom"/>
            <w:tcBorders>
              <w:bottom w:val="single" w:sz="8" w:color="2A2A2A"/>
            </w:tcBorders>
          </w:tcPr>
          <w:p>
            <w:pPr>
              <w:spacing w:after="0"/>
              <w:rPr>
                <w:sz w:val="24"/>
                <w:szCs w:val="24"/>
                <w:color w:val="auto"/>
              </w:rPr>
            </w:pPr>
          </w:p>
        </w:tc>
        <w:tc>
          <w:tcPr>
            <w:tcW w:w="740" w:type="dxa"/>
            <w:vAlign w:val="bottom"/>
            <w:tcBorders>
              <w:bottom w:val="single" w:sz="8" w:color="2A2A2A"/>
            </w:tcBorders>
          </w:tcPr>
          <w:p>
            <w:pPr>
              <w:jc w:val="right"/>
              <w:ind w:right="81"/>
              <w:spacing w:after="0"/>
              <w:rPr>
                <w:sz w:val="20"/>
                <w:szCs w:val="20"/>
                <w:color w:val="auto"/>
              </w:rPr>
            </w:pPr>
            <w:r>
              <w:rPr>
                <w:rFonts w:ascii="Arial" w:cs="Arial" w:eastAsia="Arial" w:hAnsi="Arial"/>
                <w:sz w:val="16"/>
                <w:szCs w:val="16"/>
                <w:b w:val="1"/>
                <w:bCs w:val="1"/>
                <w:color w:val="2A2A2A"/>
              </w:rPr>
              <w:t>Capital</w:t>
            </w:r>
          </w:p>
        </w:tc>
        <w:tc>
          <w:tcPr>
            <w:tcW w:w="80" w:type="dxa"/>
            <w:vAlign w:val="bottom"/>
            <w:tcBorders>
              <w:bottom w:val="single" w:sz="8" w:color="2A2A2A"/>
            </w:tcBorders>
          </w:tcPr>
          <w:p>
            <w:pPr>
              <w:spacing w:after="0"/>
              <w:rPr>
                <w:sz w:val="24"/>
                <w:szCs w:val="24"/>
                <w:color w:val="auto"/>
              </w:rPr>
            </w:pPr>
          </w:p>
        </w:tc>
        <w:tc>
          <w:tcPr>
            <w:tcW w:w="920" w:type="dxa"/>
            <w:vAlign w:val="bottom"/>
            <w:tcBorders>
              <w:bottom w:val="single" w:sz="8" w:color="2A2A2A"/>
            </w:tcBorders>
          </w:tcPr>
          <w:p>
            <w:pPr>
              <w:jc w:val="right"/>
              <w:ind w:right="22"/>
              <w:spacing w:after="0"/>
              <w:rPr>
                <w:sz w:val="20"/>
                <w:szCs w:val="20"/>
                <w:color w:val="auto"/>
              </w:rPr>
            </w:pPr>
            <w:r>
              <w:rPr>
                <w:rFonts w:ascii="Arial" w:cs="Arial" w:eastAsia="Arial" w:hAnsi="Arial"/>
                <w:sz w:val="16"/>
                <w:szCs w:val="16"/>
                <w:b w:val="1"/>
                <w:bCs w:val="1"/>
                <w:color w:val="2A2A2A"/>
              </w:rPr>
              <w:t>Earnings</w:t>
            </w:r>
          </w:p>
        </w:tc>
        <w:tc>
          <w:tcPr>
            <w:tcW w:w="60" w:type="dxa"/>
            <w:vAlign w:val="bottom"/>
            <w:tcBorders>
              <w:bottom w:val="single" w:sz="8" w:color="2A2A2A"/>
            </w:tcBorders>
          </w:tcPr>
          <w:p>
            <w:pPr>
              <w:spacing w:after="0"/>
              <w:rPr>
                <w:sz w:val="24"/>
                <w:szCs w:val="24"/>
                <w:color w:val="auto"/>
              </w:rPr>
            </w:pPr>
          </w:p>
        </w:tc>
        <w:tc>
          <w:tcPr>
            <w:tcW w:w="9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Stock</w:t>
            </w:r>
          </w:p>
        </w:tc>
        <w:tc>
          <w:tcPr>
            <w:tcW w:w="80" w:type="dxa"/>
            <w:vAlign w:val="bottom"/>
            <w:tcBorders>
              <w:bottom w:val="single" w:sz="8" w:color="2A2A2A"/>
            </w:tcBorders>
          </w:tcPr>
          <w:p>
            <w:pPr>
              <w:spacing w:after="0"/>
              <w:rPr>
                <w:sz w:val="24"/>
                <w:szCs w:val="24"/>
                <w:color w:val="auto"/>
              </w:rPr>
            </w:pPr>
          </w:p>
        </w:tc>
        <w:tc>
          <w:tcPr>
            <w:tcW w:w="200" w:type="dxa"/>
            <w:vAlign w:val="bottom"/>
            <w:tcBorders>
              <w:bottom w:val="single" w:sz="8" w:color="2A2A2A"/>
            </w:tcBorders>
          </w:tcPr>
          <w:p>
            <w:pPr>
              <w:spacing w:after="0"/>
              <w:rPr>
                <w:sz w:val="24"/>
                <w:szCs w:val="24"/>
                <w:color w:val="auto"/>
              </w:rPr>
            </w:pPr>
          </w:p>
        </w:tc>
        <w:tc>
          <w:tcPr>
            <w:tcW w:w="720" w:type="dxa"/>
            <w:vAlign w:val="bottom"/>
            <w:tcBorders>
              <w:bottom w:val="single" w:sz="8" w:color="2A2A2A"/>
            </w:tcBorders>
          </w:tcPr>
          <w:p>
            <w:pPr>
              <w:jc w:val="right"/>
              <w:ind w:right="161"/>
              <w:spacing w:after="0"/>
              <w:rPr>
                <w:sz w:val="20"/>
                <w:szCs w:val="20"/>
                <w:color w:val="auto"/>
              </w:rPr>
            </w:pPr>
            <w:r>
              <w:rPr>
                <w:rFonts w:ascii="Arial" w:cs="Arial" w:eastAsia="Arial" w:hAnsi="Arial"/>
                <w:sz w:val="16"/>
                <w:szCs w:val="16"/>
                <w:b w:val="1"/>
                <w:bCs w:val="1"/>
                <w:color w:val="2A2A2A"/>
              </w:rPr>
              <w:t>AOCI</w:t>
            </w:r>
          </w:p>
        </w:tc>
      </w:tr>
      <w:tr>
        <w:trPr>
          <w:trHeight w:val="250"/>
        </w:trPr>
        <w:tc>
          <w:tcPr>
            <w:tcW w:w="5340" w:type="dxa"/>
            <w:vAlign w:val="bottom"/>
            <w:tcBorders>
              <w:bottom w:val="single" w:sz="8" w:color="D7D7D7"/>
            </w:tcBorders>
          </w:tcPr>
          <w:p>
            <w:pPr>
              <w:spacing w:after="0"/>
              <w:rPr>
                <w:sz w:val="21"/>
                <w:szCs w:val="21"/>
                <w:color w:val="auto"/>
              </w:rPr>
            </w:pPr>
          </w:p>
        </w:tc>
        <w:tc>
          <w:tcPr>
            <w:tcW w:w="200" w:type="dxa"/>
            <w:vAlign w:val="bottom"/>
            <w:tcBorders>
              <w:bottom w:val="single" w:sz="8" w:color="2A2A2A"/>
            </w:tcBorders>
          </w:tcPr>
          <w:p>
            <w:pPr>
              <w:spacing w:after="0"/>
              <w:rPr>
                <w:sz w:val="21"/>
                <w:szCs w:val="21"/>
                <w:color w:val="auto"/>
              </w:rPr>
            </w:pPr>
          </w:p>
        </w:tc>
        <w:tc>
          <w:tcPr>
            <w:tcW w:w="720" w:type="dxa"/>
            <w:vAlign w:val="bottom"/>
            <w:tcBorders>
              <w:bottom w:val="single" w:sz="8" w:color="2A2A2A"/>
            </w:tcBorders>
          </w:tcPr>
          <w:p>
            <w:pPr>
              <w:spacing w:after="0"/>
              <w:rPr>
                <w:sz w:val="21"/>
                <w:szCs w:val="21"/>
                <w:color w:val="auto"/>
              </w:rPr>
            </w:pPr>
          </w:p>
        </w:tc>
        <w:tc>
          <w:tcPr>
            <w:tcW w:w="60" w:type="dxa"/>
            <w:vAlign w:val="bottom"/>
            <w:tcBorders>
              <w:bottom w:val="single" w:sz="8" w:color="D7D7D7"/>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740" w:type="dxa"/>
            <w:vAlign w:val="bottom"/>
            <w:tcBorders>
              <w:bottom w:val="single" w:sz="8" w:color="2A2A2A"/>
            </w:tcBorders>
          </w:tcPr>
          <w:p>
            <w:pPr>
              <w:spacing w:after="0"/>
              <w:rPr>
                <w:sz w:val="21"/>
                <w:szCs w:val="21"/>
                <w:color w:val="auto"/>
              </w:rPr>
            </w:pPr>
          </w:p>
        </w:tc>
        <w:tc>
          <w:tcPr>
            <w:tcW w:w="80" w:type="dxa"/>
            <w:vAlign w:val="bottom"/>
            <w:tcBorders>
              <w:bottom w:val="single" w:sz="8" w:color="D7D7D7"/>
            </w:tcBorders>
          </w:tcPr>
          <w:p>
            <w:pPr>
              <w:spacing w:after="0"/>
              <w:rPr>
                <w:sz w:val="21"/>
                <w:szCs w:val="21"/>
                <w:color w:val="auto"/>
              </w:rPr>
            </w:pPr>
          </w:p>
        </w:tc>
        <w:tc>
          <w:tcPr>
            <w:tcW w:w="920" w:type="dxa"/>
            <w:vAlign w:val="bottom"/>
            <w:tcBorders>
              <w:bottom w:val="single" w:sz="8" w:color="2A2A2A"/>
            </w:tcBorders>
          </w:tcPr>
          <w:p>
            <w:pPr>
              <w:spacing w:after="0"/>
              <w:rPr>
                <w:sz w:val="21"/>
                <w:szCs w:val="21"/>
                <w:color w:val="auto"/>
              </w:rPr>
            </w:pPr>
          </w:p>
        </w:tc>
        <w:tc>
          <w:tcPr>
            <w:tcW w:w="60" w:type="dxa"/>
            <w:vAlign w:val="bottom"/>
            <w:tcBorders>
              <w:bottom w:val="single" w:sz="8" w:color="D7D7D7"/>
            </w:tcBorders>
          </w:tcPr>
          <w:p>
            <w:pPr>
              <w:spacing w:after="0"/>
              <w:rPr>
                <w:sz w:val="21"/>
                <w:szCs w:val="21"/>
                <w:color w:val="auto"/>
              </w:rPr>
            </w:pPr>
          </w:p>
        </w:tc>
        <w:tc>
          <w:tcPr>
            <w:tcW w:w="920" w:type="dxa"/>
            <w:vAlign w:val="bottom"/>
            <w:tcBorders>
              <w:bottom w:val="single" w:sz="8" w:color="2A2A2A"/>
            </w:tcBorders>
          </w:tcPr>
          <w:p>
            <w:pPr>
              <w:spacing w:after="0"/>
              <w:rPr>
                <w:sz w:val="21"/>
                <w:szCs w:val="21"/>
                <w:color w:val="auto"/>
              </w:rPr>
            </w:pPr>
          </w:p>
        </w:tc>
        <w:tc>
          <w:tcPr>
            <w:tcW w:w="80" w:type="dxa"/>
            <w:vAlign w:val="bottom"/>
            <w:tcBorders>
              <w:bottom w:val="single" w:sz="8" w:color="D7D7D7"/>
            </w:tcBorders>
          </w:tcPr>
          <w:p>
            <w:pPr>
              <w:spacing w:after="0"/>
              <w:rPr>
                <w:sz w:val="21"/>
                <w:szCs w:val="21"/>
                <w:color w:val="auto"/>
              </w:rPr>
            </w:pPr>
          </w:p>
        </w:tc>
        <w:tc>
          <w:tcPr>
            <w:tcW w:w="200" w:type="dxa"/>
            <w:vAlign w:val="bottom"/>
            <w:tcBorders>
              <w:bottom w:val="single" w:sz="8" w:color="2A2A2A"/>
            </w:tcBorders>
          </w:tcPr>
          <w:p>
            <w:pPr>
              <w:spacing w:after="0"/>
              <w:rPr>
                <w:sz w:val="21"/>
                <w:szCs w:val="21"/>
                <w:color w:val="auto"/>
              </w:rPr>
            </w:pPr>
          </w:p>
        </w:tc>
        <w:tc>
          <w:tcPr>
            <w:tcW w:w="720" w:type="dxa"/>
            <w:vAlign w:val="bottom"/>
            <w:tcBorders>
              <w:bottom w:val="single" w:sz="8" w:color="2A2A2A"/>
            </w:tcBorders>
          </w:tcPr>
          <w:p>
            <w:pPr>
              <w:spacing w:after="0"/>
              <w:rPr>
                <w:sz w:val="21"/>
                <w:szCs w:val="21"/>
                <w:color w:val="auto"/>
              </w:rPr>
            </w:pPr>
          </w:p>
        </w:tc>
      </w:tr>
      <w:tr>
        <w:trPr>
          <w:trHeight w:val="250"/>
        </w:trPr>
        <w:tc>
          <w:tcPr>
            <w:tcW w:w="53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Balance, December 31, 2020</w:t>
            </w:r>
          </w:p>
        </w:tc>
        <w:tc>
          <w:tcPr>
            <w:tcW w:w="2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1,741</w:t>
            </w:r>
          </w:p>
        </w:tc>
        <w:tc>
          <w:tcPr>
            <w:tcW w:w="6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2,333</w:t>
            </w:r>
          </w:p>
        </w:tc>
        <w:tc>
          <w:tcPr>
            <w:tcW w:w="80" w:type="dxa"/>
            <w:vAlign w:val="bottom"/>
            <w:tcBorders>
              <w:bottom w:val="single" w:sz="8" w:color="D7D7D7"/>
            </w:tcBorders>
            <w:shd w:val="clear" w:color="auto" w:fill="D7D7D7"/>
          </w:tcPr>
          <w:p>
            <w:pPr>
              <w:spacing w:after="0"/>
              <w:rPr>
                <w:sz w:val="21"/>
                <w:szCs w:val="21"/>
                <w:color w:val="auto"/>
              </w:rPr>
            </w:pPr>
          </w:p>
        </w:tc>
        <w:tc>
          <w:tcPr>
            <w:tcW w:w="9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$ 42,051</w:t>
            </w:r>
          </w:p>
        </w:tc>
        <w:tc>
          <w:tcPr>
            <w:tcW w:w="60" w:type="dxa"/>
            <w:vAlign w:val="bottom"/>
            <w:tcBorders>
              <w:bottom w:val="single" w:sz="8" w:color="D7D7D7"/>
            </w:tcBorders>
            <w:shd w:val="clear" w:color="auto" w:fill="D7D7D7"/>
          </w:tcPr>
          <w:p>
            <w:pPr>
              <w:spacing w:after="0"/>
              <w:rPr>
                <w:sz w:val="21"/>
                <w:szCs w:val="21"/>
                <w:color w:val="auto"/>
              </w:rPr>
            </w:pPr>
          </w:p>
        </w:tc>
        <w:tc>
          <w:tcPr>
            <w:tcW w:w="92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u w:val="single" w:color="auto"/>
                <w:color w:val="2A2A2A"/>
              </w:rPr>
              <w:t>$</w:t>
            </w:r>
            <w:r>
              <w:rPr>
                <w:rFonts w:ascii="Arial" w:cs="Arial" w:eastAsia="Arial" w:hAnsi="Arial"/>
                <w:sz w:val="20"/>
                <w:szCs w:val="20"/>
                <w:color w:val="2A2A2A"/>
              </w:rPr>
              <w:t>(36,578)</w:t>
            </w:r>
          </w:p>
        </w:tc>
        <w:tc>
          <w:tcPr>
            <w:tcW w:w="80" w:type="dxa"/>
            <w:vAlign w:val="bottom"/>
            <w:tcBorders>
              <w:bottom w:val="single" w:sz="8" w:color="D7D7D7"/>
            </w:tcBorders>
            <w:shd w:val="clear" w:color="auto" w:fill="D7D7D7"/>
          </w:tcPr>
          <w:p>
            <w:pPr>
              <w:spacing w:after="0"/>
              <w:rPr>
                <w:sz w:val="21"/>
                <w:szCs w:val="21"/>
                <w:color w:val="auto"/>
              </w:rPr>
            </w:pPr>
          </w:p>
        </w:tc>
        <w:tc>
          <w:tcPr>
            <w:tcW w:w="2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(360)</w:t>
            </w:r>
          </w:p>
        </w:tc>
      </w:tr>
      <w:tr>
        <w:trPr>
          <w:trHeight w:val="275"/>
        </w:trPr>
        <w:tc>
          <w:tcPr>
            <w:tcW w:w="5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2021</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Net income</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2A2A2A"/>
              </w:rPr>
              <w:t>7,769</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3"/>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Dividends declared and paid ($4.21 per share)</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(3,886)</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Common stock issued for stock-based awards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67</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2A2A2A"/>
              </w:rPr>
              <w:t>310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3"/>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Stock repurchases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(532)</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Stock compensation</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230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3"/>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Other comprehensive income (loss), net of taxes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203</w:t>
            </w:r>
          </w:p>
        </w:tc>
      </w:tr>
      <w:tr>
        <w:trPr>
          <w:trHeight w:val="260"/>
        </w:trPr>
        <w:tc>
          <w:tcPr>
            <w:tcW w:w="5340" w:type="dxa"/>
            <w:vAlign w:val="bottom"/>
          </w:tcPr>
          <w:p>
            <w:pPr>
              <w:ind w:left="180"/>
              <w:spacing w:after="0"/>
              <w:rPr>
                <w:sz w:val="20"/>
                <w:szCs w:val="20"/>
                <w:color w:val="auto"/>
              </w:rPr>
            </w:pPr>
            <w:r>
              <w:rPr>
                <w:rFonts w:ascii="Arial" w:cs="Arial" w:eastAsia="Arial" w:hAnsi="Arial"/>
                <w:sz w:val="20"/>
                <w:szCs w:val="20"/>
                <w:color w:val="2A2A2A"/>
              </w:rPr>
              <w:t>Dividend equivalents on RSUs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2A2A2A"/>
              </w:rPr>
              <w:t>(15)</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50"/>
        </w:trPr>
        <w:tc>
          <w:tcPr>
            <w:tcW w:w="5340" w:type="dxa"/>
            <w:vAlign w:val="bottom"/>
            <w:tcBorders>
              <w:top w:val="single" w:sz="8" w:color="D7D7D7"/>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Balance, December 31, 2021</w:t>
            </w:r>
          </w:p>
        </w:tc>
        <w:tc>
          <w:tcPr>
            <w:tcW w:w="200" w:type="dxa"/>
            <w:vAlign w:val="bottom"/>
            <w:tcBorders>
              <w:top w:val="single" w:sz="8" w:color="2A2A2A"/>
              <w:bottom w:val="single" w:sz="8" w:color="2A2A2A"/>
            </w:tcBorders>
            <w:shd w:val="clear" w:color="auto" w:fill="D7D7D7"/>
          </w:tcPr>
          <w:p>
            <w:pPr>
              <w:spacing w:after="0"/>
              <w:rPr>
                <w:sz w:val="21"/>
                <w:szCs w:val="21"/>
                <w:color w:val="auto"/>
              </w:rPr>
            </w:pPr>
          </w:p>
        </w:tc>
        <w:tc>
          <w:tcPr>
            <w:tcW w:w="7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1,741</w:t>
            </w:r>
          </w:p>
        </w:tc>
        <w:tc>
          <w:tcPr>
            <w:tcW w:w="60" w:type="dxa"/>
            <w:vAlign w:val="bottom"/>
            <w:tcBorders>
              <w:top w:val="single" w:sz="8" w:color="D7D7D7"/>
              <w:bottom w:val="single" w:sz="8" w:color="D7D7D7"/>
            </w:tcBorders>
            <w:shd w:val="clear" w:color="auto" w:fill="D7D7D7"/>
          </w:tcPr>
          <w:p>
            <w:pPr>
              <w:spacing w:after="0"/>
              <w:rPr>
                <w:sz w:val="21"/>
                <w:szCs w:val="21"/>
                <w:color w:val="auto"/>
              </w:rPr>
            </w:pPr>
          </w:p>
        </w:tc>
        <w:tc>
          <w:tcPr>
            <w:tcW w:w="180" w:type="dxa"/>
            <w:vAlign w:val="bottom"/>
            <w:tcBorders>
              <w:top w:val="single" w:sz="8" w:color="2A2A2A"/>
              <w:bottom w:val="single" w:sz="8" w:color="2A2A2A"/>
            </w:tcBorders>
            <w:shd w:val="clear" w:color="auto" w:fill="D7D7D7"/>
          </w:tcPr>
          <w:p>
            <w:pPr>
              <w:spacing w:after="0"/>
              <w:rPr>
                <w:sz w:val="21"/>
                <w:szCs w:val="21"/>
                <w:color w:val="auto"/>
              </w:rPr>
            </w:pPr>
          </w:p>
        </w:tc>
        <w:tc>
          <w:tcPr>
            <w:tcW w:w="74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2,630</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9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45,919</w:t>
            </w:r>
          </w:p>
        </w:tc>
        <w:tc>
          <w:tcPr>
            <w:tcW w:w="60" w:type="dxa"/>
            <w:vAlign w:val="bottom"/>
            <w:tcBorders>
              <w:top w:val="single" w:sz="8" w:color="D7D7D7"/>
              <w:bottom w:val="single" w:sz="8" w:color="D7D7D7"/>
            </w:tcBorders>
            <w:shd w:val="clear" w:color="auto" w:fill="D7D7D7"/>
          </w:tcPr>
          <w:p>
            <w:pPr>
              <w:spacing w:after="0"/>
              <w:rPr>
                <w:sz w:val="21"/>
                <w:szCs w:val="21"/>
                <w:color w:val="auto"/>
              </w:rPr>
            </w:pPr>
          </w:p>
        </w:tc>
        <w:tc>
          <w:tcPr>
            <w:tcW w:w="9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(36,800)</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200" w:type="dxa"/>
            <w:vAlign w:val="bottom"/>
            <w:tcBorders>
              <w:top w:val="single" w:sz="8" w:color="2A2A2A"/>
              <w:bottom w:val="single" w:sz="8" w:color="2A2A2A"/>
            </w:tcBorders>
            <w:shd w:val="clear" w:color="auto" w:fill="D7D7D7"/>
          </w:tcPr>
          <w:p>
            <w:pPr>
              <w:spacing w:after="0"/>
              <w:rPr>
                <w:sz w:val="21"/>
                <w:szCs w:val="21"/>
                <w:color w:val="auto"/>
              </w:rPr>
            </w:pPr>
          </w:p>
        </w:tc>
        <w:tc>
          <w:tcPr>
            <w:tcW w:w="7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(157)</w:t>
            </w:r>
          </w:p>
        </w:tc>
      </w:tr>
      <w:tr>
        <w:trPr>
          <w:trHeight w:val="275"/>
        </w:trPr>
        <w:tc>
          <w:tcPr>
            <w:tcW w:w="5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2022</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Net income</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2A2A2A"/>
              </w:rPr>
              <w:t>8,749</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3"/>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Dividends declared and paid ($4.69 per share)</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(4,297)</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Common stock issued for stock-based awards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35</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2A2A2A"/>
              </w:rPr>
              <w:t>206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2"/>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Stock repurchases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(3,620)</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Stock compensation</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289</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72"/>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Other comprehensive income (loss), net of taxes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(97)</w:t>
            </w:r>
          </w:p>
        </w:tc>
      </w:tr>
      <w:tr>
        <w:trPr>
          <w:trHeight w:val="268"/>
        </w:trPr>
        <w:tc>
          <w:tcPr>
            <w:tcW w:w="5340" w:type="dxa"/>
            <w:vAlign w:val="bottom"/>
          </w:tcPr>
          <w:p>
            <w:pPr>
              <w:ind w:left="180"/>
              <w:spacing w:after="0"/>
              <w:rPr>
                <w:sz w:val="20"/>
                <w:szCs w:val="20"/>
                <w:color w:val="auto"/>
              </w:rPr>
            </w:pPr>
            <w:r>
              <w:rPr>
                <w:rFonts w:ascii="Arial" w:cs="Arial" w:eastAsia="Arial" w:hAnsi="Arial"/>
                <w:sz w:val="20"/>
                <w:szCs w:val="20"/>
                <w:color w:val="2A2A2A"/>
              </w:rPr>
              <w:t>Dividend equivalents on RSUs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2A2A2A"/>
              </w:rPr>
              <w:t>(18)</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82"/>
        </w:trPr>
        <w:tc>
          <w:tcPr>
            <w:tcW w:w="53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Other</w:t>
            </w:r>
          </w:p>
        </w:tc>
        <w:tc>
          <w:tcPr>
            <w:tcW w:w="200" w:type="dxa"/>
            <w:vAlign w:val="bottom"/>
            <w:tcBorders>
              <w:bottom w:val="single" w:sz="8" w:color="2A2A2A"/>
            </w:tcBorders>
            <w:shd w:val="clear" w:color="auto" w:fill="D7D7D7"/>
          </w:tcPr>
          <w:p>
            <w:pPr>
              <w:spacing w:after="0"/>
              <w:rPr>
                <w:sz w:val="24"/>
                <w:szCs w:val="24"/>
                <w:color w:val="auto"/>
              </w:rPr>
            </w:pP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tcBorders>
              <w:bottom w:val="single" w:sz="8" w:color="D7D7D7"/>
            </w:tcBorders>
            <w:shd w:val="clear" w:color="auto" w:fill="D7D7D7"/>
          </w:tcPr>
          <w:p>
            <w:pPr>
              <w:spacing w:after="0"/>
              <w:rPr>
                <w:sz w:val="24"/>
                <w:szCs w:val="24"/>
                <w:color w:val="auto"/>
              </w:rPr>
            </w:pPr>
          </w:p>
        </w:tc>
        <w:tc>
          <w:tcPr>
            <w:tcW w:w="9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9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30"/>
        </w:trPr>
        <w:tc>
          <w:tcPr>
            <w:tcW w:w="534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Balance, December 31, 2022</w:t>
            </w:r>
          </w:p>
        </w:tc>
        <w:tc>
          <w:tcPr>
            <w:tcW w:w="200" w:type="dxa"/>
            <w:vAlign w:val="bottom"/>
            <w:tcBorders>
              <w:bottom w:val="single" w:sz="8" w:color="2A2A2A"/>
            </w:tcBorders>
          </w:tcPr>
          <w:p>
            <w:pPr>
              <w:spacing w:after="0"/>
              <w:rPr>
                <w:sz w:val="20"/>
                <w:szCs w:val="20"/>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1,741</w:t>
            </w:r>
          </w:p>
        </w:tc>
        <w:tc>
          <w:tcPr>
            <w:tcW w:w="60" w:type="dxa"/>
            <w:vAlign w:val="bottom"/>
            <w:tcBorders>
              <w:bottom w:val="single" w:sz="8" w:color="D7D7D7"/>
            </w:tcBorders>
          </w:tcPr>
          <w:p>
            <w:pPr>
              <w:spacing w:after="0"/>
              <w:rPr>
                <w:sz w:val="20"/>
                <w:szCs w:val="20"/>
                <w:color w:val="auto"/>
              </w:rPr>
            </w:pPr>
          </w:p>
        </w:tc>
        <w:tc>
          <w:tcPr>
            <w:tcW w:w="180" w:type="dxa"/>
            <w:vAlign w:val="bottom"/>
            <w:tcBorders>
              <w:bottom w:val="single" w:sz="8" w:color="2A2A2A"/>
            </w:tcBorders>
          </w:tcPr>
          <w:p>
            <w:pPr>
              <w:spacing w:after="0"/>
              <w:rPr>
                <w:sz w:val="20"/>
                <w:szCs w:val="20"/>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2,951</w:t>
            </w:r>
          </w:p>
        </w:tc>
        <w:tc>
          <w:tcPr>
            <w:tcW w:w="80" w:type="dxa"/>
            <w:vAlign w:val="bottom"/>
            <w:tcBorders>
              <w:bottom w:val="single" w:sz="8" w:color="D7D7D7"/>
            </w:tcBorders>
          </w:tcPr>
          <w:p>
            <w:pPr>
              <w:spacing w:after="0"/>
              <w:rPr>
                <w:sz w:val="20"/>
                <w:szCs w:val="20"/>
                <w:color w:val="auto"/>
              </w:rPr>
            </w:pPr>
          </w:p>
        </w:tc>
        <w:tc>
          <w:tcPr>
            <w:tcW w:w="9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50,353</w:t>
            </w:r>
          </w:p>
        </w:tc>
        <w:tc>
          <w:tcPr>
            <w:tcW w:w="60" w:type="dxa"/>
            <w:vAlign w:val="bottom"/>
            <w:tcBorders>
              <w:bottom w:val="single" w:sz="8" w:color="D7D7D7"/>
            </w:tcBorders>
          </w:tcPr>
          <w:p>
            <w:pPr>
              <w:spacing w:after="0"/>
              <w:rPr>
                <w:sz w:val="20"/>
                <w:szCs w:val="20"/>
                <w:color w:val="auto"/>
              </w:rPr>
            </w:pPr>
          </w:p>
        </w:tc>
        <w:tc>
          <w:tcPr>
            <w:tcW w:w="9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(40,214)</w:t>
            </w:r>
          </w:p>
        </w:tc>
        <w:tc>
          <w:tcPr>
            <w:tcW w:w="80" w:type="dxa"/>
            <w:vAlign w:val="bottom"/>
            <w:tcBorders>
              <w:bottom w:val="single" w:sz="8" w:color="D7D7D7"/>
            </w:tcBorders>
          </w:tcPr>
          <w:p>
            <w:pPr>
              <w:spacing w:after="0"/>
              <w:rPr>
                <w:sz w:val="20"/>
                <w:szCs w:val="20"/>
                <w:color w:val="auto"/>
              </w:rPr>
            </w:pPr>
          </w:p>
        </w:tc>
        <w:tc>
          <w:tcPr>
            <w:tcW w:w="200" w:type="dxa"/>
            <w:vAlign w:val="bottom"/>
            <w:tcBorders>
              <w:bottom w:val="single" w:sz="8" w:color="2A2A2A"/>
            </w:tcBorders>
          </w:tcPr>
          <w:p>
            <w:pPr>
              <w:spacing w:after="0"/>
              <w:rPr>
                <w:sz w:val="20"/>
                <w:szCs w:val="20"/>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(254)</w:t>
            </w:r>
          </w:p>
        </w:tc>
      </w:tr>
      <w:tr>
        <w:trPr>
          <w:trHeight w:val="275"/>
        </w:trPr>
        <w:tc>
          <w:tcPr>
            <w:tcW w:w="534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r>
      <w:tr>
        <w:trPr>
          <w:trHeight w:val="270"/>
        </w:trPr>
        <w:tc>
          <w:tcPr>
            <w:tcW w:w="5340" w:type="dxa"/>
            <w:vAlign w:val="bottom"/>
          </w:tcPr>
          <w:p>
            <w:pPr>
              <w:ind w:left="60"/>
              <w:spacing w:after="0"/>
              <w:rPr>
                <w:sz w:val="20"/>
                <w:szCs w:val="20"/>
                <w:color w:val="auto"/>
              </w:rPr>
            </w:pPr>
            <w:r>
              <w:rPr>
                <w:rFonts w:ascii="Arial" w:cs="Arial" w:eastAsia="Arial" w:hAnsi="Arial"/>
                <w:sz w:val="20"/>
                <w:szCs w:val="20"/>
                <w:b w:val="1"/>
                <w:bCs w:val="1"/>
                <w:color w:val="2A2A2A"/>
              </w:rPr>
              <w:t>2023</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Net income</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100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6,510</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r>
      <w:tr>
        <w:trPr>
          <w:trHeight w:val="270"/>
        </w:trPr>
        <w:tc>
          <w:tcPr>
            <w:tcW w:w="5340" w:type="dxa"/>
            <w:vAlign w:val="bottom"/>
          </w:tcPr>
          <w:p>
            <w:pPr>
              <w:ind w:left="180"/>
              <w:spacing w:after="0"/>
              <w:rPr>
                <w:sz w:val="20"/>
                <w:szCs w:val="20"/>
                <w:color w:val="auto"/>
              </w:rPr>
            </w:pPr>
            <w:r>
              <w:rPr>
                <w:rFonts w:ascii="Arial" w:cs="Arial" w:eastAsia="Arial" w:hAnsi="Arial"/>
                <w:sz w:val="20"/>
                <w:szCs w:val="20"/>
                <w:b w:val="1"/>
                <w:bCs w:val="1"/>
                <w:color w:val="2A2A2A"/>
              </w:rPr>
              <w:t>Dividends declared and paid ($5.02 per share)</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2A2A2A"/>
              </w:rPr>
              <w:t>(4,557)</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w:t>
            </w:r>
          </w:p>
        </w:tc>
      </w:tr>
      <w:tr>
        <w:trPr>
          <w:trHeight w:val="270"/>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Common stock issued for stock-based awards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50</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213</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r>
      <w:tr>
        <w:trPr>
          <w:trHeight w:val="270"/>
        </w:trPr>
        <w:tc>
          <w:tcPr>
            <w:tcW w:w="5340" w:type="dxa"/>
            <w:vAlign w:val="bottom"/>
          </w:tcPr>
          <w:p>
            <w:pPr>
              <w:ind w:left="180"/>
              <w:spacing w:after="0"/>
              <w:rPr>
                <w:sz w:val="20"/>
                <w:szCs w:val="20"/>
                <w:color w:val="auto"/>
              </w:rPr>
            </w:pPr>
            <w:r>
              <w:rPr>
                <w:rFonts w:ascii="Arial" w:cs="Arial" w:eastAsia="Arial" w:hAnsi="Arial"/>
                <w:sz w:val="20"/>
                <w:szCs w:val="20"/>
                <w:b w:val="1"/>
                <w:bCs w:val="1"/>
                <w:color w:val="2A2A2A"/>
              </w:rPr>
              <w:t>Stock repurchases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2A2A2A"/>
              </w:rPr>
              <w:t>(283)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w:t>
            </w:r>
          </w:p>
        </w:tc>
      </w:tr>
      <w:tr>
        <w:trPr>
          <w:trHeight w:val="270"/>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Stock compensation</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362</w:t>
            </w:r>
          </w:p>
        </w:tc>
        <w:tc>
          <w:tcPr>
            <w:tcW w:w="8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r>
      <w:tr>
        <w:trPr>
          <w:trHeight w:val="270"/>
        </w:trPr>
        <w:tc>
          <w:tcPr>
            <w:tcW w:w="5340" w:type="dxa"/>
            <w:vAlign w:val="bottom"/>
          </w:tcPr>
          <w:p>
            <w:pPr>
              <w:ind w:left="180"/>
              <w:spacing w:after="0"/>
              <w:rPr>
                <w:sz w:val="20"/>
                <w:szCs w:val="20"/>
                <w:color w:val="auto"/>
              </w:rPr>
            </w:pPr>
            <w:r>
              <w:rPr>
                <w:rFonts w:ascii="Arial" w:cs="Arial" w:eastAsia="Arial" w:hAnsi="Arial"/>
                <w:sz w:val="20"/>
                <w:szCs w:val="20"/>
                <w:b w:val="1"/>
                <w:bCs w:val="1"/>
                <w:color w:val="2A2A2A"/>
              </w:rPr>
              <w:t>Other comprehensive income (loss), net of taxes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49</w:t>
            </w:r>
          </w:p>
        </w:tc>
      </w:tr>
      <w:tr>
        <w:trPr>
          <w:trHeight w:val="270"/>
        </w:trPr>
        <w:tc>
          <w:tcPr>
            <w:tcW w:w="53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Dividend equivalents on RSUs</w:t>
            </w: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100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(23)</w:t>
            </w:r>
          </w:p>
        </w:tc>
        <w:tc>
          <w:tcPr>
            <w:tcW w:w="6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r>
      <w:tr>
        <w:trPr>
          <w:trHeight w:val="260"/>
        </w:trPr>
        <w:tc>
          <w:tcPr>
            <w:tcW w:w="5340" w:type="dxa"/>
            <w:vAlign w:val="bottom"/>
            <w:tcBorders>
              <w:bottom w:val="single" w:sz="8" w:color="D7D7D7"/>
            </w:tcBorders>
          </w:tcPr>
          <w:p>
            <w:pPr>
              <w:ind w:left="180"/>
              <w:spacing w:after="0"/>
              <w:rPr>
                <w:sz w:val="20"/>
                <w:szCs w:val="20"/>
                <w:color w:val="auto"/>
              </w:rPr>
            </w:pPr>
            <w:r>
              <w:rPr>
                <w:rFonts w:ascii="Arial" w:cs="Arial" w:eastAsia="Arial" w:hAnsi="Arial"/>
                <w:sz w:val="20"/>
                <w:szCs w:val="20"/>
                <w:b w:val="1"/>
                <w:bCs w:val="1"/>
                <w:color w:val="2A2A2A"/>
              </w:rPr>
              <w:t>Other</w:t>
            </w:r>
          </w:p>
        </w:tc>
        <w:tc>
          <w:tcPr>
            <w:tcW w:w="200" w:type="dxa"/>
            <w:vAlign w:val="bottom"/>
            <w:tcBorders>
              <w:bottom w:val="single" w:sz="8" w:color="2A2A2A"/>
            </w:tcBorders>
          </w:tcPr>
          <w:p>
            <w:pPr>
              <w:spacing w:after="0"/>
              <w:rPr>
                <w:sz w:val="22"/>
                <w:szCs w:val="22"/>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tcBorders>
              <w:bottom w:val="single" w:sz="8" w:color="D7D7D7"/>
            </w:tcBorders>
          </w:tcPr>
          <w:p>
            <w:pPr>
              <w:spacing w:after="0"/>
              <w:rPr>
                <w:sz w:val="22"/>
                <w:szCs w:val="22"/>
                <w:color w:val="auto"/>
              </w:rPr>
            </w:pPr>
          </w:p>
        </w:tc>
        <w:tc>
          <w:tcPr>
            <w:tcW w:w="9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9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r>
      <w:tr>
        <w:trPr>
          <w:trHeight w:val="255"/>
        </w:trPr>
        <w:tc>
          <w:tcPr>
            <w:tcW w:w="53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b w:val="1"/>
                <w:bCs w:val="1"/>
                <w:color w:val="2A2A2A"/>
              </w:rPr>
              <w:t>Balance, December 31, 2023</w:t>
            </w:r>
          </w:p>
        </w:tc>
        <w:tc>
          <w:tcPr>
            <w:tcW w:w="2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1,741</w:t>
            </w:r>
          </w:p>
        </w:tc>
        <w:tc>
          <w:tcPr>
            <w:tcW w:w="6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3,362</w:t>
            </w:r>
          </w:p>
        </w:tc>
        <w:tc>
          <w:tcPr>
            <w:tcW w:w="80" w:type="dxa"/>
            <w:vAlign w:val="bottom"/>
            <w:tcBorders>
              <w:bottom w:val="single" w:sz="8" w:color="D7D7D7"/>
            </w:tcBorders>
            <w:shd w:val="clear" w:color="auto" w:fill="D7D7D7"/>
          </w:tcPr>
          <w:p>
            <w:pPr>
              <w:spacing w:after="0"/>
              <w:rPr>
                <w:sz w:val="21"/>
                <w:szCs w:val="21"/>
                <w:color w:val="auto"/>
              </w:rPr>
            </w:pPr>
          </w:p>
        </w:tc>
        <w:tc>
          <w:tcPr>
            <w:tcW w:w="9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$ 52,283</w:t>
            </w:r>
          </w:p>
        </w:tc>
        <w:tc>
          <w:tcPr>
            <w:tcW w:w="60" w:type="dxa"/>
            <w:vAlign w:val="bottom"/>
            <w:tcBorders>
              <w:bottom w:val="single" w:sz="8" w:color="D7D7D7"/>
            </w:tcBorders>
            <w:shd w:val="clear" w:color="auto" w:fill="D7D7D7"/>
          </w:tcPr>
          <w:p>
            <w:pPr>
              <w:spacing w:after="0"/>
              <w:rPr>
                <w:sz w:val="21"/>
                <w:szCs w:val="21"/>
                <w:color w:val="auto"/>
              </w:rPr>
            </w:pPr>
          </w:p>
        </w:tc>
        <w:tc>
          <w:tcPr>
            <w:tcW w:w="92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u w:val="single" w:color="auto"/>
                <w:color w:val="2A2A2A"/>
              </w:rPr>
              <w:t>$</w:t>
            </w:r>
            <w:r>
              <w:rPr>
                <w:rFonts w:ascii="Arial" w:cs="Arial" w:eastAsia="Arial" w:hAnsi="Arial"/>
                <w:sz w:val="20"/>
                <w:szCs w:val="20"/>
                <w:b w:val="1"/>
                <w:bCs w:val="1"/>
                <w:color w:val="2A2A2A"/>
              </w:rPr>
              <w:t>(40,284)</w:t>
            </w:r>
          </w:p>
        </w:tc>
        <w:tc>
          <w:tcPr>
            <w:tcW w:w="80" w:type="dxa"/>
            <w:vAlign w:val="bottom"/>
            <w:tcBorders>
              <w:bottom w:val="single" w:sz="8" w:color="D7D7D7"/>
            </w:tcBorders>
            <w:shd w:val="clear" w:color="auto" w:fill="D7D7D7"/>
          </w:tcPr>
          <w:p>
            <w:pPr>
              <w:spacing w:after="0"/>
              <w:rPr>
                <w:sz w:val="21"/>
                <w:szCs w:val="21"/>
                <w:color w:val="auto"/>
              </w:rPr>
            </w:pPr>
          </w:p>
        </w:tc>
        <w:tc>
          <w:tcPr>
            <w:tcW w:w="2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(205)</w:t>
            </w:r>
          </w:p>
        </w:tc>
      </w:tr>
      <w:tr>
        <w:trPr>
          <w:trHeight w:val="20"/>
        </w:trPr>
        <w:tc>
          <w:tcPr>
            <w:tcW w:w="5340" w:type="dxa"/>
            <w:vAlign w:val="bottom"/>
            <w:tcBorders>
              <w:top w:val="single" w:sz="8" w:color="D7D7D7"/>
            </w:tcBorders>
          </w:tcPr>
          <w:p>
            <w:pPr>
              <w:spacing w:after="0" w:line="20" w:lineRule="exact"/>
              <w:rPr>
                <w:sz w:val="1"/>
                <w:szCs w:val="1"/>
                <w:color w:val="auto"/>
              </w:rPr>
            </w:pPr>
          </w:p>
        </w:tc>
        <w:tc>
          <w:tcPr>
            <w:tcW w:w="20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4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92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9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0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-5717540</wp:posOffset>
            </wp:positionV>
            <wp:extent cx="312102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-5546090</wp:posOffset>
            </wp:positionV>
            <wp:extent cx="312102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-3993515</wp:posOffset>
            </wp:positionV>
            <wp:extent cx="312102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-3822065</wp:posOffset>
            </wp:positionV>
            <wp:extent cx="312102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-2098040</wp:posOffset>
            </wp:positionV>
            <wp:extent cx="312102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-1926590</wp:posOffset>
            </wp:positionV>
            <wp:extent cx="312102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-202565</wp:posOffset>
            </wp:positionV>
            <wp:extent cx="312102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2102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-43815</wp:posOffset>
            </wp:positionV>
            <wp:extent cx="31210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21025" cy="25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A2A2A"/>
        </w:rPr>
        <w:t>See accompanying notes.</w:t>
      </w:r>
    </w:p>
    <w:p>
      <w:pPr>
        <w:sectPr>
          <w:pgSz w:w="12240" w:h="15840" w:orient="portrait"/>
          <w:cols w:equalWidth="0" w:num="1">
            <w:col w:w="10220"/>
          </w:cols>
          <w:pgMar w:left="980" w:top="538" w:right="104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30</w:t>
      </w:r>
    </w:p>
    <w:p>
      <w:pPr>
        <w:sectPr>
          <w:pgSz w:w="12240" w:h="15840" w:orient="portrait"/>
          <w:cols w:equalWidth="0" w:num="1">
            <w:col w:w="10220"/>
          </w:cols>
          <w:pgMar w:left="980" w:top="538" w:right="1040" w:bottom="24" w:gutter="0" w:footer="0" w:header="0"/>
          <w:type w:val="continuous"/>
        </w:sectPr>
      </w:pPr>
    </w:p>
    <w:bookmarkStart w:id="36" w:name="page37"/>
    <w:bookmarkEnd w:id="36"/>
    <w:p>
      <w:pPr>
        <w:ind w:left="1"/>
        <w:spacing w:after="0"/>
        <w:rPr>
          <w:sz w:val="20"/>
          <w:szCs w:val="20"/>
          <w:color w:val="auto"/>
        </w:rPr>
      </w:pPr>
      <w:r>
        <w:rPr>
          <w:rFonts w:ascii="Arial" w:cs="Arial" w:eastAsia="Arial" w:hAnsi="Arial"/>
          <w:sz w:val="22"/>
          <w:szCs w:val="22"/>
          <w:b w:val="1"/>
          <w:bCs w:val="1"/>
          <w:color w:val="2A2A2A"/>
        </w:rPr>
        <w:t>Notes to financial statements</w:t>
      </w:r>
    </w:p>
    <w:p>
      <w:pPr>
        <w:spacing w:after="0" w:line="251" w:lineRule="exact"/>
        <w:rPr>
          <w:sz w:val="20"/>
          <w:szCs w:val="20"/>
          <w:color w:val="auto"/>
        </w:rPr>
      </w:pPr>
    </w:p>
    <w:p>
      <w:pPr>
        <w:ind w:left="241" w:hanging="241"/>
        <w:spacing w:after="0"/>
        <w:tabs>
          <w:tab w:leader="none" w:pos="241" w:val="left"/>
        </w:tabs>
        <w:numPr>
          <w:ilvl w:val="0"/>
          <w:numId w:val="16"/>
        </w:numPr>
        <w:rPr>
          <w:rFonts w:ascii="Arial" w:cs="Arial" w:eastAsia="Arial" w:hAnsi="Arial"/>
          <w:sz w:val="22"/>
          <w:szCs w:val="22"/>
          <w:color w:val="2A2A2A"/>
        </w:rPr>
      </w:pPr>
      <w:r>
        <w:rPr>
          <w:rFonts w:ascii="Arial" w:cs="Arial" w:eastAsia="Arial" w:hAnsi="Arial"/>
          <w:sz w:val="22"/>
          <w:szCs w:val="22"/>
          <w:u w:val="single" w:color="auto"/>
          <w:color w:val="2A2A2A"/>
        </w:rPr>
        <w:t>Description of business, including segment and geographic area information</w:t>
      </w:r>
    </w:p>
    <w:p>
      <w:pPr>
        <w:spacing w:after="0" w:line="257" w:lineRule="exact"/>
        <w:rPr>
          <w:sz w:val="20"/>
          <w:szCs w:val="20"/>
          <w:color w:val="auto"/>
        </w:rPr>
      </w:pPr>
    </w:p>
    <w:p>
      <w:pPr>
        <w:ind w:left="1" w:right="260"/>
        <w:spacing w:after="0" w:line="259" w:lineRule="auto"/>
        <w:rPr>
          <w:sz w:val="20"/>
          <w:szCs w:val="20"/>
          <w:color w:val="auto"/>
        </w:rPr>
      </w:pPr>
      <w:r>
        <w:rPr>
          <w:rFonts w:ascii="Arial" w:cs="Arial" w:eastAsia="Arial" w:hAnsi="Arial"/>
          <w:sz w:val="20"/>
          <w:szCs w:val="20"/>
          <w:color w:val="2A2A2A"/>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99" w:lineRule="exact"/>
        <w:rPr>
          <w:sz w:val="20"/>
          <w:szCs w:val="20"/>
          <w:color w:val="auto"/>
        </w:rPr>
      </w:pPr>
    </w:p>
    <w:p>
      <w:pPr>
        <w:ind w:left="721" w:right="140" w:hanging="361"/>
        <w:spacing w:after="0" w:line="257" w:lineRule="auto"/>
        <w:tabs>
          <w:tab w:leader="none" w:pos="721" w:val="left"/>
        </w:tabs>
        <w:numPr>
          <w:ilvl w:val="0"/>
          <w:numId w:val="17"/>
        </w:numPr>
        <w:rPr>
          <w:rFonts w:ascii="Arial" w:cs="Arial" w:eastAsia="Arial" w:hAnsi="Arial"/>
          <w:sz w:val="20"/>
          <w:szCs w:val="20"/>
          <w:color w:val="2A2A2A"/>
        </w:rPr>
      </w:pPr>
      <w:r>
        <w:rPr>
          <w:rFonts w:ascii="Arial" w:cs="Arial" w:eastAsia="Arial" w:hAnsi="Arial"/>
          <w:sz w:val="20"/>
          <w:szCs w:val="20"/>
          <w:color w:val="2A2A2A"/>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82" w:lineRule="exact"/>
        <w:rPr>
          <w:rFonts w:ascii="Arial" w:cs="Arial" w:eastAsia="Arial" w:hAnsi="Arial"/>
          <w:sz w:val="20"/>
          <w:szCs w:val="20"/>
          <w:color w:val="2A2A2A"/>
        </w:rPr>
      </w:pPr>
    </w:p>
    <w:p>
      <w:pPr>
        <w:ind w:left="721" w:hanging="361"/>
        <w:spacing w:after="0" w:line="268" w:lineRule="auto"/>
        <w:tabs>
          <w:tab w:leader="none" w:pos="721" w:val="left"/>
        </w:tabs>
        <w:numPr>
          <w:ilvl w:val="0"/>
          <w:numId w:val="17"/>
        </w:numPr>
        <w:rPr>
          <w:rFonts w:ascii="Arial" w:cs="Arial" w:eastAsia="Arial" w:hAnsi="Arial"/>
          <w:sz w:val="20"/>
          <w:szCs w:val="20"/>
          <w:color w:val="2A2A2A"/>
        </w:rPr>
      </w:pPr>
      <w:r>
        <w:rPr>
          <w:rFonts w:ascii="Arial" w:cs="Arial" w:eastAsia="Arial" w:hAnsi="Arial"/>
          <w:sz w:val="20"/>
          <w:szCs w:val="20"/>
          <w:color w:val="2A2A2A"/>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90" w:lineRule="exact"/>
        <w:rPr>
          <w:sz w:val="20"/>
          <w:szCs w:val="20"/>
          <w:color w:val="auto"/>
        </w:rPr>
      </w:pPr>
    </w:p>
    <w:p>
      <w:pPr>
        <w:ind w:left="1" w:right="40"/>
        <w:spacing w:after="0" w:line="262" w:lineRule="auto"/>
        <w:rPr>
          <w:sz w:val="20"/>
          <w:szCs w:val="20"/>
          <w:color w:val="auto"/>
        </w:rPr>
      </w:pPr>
      <w:r>
        <w:rPr>
          <w:rFonts w:ascii="Arial" w:cs="Arial" w:eastAsia="Arial" w:hAnsi="Arial"/>
          <w:sz w:val="20"/>
          <w:szCs w:val="20"/>
          <w:color w:val="2A2A2A"/>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6"/>
          <w:szCs w:val="26"/>
          <w:color w:val="2A2A2A"/>
          <w:vertAlign w:val="superscript"/>
        </w:rPr>
        <w:t>®</w:t>
      </w:r>
      <w:r>
        <w:rPr>
          <w:rFonts w:ascii="Arial" w:cs="Arial" w:eastAsia="Arial" w:hAnsi="Arial"/>
          <w:sz w:val="20"/>
          <w:szCs w:val="20"/>
          <w:color w:val="2A2A2A"/>
        </w:rPr>
        <w:t xml:space="preserve"> products, calculators and custom ASIC products.</w:t>
      </w:r>
    </w:p>
    <w:p>
      <w:pPr>
        <w:spacing w:after="0" w:line="131" w:lineRule="exact"/>
        <w:rPr>
          <w:sz w:val="20"/>
          <w:szCs w:val="20"/>
          <w:color w:val="auto"/>
        </w:rPr>
      </w:pPr>
    </w:p>
    <w:p>
      <w:pPr>
        <w:ind w:left="1" w:right="80"/>
        <w:spacing w:after="0" w:line="257" w:lineRule="auto"/>
        <w:rPr>
          <w:sz w:val="20"/>
          <w:szCs w:val="20"/>
          <w:color w:val="auto"/>
        </w:rPr>
      </w:pPr>
      <w:r>
        <w:rPr>
          <w:rFonts w:ascii="Arial" w:cs="Arial" w:eastAsia="Arial" w:hAnsi="Arial"/>
          <w:sz w:val="20"/>
          <w:szCs w:val="20"/>
          <w:color w:val="2A2A2A"/>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202" w:lineRule="exact"/>
        <w:rPr>
          <w:sz w:val="20"/>
          <w:szCs w:val="20"/>
          <w:color w:val="auto"/>
        </w:rPr>
      </w:pPr>
    </w:p>
    <w:p>
      <w:pPr>
        <w:ind w:left="1" w:right="520"/>
        <w:spacing w:after="0" w:line="262" w:lineRule="auto"/>
        <w:rPr>
          <w:sz w:val="20"/>
          <w:szCs w:val="20"/>
          <w:color w:val="auto"/>
        </w:rPr>
      </w:pPr>
      <w:r>
        <w:rPr>
          <w:rFonts w:ascii="Arial" w:cs="Arial" w:eastAsia="Arial" w:hAnsi="Arial"/>
          <w:sz w:val="20"/>
          <w:szCs w:val="20"/>
          <w:color w:val="2A2A2A"/>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96" w:lineRule="exact"/>
        <w:rPr>
          <w:sz w:val="20"/>
          <w:szCs w:val="20"/>
          <w:color w:val="auto"/>
        </w:rPr>
      </w:pPr>
    </w:p>
    <w:p>
      <w:pPr>
        <w:ind w:left="1" w:right="80"/>
        <w:spacing w:after="0" w:line="262" w:lineRule="auto"/>
        <w:rPr>
          <w:sz w:val="20"/>
          <w:szCs w:val="20"/>
          <w:color w:val="auto"/>
        </w:rPr>
      </w:pPr>
      <w:r>
        <w:rPr>
          <w:rFonts w:ascii="Arial" w:cs="Arial" w:eastAsia="Arial" w:hAnsi="Arial"/>
          <w:sz w:val="20"/>
          <w:szCs w:val="20"/>
          <w:color w:val="2A2A2A"/>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Segment information</w:t>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80" w:type="dxa"/>
            <w:vAlign w:val="bottom"/>
            <w:tcBorders>
              <w:bottom w:val="single" w:sz="8" w:color="2A2A2A"/>
            </w:tcBorders>
          </w:tcPr>
          <w:p>
            <w:pPr>
              <w:spacing w:after="0"/>
              <w:rPr>
                <w:sz w:val="19"/>
                <w:szCs w:val="19"/>
                <w:color w:val="auto"/>
              </w:rPr>
            </w:pPr>
          </w:p>
        </w:tc>
        <w:tc>
          <w:tcPr>
            <w:tcW w:w="3160" w:type="dxa"/>
            <w:vAlign w:val="bottom"/>
            <w:tcBorders>
              <w:bottom w:val="single" w:sz="8" w:color="2A2A2A"/>
            </w:tcBorders>
            <w:gridSpan w:val="7"/>
          </w:tcPr>
          <w:p>
            <w:pPr>
              <w:jc w:val="right"/>
              <w:ind w:right="442"/>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4"/>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2"/>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2"/>
              <w:spacing w:after="0"/>
              <w:rPr>
                <w:sz w:val="20"/>
                <w:szCs w:val="20"/>
                <w:color w:val="auto"/>
              </w:rPr>
            </w:pPr>
            <w:r>
              <w:rPr>
                <w:rFonts w:ascii="Arial" w:cs="Arial" w:eastAsia="Arial" w:hAnsi="Arial"/>
                <w:sz w:val="16"/>
                <w:szCs w:val="16"/>
                <w:b w:val="1"/>
                <w:bCs w:val="1"/>
                <w:color w:val="2A2A2A"/>
              </w:rPr>
              <w:t>2021</w:t>
            </w:r>
          </w:p>
        </w:tc>
      </w:tr>
      <w:tr>
        <w:trPr>
          <w:trHeight w:val="255"/>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Revenue:</w:t>
            </w: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Analog</w:t>
            </w:r>
          </w:p>
        </w:tc>
        <w:tc>
          <w:tcPr>
            <w:tcW w:w="280" w:type="dxa"/>
            <w:vAlign w:val="bottom"/>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13,040</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15,359</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14,050</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Embedded Processing</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3,368</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3,261</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3,049</w:t>
            </w:r>
          </w:p>
        </w:tc>
      </w:tr>
      <w:tr>
        <w:trPr>
          <w:trHeight w:val="265"/>
        </w:trPr>
        <w:tc>
          <w:tcPr>
            <w:tcW w:w="682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1,111</w:t>
            </w:r>
          </w:p>
        </w:tc>
        <w:tc>
          <w:tcPr>
            <w:tcW w:w="8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1,408</w:t>
            </w:r>
          </w:p>
        </w:tc>
        <w:tc>
          <w:tcPr>
            <w:tcW w:w="8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1,245</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revenue</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17,519</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20,028</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18,344</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r>
        <w:trPr>
          <w:trHeight w:val="230"/>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Operating profit:</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r>
      <w:tr>
        <w:trPr>
          <w:trHeight w:val="270"/>
        </w:trPr>
        <w:tc>
          <w:tcPr>
            <w:tcW w:w="6820" w:type="dxa"/>
            <w:vAlign w:val="bottom"/>
          </w:tcPr>
          <w:p>
            <w:pPr>
              <w:ind w:left="180"/>
              <w:spacing w:after="0"/>
              <w:rPr>
                <w:sz w:val="20"/>
                <w:szCs w:val="20"/>
                <w:color w:val="auto"/>
              </w:rPr>
            </w:pPr>
            <w:r>
              <w:rPr>
                <w:rFonts w:ascii="Arial" w:cs="Arial" w:eastAsia="Arial" w:hAnsi="Arial"/>
                <w:sz w:val="20"/>
                <w:szCs w:val="20"/>
                <w:color w:val="2A2A2A"/>
              </w:rPr>
              <w:t>Analog</w:t>
            </w:r>
          </w:p>
        </w:tc>
        <w:tc>
          <w:tcPr>
            <w:tcW w:w="280" w:type="dxa"/>
            <w:vAlign w:val="bottom"/>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5,821</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8,359</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7,393</w:t>
            </w:r>
          </w:p>
        </w:tc>
      </w:tr>
      <w:tr>
        <w:trPr>
          <w:trHeight w:val="270"/>
        </w:trPr>
        <w:tc>
          <w:tcPr>
            <w:tcW w:w="68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Embedded Processing</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1,008</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1,253</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1,174</w:t>
            </w:r>
          </w:p>
        </w:tc>
      </w:tr>
      <w:tr>
        <w:trPr>
          <w:trHeight w:val="264"/>
        </w:trPr>
        <w:tc>
          <w:tcPr>
            <w:tcW w:w="682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502</w:t>
            </w:r>
          </w:p>
        </w:tc>
        <w:tc>
          <w:tcPr>
            <w:tcW w:w="8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528</w:t>
            </w:r>
          </w:p>
        </w:tc>
        <w:tc>
          <w:tcPr>
            <w:tcW w:w="8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393</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operating profit</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7,331</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10,140</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8,960</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-1925320</wp:posOffset>
            </wp:positionV>
            <wp:extent cx="6543040"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3040"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-1239520</wp:posOffset>
            </wp:positionV>
            <wp:extent cx="220916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09165"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-1080770</wp:posOffset>
            </wp:positionV>
            <wp:extent cx="2209165" cy="53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9165" cy="533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-201295</wp:posOffset>
            </wp:positionV>
            <wp:extent cx="220916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09165"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-42545</wp:posOffset>
            </wp:positionV>
            <wp:extent cx="2209165" cy="53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9165" cy="53340"/>
                    </a:xfrm>
                    <a:prstGeom prst="rect">
                      <a:avLst/>
                    </a:prstGeom>
                    <a:noFill/>
                  </pic:spPr>
                </pic:pic>
              </a:graphicData>
            </a:graphic>
          </wp:anchor>
        </w:drawing>
      </w:r>
    </w:p>
    <w:p>
      <w:pPr>
        <w:sectPr>
          <w:pgSz w:w="12240" w:h="15840" w:orient="portrait"/>
          <w:cols w:equalWidth="0" w:num="1">
            <w:col w:w="10281"/>
          </w:cols>
          <w:pgMar w:left="979" w:top="658" w:right="980" w:bottom="24"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31</w:t>
      </w:r>
    </w:p>
    <w:p>
      <w:pPr>
        <w:sectPr>
          <w:pgSz w:w="12240" w:h="15840" w:orient="portrait"/>
          <w:cols w:equalWidth="0" w:num="1">
            <w:col w:w="10281"/>
          </w:cols>
          <w:pgMar w:left="979" w:top="658" w:right="980" w:bottom="24" w:gutter="0" w:footer="0" w:header="0"/>
          <w:type w:val="continuous"/>
        </w:sectPr>
      </w:pPr>
    </w:p>
    <w:bookmarkStart w:id="37" w:name="page38"/>
    <w:bookmarkEnd w:id="37"/>
    <w:p>
      <w:pPr>
        <w:ind w:left="1"/>
        <w:spacing w:after="0"/>
        <w:rPr>
          <w:sz w:val="20"/>
          <w:szCs w:val="20"/>
          <w:color w:val="auto"/>
        </w:rPr>
      </w:pPr>
      <w:r>
        <w:rPr>
          <w:rFonts w:ascii="Arial" w:cs="Arial" w:eastAsia="Arial" w:hAnsi="Arial"/>
          <w:sz w:val="22"/>
          <w:szCs w:val="22"/>
          <w:i w:val="1"/>
          <w:iCs w:val="1"/>
          <w:color w:val="2A2A2A"/>
        </w:rPr>
        <w:t>Geographic area information</w:t>
      </w:r>
    </w:p>
    <w:p>
      <w:pPr>
        <w:spacing w:after="0" w:line="255" w:lineRule="exact"/>
        <w:rPr>
          <w:sz w:val="20"/>
          <w:szCs w:val="20"/>
          <w:color w:val="auto"/>
        </w:rPr>
      </w:pPr>
    </w:p>
    <w:p>
      <w:pPr>
        <w:ind w:left="1" w:right="240"/>
        <w:spacing w:after="0" w:line="287" w:lineRule="auto"/>
        <w:rPr>
          <w:sz w:val="20"/>
          <w:szCs w:val="20"/>
          <w:color w:val="auto"/>
        </w:rPr>
      </w:pPr>
      <w:r>
        <w:rPr>
          <w:rFonts w:ascii="Arial" w:cs="Arial" w:eastAsia="Arial" w:hAnsi="Arial"/>
          <w:sz w:val="20"/>
          <w:szCs w:val="20"/>
          <w:color w:val="2A2A2A"/>
        </w:rPr>
        <w:t>Our estimate for revenue based on the geographic location of our end customers’ headquarters, which represents where critical decisions are made,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530975" cy="1752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30975" cy="1752600"/>
                    </a:xfrm>
                    <a:prstGeom prst="rect">
                      <a:avLst/>
                    </a:prstGeom>
                    <a:noFill/>
                  </pic:spPr>
                </pic:pic>
              </a:graphicData>
            </a:graphic>
          </wp:anchor>
        </w:drawing>
      </w:r>
    </w:p>
    <w:p>
      <w:pPr>
        <w:spacing w:after="0" w:line="11"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28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spacing w:after="0"/>
              <w:rPr>
                <w:sz w:val="18"/>
                <w:szCs w:val="18"/>
                <w:color w:val="auto"/>
              </w:rPr>
            </w:pPr>
          </w:p>
        </w:tc>
        <w:tc>
          <w:tcPr>
            <w:tcW w:w="60" w:type="dxa"/>
            <w:vAlign w:val="bottom"/>
            <w:tcBorders>
              <w:bottom w:val="single" w:sz="8" w:color="2A2A2A"/>
            </w:tcBorders>
          </w:tcPr>
          <w:p>
            <w:pPr>
              <w:spacing w:after="0"/>
              <w:rPr>
                <w:sz w:val="18"/>
                <w:szCs w:val="18"/>
                <w:color w:val="auto"/>
              </w:rPr>
            </w:pPr>
          </w:p>
        </w:tc>
        <w:tc>
          <w:tcPr>
            <w:tcW w:w="340" w:type="dxa"/>
            <w:vAlign w:val="bottom"/>
            <w:tcBorders>
              <w:bottom w:val="single" w:sz="8" w:color="2A2A2A"/>
            </w:tcBorders>
          </w:tcPr>
          <w:p>
            <w:pPr>
              <w:spacing w:after="0"/>
              <w:rPr>
                <w:sz w:val="18"/>
                <w:szCs w:val="18"/>
                <w:color w:val="auto"/>
              </w:rPr>
            </w:pPr>
          </w:p>
        </w:tc>
        <w:tc>
          <w:tcPr>
            <w:tcW w:w="760" w:type="dxa"/>
            <w:vAlign w:val="bottom"/>
            <w:tcBorders>
              <w:bottom w:val="single" w:sz="8" w:color="2A2A2A"/>
            </w:tcBorders>
          </w:tcPr>
          <w:p>
            <w:pPr>
              <w:spacing w:after="0"/>
              <w:rPr>
                <w:sz w:val="18"/>
                <w:szCs w:val="18"/>
                <w:color w:val="auto"/>
              </w:rPr>
            </w:pPr>
          </w:p>
        </w:tc>
        <w:tc>
          <w:tcPr>
            <w:tcW w:w="2420" w:type="dxa"/>
            <w:vAlign w:val="bottom"/>
            <w:tcBorders>
              <w:bottom w:val="single" w:sz="8" w:color="2A2A2A"/>
            </w:tcBorders>
            <w:gridSpan w:val="7"/>
          </w:tcPr>
          <w:p>
            <w:pPr>
              <w:jc w:val="center"/>
              <w:spacing w:after="0"/>
              <w:rPr>
                <w:sz w:val="20"/>
                <w:szCs w:val="20"/>
                <w:color w:val="auto"/>
              </w:rPr>
            </w:pPr>
            <w:r>
              <w:rPr>
                <w:rFonts w:ascii="Arial" w:cs="Arial" w:eastAsia="Arial" w:hAnsi="Arial"/>
                <w:sz w:val="16"/>
                <w:szCs w:val="16"/>
                <w:b w:val="1"/>
                <w:bCs w:val="1"/>
                <w:color w:val="2A2A2A"/>
                <w:w w:val="99"/>
              </w:rPr>
              <w:t>For Years Ended December 31,</w:t>
            </w:r>
          </w:p>
        </w:tc>
        <w:tc>
          <w:tcPr>
            <w:tcW w:w="28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spacing w:after="0"/>
              <w:rPr>
                <w:sz w:val="18"/>
                <w:szCs w:val="18"/>
                <w:color w:val="auto"/>
              </w:rPr>
            </w:pPr>
          </w:p>
        </w:tc>
        <w:tc>
          <w:tcPr>
            <w:tcW w:w="60" w:type="dxa"/>
            <w:vAlign w:val="bottom"/>
            <w:tcBorders>
              <w:bottom w:val="single" w:sz="8" w:color="2A2A2A"/>
            </w:tcBorders>
          </w:tcPr>
          <w:p>
            <w:pPr>
              <w:spacing w:after="0"/>
              <w:rPr>
                <w:sz w:val="18"/>
                <w:szCs w:val="18"/>
                <w:color w:val="auto"/>
              </w:rPr>
            </w:pPr>
          </w:p>
        </w:tc>
        <w:tc>
          <w:tcPr>
            <w:tcW w:w="340" w:type="dxa"/>
            <w:vAlign w:val="bottom"/>
            <w:tcBorders>
              <w:bottom w:val="single" w:sz="8" w:color="2A2A2A"/>
            </w:tcBorders>
          </w:tcPr>
          <w:p>
            <w:pPr>
              <w:spacing w:after="0"/>
              <w:rPr>
                <w:sz w:val="18"/>
                <w:szCs w:val="18"/>
                <w:color w:val="auto"/>
              </w:rPr>
            </w:pPr>
          </w:p>
        </w:tc>
        <w:tc>
          <w:tcPr>
            <w:tcW w:w="760" w:type="dxa"/>
            <w:vAlign w:val="bottom"/>
            <w:tcBorders>
              <w:bottom w:val="single" w:sz="8" w:color="2A2A2A"/>
            </w:tcBorders>
          </w:tcPr>
          <w:p>
            <w:pPr>
              <w:spacing w:after="0"/>
              <w:rPr>
                <w:sz w:val="18"/>
                <w:szCs w:val="18"/>
                <w:color w:val="auto"/>
              </w:rPr>
            </w:pPr>
          </w:p>
        </w:tc>
      </w:tr>
      <w:tr>
        <w:trPr>
          <w:trHeight w:val="250"/>
        </w:trPr>
        <w:tc>
          <w:tcPr>
            <w:tcW w:w="330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1220" w:type="dxa"/>
            <w:vAlign w:val="bottom"/>
            <w:tcBorders>
              <w:bottom w:val="single" w:sz="8" w:color="2A2A2A"/>
            </w:tcBorders>
            <w:gridSpan w:val="3"/>
          </w:tcPr>
          <w:p>
            <w:pPr>
              <w:jc w:val="right"/>
              <w:ind w:right="200"/>
              <w:spacing w:after="0"/>
              <w:rPr>
                <w:sz w:val="20"/>
                <w:szCs w:val="20"/>
                <w:color w:val="auto"/>
              </w:rPr>
            </w:pPr>
            <w:r>
              <w:rPr>
                <w:rFonts w:ascii="Arial" w:cs="Arial" w:eastAsia="Arial" w:hAnsi="Arial"/>
                <w:sz w:val="16"/>
                <w:szCs w:val="16"/>
                <w:b w:val="1"/>
                <w:bCs w:val="1"/>
                <w:color w:val="2A2A2A"/>
              </w:rPr>
              <w:t>2023</w:t>
            </w:r>
          </w:p>
        </w:tc>
        <w:tc>
          <w:tcPr>
            <w:tcW w:w="76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1220" w:type="dxa"/>
            <w:vAlign w:val="bottom"/>
            <w:tcBorders>
              <w:bottom w:val="single" w:sz="8" w:color="2A2A2A"/>
            </w:tcBorders>
            <w:gridSpan w:val="3"/>
          </w:tcPr>
          <w:p>
            <w:pPr>
              <w:jc w:val="right"/>
              <w:ind w:right="200"/>
              <w:spacing w:after="0"/>
              <w:rPr>
                <w:sz w:val="20"/>
                <w:szCs w:val="20"/>
                <w:color w:val="auto"/>
              </w:rPr>
            </w:pPr>
            <w:r>
              <w:rPr>
                <w:rFonts w:ascii="Arial" w:cs="Arial" w:eastAsia="Arial" w:hAnsi="Arial"/>
                <w:sz w:val="16"/>
                <w:szCs w:val="16"/>
                <w:b w:val="1"/>
                <w:bCs w:val="1"/>
                <w:color w:val="2A2A2A"/>
              </w:rPr>
              <w:t>2022</w:t>
            </w:r>
          </w:p>
        </w:tc>
        <w:tc>
          <w:tcPr>
            <w:tcW w:w="76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1220" w:type="dxa"/>
            <w:vAlign w:val="bottom"/>
            <w:tcBorders>
              <w:bottom w:val="single" w:sz="8" w:color="2A2A2A"/>
            </w:tcBorders>
            <w:gridSpan w:val="3"/>
          </w:tcPr>
          <w:p>
            <w:pPr>
              <w:jc w:val="right"/>
              <w:ind w:right="200"/>
              <w:spacing w:after="0"/>
              <w:rPr>
                <w:sz w:val="20"/>
                <w:szCs w:val="20"/>
                <w:color w:val="auto"/>
              </w:rPr>
            </w:pPr>
            <w:r>
              <w:rPr>
                <w:rFonts w:ascii="Arial" w:cs="Arial" w:eastAsia="Arial" w:hAnsi="Arial"/>
                <w:sz w:val="16"/>
                <w:szCs w:val="16"/>
                <w:b w:val="1"/>
                <w:bCs w:val="1"/>
                <w:color w:val="2A2A2A"/>
              </w:rPr>
              <w:t>2021</w:t>
            </w:r>
          </w:p>
        </w:tc>
        <w:tc>
          <w:tcPr>
            <w:tcW w:w="760" w:type="dxa"/>
            <w:vAlign w:val="bottom"/>
            <w:tcBorders>
              <w:bottom w:val="single" w:sz="8" w:color="2A2A2A"/>
            </w:tcBorders>
          </w:tcPr>
          <w:p>
            <w:pPr>
              <w:spacing w:after="0"/>
              <w:rPr>
                <w:sz w:val="21"/>
                <w:szCs w:val="21"/>
                <w:color w:val="auto"/>
              </w:rPr>
            </w:pPr>
          </w:p>
        </w:tc>
      </w:tr>
      <w:tr>
        <w:trPr>
          <w:trHeight w:val="260"/>
        </w:trPr>
        <w:tc>
          <w:tcPr>
            <w:tcW w:w="33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Revenue:</w:t>
            </w: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6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6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60" w:type="dxa"/>
            <w:vAlign w:val="bottom"/>
            <w:shd w:val="clear" w:color="auto" w:fill="D7D7D7"/>
          </w:tcPr>
          <w:p>
            <w:pPr>
              <w:spacing w:after="0"/>
              <w:rPr>
                <w:sz w:val="22"/>
                <w:szCs w:val="22"/>
                <w:color w:val="auto"/>
              </w:rPr>
            </w:pPr>
          </w:p>
        </w:tc>
      </w:tr>
      <w:tr>
        <w:trPr>
          <w:trHeight w:val="270"/>
        </w:trPr>
        <w:tc>
          <w:tcPr>
            <w:tcW w:w="3300" w:type="dxa"/>
            <w:vAlign w:val="bottom"/>
          </w:tcPr>
          <w:p>
            <w:pPr>
              <w:ind w:left="180"/>
              <w:spacing w:after="0"/>
              <w:rPr>
                <w:sz w:val="20"/>
                <w:szCs w:val="20"/>
                <w:color w:val="auto"/>
              </w:rPr>
            </w:pPr>
            <w:r>
              <w:rPr>
                <w:rFonts w:ascii="Arial" w:cs="Arial" w:eastAsia="Arial" w:hAnsi="Arial"/>
                <w:sz w:val="20"/>
                <w:szCs w:val="20"/>
                <w:color w:val="2A2A2A"/>
              </w:rPr>
              <w:t>United States</w:t>
            </w:r>
          </w:p>
        </w:tc>
        <w:tc>
          <w:tcPr>
            <w:tcW w:w="280" w:type="dxa"/>
            <w:vAlign w:val="bottom"/>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5,814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2A2A2A"/>
              </w:rPr>
              <w:t>33%</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6,609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A2A2A"/>
              </w:rPr>
              <w:t>33%</w:t>
            </w:r>
          </w:p>
        </w:tc>
        <w:tc>
          <w:tcPr>
            <w:tcW w:w="80" w:type="dxa"/>
            <w:vAlign w:val="bottom"/>
          </w:tcPr>
          <w:p>
            <w:pPr>
              <w:spacing w:after="0"/>
              <w:rPr>
                <w:sz w:val="23"/>
                <w:szCs w:val="23"/>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6,237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A2A2A"/>
              </w:rPr>
              <w:t>34%</w:t>
            </w:r>
          </w:p>
        </w:tc>
      </w:tr>
      <w:tr>
        <w:trPr>
          <w:trHeight w:val="270"/>
        </w:trPr>
        <w:tc>
          <w:tcPr>
            <w:tcW w:w="33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China</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3,293</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b w:val="1"/>
                <w:bCs w:val="1"/>
                <w:color w:val="2A2A2A"/>
              </w:rPr>
              <w:t>19</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4,807</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color w:val="2A2A2A"/>
              </w:rPr>
              <w:t>24</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4,586</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color w:val="2A2A2A"/>
              </w:rPr>
              <w:t>25</w:t>
            </w:r>
          </w:p>
        </w:tc>
      </w:tr>
      <w:tr>
        <w:trPr>
          <w:trHeight w:val="270"/>
        </w:trPr>
        <w:tc>
          <w:tcPr>
            <w:tcW w:w="3300" w:type="dxa"/>
            <w:vAlign w:val="bottom"/>
          </w:tcPr>
          <w:p>
            <w:pPr>
              <w:ind w:left="180"/>
              <w:spacing w:after="0"/>
              <w:rPr>
                <w:sz w:val="20"/>
                <w:szCs w:val="20"/>
                <w:color w:val="auto"/>
              </w:rPr>
            </w:pPr>
            <w:r>
              <w:rPr>
                <w:rFonts w:ascii="Arial" w:cs="Arial" w:eastAsia="Arial" w:hAnsi="Arial"/>
                <w:sz w:val="20"/>
                <w:szCs w:val="20"/>
                <w:color w:val="2A2A2A"/>
              </w:rPr>
              <w:t>Rest of Asia</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1,721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b w:val="1"/>
                <w:bCs w:val="1"/>
                <w:color w:val="2A2A2A"/>
              </w:rPr>
              <w:t>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2,003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color w:val="2A2A2A"/>
              </w:rPr>
              <w:t>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2,018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color w:val="2A2A2A"/>
              </w:rPr>
              <w:t>11</w:t>
            </w:r>
          </w:p>
        </w:tc>
      </w:tr>
      <w:tr>
        <w:trPr>
          <w:trHeight w:val="270"/>
        </w:trPr>
        <w:tc>
          <w:tcPr>
            <w:tcW w:w="33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Europe, Middle East and Africa (a)</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4,642</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b w:val="1"/>
                <w:bCs w:val="1"/>
                <w:color w:val="2A2A2A"/>
              </w:rPr>
              <w:t>26</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4,807</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color w:val="2A2A2A"/>
              </w:rPr>
              <w:t>24</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3,852</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60" w:type="dxa"/>
            <w:vAlign w:val="bottom"/>
            <w:shd w:val="clear" w:color="auto" w:fill="D7D7D7"/>
          </w:tcPr>
          <w:p>
            <w:pPr>
              <w:jc w:val="right"/>
              <w:ind w:right="160"/>
              <w:spacing w:after="0"/>
              <w:rPr>
                <w:sz w:val="20"/>
                <w:szCs w:val="20"/>
                <w:color w:val="auto"/>
              </w:rPr>
            </w:pPr>
            <w:r>
              <w:rPr>
                <w:rFonts w:ascii="Arial" w:cs="Arial" w:eastAsia="Arial" w:hAnsi="Arial"/>
                <w:sz w:val="20"/>
                <w:szCs w:val="20"/>
                <w:color w:val="2A2A2A"/>
              </w:rPr>
              <w:t>21</w:t>
            </w:r>
          </w:p>
        </w:tc>
      </w:tr>
      <w:tr>
        <w:trPr>
          <w:trHeight w:val="270"/>
        </w:trPr>
        <w:tc>
          <w:tcPr>
            <w:tcW w:w="3300" w:type="dxa"/>
            <w:vAlign w:val="bottom"/>
          </w:tcPr>
          <w:p>
            <w:pPr>
              <w:ind w:left="180"/>
              <w:spacing w:after="0"/>
              <w:rPr>
                <w:sz w:val="20"/>
                <w:szCs w:val="20"/>
                <w:color w:val="auto"/>
              </w:rPr>
            </w:pPr>
            <w:r>
              <w:rPr>
                <w:rFonts w:ascii="Arial" w:cs="Arial" w:eastAsia="Arial" w:hAnsi="Arial"/>
                <w:sz w:val="20"/>
                <w:szCs w:val="20"/>
                <w:color w:val="2A2A2A"/>
              </w:rPr>
              <w:t>Japan</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1,782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b w:val="1"/>
                <w:bCs w:val="1"/>
                <w:color w:val="2A2A2A"/>
              </w:rPr>
              <w:t>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1,602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color w:val="2A2A2A"/>
              </w:rPr>
              <w:t>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1,468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color w:val="2A2A2A"/>
              </w:rPr>
              <w:t>8</w:t>
            </w:r>
          </w:p>
        </w:tc>
      </w:tr>
      <w:tr>
        <w:trPr>
          <w:trHeight w:val="280"/>
        </w:trPr>
        <w:tc>
          <w:tcPr>
            <w:tcW w:w="33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Rest of world</w:t>
            </w: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267</w:t>
            </w:r>
          </w:p>
        </w:tc>
        <w:tc>
          <w:tcPr>
            <w:tcW w:w="60" w:type="dxa"/>
            <w:vAlign w:val="bottom"/>
            <w:tcBorders>
              <w:bottom w:val="single" w:sz="8" w:color="D7D7D7"/>
            </w:tcBorders>
            <w:shd w:val="clear" w:color="auto" w:fill="D7D7D7"/>
          </w:tcPr>
          <w:p>
            <w:pPr>
              <w:spacing w:after="0"/>
              <w:rPr>
                <w:sz w:val="24"/>
                <w:szCs w:val="24"/>
                <w:color w:val="auto"/>
              </w:rPr>
            </w:pPr>
          </w:p>
        </w:tc>
        <w:tc>
          <w:tcPr>
            <w:tcW w:w="340" w:type="dxa"/>
            <w:vAlign w:val="bottom"/>
            <w:tcBorders>
              <w:bottom w:val="single" w:sz="8" w:color="2A2A2A"/>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jc w:val="right"/>
              <w:ind w:right="160"/>
              <w:spacing w:after="0"/>
              <w:rPr>
                <w:sz w:val="20"/>
                <w:szCs w:val="20"/>
                <w:color w:val="auto"/>
              </w:rPr>
            </w:pPr>
            <w:r>
              <w:rPr>
                <w:rFonts w:ascii="Arial" w:cs="Arial" w:eastAsia="Arial" w:hAnsi="Arial"/>
                <w:sz w:val="20"/>
                <w:szCs w:val="20"/>
                <w:b w:val="1"/>
                <w:bCs w:val="1"/>
                <w:color w:val="2A2A2A"/>
              </w:rPr>
              <w:t>2</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200</w:t>
            </w:r>
          </w:p>
        </w:tc>
        <w:tc>
          <w:tcPr>
            <w:tcW w:w="60" w:type="dxa"/>
            <w:vAlign w:val="bottom"/>
            <w:tcBorders>
              <w:bottom w:val="single" w:sz="8" w:color="D7D7D7"/>
            </w:tcBorders>
            <w:shd w:val="clear" w:color="auto" w:fill="D7D7D7"/>
          </w:tcPr>
          <w:p>
            <w:pPr>
              <w:spacing w:after="0"/>
              <w:rPr>
                <w:sz w:val="24"/>
                <w:szCs w:val="24"/>
                <w:color w:val="auto"/>
              </w:rPr>
            </w:pPr>
          </w:p>
        </w:tc>
        <w:tc>
          <w:tcPr>
            <w:tcW w:w="340" w:type="dxa"/>
            <w:vAlign w:val="bottom"/>
            <w:tcBorders>
              <w:bottom w:val="single" w:sz="8" w:color="2A2A2A"/>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jc w:val="right"/>
              <w:ind w:right="160"/>
              <w:spacing w:after="0"/>
              <w:rPr>
                <w:sz w:val="20"/>
                <w:szCs w:val="20"/>
                <w:color w:val="auto"/>
              </w:rPr>
            </w:pPr>
            <w:r>
              <w:rPr>
                <w:rFonts w:ascii="Arial" w:cs="Arial" w:eastAsia="Arial" w:hAnsi="Arial"/>
                <w:sz w:val="20"/>
                <w:szCs w:val="20"/>
                <w:color w:val="2A2A2A"/>
              </w:rPr>
              <w:t>1</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183</w:t>
            </w:r>
          </w:p>
        </w:tc>
        <w:tc>
          <w:tcPr>
            <w:tcW w:w="60" w:type="dxa"/>
            <w:vAlign w:val="bottom"/>
            <w:tcBorders>
              <w:bottom w:val="single" w:sz="8" w:color="D7D7D7"/>
            </w:tcBorders>
            <w:shd w:val="clear" w:color="auto" w:fill="D7D7D7"/>
          </w:tcPr>
          <w:p>
            <w:pPr>
              <w:spacing w:after="0"/>
              <w:rPr>
                <w:sz w:val="24"/>
                <w:szCs w:val="24"/>
                <w:color w:val="auto"/>
              </w:rPr>
            </w:pPr>
          </w:p>
        </w:tc>
        <w:tc>
          <w:tcPr>
            <w:tcW w:w="340" w:type="dxa"/>
            <w:vAlign w:val="bottom"/>
            <w:tcBorders>
              <w:bottom w:val="single" w:sz="8" w:color="2A2A2A"/>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jc w:val="right"/>
              <w:ind w:right="160"/>
              <w:spacing w:after="0"/>
              <w:rPr>
                <w:sz w:val="20"/>
                <w:szCs w:val="20"/>
                <w:color w:val="auto"/>
              </w:rPr>
            </w:pPr>
            <w:r>
              <w:rPr>
                <w:rFonts w:ascii="Arial" w:cs="Arial" w:eastAsia="Arial" w:hAnsi="Arial"/>
                <w:sz w:val="20"/>
                <w:szCs w:val="20"/>
                <w:color w:val="2A2A2A"/>
              </w:rPr>
              <w:t>1</w:t>
            </w:r>
          </w:p>
        </w:tc>
      </w:tr>
      <w:tr>
        <w:trPr>
          <w:trHeight w:val="210"/>
        </w:trPr>
        <w:tc>
          <w:tcPr>
            <w:tcW w:w="3300" w:type="dxa"/>
            <w:vAlign w:val="bottom"/>
          </w:tcPr>
          <w:p>
            <w:pPr>
              <w:ind w:left="60"/>
              <w:spacing w:after="0" w:line="210" w:lineRule="exact"/>
              <w:rPr>
                <w:sz w:val="20"/>
                <w:szCs w:val="20"/>
                <w:color w:val="auto"/>
              </w:rPr>
            </w:pPr>
            <w:r>
              <w:rPr>
                <w:rFonts w:ascii="Arial" w:cs="Arial" w:eastAsia="Arial" w:hAnsi="Arial"/>
                <w:sz w:val="20"/>
                <w:szCs w:val="20"/>
                <w:color w:val="2A2A2A"/>
              </w:rPr>
              <w:t>Total revenue</w:t>
            </w: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17,519</w:t>
            </w:r>
          </w:p>
        </w:tc>
        <w:tc>
          <w:tcPr>
            <w:tcW w:w="60" w:type="dxa"/>
            <w:vAlign w:val="bottom"/>
          </w:tcPr>
          <w:p>
            <w:pPr>
              <w:spacing w:after="0"/>
              <w:rPr>
                <w:sz w:val="18"/>
                <w:szCs w:val="18"/>
                <w:color w:val="auto"/>
              </w:rPr>
            </w:pPr>
          </w:p>
        </w:tc>
        <w:tc>
          <w:tcPr>
            <w:tcW w:w="340" w:type="dxa"/>
            <w:vAlign w:val="bottom"/>
            <w:tcBorders>
              <w:bottom w:val="single" w:sz="8" w:color="2A2A2A"/>
            </w:tcBorders>
          </w:tcPr>
          <w:p>
            <w:pPr>
              <w:spacing w:after="0"/>
              <w:rPr>
                <w:sz w:val="18"/>
                <w:szCs w:val="18"/>
                <w:color w:val="auto"/>
              </w:rPr>
            </w:pPr>
          </w:p>
        </w:tc>
        <w:tc>
          <w:tcPr>
            <w:tcW w:w="7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100%</w:t>
            </w:r>
          </w:p>
        </w:tc>
        <w:tc>
          <w:tcPr>
            <w:tcW w:w="80" w:type="dxa"/>
            <w:vAlign w:val="bottom"/>
          </w:tcPr>
          <w:p>
            <w:pPr>
              <w:spacing w:after="0"/>
              <w:rPr>
                <w:sz w:val="18"/>
                <w:szCs w:val="18"/>
                <w:color w:val="auto"/>
              </w:rPr>
            </w:pP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20,028</w:t>
            </w:r>
          </w:p>
        </w:tc>
        <w:tc>
          <w:tcPr>
            <w:tcW w:w="60" w:type="dxa"/>
            <w:vAlign w:val="bottom"/>
          </w:tcPr>
          <w:p>
            <w:pPr>
              <w:spacing w:after="0"/>
              <w:rPr>
                <w:sz w:val="18"/>
                <w:szCs w:val="18"/>
                <w:color w:val="auto"/>
              </w:rPr>
            </w:pPr>
          </w:p>
        </w:tc>
        <w:tc>
          <w:tcPr>
            <w:tcW w:w="340" w:type="dxa"/>
            <w:vAlign w:val="bottom"/>
            <w:tcBorders>
              <w:bottom w:val="single" w:sz="8" w:color="2A2A2A"/>
            </w:tcBorders>
          </w:tcPr>
          <w:p>
            <w:pPr>
              <w:spacing w:after="0"/>
              <w:rPr>
                <w:sz w:val="18"/>
                <w:szCs w:val="18"/>
                <w:color w:val="auto"/>
              </w:rPr>
            </w:pPr>
          </w:p>
        </w:tc>
        <w:tc>
          <w:tcPr>
            <w:tcW w:w="7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100%</w:t>
            </w:r>
          </w:p>
        </w:tc>
        <w:tc>
          <w:tcPr>
            <w:tcW w:w="80" w:type="dxa"/>
            <w:vAlign w:val="bottom"/>
          </w:tcPr>
          <w:p>
            <w:pPr>
              <w:spacing w:after="0"/>
              <w:rPr>
                <w:sz w:val="18"/>
                <w:szCs w:val="18"/>
                <w:color w:val="auto"/>
              </w:rPr>
            </w:pP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18,344</w:t>
            </w:r>
          </w:p>
        </w:tc>
        <w:tc>
          <w:tcPr>
            <w:tcW w:w="60" w:type="dxa"/>
            <w:vAlign w:val="bottom"/>
          </w:tcPr>
          <w:p>
            <w:pPr>
              <w:spacing w:after="0"/>
              <w:rPr>
                <w:sz w:val="18"/>
                <w:szCs w:val="18"/>
                <w:color w:val="auto"/>
              </w:rPr>
            </w:pPr>
          </w:p>
        </w:tc>
        <w:tc>
          <w:tcPr>
            <w:tcW w:w="340" w:type="dxa"/>
            <w:vAlign w:val="bottom"/>
            <w:tcBorders>
              <w:bottom w:val="single" w:sz="8" w:color="2A2A2A"/>
            </w:tcBorders>
          </w:tcPr>
          <w:p>
            <w:pPr>
              <w:spacing w:after="0"/>
              <w:rPr>
                <w:sz w:val="18"/>
                <w:szCs w:val="18"/>
                <w:color w:val="auto"/>
              </w:rPr>
            </w:pPr>
          </w:p>
        </w:tc>
        <w:tc>
          <w:tcPr>
            <w:tcW w:w="7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100%</w:t>
            </w: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A2A2A"/>
            </w:tcBorders>
          </w:tcPr>
          <w:p>
            <w:pPr>
              <w:spacing w:after="0" w:line="20" w:lineRule="exact"/>
              <w:rPr>
                <w:sz w:val="1"/>
                <w:szCs w:val="1"/>
                <w:color w:val="auto"/>
              </w:rPr>
            </w:pPr>
          </w:p>
        </w:tc>
        <w:tc>
          <w:tcPr>
            <w:tcW w:w="760" w:type="dxa"/>
            <w:vAlign w:val="bottom"/>
            <w:tcBorders>
              <w:bottom w:val="single" w:sz="8" w:color="2A2A2A"/>
            </w:tcBorders>
          </w:tcPr>
          <w:p>
            <w:pPr>
              <w:spacing w:after="0" w:line="20" w:lineRule="exact"/>
              <w:rPr>
                <w:sz w:val="1"/>
                <w:szCs w:val="1"/>
                <w:color w:val="auto"/>
              </w:rPr>
            </w:pPr>
          </w:p>
        </w:tc>
      </w:tr>
    </w:tbl>
    <w:p>
      <w:pPr>
        <w:spacing w:after="0" w:line="255" w:lineRule="exact"/>
        <w:rPr>
          <w:sz w:val="20"/>
          <w:szCs w:val="20"/>
          <w:color w:val="auto"/>
        </w:rPr>
      </w:pPr>
    </w:p>
    <w:p>
      <w:pPr>
        <w:ind w:left="541" w:right="380" w:hanging="541"/>
        <w:spacing w:after="0" w:line="287" w:lineRule="auto"/>
        <w:tabs>
          <w:tab w:leader="none" w:pos="541" w:val="left"/>
        </w:tabs>
        <w:numPr>
          <w:ilvl w:val="0"/>
          <w:numId w:val="18"/>
        </w:numPr>
        <w:rPr>
          <w:rFonts w:ascii="Arial" w:cs="Arial" w:eastAsia="Arial" w:hAnsi="Arial"/>
          <w:sz w:val="20"/>
          <w:szCs w:val="20"/>
          <w:color w:val="2A2A2A"/>
        </w:rPr>
      </w:pPr>
      <w:r>
        <w:rPr>
          <w:rFonts w:ascii="Arial" w:cs="Arial" w:eastAsia="Arial" w:hAnsi="Arial"/>
          <w:sz w:val="20"/>
          <w:szCs w:val="20"/>
          <w:color w:val="2A2A2A"/>
        </w:rPr>
        <w:t>Revenue from end customers headquartered in Germany was 13%, 11% and 9% of total revenue in 2023, 2022 and 2021, respectively.</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Property, plant and equipment by geographic area, based on physical location:</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28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23"/>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4"/>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83"/>
              <w:spacing w:after="0"/>
              <w:rPr>
                <w:sz w:val="20"/>
                <w:szCs w:val="20"/>
                <w:color w:val="auto"/>
              </w:rPr>
            </w:pPr>
            <w:r>
              <w:rPr>
                <w:rFonts w:ascii="Arial" w:cs="Arial" w:eastAsia="Arial" w:hAnsi="Arial"/>
                <w:sz w:val="16"/>
                <w:szCs w:val="16"/>
                <w:b w:val="1"/>
                <w:bCs w:val="1"/>
                <w:color w:val="2A2A2A"/>
              </w:rPr>
              <w:t>2022</w:t>
            </w:r>
          </w:p>
        </w:tc>
      </w:tr>
      <w:tr>
        <w:trPr>
          <w:trHeight w:val="275"/>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Property, plant and equipment:</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85"/>
        </w:trPr>
        <w:tc>
          <w:tcPr>
            <w:tcW w:w="8000" w:type="dxa"/>
            <w:vAlign w:val="bottom"/>
          </w:tcPr>
          <w:p>
            <w:pPr>
              <w:ind w:left="180"/>
              <w:spacing w:after="0"/>
              <w:rPr>
                <w:sz w:val="20"/>
                <w:szCs w:val="20"/>
                <w:color w:val="auto"/>
              </w:rPr>
            </w:pPr>
            <w:r>
              <w:rPr>
                <w:rFonts w:ascii="Arial" w:cs="Arial" w:eastAsia="Arial" w:hAnsi="Arial"/>
                <w:sz w:val="20"/>
                <w:szCs w:val="20"/>
                <w:color w:val="2A2A2A"/>
              </w:rPr>
              <w:t>United States</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7,548</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5,134</w:t>
            </w:r>
          </w:p>
        </w:tc>
      </w:tr>
      <w:tr>
        <w:trPr>
          <w:trHeight w:val="285"/>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China</w:t>
            </w:r>
          </w:p>
        </w:tc>
        <w:tc>
          <w:tcPr>
            <w:tcW w:w="280" w:type="dxa"/>
            <w:vAlign w:val="bottom"/>
            <w:shd w:val="clear" w:color="auto" w:fill="D7D7D7"/>
          </w:tcPr>
          <w:p>
            <w:pPr>
              <w:spacing w:after="0"/>
              <w:rPr>
                <w:sz w:val="24"/>
                <w:szCs w:val="24"/>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731</w:t>
            </w:r>
          </w:p>
        </w:tc>
        <w:tc>
          <w:tcPr>
            <w:tcW w:w="8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648</w:t>
            </w:r>
          </w:p>
        </w:tc>
      </w:tr>
      <w:tr>
        <w:trPr>
          <w:trHeight w:val="285"/>
        </w:trPr>
        <w:tc>
          <w:tcPr>
            <w:tcW w:w="8000" w:type="dxa"/>
            <w:vAlign w:val="bottom"/>
          </w:tcPr>
          <w:p>
            <w:pPr>
              <w:ind w:left="180"/>
              <w:spacing w:after="0"/>
              <w:rPr>
                <w:sz w:val="20"/>
                <w:szCs w:val="20"/>
                <w:color w:val="auto"/>
              </w:rPr>
            </w:pPr>
            <w:r>
              <w:rPr>
                <w:rFonts w:ascii="Arial" w:cs="Arial" w:eastAsia="Arial" w:hAnsi="Arial"/>
                <w:sz w:val="20"/>
                <w:szCs w:val="20"/>
                <w:color w:val="2A2A2A"/>
              </w:rPr>
              <w:t>Rest of Asia</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1,433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896</w:t>
            </w:r>
          </w:p>
        </w:tc>
      </w:tr>
      <w:tr>
        <w:trPr>
          <w:trHeight w:val="285"/>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Europe, Middle East and Africa</w:t>
            </w:r>
          </w:p>
        </w:tc>
        <w:tc>
          <w:tcPr>
            <w:tcW w:w="280" w:type="dxa"/>
            <w:vAlign w:val="bottom"/>
            <w:shd w:val="clear" w:color="auto" w:fill="D7D7D7"/>
          </w:tcPr>
          <w:p>
            <w:pPr>
              <w:spacing w:after="0"/>
              <w:rPr>
                <w:sz w:val="24"/>
                <w:szCs w:val="24"/>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68</w:t>
            </w:r>
          </w:p>
        </w:tc>
        <w:tc>
          <w:tcPr>
            <w:tcW w:w="8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44</w:t>
            </w:r>
          </w:p>
        </w:tc>
      </w:tr>
      <w:tr>
        <w:trPr>
          <w:trHeight w:val="285"/>
        </w:trPr>
        <w:tc>
          <w:tcPr>
            <w:tcW w:w="8000" w:type="dxa"/>
            <w:vAlign w:val="bottom"/>
          </w:tcPr>
          <w:p>
            <w:pPr>
              <w:ind w:left="180"/>
              <w:spacing w:after="0"/>
              <w:rPr>
                <w:sz w:val="20"/>
                <w:szCs w:val="20"/>
                <w:color w:val="auto"/>
              </w:rPr>
            </w:pPr>
            <w:r>
              <w:rPr>
                <w:rFonts w:ascii="Arial" w:cs="Arial" w:eastAsia="Arial" w:hAnsi="Arial"/>
                <w:sz w:val="20"/>
                <w:szCs w:val="20"/>
                <w:color w:val="2A2A2A"/>
              </w:rPr>
              <w:t>Japan</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A2A2A"/>
              </w:rPr>
              <w:t>121</w:t>
            </w:r>
          </w:p>
        </w:tc>
      </w:tr>
      <w:tr>
        <w:trPr>
          <w:trHeight w:val="295"/>
        </w:trPr>
        <w:tc>
          <w:tcPr>
            <w:tcW w:w="80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Rest of world</w:t>
            </w: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50</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33</w:t>
            </w:r>
          </w:p>
        </w:tc>
      </w:tr>
      <w:tr>
        <w:trPr>
          <w:trHeight w:val="210"/>
        </w:trPr>
        <w:tc>
          <w:tcPr>
            <w:tcW w:w="8000" w:type="dxa"/>
            <w:vAlign w:val="bottom"/>
          </w:tcPr>
          <w:p>
            <w:pPr>
              <w:ind w:left="60"/>
              <w:spacing w:after="0" w:line="210" w:lineRule="exact"/>
              <w:rPr>
                <w:sz w:val="20"/>
                <w:szCs w:val="20"/>
                <w:color w:val="auto"/>
              </w:rPr>
            </w:pPr>
            <w:r>
              <w:rPr>
                <w:rFonts w:ascii="Arial" w:cs="Arial" w:eastAsia="Arial" w:hAnsi="Arial"/>
                <w:sz w:val="20"/>
                <w:szCs w:val="20"/>
                <w:color w:val="2A2A2A"/>
              </w:rPr>
              <w:t>Total property, plant and equipment</w:t>
            </w:r>
          </w:p>
        </w:tc>
        <w:tc>
          <w:tcPr>
            <w:tcW w:w="2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9,999</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6,876</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-1469390</wp:posOffset>
            </wp:positionV>
            <wp:extent cx="65500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-202565</wp:posOffset>
            </wp:positionV>
            <wp:extent cx="146367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1"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Major customer</w:t>
      </w:r>
    </w:p>
    <w:p>
      <w:pPr>
        <w:spacing w:after="0" w:line="25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No end customer accounted for 10% or more of revenue in 2023, 2022 or 2021.</w:t>
      </w:r>
    </w:p>
    <w:p>
      <w:pPr>
        <w:spacing w:after="0" w:line="244" w:lineRule="exact"/>
        <w:rPr>
          <w:sz w:val="20"/>
          <w:szCs w:val="20"/>
          <w:color w:val="auto"/>
        </w:rPr>
      </w:pPr>
    </w:p>
    <w:p>
      <w:pPr>
        <w:ind w:left="241" w:hanging="241"/>
        <w:spacing w:after="0"/>
        <w:tabs>
          <w:tab w:leader="none" w:pos="241" w:val="left"/>
        </w:tabs>
        <w:numPr>
          <w:ilvl w:val="0"/>
          <w:numId w:val="19"/>
        </w:numPr>
        <w:rPr>
          <w:rFonts w:ascii="Arial" w:cs="Arial" w:eastAsia="Arial" w:hAnsi="Arial"/>
          <w:sz w:val="22"/>
          <w:szCs w:val="22"/>
          <w:color w:val="2A2A2A"/>
        </w:rPr>
      </w:pPr>
      <w:r>
        <w:rPr>
          <w:rFonts w:ascii="Arial" w:cs="Arial" w:eastAsia="Arial" w:hAnsi="Arial"/>
          <w:sz w:val="22"/>
          <w:szCs w:val="22"/>
          <w:u w:val="single" w:color="auto"/>
          <w:color w:val="2A2A2A"/>
        </w:rPr>
        <w:t>Basis of presentation and significant accounting policies and practices</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Basis of presentation</w:t>
      </w:r>
    </w:p>
    <w:p>
      <w:pPr>
        <w:spacing w:after="0" w:line="255" w:lineRule="exact"/>
        <w:rPr>
          <w:sz w:val="20"/>
          <w:szCs w:val="20"/>
          <w:color w:val="auto"/>
        </w:rPr>
      </w:pPr>
    </w:p>
    <w:p>
      <w:pPr>
        <w:ind w:left="1" w:right="620"/>
        <w:spacing w:after="0" w:line="268" w:lineRule="auto"/>
        <w:rPr>
          <w:sz w:val="20"/>
          <w:szCs w:val="20"/>
          <w:color w:val="auto"/>
        </w:rPr>
      </w:pPr>
      <w:r>
        <w:rPr>
          <w:rFonts w:ascii="Arial" w:cs="Arial" w:eastAsia="Arial" w:hAnsi="Arial"/>
          <w:sz w:val="20"/>
          <w:szCs w:val="20"/>
          <w:color w:val="2A2A2A"/>
        </w:rPr>
        <w:t>The consolidated financial statements have been prepared in accordance with generally accepted accounting principles in the United States (GAAP). The basis of these financial statements is comparable for all periods presented herein.</w:t>
      </w:r>
    </w:p>
    <w:p>
      <w:pPr>
        <w:spacing w:after="0" w:line="190" w:lineRule="exact"/>
        <w:rPr>
          <w:sz w:val="20"/>
          <w:szCs w:val="20"/>
          <w:color w:val="auto"/>
        </w:rPr>
      </w:pPr>
    </w:p>
    <w:p>
      <w:pPr>
        <w:ind w:left="1" w:right="420"/>
        <w:spacing w:after="0" w:line="262" w:lineRule="auto"/>
        <w:rPr>
          <w:sz w:val="20"/>
          <w:szCs w:val="20"/>
          <w:color w:val="auto"/>
        </w:rPr>
      </w:pPr>
      <w:r>
        <w:rPr>
          <w:rFonts w:ascii="Arial" w:cs="Arial" w:eastAsia="Arial" w:hAnsi="Arial"/>
          <w:sz w:val="20"/>
          <w:szCs w:val="20"/>
          <w:color w:val="2A2A2A"/>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2023 presentation.</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preparation of financial statements requires the use of estimates from which final results may vary.</w:t>
      </w:r>
    </w:p>
    <w:p>
      <w:pPr>
        <w:sectPr>
          <w:pgSz w:w="12240" w:h="15840" w:orient="portrait"/>
          <w:cols w:equalWidth="0" w:num="1">
            <w:col w:w="10281"/>
          </w:cols>
          <w:pgMar w:left="979" w:top="660"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32</w:t>
      </w:r>
    </w:p>
    <w:p>
      <w:pPr>
        <w:sectPr>
          <w:pgSz w:w="12240" w:h="15840" w:orient="portrait"/>
          <w:cols w:equalWidth="0" w:num="1">
            <w:col w:w="10281"/>
          </w:cols>
          <w:pgMar w:left="979" w:top="660" w:right="980" w:bottom="24"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i w:val="1"/>
          <w:iCs w:val="1"/>
          <w:color w:val="2A2A2A"/>
        </w:rPr>
        <w:t>Significant accounting policies and practices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Revenue recognition</w:t>
      </w:r>
    </w:p>
    <w:p>
      <w:pPr>
        <w:spacing w:after="0" w:line="28"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2A2A2A"/>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2A2A2A"/>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We recognize shipping fees received from customers, if any, in revenue. We include the related shipping and handling costs in cost of revenue. The majority of our customers pay these fees directly to third parties.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Advertising costs</w:t>
      </w:r>
    </w:p>
    <w:p>
      <w:pPr>
        <w:spacing w:after="0" w:line="28" w:lineRule="exact"/>
        <w:rPr>
          <w:sz w:val="20"/>
          <w:szCs w:val="20"/>
          <w:color w:val="auto"/>
        </w:rPr>
      </w:pPr>
    </w:p>
    <w:p>
      <w:pPr>
        <w:ind w:right="420"/>
        <w:spacing w:after="0" w:line="266" w:lineRule="auto"/>
        <w:rPr>
          <w:sz w:val="20"/>
          <w:szCs w:val="20"/>
          <w:color w:val="auto"/>
        </w:rPr>
      </w:pPr>
      <w:r>
        <w:rPr>
          <w:rFonts w:ascii="Arial" w:cs="Arial" w:eastAsia="Arial" w:hAnsi="Arial"/>
          <w:sz w:val="20"/>
          <w:szCs w:val="20"/>
          <w:color w:val="2A2A2A"/>
        </w:rPr>
        <w:t>We expense advertising and other promotional costs as incurred. This expense was $28 million, $27 million and $27 million in 2023,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Income taxes</w:t>
      </w:r>
    </w:p>
    <w:p>
      <w:pPr>
        <w:spacing w:after="0" w:line="28"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2A2A2A"/>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Other assessed taxes</w:t>
      </w:r>
    </w:p>
    <w:p>
      <w:pPr>
        <w:spacing w:after="0" w:line="28" w:lineRule="exact"/>
        <w:rPr>
          <w:sz w:val="20"/>
          <w:szCs w:val="20"/>
          <w:color w:val="auto"/>
        </w:rPr>
      </w:pPr>
    </w:p>
    <w:p>
      <w:pPr>
        <w:jc w:val="both"/>
        <w:ind w:right="460"/>
        <w:spacing w:after="0" w:line="258" w:lineRule="auto"/>
        <w:rPr>
          <w:sz w:val="20"/>
          <w:szCs w:val="20"/>
          <w:color w:val="auto"/>
        </w:rPr>
      </w:pPr>
      <w:r>
        <w:rPr>
          <w:rFonts w:ascii="Arial" w:cs="Arial" w:eastAsia="Arial" w:hAnsi="Arial"/>
          <w:sz w:val="20"/>
          <w:szCs w:val="20"/>
          <w:color w:val="2A2A2A"/>
        </w:rPr>
        <w:t>Some transactions require us to collect taxes such as sales, value-added and excise taxes from our customers. These transactions are presented in our Consolidated Statements of Income on a net (excluded from revenue) basis.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Leases</w:t>
      </w:r>
    </w:p>
    <w:p>
      <w:pPr>
        <w:spacing w:after="0" w:line="28" w:lineRule="exact"/>
        <w:rPr>
          <w:sz w:val="20"/>
          <w:szCs w:val="20"/>
          <w:color w:val="auto"/>
        </w:rPr>
      </w:pPr>
    </w:p>
    <w:p>
      <w:pPr>
        <w:jc w:val="both"/>
        <w:ind w:right="460"/>
        <w:spacing w:after="0" w:line="266" w:lineRule="auto"/>
        <w:rPr>
          <w:sz w:val="20"/>
          <w:szCs w:val="20"/>
          <w:color w:val="auto"/>
        </w:rPr>
      </w:pPr>
      <w:r>
        <w:rPr>
          <w:rFonts w:ascii="Arial" w:cs="Arial" w:eastAsia="Arial" w:hAnsi="Arial"/>
          <w:sz w:val="20"/>
          <w:szCs w:val="20"/>
          <w:color w:val="2A2A2A"/>
        </w:rPr>
        <w:t>We determine if an arrangement is a lease at inception. Leases are included in other long-term assets, accrued expenses and other liabilities, and other long-term liabilities on our Consolidated Balance Sheets.</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2A2A2A"/>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terminate the lease when it is reasonably certain that we will exercise such options.</w:t>
      </w:r>
    </w:p>
    <w:p>
      <w:pPr>
        <w:sectPr>
          <w:pgSz w:w="12240" w:h="15840" w:orient="portrait"/>
          <w:cols w:equalWidth="0" w:num="1">
            <w:col w:w="10280"/>
          </w:cols>
          <w:pgMar w:left="980" w:top="660"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33</w:t>
      </w:r>
    </w:p>
    <w:p>
      <w:pPr>
        <w:sectPr>
          <w:pgSz w:w="12240" w:h="15840" w:orient="portrait"/>
          <w:cols w:equalWidth="0" w:num="1">
            <w:col w:w="10280"/>
          </w:cols>
          <w:pgMar w:left="980" w:top="660" w:right="980" w:bottom="24" w:gutter="0" w:footer="0" w:header="0"/>
          <w:type w:val="continuous"/>
        </w:sectPr>
      </w:pPr>
    </w:p>
    <w:bookmarkStart w:id="39" w:name="page40"/>
    <w:bookmarkEnd w:id="39"/>
    <w:p>
      <w:pPr>
        <w:ind w:right="100"/>
        <w:spacing w:after="0" w:line="268" w:lineRule="auto"/>
        <w:rPr>
          <w:sz w:val="20"/>
          <w:szCs w:val="20"/>
          <w:color w:val="auto"/>
        </w:rPr>
      </w:pPr>
      <w:r>
        <w:rPr>
          <w:rFonts w:ascii="Arial" w:cs="Arial" w:eastAsia="Arial" w:hAnsi="Arial"/>
          <w:sz w:val="20"/>
          <w:szCs w:val="20"/>
          <w:color w:val="2A2A2A"/>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Earnings per share (EPS)</w:t>
      </w:r>
    </w:p>
    <w:p>
      <w:pPr>
        <w:spacing w:after="0" w:line="28"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2A2A2A"/>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2A2A2A"/>
        </w:rPr>
        <w:t>Computation and reconciliation of earnings per common share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40" w:type="dxa"/>
            <w:vAlign w:val="bottom"/>
          </w:tcPr>
          <w:p>
            <w:pPr>
              <w:spacing w:after="0"/>
              <w:rPr>
                <w:sz w:val="19"/>
                <w:szCs w:val="19"/>
                <w:color w:val="auto"/>
              </w:rPr>
            </w:pPr>
          </w:p>
        </w:tc>
        <w:tc>
          <w:tcPr>
            <w:tcW w:w="760" w:type="dxa"/>
            <w:vAlign w:val="bottom"/>
            <w:tcBorders>
              <w:bottom w:val="single" w:sz="8" w:color="2A2A2A"/>
            </w:tcBorders>
          </w:tcPr>
          <w:p>
            <w:pPr>
              <w:spacing w:after="0"/>
              <w:rPr>
                <w:sz w:val="19"/>
                <w:szCs w:val="19"/>
                <w:color w:val="auto"/>
              </w:rPr>
            </w:pPr>
          </w:p>
        </w:tc>
        <w:tc>
          <w:tcPr>
            <w:tcW w:w="8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tcPr>
          <w:p>
            <w:pPr>
              <w:spacing w:after="0"/>
              <w:rPr>
                <w:sz w:val="19"/>
                <w:szCs w:val="19"/>
                <w:color w:val="auto"/>
              </w:rPr>
            </w:pPr>
          </w:p>
        </w:tc>
        <w:tc>
          <w:tcPr>
            <w:tcW w:w="260" w:type="dxa"/>
            <w:vAlign w:val="bottom"/>
            <w:tcBorders>
              <w:bottom w:val="single" w:sz="8" w:color="2A2A2A"/>
            </w:tcBorders>
          </w:tcPr>
          <w:p>
            <w:pPr>
              <w:spacing w:after="0"/>
              <w:rPr>
                <w:sz w:val="19"/>
                <w:szCs w:val="19"/>
                <w:color w:val="auto"/>
              </w:rPr>
            </w:pPr>
          </w:p>
        </w:tc>
        <w:tc>
          <w:tcPr>
            <w:tcW w:w="560" w:type="dxa"/>
            <w:vAlign w:val="bottom"/>
            <w:tcBorders>
              <w:bottom w:val="single" w:sz="8" w:color="2A2A2A"/>
            </w:tcBorders>
          </w:tcPr>
          <w:p>
            <w:pPr>
              <w:spacing w:after="0"/>
              <w:rPr>
                <w:sz w:val="19"/>
                <w:szCs w:val="19"/>
                <w:color w:val="auto"/>
              </w:rPr>
            </w:pPr>
          </w:p>
        </w:tc>
        <w:tc>
          <w:tcPr>
            <w:tcW w:w="80" w:type="dxa"/>
            <w:vAlign w:val="bottom"/>
            <w:tcBorders>
              <w:bottom w:val="single" w:sz="8" w:color="2A2A2A"/>
            </w:tcBorders>
          </w:tcPr>
          <w:p>
            <w:pPr>
              <w:spacing w:after="0"/>
              <w:rPr>
                <w:sz w:val="19"/>
                <w:szCs w:val="19"/>
                <w:color w:val="auto"/>
              </w:rPr>
            </w:pPr>
          </w:p>
        </w:tc>
        <w:tc>
          <w:tcPr>
            <w:tcW w:w="2420" w:type="dxa"/>
            <w:vAlign w:val="bottom"/>
            <w:tcBorders>
              <w:bottom w:val="single" w:sz="8" w:color="2A2A2A"/>
            </w:tcBorders>
            <w:gridSpan w:val="5"/>
          </w:tcPr>
          <w:p>
            <w:pPr>
              <w:jc w:val="center"/>
              <w:spacing w:after="0"/>
              <w:rPr>
                <w:sz w:val="20"/>
                <w:szCs w:val="20"/>
                <w:color w:val="auto"/>
              </w:rPr>
            </w:pPr>
            <w:r>
              <w:rPr>
                <w:rFonts w:ascii="Arial" w:cs="Arial" w:eastAsia="Arial" w:hAnsi="Arial"/>
                <w:sz w:val="16"/>
                <w:szCs w:val="16"/>
                <w:b w:val="1"/>
                <w:bCs w:val="1"/>
                <w:color w:val="2A2A2A"/>
              </w:rPr>
              <w:t>For Years Ended December 31,</w:t>
            </w:r>
          </w:p>
        </w:tc>
        <w:tc>
          <w:tcPr>
            <w:tcW w:w="8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tcPr>
          <w:p>
            <w:pPr>
              <w:spacing w:after="0"/>
              <w:rPr>
                <w:sz w:val="19"/>
                <w:szCs w:val="19"/>
                <w:color w:val="auto"/>
              </w:rPr>
            </w:pPr>
          </w:p>
        </w:tc>
        <w:tc>
          <w:tcPr>
            <w:tcW w:w="60" w:type="dxa"/>
            <w:vAlign w:val="bottom"/>
            <w:tcBorders>
              <w:bottom w:val="single" w:sz="8" w:color="2A2A2A"/>
            </w:tcBorders>
          </w:tcPr>
          <w:p>
            <w:pPr>
              <w:spacing w:after="0"/>
              <w:rPr>
                <w:sz w:val="19"/>
                <w:szCs w:val="19"/>
                <w:color w:val="auto"/>
              </w:rPr>
            </w:pPr>
          </w:p>
        </w:tc>
        <w:tc>
          <w:tcPr>
            <w:tcW w:w="780" w:type="dxa"/>
            <w:vAlign w:val="bottom"/>
            <w:tcBorders>
              <w:bottom w:val="single" w:sz="8" w:color="2A2A2A"/>
            </w:tcBorders>
          </w:tcPr>
          <w:p>
            <w:pPr>
              <w:spacing w:after="0"/>
              <w:rPr>
                <w:sz w:val="19"/>
                <w:szCs w:val="19"/>
                <w:color w:val="auto"/>
              </w:rPr>
            </w:pPr>
          </w:p>
        </w:tc>
        <w:tc>
          <w:tcPr>
            <w:tcW w:w="260" w:type="dxa"/>
            <w:vAlign w:val="bottom"/>
            <w:tcBorders>
              <w:bottom w:val="single" w:sz="8" w:color="2A2A2A"/>
            </w:tcBorders>
          </w:tcPr>
          <w:p>
            <w:pPr>
              <w:spacing w:after="0"/>
              <w:rPr>
                <w:sz w:val="19"/>
                <w:szCs w:val="19"/>
                <w:color w:val="auto"/>
              </w:rPr>
            </w:pPr>
          </w:p>
        </w:tc>
        <w:tc>
          <w:tcPr>
            <w:tcW w:w="580" w:type="dxa"/>
            <w:vAlign w:val="bottom"/>
            <w:tcBorders>
              <w:bottom w:val="single" w:sz="8" w:color="2A2A2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7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gridSpan w:val="2"/>
          </w:tcPr>
          <w:p>
            <w:pPr>
              <w:jc w:val="right"/>
              <w:ind w:right="140"/>
              <w:spacing w:after="0"/>
              <w:rPr>
                <w:sz w:val="20"/>
                <w:szCs w:val="20"/>
                <w:color w:val="auto"/>
              </w:rPr>
            </w:pPr>
            <w:r>
              <w:rPr>
                <w:rFonts w:ascii="Arial" w:cs="Arial" w:eastAsia="Arial" w:hAnsi="Arial"/>
                <w:sz w:val="16"/>
                <w:szCs w:val="16"/>
                <w:b w:val="1"/>
                <w:bCs w:val="1"/>
                <w:color w:val="2A2A2A"/>
              </w:rPr>
              <w:t>2023</w:t>
            </w:r>
          </w:p>
        </w:tc>
        <w:tc>
          <w:tcPr>
            <w:tcW w:w="260" w:type="dxa"/>
            <w:vAlign w:val="bottom"/>
            <w:tcBorders>
              <w:bottom w:val="single" w:sz="8" w:color="2A2A2A"/>
            </w:tcBorders>
          </w:tcPr>
          <w:p>
            <w:pPr>
              <w:spacing w:after="0"/>
              <w:rPr>
                <w:sz w:val="21"/>
                <w:szCs w:val="21"/>
                <w:color w:val="auto"/>
              </w:rPr>
            </w:pPr>
          </w:p>
        </w:tc>
        <w:tc>
          <w:tcPr>
            <w:tcW w:w="560" w:type="dxa"/>
            <w:vAlign w:val="bottom"/>
            <w:tcBorders>
              <w:bottom w:val="single" w:sz="8" w:color="2A2A2A"/>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gridSpan w:val="2"/>
          </w:tcPr>
          <w:p>
            <w:pPr>
              <w:jc w:val="center"/>
              <w:ind w:left="25"/>
              <w:spacing w:after="0"/>
              <w:rPr>
                <w:sz w:val="20"/>
                <w:szCs w:val="20"/>
                <w:color w:val="auto"/>
              </w:rPr>
            </w:pPr>
            <w:r>
              <w:rPr>
                <w:rFonts w:ascii="Arial" w:cs="Arial" w:eastAsia="Arial" w:hAnsi="Arial"/>
                <w:sz w:val="16"/>
                <w:szCs w:val="16"/>
                <w:b w:val="1"/>
                <w:bCs w:val="1"/>
                <w:color w:val="2A2A2A"/>
              </w:rPr>
              <w:t>2022</w:t>
            </w:r>
          </w:p>
        </w:tc>
        <w:tc>
          <w:tcPr>
            <w:tcW w:w="280" w:type="dxa"/>
            <w:vAlign w:val="bottom"/>
            <w:tcBorders>
              <w:bottom w:val="single" w:sz="8" w:color="2A2A2A"/>
            </w:tcBorders>
          </w:tcPr>
          <w:p>
            <w:pPr>
              <w:spacing w:after="0"/>
              <w:rPr>
                <w:sz w:val="21"/>
                <w:szCs w:val="21"/>
                <w:color w:val="auto"/>
              </w:rPr>
            </w:pPr>
          </w:p>
        </w:tc>
        <w:tc>
          <w:tcPr>
            <w:tcW w:w="560" w:type="dxa"/>
            <w:vAlign w:val="bottom"/>
            <w:tcBorders>
              <w:bottom w:val="single" w:sz="8" w:color="2A2A2A"/>
            </w:tcBorders>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gridSpan w:val="2"/>
          </w:tcPr>
          <w:p>
            <w:pPr>
              <w:jc w:val="right"/>
              <w:ind w:right="120"/>
              <w:spacing w:after="0"/>
              <w:rPr>
                <w:sz w:val="20"/>
                <w:szCs w:val="20"/>
                <w:color w:val="auto"/>
              </w:rPr>
            </w:pPr>
            <w:r>
              <w:rPr>
                <w:rFonts w:ascii="Arial" w:cs="Arial" w:eastAsia="Arial" w:hAnsi="Arial"/>
                <w:sz w:val="16"/>
                <w:szCs w:val="16"/>
                <w:b w:val="1"/>
                <w:bCs w:val="1"/>
                <w:color w:val="2A2A2A"/>
              </w:rPr>
              <w:t>2021</w:t>
            </w:r>
          </w:p>
        </w:tc>
        <w:tc>
          <w:tcPr>
            <w:tcW w:w="26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760" w:type="dxa"/>
            <w:vAlign w:val="bottom"/>
          </w:tcPr>
          <w:p>
            <w:pPr>
              <w:jc w:val="right"/>
              <w:ind w:right="165"/>
              <w:spacing w:after="0"/>
              <w:rPr>
                <w:sz w:val="20"/>
                <w:szCs w:val="20"/>
                <w:color w:val="auto"/>
              </w:rPr>
            </w:pPr>
            <w:r>
              <w:rPr>
                <w:rFonts w:ascii="Arial" w:cs="Arial" w:eastAsia="Arial" w:hAnsi="Arial"/>
                <w:sz w:val="16"/>
                <w:szCs w:val="16"/>
                <w:b w:val="1"/>
                <w:bCs w:val="1"/>
                <w:color w:val="2A2A2A"/>
              </w:rPr>
              <w:t>Net</w:t>
            </w:r>
          </w:p>
        </w:tc>
        <w:tc>
          <w:tcPr>
            <w:tcW w:w="80" w:type="dxa"/>
            <w:vAlign w:val="bottom"/>
          </w:tcPr>
          <w:p>
            <w:pPr>
              <w:spacing w:after="0"/>
              <w:rPr>
                <w:sz w:val="18"/>
                <w:szCs w:val="18"/>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2A2A2A"/>
              </w:rPr>
              <w:t>Shares</w:t>
            </w:r>
          </w:p>
        </w:tc>
        <w:tc>
          <w:tcPr>
            <w:tcW w:w="260" w:type="dxa"/>
            <w:vAlign w:val="bottom"/>
          </w:tcPr>
          <w:p>
            <w:pPr>
              <w:spacing w:after="0"/>
              <w:rPr>
                <w:sz w:val="18"/>
                <w:szCs w:val="18"/>
                <w:color w:val="auto"/>
              </w:rPr>
            </w:pPr>
          </w:p>
        </w:tc>
        <w:tc>
          <w:tcPr>
            <w:tcW w:w="56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2A2A2A"/>
                <w:w w:val="99"/>
              </w:rPr>
              <w:t>EPS</w:t>
            </w:r>
          </w:p>
        </w:tc>
        <w:tc>
          <w:tcPr>
            <w:tcW w:w="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6"/>
                <w:szCs w:val="16"/>
                <w:b w:val="1"/>
                <w:bCs w:val="1"/>
                <w:color w:val="2A2A2A"/>
              </w:rPr>
              <w:t>Net</w:t>
            </w:r>
          </w:p>
        </w:tc>
        <w:tc>
          <w:tcPr>
            <w:tcW w:w="8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2A2A2A"/>
              </w:rPr>
              <w:t>Shares</w:t>
            </w:r>
          </w:p>
        </w:tc>
        <w:tc>
          <w:tcPr>
            <w:tcW w:w="280" w:type="dxa"/>
            <w:vAlign w:val="bottom"/>
          </w:tcPr>
          <w:p>
            <w:pPr>
              <w:spacing w:after="0"/>
              <w:rPr>
                <w:sz w:val="18"/>
                <w:szCs w:val="18"/>
                <w:color w:val="auto"/>
              </w:rPr>
            </w:pPr>
          </w:p>
        </w:tc>
        <w:tc>
          <w:tcPr>
            <w:tcW w:w="56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2A2A2A"/>
                <w:w w:val="99"/>
              </w:rPr>
              <w:t>EPS</w:t>
            </w:r>
          </w:p>
        </w:tc>
        <w:tc>
          <w:tcPr>
            <w:tcW w:w="8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6"/>
                <w:szCs w:val="16"/>
                <w:b w:val="1"/>
                <w:bCs w:val="1"/>
                <w:color w:val="2A2A2A"/>
              </w:rPr>
              <w:t>Net</w:t>
            </w:r>
          </w:p>
        </w:tc>
        <w:tc>
          <w:tcPr>
            <w:tcW w:w="60" w:type="dxa"/>
            <w:vAlign w:val="bottom"/>
          </w:tcPr>
          <w:p>
            <w:pPr>
              <w:spacing w:after="0"/>
              <w:rPr>
                <w:sz w:val="18"/>
                <w:szCs w:val="18"/>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2A2A2A"/>
              </w:rPr>
              <w:t>Shares</w:t>
            </w:r>
          </w:p>
        </w:tc>
        <w:tc>
          <w:tcPr>
            <w:tcW w:w="260" w:type="dxa"/>
            <w:vAlign w:val="bottom"/>
          </w:tcPr>
          <w:p>
            <w:pPr>
              <w:spacing w:after="0"/>
              <w:rPr>
                <w:sz w:val="18"/>
                <w:szCs w:val="18"/>
                <w:color w:val="auto"/>
              </w:rPr>
            </w:pPr>
          </w:p>
        </w:tc>
        <w:tc>
          <w:tcPr>
            <w:tcW w:w="580" w:type="dxa"/>
            <w:vAlign w:val="bottom"/>
            <w:vMerge w:val="restart"/>
          </w:tcPr>
          <w:p>
            <w:pPr>
              <w:jc w:val="right"/>
              <w:ind w:right="127"/>
              <w:spacing w:after="0"/>
              <w:rPr>
                <w:sz w:val="20"/>
                <w:szCs w:val="20"/>
                <w:color w:val="auto"/>
              </w:rPr>
            </w:pPr>
            <w:r>
              <w:rPr>
                <w:rFonts w:ascii="Arial" w:cs="Arial" w:eastAsia="Arial" w:hAnsi="Arial"/>
                <w:sz w:val="16"/>
                <w:szCs w:val="16"/>
                <w:b w:val="1"/>
                <w:bCs w:val="1"/>
                <w:color w:val="2A2A2A"/>
              </w:rPr>
              <w:t>EPS</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tcPr>
          <w:p>
            <w:pPr>
              <w:jc w:val="right"/>
              <w:ind w:right="5"/>
              <w:spacing w:after="0"/>
              <w:rPr>
                <w:sz w:val="20"/>
                <w:szCs w:val="20"/>
                <w:color w:val="auto"/>
              </w:rPr>
            </w:pPr>
            <w:r>
              <w:rPr>
                <w:rFonts w:ascii="Arial" w:cs="Arial" w:eastAsia="Arial" w:hAnsi="Arial"/>
                <w:sz w:val="16"/>
                <w:szCs w:val="16"/>
                <w:b w:val="1"/>
                <w:bCs w:val="1"/>
                <w:color w:val="2A2A2A"/>
              </w:rPr>
              <w:t>Income</w:t>
            </w:r>
          </w:p>
        </w:tc>
        <w:tc>
          <w:tcPr>
            <w:tcW w:w="8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vMerge w:val="continue"/>
          </w:tcPr>
          <w:p>
            <w:pPr>
              <w:spacing w:after="0"/>
              <w:rPr>
                <w:sz w:val="19"/>
                <w:szCs w:val="19"/>
                <w:color w:val="auto"/>
              </w:rPr>
            </w:pPr>
          </w:p>
        </w:tc>
        <w:tc>
          <w:tcPr>
            <w:tcW w:w="260" w:type="dxa"/>
            <w:vAlign w:val="bottom"/>
            <w:tcBorders>
              <w:bottom w:val="single" w:sz="8" w:color="2A2A2A"/>
            </w:tcBorders>
          </w:tcPr>
          <w:p>
            <w:pPr>
              <w:spacing w:after="0"/>
              <w:rPr>
                <w:sz w:val="19"/>
                <w:szCs w:val="19"/>
                <w:color w:val="auto"/>
              </w:rPr>
            </w:pPr>
          </w:p>
        </w:tc>
        <w:tc>
          <w:tcPr>
            <w:tcW w:w="560" w:type="dxa"/>
            <w:vAlign w:val="bottom"/>
            <w:tcBorders>
              <w:bottom w:val="single" w:sz="8" w:color="2A2A2A"/>
            </w:tcBorders>
            <w:vMerge w:val="continue"/>
          </w:tcPr>
          <w:p>
            <w:pPr>
              <w:spacing w:after="0"/>
              <w:rPr>
                <w:sz w:val="19"/>
                <w:szCs w:val="19"/>
                <w:color w:val="auto"/>
              </w:rPr>
            </w:pPr>
          </w:p>
        </w:tc>
        <w:tc>
          <w:tcPr>
            <w:tcW w:w="80" w:type="dxa"/>
            <w:vAlign w:val="bottom"/>
            <w:tcBorders>
              <w:bottom w:val="single" w:sz="8" w:color="2A2A2A"/>
            </w:tcBorders>
          </w:tcPr>
          <w:p>
            <w:pPr>
              <w:spacing w:after="0"/>
              <w:rPr>
                <w:sz w:val="19"/>
                <w:szCs w:val="19"/>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Income</w:t>
            </w:r>
          </w:p>
        </w:tc>
        <w:tc>
          <w:tcPr>
            <w:tcW w:w="8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vMerge w:val="continue"/>
          </w:tcPr>
          <w:p>
            <w:pPr>
              <w:spacing w:after="0"/>
              <w:rPr>
                <w:sz w:val="19"/>
                <w:szCs w:val="19"/>
                <w:color w:val="auto"/>
              </w:rPr>
            </w:pPr>
          </w:p>
        </w:tc>
        <w:tc>
          <w:tcPr>
            <w:tcW w:w="280" w:type="dxa"/>
            <w:vAlign w:val="bottom"/>
            <w:tcBorders>
              <w:bottom w:val="single" w:sz="8" w:color="2A2A2A"/>
            </w:tcBorders>
          </w:tcPr>
          <w:p>
            <w:pPr>
              <w:spacing w:after="0"/>
              <w:rPr>
                <w:sz w:val="19"/>
                <w:szCs w:val="19"/>
                <w:color w:val="auto"/>
              </w:rPr>
            </w:pPr>
          </w:p>
        </w:tc>
        <w:tc>
          <w:tcPr>
            <w:tcW w:w="560" w:type="dxa"/>
            <w:vAlign w:val="bottom"/>
            <w:tcBorders>
              <w:bottom w:val="single" w:sz="8" w:color="2A2A2A"/>
            </w:tcBorders>
            <w:vMerge w:val="continue"/>
          </w:tcPr>
          <w:p>
            <w:pPr>
              <w:spacing w:after="0"/>
              <w:rPr>
                <w:sz w:val="19"/>
                <w:szCs w:val="19"/>
                <w:color w:val="auto"/>
              </w:rPr>
            </w:pPr>
          </w:p>
        </w:tc>
        <w:tc>
          <w:tcPr>
            <w:tcW w:w="8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tcPr>
          <w:p>
            <w:pPr>
              <w:jc w:val="right"/>
              <w:ind w:right="10"/>
              <w:spacing w:after="0"/>
              <w:rPr>
                <w:sz w:val="20"/>
                <w:szCs w:val="20"/>
                <w:color w:val="auto"/>
              </w:rPr>
            </w:pPr>
            <w:r>
              <w:rPr>
                <w:rFonts w:ascii="Arial" w:cs="Arial" w:eastAsia="Arial" w:hAnsi="Arial"/>
                <w:sz w:val="16"/>
                <w:szCs w:val="16"/>
                <w:b w:val="1"/>
                <w:bCs w:val="1"/>
                <w:color w:val="2A2A2A"/>
              </w:rPr>
              <w:t>Income</w:t>
            </w:r>
          </w:p>
        </w:tc>
        <w:tc>
          <w:tcPr>
            <w:tcW w:w="60" w:type="dxa"/>
            <w:vAlign w:val="bottom"/>
            <w:tcBorders>
              <w:bottom w:val="single" w:sz="8" w:color="2A2A2A"/>
            </w:tcBorders>
          </w:tcPr>
          <w:p>
            <w:pPr>
              <w:spacing w:after="0"/>
              <w:rPr>
                <w:sz w:val="19"/>
                <w:szCs w:val="19"/>
                <w:color w:val="auto"/>
              </w:rPr>
            </w:pPr>
          </w:p>
        </w:tc>
        <w:tc>
          <w:tcPr>
            <w:tcW w:w="780" w:type="dxa"/>
            <w:vAlign w:val="bottom"/>
            <w:tcBorders>
              <w:bottom w:val="single" w:sz="8" w:color="2A2A2A"/>
            </w:tcBorders>
            <w:vMerge w:val="continue"/>
          </w:tcPr>
          <w:p>
            <w:pPr>
              <w:spacing w:after="0"/>
              <w:rPr>
                <w:sz w:val="19"/>
                <w:szCs w:val="19"/>
                <w:color w:val="auto"/>
              </w:rPr>
            </w:pPr>
          </w:p>
        </w:tc>
        <w:tc>
          <w:tcPr>
            <w:tcW w:w="260" w:type="dxa"/>
            <w:vAlign w:val="bottom"/>
            <w:tcBorders>
              <w:bottom w:val="single" w:sz="8" w:color="2A2A2A"/>
            </w:tcBorders>
          </w:tcPr>
          <w:p>
            <w:pPr>
              <w:spacing w:after="0"/>
              <w:rPr>
                <w:sz w:val="19"/>
                <w:szCs w:val="19"/>
                <w:color w:val="auto"/>
              </w:rPr>
            </w:pPr>
          </w:p>
        </w:tc>
        <w:tc>
          <w:tcPr>
            <w:tcW w:w="580" w:type="dxa"/>
            <w:vAlign w:val="bottom"/>
            <w:tcBorders>
              <w:bottom w:val="single" w:sz="8" w:color="2A2A2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84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Basic EPS:</w:t>
            </w:r>
          </w:p>
        </w:tc>
        <w:tc>
          <w:tcPr>
            <w:tcW w:w="7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5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4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280" w:type="dxa"/>
            <w:vAlign w:val="bottom"/>
            <w:shd w:val="clear" w:color="auto" w:fill="D7D7D7"/>
          </w:tcPr>
          <w:p>
            <w:pPr>
              <w:spacing w:after="0"/>
              <w:rPr>
                <w:sz w:val="24"/>
                <w:szCs w:val="24"/>
                <w:color w:val="auto"/>
              </w:rPr>
            </w:pPr>
          </w:p>
        </w:tc>
        <w:tc>
          <w:tcPr>
            <w:tcW w:w="5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60" w:type="dxa"/>
            <w:vAlign w:val="bottom"/>
            <w:shd w:val="clear" w:color="auto" w:fill="D7D7D7"/>
          </w:tcPr>
          <w:p>
            <w:pPr>
              <w:spacing w:after="0"/>
              <w:rPr>
                <w:sz w:val="24"/>
                <w:szCs w:val="24"/>
                <w:color w:val="auto"/>
              </w:rPr>
            </w:pPr>
          </w:p>
        </w:tc>
        <w:tc>
          <w:tcPr>
            <w:tcW w:w="78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58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Arial" w:cs="Arial" w:eastAsia="Arial" w:hAnsi="Arial"/>
                <w:sz w:val="20"/>
                <w:szCs w:val="20"/>
                <w:color w:val="2A2A2A"/>
              </w:rPr>
              <w:t>Net income</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A2A2A"/>
              </w:rPr>
              <w:t>$6,510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A2A2A"/>
              </w:rPr>
              <w:t>$8,749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2A2A2A"/>
              </w:rPr>
              <w:t>$7,769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Income allocated to RSUs</w:t>
            </w:r>
          </w:p>
        </w:tc>
        <w:tc>
          <w:tcPr>
            <w:tcW w:w="7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(34)</w:t>
            </w: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D7D7D7"/>
            </w:tcBorders>
            <w:shd w:val="clear" w:color="auto" w:fill="D7D7D7"/>
          </w:tcPr>
          <w:p>
            <w:pPr>
              <w:spacing w:after="0"/>
              <w:rPr>
                <w:sz w:val="24"/>
                <w:szCs w:val="24"/>
                <w:color w:val="auto"/>
              </w:rPr>
            </w:pPr>
          </w:p>
        </w:tc>
        <w:tc>
          <w:tcPr>
            <w:tcW w:w="560" w:type="dxa"/>
            <w:vAlign w:val="bottom"/>
            <w:tcBorders>
              <w:bottom w:val="single" w:sz="8" w:color="D7D7D7"/>
            </w:tcBorders>
            <w:shd w:val="clear" w:color="auto" w:fill="D7D7D7"/>
          </w:tcPr>
          <w:p>
            <w:pPr>
              <w:spacing w:after="0"/>
              <w:rPr>
                <w:sz w:val="24"/>
                <w:szCs w:val="24"/>
                <w:color w:val="auto"/>
              </w:rPr>
            </w:pPr>
          </w:p>
        </w:tc>
        <w:tc>
          <w:tcPr>
            <w:tcW w:w="80" w:type="dxa"/>
            <w:vAlign w:val="bottom"/>
            <w:tcBorders>
              <w:bottom w:val="single" w:sz="8" w:color="D7D7D7"/>
            </w:tcBorders>
            <w:shd w:val="clear" w:color="auto" w:fill="D7D7D7"/>
          </w:tcPr>
          <w:p>
            <w:pPr>
              <w:spacing w:after="0"/>
              <w:rPr>
                <w:sz w:val="24"/>
                <w:szCs w:val="24"/>
                <w:color w:val="auto"/>
              </w:rPr>
            </w:pP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(40)</w:t>
            </w: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D7D7D7"/>
            </w:tcBorders>
            <w:shd w:val="clear" w:color="auto" w:fill="D7D7D7"/>
          </w:tcPr>
          <w:p>
            <w:pPr>
              <w:spacing w:after="0"/>
              <w:rPr>
                <w:sz w:val="24"/>
                <w:szCs w:val="24"/>
                <w:color w:val="auto"/>
              </w:rPr>
            </w:pPr>
          </w:p>
        </w:tc>
        <w:tc>
          <w:tcPr>
            <w:tcW w:w="560" w:type="dxa"/>
            <w:vAlign w:val="bottom"/>
            <w:tcBorders>
              <w:bottom w:val="single" w:sz="8" w:color="D7D7D7"/>
            </w:tcBorders>
            <w:shd w:val="clear" w:color="auto" w:fill="D7D7D7"/>
          </w:tcPr>
          <w:p>
            <w:pPr>
              <w:spacing w:after="0"/>
              <w:rPr>
                <w:sz w:val="24"/>
                <w:szCs w:val="24"/>
                <w:color w:val="auto"/>
              </w:rPr>
            </w:pP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(33)</w:t>
            </w:r>
          </w:p>
        </w:tc>
        <w:tc>
          <w:tcPr>
            <w:tcW w:w="60" w:type="dxa"/>
            <w:vAlign w:val="bottom"/>
            <w:tcBorders>
              <w:bottom w:val="single" w:sz="8" w:color="D7D7D7"/>
            </w:tcBorders>
            <w:shd w:val="clear" w:color="auto" w:fill="D7D7D7"/>
          </w:tcPr>
          <w:p>
            <w:pPr>
              <w:spacing w:after="0"/>
              <w:rPr>
                <w:sz w:val="24"/>
                <w:szCs w:val="24"/>
                <w:color w:val="auto"/>
              </w:rPr>
            </w:pPr>
          </w:p>
        </w:tc>
        <w:tc>
          <w:tcPr>
            <w:tcW w:w="7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D7D7D7"/>
            </w:tcBorders>
            <w:shd w:val="clear" w:color="auto" w:fill="D7D7D7"/>
          </w:tcPr>
          <w:p>
            <w:pPr>
              <w:spacing w:after="0"/>
              <w:rPr>
                <w:sz w:val="24"/>
                <w:szCs w:val="24"/>
                <w:color w:val="auto"/>
              </w:rPr>
            </w:pPr>
          </w:p>
        </w:tc>
        <w:tc>
          <w:tcPr>
            <w:tcW w:w="580" w:type="dxa"/>
            <w:vAlign w:val="bottom"/>
            <w:tcBorders>
              <w:bottom w:val="single" w:sz="8" w:color="D7D7D7"/>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180"/>
              <w:spacing w:after="0" w:line="188" w:lineRule="exact"/>
              <w:rPr>
                <w:sz w:val="20"/>
                <w:szCs w:val="20"/>
                <w:color w:val="auto"/>
              </w:rPr>
            </w:pPr>
            <w:r>
              <w:rPr>
                <w:rFonts w:ascii="Arial" w:cs="Arial" w:eastAsia="Arial" w:hAnsi="Arial"/>
                <w:sz w:val="20"/>
                <w:szCs w:val="20"/>
                <w:color w:val="2A2A2A"/>
              </w:rPr>
              <w:t>Income allocated to</w:t>
            </w:r>
          </w:p>
        </w:tc>
        <w:tc>
          <w:tcPr>
            <w:tcW w:w="760" w:type="dxa"/>
            <w:vAlign w:val="bottom"/>
            <w:vMerge w:val="restart"/>
          </w:tcPr>
          <w:p>
            <w:pPr>
              <w:jc w:val="right"/>
              <w:spacing w:after="0"/>
              <w:rPr>
                <w:sz w:val="20"/>
                <w:szCs w:val="20"/>
                <w:color w:val="auto"/>
              </w:rPr>
            </w:pPr>
            <w:r>
              <w:rPr>
                <w:rFonts w:ascii="Arial" w:cs="Arial" w:eastAsia="Arial" w:hAnsi="Arial"/>
                <w:sz w:val="20"/>
                <w:szCs w:val="20"/>
                <w:b w:val="1"/>
                <w:bCs w:val="1"/>
                <w:u w:val="single" w:color="auto"/>
                <w:color w:val="2A2A2A"/>
              </w:rPr>
              <w:t>$</w:t>
            </w:r>
            <w:r>
              <w:rPr>
                <w:rFonts w:ascii="Arial" w:cs="Arial" w:eastAsia="Arial" w:hAnsi="Arial"/>
                <w:sz w:val="20"/>
                <w:szCs w:val="20"/>
                <w:b w:val="1"/>
                <w:bCs w:val="1"/>
                <w:color w:val="2A2A2A"/>
              </w:rPr>
              <w:t>6,476</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2A2A2A"/>
              </w:rPr>
              <w:t>908</w:t>
            </w:r>
          </w:p>
        </w:tc>
        <w:tc>
          <w:tcPr>
            <w:tcW w:w="2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7.13</w:t>
            </w:r>
          </w:p>
        </w:tc>
        <w:tc>
          <w:tcPr>
            <w:tcW w:w="82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2A2A2A"/>
              </w:rPr>
              <w:t>$</w:t>
            </w:r>
            <w:r>
              <w:rPr>
                <w:rFonts w:ascii="Arial" w:cs="Arial" w:eastAsia="Arial" w:hAnsi="Arial"/>
                <w:sz w:val="20"/>
                <w:szCs w:val="20"/>
                <w:color w:val="2A2A2A"/>
              </w:rPr>
              <w:t>8,709</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color w:val="2A2A2A"/>
              </w:rPr>
              <w:t>916</w:t>
            </w:r>
          </w:p>
        </w:tc>
        <w:tc>
          <w:tcPr>
            <w:tcW w:w="28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2A2A2A"/>
              </w:rPr>
              <w:t>9.51</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2A2A2A"/>
              </w:rPr>
              <w:t>$</w:t>
            </w:r>
            <w:r>
              <w:rPr>
                <w:rFonts w:ascii="Arial" w:cs="Arial" w:eastAsia="Arial" w:hAnsi="Arial"/>
                <w:sz w:val="20"/>
                <w:szCs w:val="20"/>
                <w:color w:val="2A2A2A"/>
              </w:rPr>
              <w:t>7,736</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color w:val="2A2A2A"/>
              </w:rPr>
              <w:t>923</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2A2A2A"/>
              </w:rPr>
              <w:t>8.38</w:t>
            </w:r>
          </w:p>
        </w:tc>
        <w:tc>
          <w:tcPr>
            <w:tcW w:w="0" w:type="dxa"/>
            <w:vAlign w:val="bottom"/>
          </w:tcPr>
          <w:p>
            <w:pPr>
              <w:spacing w:after="0"/>
              <w:rPr>
                <w:sz w:val="1"/>
                <w:szCs w:val="1"/>
                <w:color w:val="auto"/>
              </w:rPr>
            </w:pPr>
          </w:p>
        </w:tc>
      </w:tr>
      <w:tr>
        <w:trPr>
          <w:trHeight w:val="247"/>
        </w:trPr>
        <w:tc>
          <w:tcPr>
            <w:tcW w:w="2840" w:type="dxa"/>
            <w:vAlign w:val="bottom"/>
          </w:tcPr>
          <w:p>
            <w:pPr>
              <w:ind w:left="180"/>
              <w:spacing w:after="0"/>
              <w:rPr>
                <w:sz w:val="20"/>
                <w:szCs w:val="20"/>
                <w:color w:val="auto"/>
              </w:rPr>
            </w:pPr>
            <w:r>
              <w:rPr>
                <w:rFonts w:ascii="Arial" w:cs="Arial" w:eastAsia="Arial" w:hAnsi="Arial"/>
                <w:sz w:val="20"/>
                <w:szCs w:val="20"/>
                <w:color w:val="2A2A2A"/>
              </w:rPr>
              <w:t>common stock</w:t>
            </w:r>
          </w:p>
        </w:tc>
        <w:tc>
          <w:tcPr>
            <w:tcW w:w="76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760" w:type="dxa"/>
            <w:vAlign w:val="bottom"/>
            <w:tcBorders>
              <w:bottom w:val="single" w:sz="8" w:color="D7D7D7"/>
            </w:tcBorders>
          </w:tcPr>
          <w:p>
            <w:pPr>
              <w:spacing w:after="0" w:line="20" w:lineRule="exact"/>
              <w:rPr>
                <w:sz w:val="1"/>
                <w:szCs w:val="1"/>
                <w:color w:val="auto"/>
              </w:rPr>
            </w:pPr>
          </w:p>
        </w:tc>
        <w:tc>
          <w:tcPr>
            <w:tcW w:w="260" w:type="dxa"/>
            <w:vAlign w:val="bottom"/>
            <w:tcBorders>
              <w:bottom w:val="single" w:sz="8" w:color="D7D7D7"/>
            </w:tcBorders>
          </w:tcPr>
          <w:p>
            <w:pPr>
              <w:spacing w:after="0" w:line="20" w:lineRule="exact"/>
              <w:rPr>
                <w:sz w:val="1"/>
                <w:szCs w:val="1"/>
                <w:color w:val="auto"/>
              </w:rPr>
            </w:pPr>
          </w:p>
        </w:tc>
        <w:tc>
          <w:tcPr>
            <w:tcW w:w="560" w:type="dxa"/>
            <w:vAlign w:val="bottom"/>
            <w:tcBorders>
              <w:bottom w:val="single" w:sz="8" w:color="D7D7D7"/>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7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760" w:type="dxa"/>
            <w:vAlign w:val="bottom"/>
            <w:tcBorders>
              <w:bottom w:val="single" w:sz="8" w:color="D7D7D7"/>
            </w:tcBorders>
          </w:tcPr>
          <w:p>
            <w:pPr>
              <w:spacing w:after="0" w:line="20" w:lineRule="exact"/>
              <w:rPr>
                <w:sz w:val="1"/>
                <w:szCs w:val="1"/>
                <w:color w:val="auto"/>
              </w:rPr>
            </w:pPr>
          </w:p>
        </w:tc>
        <w:tc>
          <w:tcPr>
            <w:tcW w:w="280" w:type="dxa"/>
            <w:vAlign w:val="bottom"/>
            <w:tcBorders>
              <w:bottom w:val="single" w:sz="8" w:color="D7D7D7"/>
            </w:tcBorders>
          </w:tcPr>
          <w:p>
            <w:pPr>
              <w:spacing w:after="0" w:line="20" w:lineRule="exact"/>
              <w:rPr>
                <w:sz w:val="1"/>
                <w:szCs w:val="1"/>
                <w:color w:val="auto"/>
              </w:rPr>
            </w:pPr>
          </w:p>
        </w:tc>
        <w:tc>
          <w:tcPr>
            <w:tcW w:w="560" w:type="dxa"/>
            <w:vAlign w:val="bottom"/>
            <w:tcBorders>
              <w:bottom w:val="single" w:sz="8" w:color="D7D7D7"/>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bottom w:val="single" w:sz="8" w:color="D7D7D7"/>
            </w:tcBorders>
          </w:tcPr>
          <w:p>
            <w:pPr>
              <w:spacing w:after="0" w:line="20" w:lineRule="exact"/>
              <w:rPr>
                <w:sz w:val="1"/>
                <w:szCs w:val="1"/>
                <w:color w:val="auto"/>
              </w:rPr>
            </w:pPr>
          </w:p>
        </w:tc>
        <w:tc>
          <w:tcPr>
            <w:tcW w:w="780" w:type="dxa"/>
            <w:vAlign w:val="bottom"/>
            <w:tcBorders>
              <w:bottom w:val="single" w:sz="8" w:color="D7D7D7"/>
            </w:tcBorders>
          </w:tcPr>
          <w:p>
            <w:pPr>
              <w:spacing w:after="0" w:line="20" w:lineRule="exact"/>
              <w:rPr>
                <w:sz w:val="1"/>
                <w:szCs w:val="1"/>
                <w:color w:val="auto"/>
              </w:rPr>
            </w:pPr>
          </w:p>
        </w:tc>
        <w:tc>
          <w:tcPr>
            <w:tcW w:w="260" w:type="dxa"/>
            <w:vAlign w:val="bottom"/>
            <w:tcBorders>
              <w:bottom w:val="single" w:sz="8" w:color="D7D7D7"/>
            </w:tcBorders>
          </w:tcPr>
          <w:p>
            <w:pPr>
              <w:spacing w:after="0" w:line="20" w:lineRule="exact"/>
              <w:rPr>
                <w:sz w:val="1"/>
                <w:szCs w:val="1"/>
                <w:color w:val="auto"/>
              </w:rPr>
            </w:pPr>
          </w:p>
        </w:tc>
        <w:tc>
          <w:tcPr>
            <w:tcW w:w="580" w:type="dxa"/>
            <w:vAlign w:val="bottom"/>
            <w:tcBorders>
              <w:bottom w:val="single" w:sz="8" w:color="D7D7D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shd w:val="clear" w:color="auto" w:fill="D7D7D7"/>
          </w:tcPr>
          <w:p>
            <w:pPr>
              <w:ind w:left="180"/>
              <w:spacing w:after="0" w:line="188" w:lineRule="exact"/>
              <w:rPr>
                <w:sz w:val="20"/>
                <w:szCs w:val="20"/>
                <w:color w:val="auto"/>
              </w:rPr>
            </w:pPr>
            <w:r>
              <w:rPr>
                <w:rFonts w:ascii="Arial" w:cs="Arial" w:eastAsia="Arial" w:hAnsi="Arial"/>
                <w:sz w:val="20"/>
                <w:szCs w:val="20"/>
                <w:color w:val="2A2A2A"/>
              </w:rPr>
              <w:t>Dilutive effect of stock</w:t>
            </w:r>
          </w:p>
        </w:tc>
        <w:tc>
          <w:tcPr>
            <w:tcW w:w="760" w:type="dxa"/>
            <w:vAlign w:val="bottom"/>
            <w:shd w:val="clear" w:color="auto" w:fill="D7D7D7"/>
          </w:tcPr>
          <w:p>
            <w:pPr>
              <w:spacing w:after="0"/>
              <w:rPr>
                <w:sz w:val="16"/>
                <w:szCs w:val="16"/>
                <w:color w:val="auto"/>
              </w:rPr>
            </w:pPr>
          </w:p>
        </w:tc>
        <w:tc>
          <w:tcPr>
            <w:tcW w:w="840" w:type="dxa"/>
            <w:vAlign w:val="bottom"/>
            <w:gridSpan w:val="2"/>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8</w:t>
            </w:r>
          </w:p>
        </w:tc>
        <w:tc>
          <w:tcPr>
            <w:tcW w:w="260" w:type="dxa"/>
            <w:vAlign w:val="bottom"/>
            <w:shd w:val="clear" w:color="auto" w:fill="D7D7D7"/>
          </w:tcPr>
          <w:p>
            <w:pPr>
              <w:spacing w:after="0"/>
              <w:rPr>
                <w:sz w:val="16"/>
                <w:szCs w:val="16"/>
                <w:color w:val="auto"/>
              </w:rPr>
            </w:pPr>
          </w:p>
        </w:tc>
        <w:tc>
          <w:tcPr>
            <w:tcW w:w="560" w:type="dxa"/>
            <w:vAlign w:val="bottom"/>
            <w:shd w:val="clear" w:color="auto" w:fill="D7D7D7"/>
          </w:tcPr>
          <w:p>
            <w:pPr>
              <w:spacing w:after="0"/>
              <w:rPr>
                <w:sz w:val="16"/>
                <w:szCs w:val="16"/>
                <w:color w:val="auto"/>
              </w:rPr>
            </w:pPr>
          </w:p>
        </w:tc>
        <w:tc>
          <w:tcPr>
            <w:tcW w:w="80" w:type="dxa"/>
            <w:vAlign w:val="bottom"/>
            <w:shd w:val="clear" w:color="auto" w:fill="D7D7D7"/>
          </w:tcPr>
          <w:p>
            <w:pPr>
              <w:spacing w:after="0"/>
              <w:rPr>
                <w:sz w:val="16"/>
                <w:szCs w:val="16"/>
                <w:color w:val="auto"/>
              </w:rPr>
            </w:pPr>
          </w:p>
        </w:tc>
        <w:tc>
          <w:tcPr>
            <w:tcW w:w="740" w:type="dxa"/>
            <w:vAlign w:val="bottom"/>
            <w:shd w:val="clear" w:color="auto" w:fill="D7D7D7"/>
          </w:tcPr>
          <w:p>
            <w:pPr>
              <w:spacing w:after="0"/>
              <w:rPr>
                <w:sz w:val="16"/>
                <w:szCs w:val="16"/>
                <w:color w:val="auto"/>
              </w:rPr>
            </w:pPr>
          </w:p>
        </w:tc>
        <w:tc>
          <w:tcPr>
            <w:tcW w:w="840" w:type="dxa"/>
            <w:vAlign w:val="bottom"/>
            <w:gridSpan w:val="2"/>
            <w:vMerge w:val="restart"/>
            <w:shd w:val="clear" w:color="auto" w:fill="D7D7D7"/>
          </w:tcPr>
          <w:p>
            <w:pPr>
              <w:jc w:val="right"/>
              <w:spacing w:after="0"/>
              <w:rPr>
                <w:sz w:val="20"/>
                <w:szCs w:val="20"/>
                <w:color w:val="auto"/>
              </w:rPr>
            </w:pPr>
            <w:r>
              <w:rPr>
                <w:rFonts w:ascii="Arial" w:cs="Arial" w:eastAsia="Arial" w:hAnsi="Arial"/>
                <w:sz w:val="20"/>
                <w:szCs w:val="20"/>
                <w:color w:val="2A2A2A"/>
              </w:rPr>
              <w:t>10</w:t>
            </w:r>
          </w:p>
        </w:tc>
        <w:tc>
          <w:tcPr>
            <w:tcW w:w="280" w:type="dxa"/>
            <w:vAlign w:val="bottom"/>
            <w:shd w:val="clear" w:color="auto" w:fill="D7D7D7"/>
          </w:tcPr>
          <w:p>
            <w:pPr>
              <w:spacing w:after="0"/>
              <w:rPr>
                <w:sz w:val="16"/>
                <w:szCs w:val="16"/>
                <w:color w:val="auto"/>
              </w:rPr>
            </w:pPr>
          </w:p>
        </w:tc>
        <w:tc>
          <w:tcPr>
            <w:tcW w:w="560" w:type="dxa"/>
            <w:vAlign w:val="bottom"/>
            <w:shd w:val="clear" w:color="auto" w:fill="D7D7D7"/>
          </w:tcPr>
          <w:p>
            <w:pPr>
              <w:spacing w:after="0"/>
              <w:rPr>
                <w:sz w:val="16"/>
                <w:szCs w:val="16"/>
                <w:color w:val="auto"/>
              </w:rPr>
            </w:pPr>
          </w:p>
        </w:tc>
        <w:tc>
          <w:tcPr>
            <w:tcW w:w="80" w:type="dxa"/>
            <w:vAlign w:val="bottom"/>
            <w:shd w:val="clear" w:color="auto" w:fill="D7D7D7"/>
          </w:tcPr>
          <w:p>
            <w:pPr>
              <w:spacing w:after="0"/>
              <w:rPr>
                <w:sz w:val="16"/>
                <w:szCs w:val="16"/>
                <w:color w:val="auto"/>
              </w:rPr>
            </w:pPr>
          </w:p>
        </w:tc>
        <w:tc>
          <w:tcPr>
            <w:tcW w:w="760" w:type="dxa"/>
            <w:vAlign w:val="bottom"/>
            <w:shd w:val="clear" w:color="auto" w:fill="D7D7D7"/>
          </w:tcPr>
          <w:p>
            <w:pPr>
              <w:spacing w:after="0"/>
              <w:rPr>
                <w:sz w:val="16"/>
                <w:szCs w:val="16"/>
                <w:color w:val="auto"/>
              </w:rPr>
            </w:pPr>
          </w:p>
        </w:tc>
        <w:tc>
          <w:tcPr>
            <w:tcW w:w="840" w:type="dxa"/>
            <w:vAlign w:val="bottom"/>
            <w:gridSpan w:val="2"/>
            <w:vMerge w:val="restart"/>
            <w:shd w:val="clear" w:color="auto" w:fill="D7D7D7"/>
          </w:tcPr>
          <w:p>
            <w:pPr>
              <w:jc w:val="right"/>
              <w:spacing w:after="0"/>
              <w:rPr>
                <w:sz w:val="20"/>
                <w:szCs w:val="20"/>
                <w:color w:val="auto"/>
              </w:rPr>
            </w:pPr>
            <w:r>
              <w:rPr>
                <w:rFonts w:ascii="Arial" w:cs="Arial" w:eastAsia="Arial" w:hAnsi="Arial"/>
                <w:sz w:val="20"/>
                <w:szCs w:val="20"/>
                <w:color w:val="2A2A2A"/>
              </w:rPr>
              <w:t>13</w:t>
            </w:r>
          </w:p>
        </w:tc>
        <w:tc>
          <w:tcPr>
            <w:tcW w:w="260" w:type="dxa"/>
            <w:vAlign w:val="bottom"/>
            <w:shd w:val="clear" w:color="auto" w:fill="D7D7D7"/>
          </w:tcPr>
          <w:p>
            <w:pPr>
              <w:spacing w:after="0"/>
              <w:rPr>
                <w:sz w:val="16"/>
                <w:szCs w:val="16"/>
                <w:color w:val="auto"/>
              </w:rPr>
            </w:pPr>
          </w:p>
        </w:tc>
        <w:tc>
          <w:tcPr>
            <w:tcW w:w="580" w:type="dxa"/>
            <w:vAlign w:val="bottom"/>
            <w:shd w:val="clear" w:color="auto" w:fill="D7D7D7"/>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8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compensation plans</w:t>
            </w:r>
          </w:p>
        </w:tc>
        <w:tc>
          <w:tcPr>
            <w:tcW w:w="760" w:type="dxa"/>
            <w:vAlign w:val="bottom"/>
            <w:shd w:val="clear" w:color="auto" w:fill="D7D7D7"/>
          </w:tcPr>
          <w:p>
            <w:pPr>
              <w:spacing w:after="0"/>
              <w:rPr>
                <w:sz w:val="23"/>
                <w:szCs w:val="23"/>
                <w:color w:val="auto"/>
              </w:rPr>
            </w:pPr>
          </w:p>
        </w:tc>
        <w:tc>
          <w:tcPr>
            <w:tcW w:w="840" w:type="dxa"/>
            <w:vAlign w:val="bottom"/>
            <w:gridSpan w:val="2"/>
            <w:vMerge w:val="continue"/>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56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840" w:type="dxa"/>
            <w:vAlign w:val="bottom"/>
            <w:gridSpan w:val="2"/>
            <w:vMerge w:val="continue"/>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56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760" w:type="dxa"/>
            <w:vAlign w:val="bottom"/>
            <w:shd w:val="clear" w:color="auto" w:fill="D7D7D7"/>
          </w:tcPr>
          <w:p>
            <w:pPr>
              <w:spacing w:after="0"/>
              <w:rPr>
                <w:sz w:val="23"/>
                <w:szCs w:val="23"/>
                <w:color w:val="auto"/>
              </w:rPr>
            </w:pPr>
          </w:p>
        </w:tc>
        <w:tc>
          <w:tcPr>
            <w:tcW w:w="840" w:type="dxa"/>
            <w:vAlign w:val="bottom"/>
            <w:gridSpan w:val="2"/>
            <w:vMerge w:val="continue"/>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4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Diluted EPS:</w:t>
            </w:r>
          </w:p>
        </w:tc>
        <w:tc>
          <w:tcPr>
            <w:tcW w:w="7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5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4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280" w:type="dxa"/>
            <w:vAlign w:val="bottom"/>
            <w:shd w:val="clear" w:color="auto" w:fill="D7D7D7"/>
          </w:tcPr>
          <w:p>
            <w:pPr>
              <w:spacing w:after="0"/>
              <w:rPr>
                <w:sz w:val="24"/>
                <w:szCs w:val="24"/>
                <w:color w:val="auto"/>
              </w:rPr>
            </w:pPr>
          </w:p>
        </w:tc>
        <w:tc>
          <w:tcPr>
            <w:tcW w:w="5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60" w:type="dxa"/>
            <w:vAlign w:val="bottom"/>
            <w:shd w:val="clear" w:color="auto" w:fill="D7D7D7"/>
          </w:tcPr>
          <w:p>
            <w:pPr>
              <w:spacing w:after="0"/>
              <w:rPr>
                <w:sz w:val="24"/>
                <w:szCs w:val="24"/>
                <w:color w:val="auto"/>
              </w:rPr>
            </w:pPr>
          </w:p>
        </w:tc>
        <w:tc>
          <w:tcPr>
            <w:tcW w:w="78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58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Arial" w:cs="Arial" w:eastAsia="Arial" w:hAnsi="Arial"/>
                <w:sz w:val="20"/>
                <w:szCs w:val="20"/>
                <w:color w:val="2A2A2A"/>
              </w:rPr>
              <w:t>Net income</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2A2A2A"/>
              </w:rPr>
              <w:t>$6,510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A2A2A"/>
              </w:rPr>
              <w:t>$8,749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2A2A2A"/>
              </w:rPr>
              <w:t>$7,769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Income allocated to RSUs</w:t>
            </w:r>
          </w:p>
        </w:tc>
        <w:tc>
          <w:tcPr>
            <w:tcW w:w="7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(33)</w:t>
            </w: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spacing w:after="0"/>
              <w:rPr>
                <w:sz w:val="24"/>
                <w:szCs w:val="24"/>
                <w:color w:val="auto"/>
              </w:rPr>
            </w:pPr>
          </w:p>
        </w:tc>
        <w:tc>
          <w:tcPr>
            <w:tcW w:w="260" w:type="dxa"/>
            <w:vAlign w:val="bottom"/>
            <w:tcBorders>
              <w:bottom w:val="single" w:sz="8" w:color="D7D7D7"/>
            </w:tcBorders>
            <w:shd w:val="clear" w:color="auto" w:fill="D7D7D7"/>
          </w:tcPr>
          <w:p>
            <w:pPr>
              <w:spacing w:after="0"/>
              <w:rPr>
                <w:sz w:val="24"/>
                <w:szCs w:val="24"/>
                <w:color w:val="auto"/>
              </w:rPr>
            </w:pPr>
          </w:p>
        </w:tc>
        <w:tc>
          <w:tcPr>
            <w:tcW w:w="560" w:type="dxa"/>
            <w:vAlign w:val="bottom"/>
            <w:tcBorders>
              <w:bottom w:val="single" w:sz="8" w:color="D7D7D7"/>
            </w:tcBorders>
            <w:shd w:val="clear" w:color="auto" w:fill="D7D7D7"/>
          </w:tcPr>
          <w:p>
            <w:pPr>
              <w:spacing w:after="0"/>
              <w:rPr>
                <w:sz w:val="24"/>
                <w:szCs w:val="24"/>
                <w:color w:val="auto"/>
              </w:rPr>
            </w:pPr>
          </w:p>
        </w:tc>
        <w:tc>
          <w:tcPr>
            <w:tcW w:w="80" w:type="dxa"/>
            <w:vAlign w:val="bottom"/>
            <w:tcBorders>
              <w:bottom w:val="single" w:sz="8" w:color="D7D7D7"/>
            </w:tcBorders>
            <w:shd w:val="clear" w:color="auto" w:fill="D7D7D7"/>
          </w:tcPr>
          <w:p>
            <w:pPr>
              <w:spacing w:after="0"/>
              <w:rPr>
                <w:sz w:val="24"/>
                <w:szCs w:val="24"/>
                <w:color w:val="auto"/>
              </w:rPr>
            </w:pP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(39)</w:t>
            </w: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spacing w:after="0"/>
              <w:rPr>
                <w:sz w:val="24"/>
                <w:szCs w:val="24"/>
                <w:color w:val="auto"/>
              </w:rPr>
            </w:pPr>
          </w:p>
        </w:tc>
        <w:tc>
          <w:tcPr>
            <w:tcW w:w="280" w:type="dxa"/>
            <w:vAlign w:val="bottom"/>
            <w:tcBorders>
              <w:bottom w:val="single" w:sz="8" w:color="D7D7D7"/>
            </w:tcBorders>
            <w:shd w:val="clear" w:color="auto" w:fill="D7D7D7"/>
          </w:tcPr>
          <w:p>
            <w:pPr>
              <w:spacing w:after="0"/>
              <w:rPr>
                <w:sz w:val="24"/>
                <w:szCs w:val="24"/>
                <w:color w:val="auto"/>
              </w:rPr>
            </w:pPr>
          </w:p>
        </w:tc>
        <w:tc>
          <w:tcPr>
            <w:tcW w:w="560" w:type="dxa"/>
            <w:vAlign w:val="bottom"/>
            <w:tcBorders>
              <w:bottom w:val="single" w:sz="8" w:color="D7D7D7"/>
            </w:tcBorders>
            <w:shd w:val="clear" w:color="auto" w:fill="D7D7D7"/>
          </w:tcPr>
          <w:p>
            <w:pPr>
              <w:spacing w:after="0"/>
              <w:rPr>
                <w:sz w:val="24"/>
                <w:szCs w:val="24"/>
                <w:color w:val="auto"/>
              </w:rPr>
            </w:pPr>
          </w:p>
        </w:tc>
        <w:tc>
          <w:tcPr>
            <w:tcW w:w="80" w:type="dxa"/>
            <w:vAlign w:val="bottom"/>
            <w:tcBorders>
              <w:bottom w:val="single" w:sz="8" w:color="D7D7D7"/>
            </w:tcBorders>
            <w:shd w:val="clear" w:color="auto" w:fill="D7D7D7"/>
          </w:tcPr>
          <w:p>
            <w:pPr>
              <w:spacing w:after="0"/>
              <w:rPr>
                <w:sz w:val="24"/>
                <w:szCs w:val="24"/>
                <w:color w:val="auto"/>
              </w:rPr>
            </w:pPr>
          </w:p>
        </w:tc>
        <w:tc>
          <w:tcPr>
            <w:tcW w:w="7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(33)</w:t>
            </w:r>
          </w:p>
        </w:tc>
        <w:tc>
          <w:tcPr>
            <w:tcW w:w="60" w:type="dxa"/>
            <w:vAlign w:val="bottom"/>
            <w:tcBorders>
              <w:bottom w:val="single" w:sz="8" w:color="D7D7D7"/>
            </w:tcBorders>
            <w:shd w:val="clear" w:color="auto" w:fill="D7D7D7"/>
          </w:tcPr>
          <w:p>
            <w:pPr>
              <w:spacing w:after="0"/>
              <w:rPr>
                <w:sz w:val="24"/>
                <w:szCs w:val="24"/>
                <w:color w:val="auto"/>
              </w:rPr>
            </w:pPr>
          </w:p>
        </w:tc>
        <w:tc>
          <w:tcPr>
            <w:tcW w:w="780" w:type="dxa"/>
            <w:vAlign w:val="bottom"/>
            <w:tcBorders>
              <w:bottom w:val="single" w:sz="8" w:color="2A2A2A"/>
            </w:tcBorders>
            <w:shd w:val="clear" w:color="auto" w:fill="D7D7D7"/>
          </w:tcPr>
          <w:p>
            <w:pPr>
              <w:spacing w:after="0"/>
              <w:rPr>
                <w:sz w:val="24"/>
                <w:szCs w:val="24"/>
                <w:color w:val="auto"/>
              </w:rPr>
            </w:pPr>
          </w:p>
        </w:tc>
        <w:tc>
          <w:tcPr>
            <w:tcW w:w="260" w:type="dxa"/>
            <w:vAlign w:val="bottom"/>
            <w:tcBorders>
              <w:bottom w:val="single" w:sz="8" w:color="D7D7D7"/>
            </w:tcBorders>
            <w:shd w:val="clear" w:color="auto" w:fill="D7D7D7"/>
          </w:tcPr>
          <w:p>
            <w:pPr>
              <w:spacing w:after="0"/>
              <w:rPr>
                <w:sz w:val="24"/>
                <w:szCs w:val="24"/>
                <w:color w:val="auto"/>
              </w:rPr>
            </w:pPr>
          </w:p>
        </w:tc>
        <w:tc>
          <w:tcPr>
            <w:tcW w:w="580" w:type="dxa"/>
            <w:vAlign w:val="bottom"/>
            <w:tcBorders>
              <w:bottom w:val="single" w:sz="8" w:color="D7D7D7"/>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180"/>
              <w:spacing w:after="0" w:line="188" w:lineRule="exact"/>
              <w:rPr>
                <w:sz w:val="20"/>
                <w:szCs w:val="20"/>
                <w:color w:val="auto"/>
              </w:rPr>
            </w:pPr>
            <w:r>
              <w:rPr>
                <w:rFonts w:ascii="Arial" w:cs="Arial" w:eastAsia="Arial" w:hAnsi="Arial"/>
                <w:sz w:val="20"/>
                <w:szCs w:val="20"/>
                <w:color w:val="2A2A2A"/>
              </w:rPr>
              <w:t>Income allocated to</w:t>
            </w:r>
          </w:p>
        </w:tc>
        <w:tc>
          <w:tcPr>
            <w:tcW w:w="760" w:type="dxa"/>
            <w:vAlign w:val="bottom"/>
            <w:vMerge w:val="restart"/>
          </w:tcPr>
          <w:p>
            <w:pPr>
              <w:jc w:val="right"/>
              <w:spacing w:after="0"/>
              <w:rPr>
                <w:sz w:val="20"/>
                <w:szCs w:val="20"/>
                <w:color w:val="auto"/>
              </w:rPr>
            </w:pPr>
            <w:r>
              <w:rPr>
                <w:rFonts w:ascii="Arial" w:cs="Arial" w:eastAsia="Arial" w:hAnsi="Arial"/>
                <w:sz w:val="20"/>
                <w:szCs w:val="20"/>
                <w:b w:val="1"/>
                <w:bCs w:val="1"/>
                <w:u w:val="single" w:color="auto"/>
                <w:color w:val="2A2A2A"/>
              </w:rPr>
              <w:t>$</w:t>
            </w:r>
            <w:r>
              <w:rPr>
                <w:rFonts w:ascii="Arial" w:cs="Arial" w:eastAsia="Arial" w:hAnsi="Arial"/>
                <w:sz w:val="20"/>
                <w:szCs w:val="20"/>
                <w:b w:val="1"/>
                <w:bCs w:val="1"/>
                <w:color w:val="2A2A2A"/>
              </w:rPr>
              <w:t>6,477</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2A2A2A"/>
              </w:rPr>
              <w:t>916</w:t>
            </w:r>
          </w:p>
        </w:tc>
        <w:tc>
          <w:tcPr>
            <w:tcW w:w="2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7.07</w:t>
            </w:r>
          </w:p>
        </w:tc>
        <w:tc>
          <w:tcPr>
            <w:tcW w:w="82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2A2A2A"/>
              </w:rPr>
              <w:t>$</w:t>
            </w:r>
            <w:r>
              <w:rPr>
                <w:rFonts w:ascii="Arial" w:cs="Arial" w:eastAsia="Arial" w:hAnsi="Arial"/>
                <w:sz w:val="20"/>
                <w:szCs w:val="20"/>
                <w:color w:val="2A2A2A"/>
              </w:rPr>
              <w:t>8,710</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color w:val="2A2A2A"/>
              </w:rPr>
              <w:t>926</w:t>
            </w:r>
          </w:p>
        </w:tc>
        <w:tc>
          <w:tcPr>
            <w:tcW w:w="28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2A2A2A"/>
              </w:rPr>
              <w:t>9.41</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2A2A2A"/>
              </w:rPr>
              <w:t>$</w:t>
            </w:r>
            <w:r>
              <w:rPr>
                <w:rFonts w:ascii="Arial" w:cs="Arial" w:eastAsia="Arial" w:hAnsi="Arial"/>
                <w:sz w:val="20"/>
                <w:szCs w:val="20"/>
                <w:color w:val="2A2A2A"/>
              </w:rPr>
              <w:t>7,736</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color w:val="2A2A2A"/>
              </w:rPr>
              <w:t>936</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2A2A2A"/>
              </w:rPr>
              <w:t>8.26</w:t>
            </w:r>
          </w:p>
        </w:tc>
        <w:tc>
          <w:tcPr>
            <w:tcW w:w="0" w:type="dxa"/>
            <w:vAlign w:val="bottom"/>
          </w:tcPr>
          <w:p>
            <w:pPr>
              <w:spacing w:after="0"/>
              <w:rPr>
                <w:sz w:val="1"/>
                <w:szCs w:val="1"/>
                <w:color w:val="auto"/>
              </w:rPr>
            </w:pPr>
          </w:p>
        </w:tc>
      </w:tr>
      <w:tr>
        <w:trPr>
          <w:trHeight w:val="247"/>
        </w:trPr>
        <w:tc>
          <w:tcPr>
            <w:tcW w:w="2840" w:type="dxa"/>
            <w:vAlign w:val="bottom"/>
          </w:tcPr>
          <w:p>
            <w:pPr>
              <w:ind w:left="180"/>
              <w:spacing w:after="0"/>
              <w:rPr>
                <w:sz w:val="20"/>
                <w:szCs w:val="20"/>
                <w:color w:val="auto"/>
              </w:rPr>
            </w:pPr>
            <w:r>
              <w:rPr>
                <w:rFonts w:ascii="Arial" w:cs="Arial" w:eastAsia="Arial" w:hAnsi="Arial"/>
                <w:sz w:val="20"/>
                <w:szCs w:val="20"/>
                <w:color w:val="2A2A2A"/>
              </w:rPr>
              <w:t>common stock</w:t>
            </w:r>
          </w:p>
        </w:tc>
        <w:tc>
          <w:tcPr>
            <w:tcW w:w="76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2A2A2A"/>
              <w:bottom w:val="single" w:sz="8" w:color="2A2A2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-2313940</wp:posOffset>
            </wp:positionV>
            <wp:extent cx="655002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-1742440</wp:posOffset>
            </wp:positionV>
            <wp:extent cx="51117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117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-1742440</wp:posOffset>
            </wp:positionV>
            <wp:extent cx="5016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-1742440</wp:posOffset>
            </wp:positionV>
            <wp:extent cx="5016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650" cy="2540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-1415415</wp:posOffset>
            </wp:positionV>
            <wp:extent cx="51117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117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-1415415</wp:posOffset>
            </wp:positionV>
            <wp:extent cx="5016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650" cy="2540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-1415415</wp:posOffset>
            </wp:positionV>
            <wp:extent cx="5016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650" cy="2540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-342265</wp:posOffset>
            </wp:positionV>
            <wp:extent cx="104457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44575" cy="2540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-342265</wp:posOffset>
            </wp:positionV>
            <wp:extent cx="10350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35050" cy="2540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-342265</wp:posOffset>
            </wp:positionV>
            <wp:extent cx="10350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35050" cy="25400"/>
                    </a:xfrm>
                    <a:prstGeom prst="rect">
                      <a:avLst/>
                    </a:prstGeom>
                    <a:noFill/>
                  </pic:spPr>
                </pic:pic>
              </a:graphicData>
            </a:graphic>
          </wp:anchor>
        </w:drawing>
      </w:r>
    </w:p>
    <w:p>
      <w:pPr>
        <w:spacing w:after="0" w:line="240" w:lineRule="exact"/>
        <w:rPr>
          <w:sz w:val="20"/>
          <w:szCs w:val="20"/>
          <w:color w:val="auto"/>
        </w:rPr>
      </w:pPr>
    </w:p>
    <w:p>
      <w:pPr>
        <w:jc w:val="both"/>
        <w:ind w:right="580"/>
        <w:spacing w:after="0" w:line="268" w:lineRule="auto"/>
        <w:rPr>
          <w:sz w:val="20"/>
          <w:szCs w:val="20"/>
          <w:color w:val="auto"/>
        </w:rPr>
      </w:pPr>
      <w:r>
        <w:rPr>
          <w:rFonts w:ascii="Arial" w:cs="Arial" w:eastAsia="Arial" w:hAnsi="Arial"/>
          <w:sz w:val="20"/>
          <w:szCs w:val="20"/>
          <w:color w:val="2A2A2A"/>
        </w:rPr>
        <w:t>Potentially dilutive securities representing 10 million, 5 million and 3 million shares of common stock that were outstanding in 2023, 2022 and 2021, respectively, were excluded from the computation of diluted earnings per common share during these periods because their effect would have been anti-dilutive.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Investments</w:t>
      </w:r>
    </w:p>
    <w:p>
      <w:pPr>
        <w:spacing w:after="0" w:line="28"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2A2A2A"/>
        </w:rPr>
        <w:t>We present investments on our Consolidated Balance Sheets as cash equivalents, short-term investments or other long-term assets. See Note 6 for additional information.</w:t>
      </w:r>
    </w:p>
    <w:p>
      <w:pPr>
        <w:spacing w:after="0" w:line="190" w:lineRule="exact"/>
        <w:rPr>
          <w:sz w:val="20"/>
          <w:szCs w:val="20"/>
          <w:color w:val="auto"/>
        </w:rPr>
      </w:pPr>
    </w:p>
    <w:p>
      <w:pPr>
        <w:ind w:left="720" w:right="20" w:hanging="361"/>
        <w:spacing w:after="0" w:line="257" w:lineRule="auto"/>
        <w:tabs>
          <w:tab w:leader="none" w:pos="720" w:val="left"/>
        </w:tabs>
        <w:numPr>
          <w:ilvl w:val="0"/>
          <w:numId w:val="20"/>
        </w:numPr>
        <w:rPr>
          <w:rFonts w:ascii="Arial" w:cs="Arial" w:eastAsia="Arial" w:hAnsi="Arial"/>
          <w:sz w:val="20"/>
          <w:szCs w:val="20"/>
          <w:color w:val="2A2A2A"/>
        </w:rPr>
      </w:pPr>
      <w:r>
        <w:rPr>
          <w:rFonts w:ascii="Arial" w:cs="Arial" w:eastAsia="Arial" w:hAnsi="Arial"/>
          <w:sz w:val="20"/>
          <w:szCs w:val="20"/>
          <w:i w:val="1"/>
          <w:iCs w:val="1"/>
          <w:color w:val="2A2A2A"/>
        </w:rPr>
        <w:t xml:space="preserve">Cash equivalents and short-term investments </w:t>
      </w:r>
      <w:r>
        <w:rPr>
          <w:rFonts w:ascii="Arial" w:cs="Arial" w:eastAsia="Arial" w:hAnsi="Arial"/>
          <w:sz w:val="20"/>
          <w:szCs w:val="20"/>
          <w:color w:val="2A2A2A"/>
        </w:rPr>
        <w:t>– The primary objectives of our cash equivalent and short-term investment activities 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82" w:lineRule="exact"/>
        <w:rPr>
          <w:rFonts w:ascii="Arial" w:cs="Arial" w:eastAsia="Arial" w:hAnsi="Arial"/>
          <w:sz w:val="20"/>
          <w:szCs w:val="20"/>
          <w:color w:val="2A2A2A"/>
        </w:rPr>
      </w:pPr>
    </w:p>
    <w:p>
      <w:pPr>
        <w:ind w:left="720" w:right="100" w:hanging="361"/>
        <w:spacing w:after="0" w:line="314" w:lineRule="auto"/>
        <w:tabs>
          <w:tab w:leader="none" w:pos="720" w:val="left"/>
        </w:tabs>
        <w:numPr>
          <w:ilvl w:val="0"/>
          <w:numId w:val="20"/>
        </w:numPr>
        <w:rPr>
          <w:rFonts w:ascii="Arial" w:cs="Arial" w:eastAsia="Arial" w:hAnsi="Arial"/>
          <w:sz w:val="19"/>
          <w:szCs w:val="19"/>
          <w:color w:val="2A2A2A"/>
        </w:rPr>
      </w:pPr>
      <w:r>
        <w:rPr>
          <w:rFonts w:ascii="Arial" w:cs="Arial" w:eastAsia="Arial" w:hAnsi="Arial"/>
          <w:sz w:val="19"/>
          <w:szCs w:val="19"/>
          <w:i w:val="1"/>
          <w:iCs w:val="1"/>
          <w:color w:val="2A2A2A"/>
        </w:rPr>
        <w:t xml:space="preserve">Other long-term assets </w:t>
      </w:r>
      <w:r>
        <w:rPr>
          <w:rFonts w:ascii="Arial" w:cs="Arial" w:eastAsia="Arial" w:hAnsi="Arial"/>
          <w:sz w:val="19"/>
          <w:szCs w:val="19"/>
          <w:color w:val="2A2A2A"/>
        </w:rPr>
        <w:t>– Long-term investments, which are included within other long-term assets on our</w:t>
      </w:r>
      <w:r>
        <w:rPr>
          <w:rFonts w:ascii="Arial" w:cs="Arial" w:eastAsia="Arial" w:hAnsi="Arial"/>
          <w:sz w:val="19"/>
          <w:szCs w:val="19"/>
          <w:i w:val="1"/>
          <w:iCs w:val="1"/>
          <w:color w:val="2A2A2A"/>
        </w:rPr>
        <w:t xml:space="preserve"> </w:t>
      </w:r>
      <w:r>
        <w:rPr>
          <w:rFonts w:ascii="Arial" w:cs="Arial" w:eastAsia="Arial" w:hAnsi="Arial"/>
          <w:sz w:val="19"/>
          <w:szCs w:val="19"/>
          <w:color w:val="2A2A2A"/>
        </w:rPr>
        <w:t>Consolidated Balance Sheets, consist of mutual funds, venture capital funds and nonmarketable securities.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Inventories</w:t>
      </w:r>
    </w:p>
    <w:p>
      <w:pPr>
        <w:spacing w:after="0" w:line="28"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2A2A2A"/>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34</w:t>
      </w:r>
    </w:p>
    <w:p>
      <w:pPr>
        <w:sectPr>
          <w:pgSz w:w="12240" w:h="15840" w:orient="portrait"/>
          <w:cols w:equalWidth="0" w:num="1">
            <w:col w:w="10280"/>
          </w:cols>
          <w:pgMar w:left="980" w:top="664" w:right="980" w:bottom="24" w:gutter="0" w:footer="0" w:header="0"/>
          <w:type w:val="continuous"/>
        </w:sectPr>
      </w:pPr>
    </w:p>
    <w:bookmarkStart w:id="40" w:name="page41"/>
    <w:bookmarkEnd w:id="40"/>
    <w:p>
      <w:pPr>
        <w:ind w:right="140"/>
        <w:spacing w:after="0" w:line="259" w:lineRule="auto"/>
        <w:rPr>
          <w:sz w:val="20"/>
          <w:szCs w:val="20"/>
          <w:color w:val="auto"/>
        </w:rPr>
      </w:pPr>
      <w:r>
        <w:rPr>
          <w:rFonts w:ascii="Arial" w:cs="Arial" w:eastAsia="Arial" w:hAnsi="Arial"/>
          <w:sz w:val="20"/>
          <w:szCs w:val="20"/>
          <w:color w:val="2A2A2A"/>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Government incentives</w:t>
      </w:r>
    </w:p>
    <w:p>
      <w:pPr>
        <w:spacing w:after="0" w:line="28" w:lineRule="exact"/>
        <w:rPr>
          <w:sz w:val="20"/>
          <w:szCs w:val="20"/>
          <w:color w:val="auto"/>
        </w:rPr>
      </w:pPr>
    </w:p>
    <w:p>
      <w:pPr>
        <w:spacing w:after="0" w:line="270" w:lineRule="auto"/>
        <w:rPr>
          <w:sz w:val="20"/>
          <w:szCs w:val="20"/>
          <w:color w:val="auto"/>
        </w:rPr>
      </w:pPr>
      <w:r>
        <w:rPr>
          <w:rFonts w:ascii="Arial" w:cs="Arial" w:eastAsia="Arial" w:hAnsi="Arial"/>
          <w:sz w:val="19"/>
          <w:szCs w:val="19"/>
          <w:color w:val="2A2A2A"/>
        </w:rPr>
        <w:t>Incentives provided by government entities are recognized when we have reasonable assurance that we will comply with the conditions of the incentive, if any, and the incentive will be received. Incentives, which include non-income tax incentives, related to the acquisition or construction of fixed assets are recognized as a reduction in the carrying amounts of the related assets and reduce depreciation expense over the useful lives of the assets. Incentives for specific operating activities are offset against the related expense in the period the expense is incurred.</w:t>
      </w:r>
    </w:p>
    <w:p>
      <w:pPr>
        <w:spacing w:after="0" w:line="19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2A2A2A"/>
        </w:rPr>
        <w:t>In August 2022, the U.S. government enacted the U.S. CHIPS and Science Act, which provides funding for manufacturing grants and research investments, and it establishes a 25% investment tax credit for certain investments in U.S. semiconductor manufacturing. As of December 31, 2023, we have recognized $1.36 billion of receivables with a corresponding reduction to the carrying amounts of the qualifying manufacturing assets. The receivables are comprised of $497 million in prepaid expenses and other current assets and $859 million in other long-term assets. See Note 11 for additional information.</w:t>
      </w:r>
    </w:p>
    <w:p>
      <w:pPr>
        <w:spacing w:after="0" w:line="202" w:lineRule="exact"/>
        <w:rPr>
          <w:sz w:val="20"/>
          <w:szCs w:val="20"/>
          <w:color w:val="auto"/>
        </w:rPr>
      </w:pPr>
    </w:p>
    <w:p>
      <w:pPr>
        <w:ind w:right="640"/>
        <w:spacing w:after="0" w:line="287" w:lineRule="auto"/>
        <w:rPr>
          <w:sz w:val="20"/>
          <w:szCs w:val="20"/>
          <w:color w:val="auto"/>
        </w:rPr>
      </w:pPr>
      <w:r>
        <w:rPr>
          <w:rFonts w:ascii="Arial" w:cs="Arial" w:eastAsia="Arial" w:hAnsi="Arial"/>
          <w:sz w:val="20"/>
          <w:szCs w:val="20"/>
          <w:color w:val="2A2A2A"/>
        </w:rPr>
        <w:t>In 2023, cost of revenue benefited by $45 million from the investment tax credit, recognized as a reduction of depreciation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Property, plant and equipment; acquisition-related intangibles; and other capitalized costs</w:t>
      </w:r>
    </w:p>
    <w:p>
      <w:pPr>
        <w:spacing w:after="0" w:line="28" w:lineRule="exact"/>
        <w:rPr>
          <w:sz w:val="20"/>
          <w:szCs w:val="20"/>
          <w:color w:val="auto"/>
        </w:rPr>
      </w:pPr>
    </w:p>
    <w:p>
      <w:pPr>
        <w:spacing w:after="0" w:line="253" w:lineRule="auto"/>
        <w:rPr>
          <w:sz w:val="20"/>
          <w:szCs w:val="20"/>
          <w:color w:val="auto"/>
        </w:rPr>
      </w:pPr>
      <w:r>
        <w:rPr>
          <w:rFonts w:ascii="Arial" w:cs="Arial" w:eastAsia="Arial" w:hAnsi="Arial"/>
          <w:sz w:val="20"/>
          <w:szCs w:val="20"/>
          <w:color w:val="2A2A2A"/>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are generally amortized on a straight-line basis over the term of the license. Fully depreciated or amortized assets are written off against accumulated depreciation or amortization.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Impairments of long-lived assets</w:t>
      </w:r>
    </w:p>
    <w:p>
      <w:pPr>
        <w:spacing w:after="0" w:line="2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A2A2A"/>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Goodwill</w:t>
      </w:r>
    </w:p>
    <w:p>
      <w:pPr>
        <w:spacing w:after="0" w:line="28" w:lineRule="exact"/>
        <w:rPr>
          <w:sz w:val="20"/>
          <w:szCs w:val="20"/>
          <w:color w:val="auto"/>
        </w:rPr>
      </w:pPr>
    </w:p>
    <w:p>
      <w:pPr>
        <w:jc w:val="both"/>
        <w:ind w:right="40"/>
        <w:spacing w:after="0" w:line="254" w:lineRule="auto"/>
        <w:rPr>
          <w:sz w:val="20"/>
          <w:szCs w:val="20"/>
          <w:color w:val="auto"/>
        </w:rPr>
      </w:pPr>
      <w:r>
        <w:rPr>
          <w:rFonts w:ascii="Arial" w:cs="Arial" w:eastAsia="Arial" w:hAnsi="Arial"/>
          <w:sz w:val="20"/>
          <w:szCs w:val="20"/>
          <w:color w:val="2A2A2A"/>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we determine that it is more likely than not that the fair value of a reporting unit is less than its carrying value, or if we elect not to use a qualitative assessment, then we perform a quantitative goodwill impairment test. See Note 11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Foreign currency</w:t>
      </w:r>
    </w:p>
    <w:p>
      <w:pPr>
        <w:spacing w:after="0" w:line="28"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2A2A2A"/>
        </w:rPr>
        <w:t>The functional currency for our non-U.S. subsidiaries is the U.S. dollar. Accounts recorded in currencies other than the U.S. dollar are remeasured into the functional currency. Current assets (except inventories), deferred taxes,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ectPr>
          <w:pgSz w:w="12240" w:h="15840" w:orient="portrait"/>
          <w:cols w:equalWidth="0" w:num="1">
            <w:col w:w="10240"/>
          </w:cols>
          <w:pgMar w:left="980" w:top="664"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35</w:t>
      </w:r>
    </w:p>
    <w:p>
      <w:pPr>
        <w:sectPr>
          <w:pgSz w:w="12240" w:h="15840" w:orient="portrait"/>
          <w:cols w:equalWidth="0" w:num="1">
            <w:col w:w="10240"/>
          </w:cols>
          <w:pgMar w:left="980" w:top="664" w:right="1020" w:bottom="24" w:gutter="0" w:footer="0" w:header="0"/>
          <w:type w:val="continuous"/>
        </w:sectPr>
      </w:pPr>
    </w:p>
    <w:bookmarkStart w:id="41" w:name="page42"/>
    <w:bookmarkEnd w:id="41"/>
    <w:p>
      <w:pPr>
        <w:ind w:left="1"/>
        <w:spacing w:after="0"/>
        <w:rPr>
          <w:sz w:val="20"/>
          <w:szCs w:val="20"/>
          <w:color w:val="auto"/>
        </w:rPr>
      </w:pPr>
      <w:r>
        <w:rPr>
          <w:rFonts w:ascii="Arial" w:cs="Arial" w:eastAsia="Arial" w:hAnsi="Arial"/>
          <w:sz w:val="20"/>
          <w:szCs w:val="20"/>
          <w:i w:val="1"/>
          <w:iCs w:val="1"/>
          <w:u w:val="single" w:color="auto"/>
          <w:color w:val="2A2A2A"/>
        </w:rPr>
        <w:t>Derivatives and hedging</w:t>
      </w:r>
    </w:p>
    <w:p>
      <w:pPr>
        <w:spacing w:after="0" w:line="28" w:lineRule="exact"/>
        <w:rPr>
          <w:sz w:val="20"/>
          <w:szCs w:val="20"/>
          <w:color w:val="auto"/>
        </w:rPr>
      </w:pPr>
    </w:p>
    <w:p>
      <w:pPr>
        <w:ind w:left="1" w:right="120"/>
        <w:spacing w:after="0" w:line="254" w:lineRule="auto"/>
        <w:rPr>
          <w:sz w:val="20"/>
          <w:szCs w:val="20"/>
          <w:color w:val="auto"/>
        </w:rPr>
      </w:pPr>
      <w:r>
        <w:rPr>
          <w:rFonts w:ascii="Arial" w:cs="Arial" w:eastAsia="Arial" w:hAnsi="Arial"/>
          <w:sz w:val="20"/>
          <w:szCs w:val="20"/>
          <w:color w:val="2A2A2A"/>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203" w:lineRule="exact"/>
        <w:rPr>
          <w:sz w:val="20"/>
          <w:szCs w:val="20"/>
          <w:color w:val="auto"/>
        </w:rPr>
      </w:pPr>
    </w:p>
    <w:p>
      <w:pPr>
        <w:ind w:left="1" w:right="120"/>
        <w:spacing w:after="0" w:line="268" w:lineRule="auto"/>
        <w:rPr>
          <w:sz w:val="20"/>
          <w:szCs w:val="20"/>
          <w:color w:val="auto"/>
        </w:rPr>
      </w:pPr>
      <w:r>
        <w:rPr>
          <w:rFonts w:ascii="Arial" w:cs="Arial" w:eastAsia="Arial" w:hAnsi="Arial"/>
          <w:sz w:val="20"/>
          <w:szCs w:val="20"/>
          <w:color w:val="2A2A2A"/>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90" w:lineRule="exact"/>
        <w:rPr>
          <w:sz w:val="20"/>
          <w:szCs w:val="20"/>
          <w:color w:val="auto"/>
        </w:rPr>
      </w:pPr>
    </w:p>
    <w:p>
      <w:pPr>
        <w:ind w:left="1" w:right="600"/>
        <w:spacing w:after="0" w:line="287" w:lineRule="auto"/>
        <w:rPr>
          <w:sz w:val="20"/>
          <w:szCs w:val="20"/>
          <w:color w:val="auto"/>
        </w:rPr>
      </w:pPr>
      <w:r>
        <w:rPr>
          <w:rFonts w:ascii="Arial" w:cs="Arial" w:eastAsia="Arial" w:hAnsi="Arial"/>
          <w:sz w:val="20"/>
          <w:szCs w:val="20"/>
          <w:color w:val="2A2A2A"/>
        </w:rPr>
        <w:t>In connection with the issuance of long-term debt, we may use financial derivatives such as treasury-rate lock agreements that are recognized in AOCI and amortized over the life of the related debt.</w:t>
      </w:r>
    </w:p>
    <w:p>
      <w:pPr>
        <w:spacing w:after="0" w:line="170" w:lineRule="exact"/>
        <w:rPr>
          <w:sz w:val="20"/>
          <w:szCs w:val="20"/>
          <w:color w:val="auto"/>
        </w:rPr>
      </w:pPr>
    </w:p>
    <w:p>
      <w:pPr>
        <w:ind w:left="1" w:right="220"/>
        <w:spacing w:after="0" w:line="287" w:lineRule="auto"/>
        <w:rPr>
          <w:sz w:val="20"/>
          <w:szCs w:val="20"/>
          <w:color w:val="auto"/>
        </w:rPr>
      </w:pPr>
      <w:r>
        <w:rPr>
          <w:rFonts w:ascii="Arial" w:cs="Arial" w:eastAsia="Arial" w:hAnsi="Arial"/>
          <w:sz w:val="20"/>
          <w:szCs w:val="20"/>
          <w:color w:val="2A2A2A"/>
        </w:rPr>
        <w:t>The results of these derivative transactions were not material. We do not use derivatives for speculative or trading purposes.</w:t>
      </w:r>
    </w:p>
    <w:p>
      <w:pPr>
        <w:spacing w:after="0" w:line="164" w:lineRule="exact"/>
        <w:rPr>
          <w:sz w:val="20"/>
          <w:szCs w:val="20"/>
          <w:color w:val="auto"/>
        </w:rPr>
      </w:pPr>
    </w:p>
    <w:p>
      <w:pPr>
        <w:ind w:left="241" w:hanging="241"/>
        <w:spacing w:after="0"/>
        <w:tabs>
          <w:tab w:leader="none" w:pos="241" w:val="left"/>
        </w:tabs>
        <w:numPr>
          <w:ilvl w:val="0"/>
          <w:numId w:val="21"/>
        </w:numPr>
        <w:rPr>
          <w:rFonts w:ascii="Arial" w:cs="Arial" w:eastAsia="Arial" w:hAnsi="Arial"/>
          <w:sz w:val="22"/>
          <w:szCs w:val="22"/>
          <w:color w:val="2A2A2A"/>
        </w:rPr>
      </w:pPr>
      <w:r>
        <w:rPr>
          <w:rFonts w:ascii="Arial" w:cs="Arial" w:eastAsia="Arial" w:hAnsi="Arial"/>
          <w:sz w:val="22"/>
          <w:szCs w:val="22"/>
          <w:u w:val="single" w:color="auto"/>
          <w:color w:val="2A2A2A"/>
        </w:rPr>
        <w:t>Stock compensation</w:t>
      </w:r>
    </w:p>
    <w:p>
      <w:pPr>
        <w:spacing w:after="0" w:line="257" w:lineRule="exact"/>
        <w:rPr>
          <w:sz w:val="20"/>
          <w:szCs w:val="20"/>
          <w:color w:val="auto"/>
        </w:rPr>
      </w:pPr>
    </w:p>
    <w:p>
      <w:pPr>
        <w:ind w:left="1" w:right="140"/>
        <w:spacing w:after="0" w:line="268" w:lineRule="auto"/>
        <w:rPr>
          <w:sz w:val="20"/>
          <w:szCs w:val="20"/>
          <w:color w:val="auto"/>
        </w:rPr>
      </w:pPr>
      <w:r>
        <w:rPr>
          <w:rFonts w:ascii="Arial" w:cs="Arial" w:eastAsia="Arial" w:hAnsi="Arial"/>
          <w:sz w:val="20"/>
          <w:szCs w:val="20"/>
          <w:color w:val="2A2A2A"/>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90" w:lineRule="exact"/>
        <w:rPr>
          <w:sz w:val="20"/>
          <w:szCs w:val="20"/>
          <w:color w:val="auto"/>
        </w:rPr>
      </w:pPr>
    </w:p>
    <w:p>
      <w:pPr>
        <w:ind w:left="1"/>
        <w:spacing w:after="0" w:line="259" w:lineRule="auto"/>
        <w:rPr>
          <w:sz w:val="20"/>
          <w:szCs w:val="20"/>
          <w:color w:val="auto"/>
        </w:rPr>
      </w:pPr>
      <w:r>
        <w:rPr>
          <w:rFonts w:ascii="Arial" w:cs="Arial" w:eastAsia="Arial" w:hAnsi="Arial"/>
          <w:sz w:val="20"/>
          <w:szCs w:val="20"/>
          <w:color w:val="2A2A2A"/>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199" w:lineRule="exact"/>
        <w:rPr>
          <w:sz w:val="20"/>
          <w:szCs w:val="20"/>
          <w:color w:val="auto"/>
        </w:rPr>
      </w:pPr>
    </w:p>
    <w:p>
      <w:pPr>
        <w:ind w:left="1" w:right="240"/>
        <w:spacing w:after="0" w:line="262" w:lineRule="auto"/>
        <w:rPr>
          <w:sz w:val="20"/>
          <w:szCs w:val="20"/>
          <w:color w:val="auto"/>
        </w:rPr>
      </w:pPr>
      <w:r>
        <w:rPr>
          <w:rFonts w:ascii="Arial" w:cs="Arial" w:eastAsia="Arial" w:hAnsi="Arial"/>
          <w:sz w:val="20"/>
          <w:szCs w:val="20"/>
          <w:color w:val="2A2A2A"/>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96"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2023, 31 million shares remain available for future issuance under this plan.</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Total stock compensation expense recognized is as follows:</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80" w:type="dxa"/>
            <w:vAlign w:val="bottom"/>
            <w:tcBorders>
              <w:bottom w:val="single" w:sz="8" w:color="2A2A2A"/>
            </w:tcBorders>
          </w:tcPr>
          <w:p>
            <w:pPr>
              <w:spacing w:after="0"/>
              <w:rPr>
                <w:sz w:val="19"/>
                <w:szCs w:val="19"/>
                <w:color w:val="auto"/>
              </w:rPr>
            </w:pPr>
          </w:p>
        </w:tc>
        <w:tc>
          <w:tcPr>
            <w:tcW w:w="3160" w:type="dxa"/>
            <w:vAlign w:val="bottom"/>
            <w:tcBorders>
              <w:bottom w:val="single" w:sz="8" w:color="2A2A2A"/>
            </w:tcBorders>
            <w:gridSpan w:val="7"/>
          </w:tcPr>
          <w:p>
            <w:pPr>
              <w:jc w:val="right"/>
              <w:ind w:right="443"/>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6"/>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3"/>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3"/>
              <w:spacing w:after="0"/>
              <w:rPr>
                <w:sz w:val="20"/>
                <w:szCs w:val="20"/>
                <w:color w:val="auto"/>
              </w:rPr>
            </w:pPr>
            <w:r>
              <w:rPr>
                <w:rFonts w:ascii="Arial" w:cs="Arial" w:eastAsia="Arial" w:hAnsi="Arial"/>
                <w:sz w:val="16"/>
                <w:szCs w:val="16"/>
                <w:b w:val="1"/>
                <w:bCs w:val="1"/>
                <w:color w:val="2A2A2A"/>
              </w:rPr>
              <w:t>2021</w:t>
            </w:r>
          </w:p>
        </w:tc>
      </w:tr>
      <w:tr>
        <w:trPr>
          <w:trHeight w:val="255"/>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COR</w:t>
            </w:r>
          </w:p>
        </w:tc>
        <w:tc>
          <w:tcPr>
            <w:tcW w:w="280" w:type="dxa"/>
            <w:vAlign w:val="bottom"/>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44</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34</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21</w:t>
            </w: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R&amp;D</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90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67</w:t>
            </w: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SG&amp;A</w:t>
            </w: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199</w:t>
            </w: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165</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134</w:t>
            </w:r>
          </w:p>
        </w:tc>
      </w:tr>
      <w:tr>
        <w:trPr>
          <w:trHeight w:val="265"/>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Restructuring charges/other</w:t>
            </w: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8</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362</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289</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230</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-887095</wp:posOffset>
            </wp:positionV>
            <wp:extent cx="6543040"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3040"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-201295</wp:posOffset>
            </wp:positionV>
            <wp:extent cx="220916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09165"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-42545</wp:posOffset>
            </wp:positionV>
            <wp:extent cx="2209165"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09165" cy="53340"/>
                    </a:xfrm>
                    <a:prstGeom prst="rect">
                      <a:avLst/>
                    </a:prstGeom>
                    <a:noFill/>
                  </pic:spPr>
                </pic:pic>
              </a:graphicData>
            </a:graphic>
          </wp:anchor>
        </w:drawing>
      </w:r>
    </w:p>
    <w:p>
      <w:pPr>
        <w:spacing w:after="0" w:line="239" w:lineRule="exact"/>
        <w:rPr>
          <w:sz w:val="20"/>
          <w:szCs w:val="20"/>
          <w:color w:val="auto"/>
        </w:rPr>
      </w:pPr>
    </w:p>
    <w:p>
      <w:pPr>
        <w:ind w:left="1" w:right="140"/>
        <w:spacing w:after="0" w:line="287" w:lineRule="auto"/>
        <w:rPr>
          <w:sz w:val="20"/>
          <w:szCs w:val="20"/>
          <w:color w:val="auto"/>
        </w:rPr>
      </w:pPr>
      <w:r>
        <w:rPr>
          <w:rFonts w:ascii="Arial" w:cs="Arial" w:eastAsia="Arial" w:hAnsi="Arial"/>
          <w:sz w:val="20"/>
          <w:szCs w:val="20"/>
          <w:color w:val="2A2A2A"/>
        </w:rPr>
        <w:t>These amounts include expenses related to non-qualified stock options, RSUs and stock options offered under our ESPP and are net of estimated forfeitures.</w:t>
      </w:r>
    </w:p>
    <w:p>
      <w:pPr>
        <w:spacing w:after="0" w:line="170" w:lineRule="exact"/>
        <w:rPr>
          <w:sz w:val="20"/>
          <w:szCs w:val="20"/>
          <w:color w:val="auto"/>
        </w:rPr>
      </w:pPr>
    </w:p>
    <w:p>
      <w:pPr>
        <w:ind w:left="1" w:right="80"/>
        <w:spacing w:after="0" w:line="262" w:lineRule="auto"/>
        <w:rPr>
          <w:sz w:val="20"/>
          <w:szCs w:val="20"/>
          <w:color w:val="auto"/>
        </w:rPr>
      </w:pPr>
      <w:r>
        <w:rPr>
          <w:rFonts w:ascii="Arial" w:cs="Arial" w:eastAsia="Arial" w:hAnsi="Arial"/>
          <w:sz w:val="20"/>
          <w:szCs w:val="20"/>
          <w:color w:val="2A2A2A"/>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ectPr>
          <w:pgSz w:w="12240" w:h="15840" w:orient="portrait"/>
          <w:cols w:equalWidth="0" w:num="1">
            <w:col w:w="10261"/>
          </w:cols>
          <w:pgMar w:left="979" w:top="666"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36</w:t>
      </w:r>
    </w:p>
    <w:p>
      <w:pPr>
        <w:sectPr>
          <w:pgSz w:w="12240" w:h="15840" w:orient="portrait"/>
          <w:cols w:equalWidth="0" w:num="1">
            <w:col w:w="10261"/>
          </w:cols>
          <w:pgMar w:left="979" w:top="666" w:right="1000" w:bottom="24" w:gutter="0" w:footer="0" w:header="0"/>
          <w:type w:val="continuous"/>
        </w:sectPr>
      </w:pPr>
    </w:p>
    <w:bookmarkStart w:id="42" w:name="page43"/>
    <w:bookmarkEnd w:id="42"/>
    <w:p>
      <w:pPr>
        <w:jc w:val="both"/>
        <w:ind w:right="20"/>
        <w:spacing w:after="0" w:line="314" w:lineRule="auto"/>
        <w:rPr>
          <w:sz w:val="20"/>
          <w:szCs w:val="20"/>
          <w:color w:val="auto"/>
        </w:rPr>
      </w:pPr>
      <w:r>
        <w:rPr>
          <w:rFonts w:ascii="Arial" w:cs="Arial" w:eastAsia="Arial" w:hAnsi="Arial"/>
          <w:sz w:val="19"/>
          <w:szCs w:val="19"/>
          <w:color w:val="2A2A2A"/>
        </w:rPr>
        <w:t>As of December 31, 2023, total future compensation related to equity awards not yet recognized in our Consolidated Statements of Income was $490 million, which we expect to recognize over a weighted average period of 1.8 years.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Fair value methods and assumptions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A2A2A"/>
        </w:rPr>
        <w:t>We account for all awards granted under our various stock compensation plans at fair value.</w:t>
      </w:r>
    </w:p>
    <w:p>
      <w:pPr>
        <w:spacing w:after="0" w:line="250"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2A2A2A"/>
        </w:rPr>
        <w:t>We estimate the fair values for non-qualified stock options using the Black-Scholes-Merton option-pricing model with the following weighted average assumptions: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20" w:type="dxa"/>
            <w:vAlign w:val="bottom"/>
          </w:tcPr>
          <w:p>
            <w:pPr>
              <w:spacing w:after="0"/>
              <w:rPr>
                <w:sz w:val="18"/>
                <w:szCs w:val="18"/>
                <w:color w:val="auto"/>
              </w:rPr>
            </w:pPr>
          </w:p>
        </w:tc>
        <w:tc>
          <w:tcPr>
            <w:tcW w:w="3760" w:type="dxa"/>
            <w:vAlign w:val="bottom"/>
            <w:tcBorders>
              <w:bottom w:val="single" w:sz="8" w:color="2A2A2A"/>
            </w:tcBorders>
            <w:gridSpan w:val="5"/>
          </w:tcPr>
          <w:p>
            <w:pPr>
              <w:jc w:val="right"/>
              <w:ind w:right="603"/>
              <w:spacing w:after="0"/>
              <w:rPr>
                <w:sz w:val="20"/>
                <w:szCs w:val="20"/>
                <w:color w:val="auto"/>
              </w:rPr>
            </w:pPr>
            <w:r>
              <w:rPr>
                <w:rFonts w:ascii="Arial" w:cs="Arial" w:eastAsia="Arial" w:hAnsi="Arial"/>
                <w:sz w:val="16"/>
                <w:szCs w:val="16"/>
                <w:b w:val="1"/>
                <w:bCs w:val="1"/>
                <w:color w:val="2A2A2A"/>
              </w:rPr>
              <w:t>For Years Ended December 31,</w:t>
            </w:r>
          </w:p>
        </w:tc>
      </w:tr>
      <w:tr>
        <w:trPr>
          <w:trHeight w:val="265"/>
        </w:trPr>
        <w:tc>
          <w:tcPr>
            <w:tcW w:w="6520" w:type="dxa"/>
            <w:vAlign w:val="bottom"/>
            <w:tcBorders>
              <w:bottom w:val="single" w:sz="8" w:color="2A2A2A"/>
            </w:tcBorders>
          </w:tcPr>
          <w:p>
            <w:pPr>
              <w:spacing w:after="0"/>
              <w:rPr>
                <w:sz w:val="23"/>
                <w:szCs w:val="23"/>
                <w:color w:val="auto"/>
              </w:rPr>
            </w:pPr>
          </w:p>
        </w:tc>
        <w:tc>
          <w:tcPr>
            <w:tcW w:w="1260" w:type="dxa"/>
            <w:vAlign w:val="bottom"/>
            <w:tcBorders>
              <w:bottom w:val="single" w:sz="8" w:color="2A2A2A"/>
            </w:tcBorders>
          </w:tcPr>
          <w:p>
            <w:pPr>
              <w:jc w:val="right"/>
              <w:ind w:right="386"/>
              <w:spacing w:after="0"/>
              <w:rPr>
                <w:sz w:val="20"/>
                <w:szCs w:val="20"/>
                <w:color w:val="auto"/>
              </w:rPr>
            </w:pPr>
            <w:r>
              <w:rPr>
                <w:rFonts w:ascii="Arial" w:cs="Arial" w:eastAsia="Arial" w:hAnsi="Arial"/>
                <w:sz w:val="16"/>
                <w:szCs w:val="16"/>
                <w:b w:val="1"/>
                <w:bCs w:val="1"/>
                <w:color w:val="2A2A2A"/>
              </w:rPr>
              <w:t>2023</w:t>
            </w:r>
          </w:p>
        </w:tc>
        <w:tc>
          <w:tcPr>
            <w:tcW w:w="320" w:type="dxa"/>
            <w:vAlign w:val="bottom"/>
            <w:tcBorders>
              <w:bottom w:val="single" w:sz="8" w:color="2A2A2A"/>
            </w:tcBorders>
          </w:tcPr>
          <w:p>
            <w:pPr>
              <w:spacing w:after="0"/>
              <w:rPr>
                <w:sz w:val="23"/>
                <w:szCs w:val="23"/>
                <w:color w:val="auto"/>
              </w:rPr>
            </w:pPr>
          </w:p>
        </w:tc>
        <w:tc>
          <w:tcPr>
            <w:tcW w:w="960" w:type="dxa"/>
            <w:vAlign w:val="bottom"/>
            <w:tcBorders>
              <w:bottom w:val="single" w:sz="8" w:color="2A2A2A"/>
            </w:tcBorders>
          </w:tcPr>
          <w:p>
            <w:pPr>
              <w:jc w:val="right"/>
              <w:ind w:right="383"/>
              <w:spacing w:after="0"/>
              <w:rPr>
                <w:sz w:val="20"/>
                <w:szCs w:val="20"/>
                <w:color w:val="auto"/>
              </w:rPr>
            </w:pPr>
            <w:r>
              <w:rPr>
                <w:rFonts w:ascii="Arial" w:cs="Arial" w:eastAsia="Arial" w:hAnsi="Arial"/>
                <w:sz w:val="16"/>
                <w:szCs w:val="16"/>
                <w:b w:val="1"/>
                <w:bCs w:val="1"/>
                <w:color w:val="2A2A2A"/>
              </w:rPr>
              <w:t>2022</w:t>
            </w:r>
          </w:p>
        </w:tc>
        <w:tc>
          <w:tcPr>
            <w:tcW w:w="300" w:type="dxa"/>
            <w:vAlign w:val="bottom"/>
            <w:tcBorders>
              <w:bottom w:val="single" w:sz="8" w:color="2A2A2A"/>
            </w:tcBorders>
          </w:tcPr>
          <w:p>
            <w:pPr>
              <w:spacing w:after="0"/>
              <w:rPr>
                <w:sz w:val="23"/>
                <w:szCs w:val="23"/>
                <w:color w:val="auto"/>
              </w:rPr>
            </w:pPr>
          </w:p>
        </w:tc>
        <w:tc>
          <w:tcPr>
            <w:tcW w:w="920" w:type="dxa"/>
            <w:vAlign w:val="bottom"/>
            <w:tcBorders>
              <w:bottom w:val="single" w:sz="8" w:color="2A2A2A"/>
            </w:tcBorders>
          </w:tcPr>
          <w:p>
            <w:pPr>
              <w:jc w:val="right"/>
              <w:ind w:right="323"/>
              <w:spacing w:after="0"/>
              <w:rPr>
                <w:sz w:val="20"/>
                <w:szCs w:val="20"/>
                <w:color w:val="auto"/>
              </w:rPr>
            </w:pPr>
            <w:r>
              <w:rPr>
                <w:rFonts w:ascii="Arial" w:cs="Arial" w:eastAsia="Arial" w:hAnsi="Arial"/>
                <w:sz w:val="16"/>
                <w:szCs w:val="16"/>
                <w:b w:val="1"/>
                <w:bCs w:val="1"/>
                <w:color w:val="2A2A2A"/>
              </w:rPr>
              <w:t>2021</w:t>
            </w:r>
          </w:p>
        </w:tc>
      </w:tr>
      <w:tr>
        <w:trPr>
          <w:trHeight w:val="260"/>
        </w:trPr>
        <w:tc>
          <w:tcPr>
            <w:tcW w:w="6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Weighted average grant date fair value, per share</w:t>
            </w:r>
          </w:p>
        </w:tc>
        <w:tc>
          <w:tcPr>
            <w:tcW w:w="1260" w:type="dxa"/>
            <w:vAlign w:val="bottom"/>
            <w:shd w:val="clear" w:color="auto" w:fill="D7D7D7"/>
          </w:tcPr>
          <w:p>
            <w:pPr>
              <w:jc w:val="right"/>
              <w:ind w:right="146"/>
              <w:spacing w:after="0"/>
              <w:rPr>
                <w:sz w:val="20"/>
                <w:szCs w:val="20"/>
                <w:color w:val="auto"/>
              </w:rPr>
            </w:pPr>
            <w:r>
              <w:rPr>
                <w:rFonts w:ascii="Arial" w:cs="Arial" w:eastAsia="Arial" w:hAnsi="Arial"/>
                <w:sz w:val="20"/>
                <w:szCs w:val="20"/>
                <w:b w:val="1"/>
                <w:bCs w:val="1"/>
                <w:color w:val="2A2A2A"/>
              </w:rPr>
              <w:t>$   46.23</w:t>
            </w:r>
          </w:p>
        </w:tc>
        <w:tc>
          <w:tcPr>
            <w:tcW w:w="320" w:type="dxa"/>
            <w:vAlign w:val="bottom"/>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39.94</w:t>
            </w:r>
          </w:p>
        </w:tc>
        <w:tc>
          <w:tcPr>
            <w:tcW w:w="30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92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40.78</w:t>
            </w:r>
          </w:p>
        </w:tc>
      </w:tr>
      <w:tr>
        <w:trPr>
          <w:trHeight w:val="268"/>
        </w:trPr>
        <w:tc>
          <w:tcPr>
            <w:tcW w:w="6520" w:type="dxa"/>
            <w:vAlign w:val="bottom"/>
          </w:tcPr>
          <w:p>
            <w:pPr>
              <w:ind w:left="60"/>
              <w:spacing w:after="0"/>
              <w:rPr>
                <w:sz w:val="20"/>
                <w:szCs w:val="20"/>
                <w:color w:val="auto"/>
              </w:rPr>
            </w:pPr>
            <w:r>
              <w:rPr>
                <w:rFonts w:ascii="Arial" w:cs="Arial" w:eastAsia="Arial" w:hAnsi="Arial"/>
                <w:sz w:val="20"/>
                <w:szCs w:val="20"/>
                <w:color w:val="2A2A2A"/>
              </w:rPr>
              <w:t>Weighted average assumptions used:</w:t>
            </w: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3"/>
        </w:trPr>
        <w:tc>
          <w:tcPr>
            <w:tcW w:w="65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Expected volatility</w:t>
            </w:r>
          </w:p>
        </w:tc>
        <w:tc>
          <w:tcPr>
            <w:tcW w:w="1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31%</w:t>
            </w:r>
          </w:p>
        </w:tc>
        <w:tc>
          <w:tcPr>
            <w:tcW w:w="320" w:type="dxa"/>
            <w:vAlign w:val="bottom"/>
            <w:shd w:val="clear" w:color="auto" w:fill="D7D7D7"/>
          </w:tcPr>
          <w:p>
            <w:pPr>
              <w:spacing w:after="0"/>
              <w:rPr>
                <w:sz w:val="23"/>
                <w:szCs w:val="23"/>
                <w:color w:val="auto"/>
              </w:rPr>
            </w:pPr>
          </w:p>
        </w:tc>
        <w:tc>
          <w:tcPr>
            <w:tcW w:w="9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29%</w:t>
            </w:r>
          </w:p>
        </w:tc>
        <w:tc>
          <w:tcPr>
            <w:tcW w:w="30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32%</w:t>
            </w:r>
          </w:p>
        </w:tc>
      </w:tr>
      <w:tr>
        <w:trPr>
          <w:trHeight w:val="285"/>
        </w:trPr>
        <w:tc>
          <w:tcPr>
            <w:tcW w:w="6520" w:type="dxa"/>
            <w:vAlign w:val="bottom"/>
          </w:tcPr>
          <w:p>
            <w:pPr>
              <w:ind w:left="180"/>
              <w:spacing w:after="0"/>
              <w:rPr>
                <w:sz w:val="20"/>
                <w:szCs w:val="20"/>
                <w:color w:val="auto"/>
              </w:rPr>
            </w:pPr>
            <w:r>
              <w:rPr>
                <w:rFonts w:ascii="Arial" w:cs="Arial" w:eastAsia="Arial" w:hAnsi="Arial"/>
                <w:sz w:val="20"/>
                <w:szCs w:val="20"/>
                <w:color w:val="2A2A2A"/>
              </w:rPr>
              <w:t>Expected lives (in years)</w:t>
            </w:r>
          </w:p>
        </w:tc>
        <w:tc>
          <w:tcPr>
            <w:tcW w:w="1260" w:type="dxa"/>
            <w:vAlign w:val="bottom"/>
          </w:tcPr>
          <w:p>
            <w:pPr>
              <w:jc w:val="right"/>
              <w:ind w:right="146"/>
              <w:spacing w:after="0"/>
              <w:rPr>
                <w:sz w:val="20"/>
                <w:szCs w:val="20"/>
                <w:color w:val="auto"/>
              </w:rPr>
            </w:pPr>
            <w:r>
              <w:rPr>
                <w:rFonts w:ascii="Arial" w:cs="Arial" w:eastAsia="Arial" w:hAnsi="Arial"/>
                <w:sz w:val="20"/>
                <w:szCs w:val="20"/>
                <w:b w:val="1"/>
                <w:bCs w:val="1"/>
                <w:color w:val="2A2A2A"/>
              </w:rPr>
              <w:t>6.1</w:t>
            </w:r>
          </w:p>
        </w:tc>
        <w:tc>
          <w:tcPr>
            <w:tcW w:w="320" w:type="dxa"/>
            <w:vAlign w:val="bottom"/>
          </w:tcPr>
          <w:p>
            <w:pPr>
              <w:spacing w:after="0"/>
              <w:rPr>
                <w:sz w:val="24"/>
                <w:szCs w:val="24"/>
                <w:color w:val="auto"/>
              </w:rPr>
            </w:pPr>
          </w:p>
        </w:tc>
        <w:tc>
          <w:tcPr>
            <w:tcW w:w="960" w:type="dxa"/>
            <w:vAlign w:val="bottom"/>
          </w:tcPr>
          <w:p>
            <w:pPr>
              <w:jc w:val="right"/>
              <w:ind w:right="143"/>
              <w:spacing w:after="0"/>
              <w:rPr>
                <w:sz w:val="20"/>
                <w:szCs w:val="20"/>
                <w:color w:val="auto"/>
              </w:rPr>
            </w:pPr>
            <w:r>
              <w:rPr>
                <w:rFonts w:ascii="Arial" w:cs="Arial" w:eastAsia="Arial" w:hAnsi="Arial"/>
                <w:sz w:val="20"/>
                <w:szCs w:val="20"/>
                <w:color w:val="2A2A2A"/>
              </w:rPr>
              <w:t>6.4</w:t>
            </w:r>
          </w:p>
        </w:tc>
        <w:tc>
          <w:tcPr>
            <w:tcW w:w="30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Arial" w:cs="Arial" w:eastAsia="Arial" w:hAnsi="Arial"/>
                <w:sz w:val="20"/>
                <w:szCs w:val="20"/>
                <w:color w:val="2A2A2A"/>
              </w:rPr>
              <w:t>6.7</w:t>
            </w:r>
          </w:p>
        </w:tc>
      </w:tr>
      <w:tr>
        <w:trPr>
          <w:trHeight w:val="270"/>
        </w:trPr>
        <w:tc>
          <w:tcPr>
            <w:tcW w:w="65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Risk-free interest rates</w:t>
            </w:r>
          </w:p>
        </w:tc>
        <w:tc>
          <w:tcPr>
            <w:tcW w:w="1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3.60%</w:t>
            </w:r>
          </w:p>
        </w:tc>
        <w:tc>
          <w:tcPr>
            <w:tcW w:w="320" w:type="dxa"/>
            <w:vAlign w:val="bottom"/>
            <w:shd w:val="clear" w:color="auto" w:fill="D7D7D7"/>
          </w:tcPr>
          <w:p>
            <w:pPr>
              <w:spacing w:after="0"/>
              <w:rPr>
                <w:sz w:val="23"/>
                <w:szCs w:val="23"/>
                <w:color w:val="auto"/>
              </w:rPr>
            </w:pPr>
          </w:p>
        </w:tc>
        <w:tc>
          <w:tcPr>
            <w:tcW w:w="9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1.83%</w:t>
            </w:r>
          </w:p>
        </w:tc>
        <w:tc>
          <w:tcPr>
            <w:tcW w:w="300" w:type="dxa"/>
            <w:vAlign w:val="bottom"/>
            <w:shd w:val="clear" w:color="auto" w:fill="D7D7D7"/>
          </w:tcPr>
          <w:p>
            <w:pPr>
              <w:spacing w:after="0"/>
              <w:rPr>
                <w:sz w:val="23"/>
                <w:szCs w:val="23"/>
                <w:color w:val="auto"/>
              </w:rPr>
            </w:pP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0.72%</w:t>
            </w:r>
          </w:p>
        </w:tc>
      </w:tr>
      <w:tr>
        <w:trPr>
          <w:trHeight w:val="275"/>
        </w:trPr>
        <w:tc>
          <w:tcPr>
            <w:tcW w:w="6520" w:type="dxa"/>
            <w:vAlign w:val="bottom"/>
          </w:tcPr>
          <w:p>
            <w:pPr>
              <w:ind w:left="180"/>
              <w:spacing w:after="0"/>
              <w:rPr>
                <w:sz w:val="20"/>
                <w:szCs w:val="20"/>
                <w:color w:val="auto"/>
              </w:rPr>
            </w:pPr>
            <w:r>
              <w:rPr>
                <w:rFonts w:ascii="Arial" w:cs="Arial" w:eastAsia="Arial" w:hAnsi="Arial"/>
                <w:sz w:val="20"/>
                <w:szCs w:val="20"/>
                <w:color w:val="2A2A2A"/>
              </w:rPr>
              <w:t>Expected dividend yields</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2A2A2A"/>
              </w:rPr>
              <w:t>2.86%</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A2A2A"/>
              </w:rPr>
              <w:t>2.64%</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A2A2A"/>
              </w:rPr>
              <w:t>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-1053465</wp:posOffset>
            </wp:positionV>
            <wp:extent cx="655002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0"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2A2A2A"/>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9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Long-term incentive and director compensation plans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A2A2A"/>
        </w:rPr>
        <w:t>Stock option and RSU transactions under our long-term incentive and director compensation plans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2460" w:type="dxa"/>
            <w:vAlign w:val="bottom"/>
            <w:tcBorders>
              <w:bottom w:val="single" w:sz="8" w:color="2A2A2A"/>
            </w:tcBorders>
            <w:gridSpan w:val="5"/>
          </w:tcPr>
          <w:p>
            <w:pPr>
              <w:jc w:val="right"/>
              <w:ind w:right="590"/>
              <w:spacing w:after="0"/>
              <w:rPr>
                <w:sz w:val="20"/>
                <w:szCs w:val="20"/>
                <w:color w:val="auto"/>
              </w:rPr>
            </w:pPr>
            <w:r>
              <w:rPr>
                <w:rFonts w:ascii="Arial" w:cs="Arial" w:eastAsia="Arial" w:hAnsi="Arial"/>
                <w:sz w:val="16"/>
                <w:szCs w:val="16"/>
                <w:b w:val="1"/>
                <w:bCs w:val="1"/>
                <w:color w:val="2A2A2A"/>
              </w:rPr>
              <w:t>Stock Options</w:t>
            </w:r>
          </w:p>
        </w:tc>
        <w:tc>
          <w:tcPr>
            <w:tcW w:w="8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1200" w:type="dxa"/>
            <w:vAlign w:val="bottom"/>
            <w:tcBorders>
              <w:bottom w:val="single" w:sz="8" w:color="2A2A2A"/>
            </w:tcBorders>
            <w:gridSpan w:val="2"/>
          </w:tcPr>
          <w:p>
            <w:pPr>
              <w:jc w:val="right"/>
              <w:spacing w:after="0"/>
              <w:rPr>
                <w:sz w:val="20"/>
                <w:szCs w:val="20"/>
                <w:color w:val="auto"/>
              </w:rPr>
            </w:pPr>
            <w:r>
              <w:rPr>
                <w:rFonts w:ascii="Arial" w:cs="Arial" w:eastAsia="Arial" w:hAnsi="Arial"/>
                <w:sz w:val="16"/>
                <w:szCs w:val="16"/>
                <w:b w:val="1"/>
                <w:bCs w:val="1"/>
                <w:color w:val="2A2A2A"/>
              </w:rPr>
              <w:t>RSUs</w:t>
            </w:r>
          </w:p>
        </w:tc>
        <w:tc>
          <w:tcPr>
            <w:tcW w:w="1020" w:type="dxa"/>
            <w:vAlign w:val="bottom"/>
            <w:tcBorders>
              <w:bottom w:val="single" w:sz="8" w:color="2A2A2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0"/>
              <w:spacing w:after="0"/>
              <w:rPr>
                <w:sz w:val="20"/>
                <w:szCs w:val="20"/>
                <w:color w:val="auto"/>
              </w:rPr>
            </w:pPr>
            <w:r>
              <w:rPr>
                <w:rFonts w:ascii="Arial" w:cs="Arial" w:eastAsia="Arial" w:hAnsi="Arial"/>
                <w:sz w:val="16"/>
                <w:szCs w:val="16"/>
                <w:b w:val="1"/>
                <w:bCs w:val="1"/>
                <w:color w:val="2A2A2A"/>
                <w:w w:val="99"/>
              </w:rPr>
              <w:t>Weighted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89"/>
              <w:spacing w:after="0"/>
              <w:rPr>
                <w:sz w:val="20"/>
                <w:szCs w:val="20"/>
                <w:color w:val="auto"/>
              </w:rPr>
            </w:pPr>
            <w:r>
              <w:rPr>
                <w:rFonts w:ascii="Arial" w:cs="Arial" w:eastAsia="Arial" w:hAnsi="Arial"/>
                <w:sz w:val="16"/>
                <w:szCs w:val="16"/>
                <w:b w:val="1"/>
                <w:bCs w:val="1"/>
                <w:color w:val="2A2A2A"/>
                <w:w w:val="99"/>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0"/>
              <w:spacing w:after="0" w:line="160" w:lineRule="exact"/>
              <w:rPr>
                <w:sz w:val="20"/>
                <w:szCs w:val="20"/>
                <w:color w:val="auto"/>
              </w:rPr>
            </w:pPr>
            <w:r>
              <w:rPr>
                <w:rFonts w:ascii="Arial" w:cs="Arial" w:eastAsia="Arial" w:hAnsi="Arial"/>
                <w:sz w:val="16"/>
                <w:szCs w:val="16"/>
                <w:b w:val="1"/>
                <w:bCs w:val="1"/>
                <w:color w:val="2A2A2A"/>
                <w:w w:val="98"/>
              </w:rPr>
              <w:t>Average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89"/>
              <w:spacing w:after="0" w:line="160" w:lineRule="exact"/>
              <w:rPr>
                <w:sz w:val="20"/>
                <w:szCs w:val="20"/>
                <w:color w:val="auto"/>
              </w:rPr>
            </w:pPr>
            <w:r>
              <w:rPr>
                <w:rFonts w:ascii="Arial" w:cs="Arial" w:eastAsia="Arial" w:hAnsi="Arial"/>
                <w:sz w:val="16"/>
                <w:szCs w:val="16"/>
                <w:b w:val="1"/>
                <w:bCs w:val="1"/>
                <w:color w:val="2A2A2A"/>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0"/>
              <w:spacing w:after="0" w:line="160" w:lineRule="exact"/>
              <w:rPr>
                <w:sz w:val="20"/>
                <w:szCs w:val="20"/>
                <w:color w:val="auto"/>
              </w:rPr>
            </w:pPr>
            <w:r>
              <w:rPr>
                <w:rFonts w:ascii="Arial" w:cs="Arial" w:eastAsia="Arial" w:hAnsi="Arial"/>
                <w:sz w:val="16"/>
                <w:szCs w:val="16"/>
                <w:b w:val="1"/>
                <w:bCs w:val="1"/>
                <w:color w:val="2A2A2A"/>
              </w:rPr>
              <w:t>Exercise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89"/>
              <w:spacing w:after="0" w:line="160" w:lineRule="exact"/>
              <w:rPr>
                <w:sz w:val="20"/>
                <w:szCs w:val="20"/>
                <w:color w:val="auto"/>
              </w:rPr>
            </w:pPr>
            <w:r>
              <w:rPr>
                <w:rFonts w:ascii="Arial" w:cs="Arial" w:eastAsia="Arial" w:hAnsi="Arial"/>
                <w:sz w:val="16"/>
                <w:szCs w:val="16"/>
                <w:b w:val="1"/>
                <w:bCs w:val="1"/>
                <w:color w:val="2A2A2A"/>
                <w:w w:val="97"/>
              </w:rPr>
              <w:t>Grant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880" w:type="dxa"/>
            <w:vAlign w:val="bottom"/>
            <w:vMerge w:val="restart"/>
          </w:tcPr>
          <w:p>
            <w:pPr>
              <w:ind w:left="320"/>
              <w:spacing w:after="0"/>
              <w:rPr>
                <w:sz w:val="20"/>
                <w:szCs w:val="20"/>
                <w:color w:val="auto"/>
              </w:rPr>
            </w:pPr>
            <w:r>
              <w:rPr>
                <w:rFonts w:ascii="Arial" w:cs="Arial" w:eastAsia="Arial" w:hAnsi="Arial"/>
                <w:sz w:val="16"/>
                <w:szCs w:val="16"/>
                <w:b w:val="1"/>
                <w:bCs w:val="1"/>
                <w:color w:val="2A2A2A"/>
              </w:rPr>
              <w:t>Shares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0"/>
              <w:spacing w:after="0" w:line="160" w:lineRule="exact"/>
              <w:rPr>
                <w:sz w:val="20"/>
                <w:szCs w:val="20"/>
                <w:color w:val="auto"/>
              </w:rPr>
            </w:pPr>
            <w:r>
              <w:rPr>
                <w:rFonts w:ascii="Arial" w:cs="Arial" w:eastAsia="Arial" w:hAnsi="Arial"/>
                <w:sz w:val="16"/>
                <w:szCs w:val="16"/>
                <w:b w:val="1"/>
                <w:bCs w:val="1"/>
                <w:color w:val="2A2A2A"/>
              </w:rPr>
              <w:t>Price per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center"/>
              <w:ind w:right="146"/>
              <w:spacing w:after="0"/>
              <w:rPr>
                <w:sz w:val="20"/>
                <w:szCs w:val="20"/>
                <w:color w:val="auto"/>
              </w:rPr>
            </w:pPr>
            <w:r>
              <w:rPr>
                <w:rFonts w:ascii="Arial" w:cs="Arial" w:eastAsia="Arial" w:hAnsi="Arial"/>
                <w:sz w:val="16"/>
                <w:szCs w:val="16"/>
                <w:b w:val="1"/>
                <w:bCs w:val="1"/>
                <w:color w:val="2A2A2A"/>
              </w:rPr>
              <w:t>Shares</w:t>
            </w:r>
          </w:p>
        </w:tc>
        <w:tc>
          <w:tcPr>
            <w:tcW w:w="260" w:type="dxa"/>
            <w:vAlign w:val="bottom"/>
          </w:tcPr>
          <w:p>
            <w:pPr>
              <w:spacing w:after="0"/>
              <w:rPr>
                <w:sz w:val="13"/>
                <w:szCs w:val="13"/>
                <w:color w:val="auto"/>
              </w:rPr>
            </w:pPr>
          </w:p>
        </w:tc>
        <w:tc>
          <w:tcPr>
            <w:tcW w:w="1020" w:type="dxa"/>
            <w:vAlign w:val="bottom"/>
          </w:tcPr>
          <w:p>
            <w:pPr>
              <w:jc w:val="center"/>
              <w:ind w:right="89"/>
              <w:spacing w:after="0" w:line="160" w:lineRule="exact"/>
              <w:rPr>
                <w:sz w:val="20"/>
                <w:szCs w:val="20"/>
                <w:color w:val="auto"/>
              </w:rPr>
            </w:pPr>
            <w:r>
              <w:rPr>
                <w:rFonts w:ascii="Arial" w:cs="Arial" w:eastAsia="Arial" w:hAnsi="Arial"/>
                <w:sz w:val="16"/>
                <w:szCs w:val="16"/>
                <w:b w:val="1"/>
                <w:bCs w:val="1"/>
                <w:color w:val="2A2A2A"/>
                <w:w w:val="99"/>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4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vMerge w:val="continue"/>
          </w:tcPr>
          <w:p>
            <w:pPr>
              <w:spacing w:after="0"/>
              <w:rPr>
                <w:sz w:val="18"/>
                <w:szCs w:val="18"/>
                <w:color w:val="auto"/>
              </w:rPr>
            </w:pPr>
          </w:p>
        </w:tc>
        <w:tc>
          <w:tcPr>
            <w:tcW w:w="32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980" w:type="dxa"/>
            <w:vAlign w:val="bottom"/>
            <w:tcBorders>
              <w:bottom w:val="single" w:sz="8" w:color="2A2A2A"/>
            </w:tcBorders>
          </w:tcPr>
          <w:p>
            <w:pPr>
              <w:jc w:val="center"/>
              <w:ind w:right="110"/>
              <w:spacing w:after="0"/>
              <w:rPr>
                <w:sz w:val="20"/>
                <w:szCs w:val="20"/>
                <w:color w:val="auto"/>
              </w:rPr>
            </w:pPr>
            <w:r>
              <w:rPr>
                <w:rFonts w:ascii="Arial" w:cs="Arial" w:eastAsia="Arial" w:hAnsi="Arial"/>
                <w:sz w:val="16"/>
                <w:szCs w:val="16"/>
                <w:b w:val="1"/>
                <w:bCs w:val="1"/>
                <w:color w:val="2A2A2A"/>
              </w:rPr>
              <w:t>Share</w:t>
            </w:r>
          </w:p>
        </w:tc>
        <w:tc>
          <w:tcPr>
            <w:tcW w:w="80" w:type="dxa"/>
            <w:vAlign w:val="bottom"/>
            <w:tcBorders>
              <w:bottom w:val="single" w:sz="8" w:color="2A2A2A"/>
            </w:tcBorders>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940" w:type="dxa"/>
            <w:vAlign w:val="bottom"/>
            <w:tcBorders>
              <w:bottom w:val="single" w:sz="8" w:color="2A2A2A"/>
            </w:tcBorders>
            <w:vMerge w:val="continue"/>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1020" w:type="dxa"/>
            <w:vAlign w:val="bottom"/>
            <w:tcBorders>
              <w:bottom w:val="single" w:sz="8" w:color="2A2A2A"/>
            </w:tcBorders>
          </w:tcPr>
          <w:p>
            <w:pPr>
              <w:jc w:val="center"/>
              <w:ind w:right="89"/>
              <w:spacing w:after="0"/>
              <w:rPr>
                <w:sz w:val="20"/>
                <w:szCs w:val="20"/>
                <w:color w:val="auto"/>
              </w:rPr>
            </w:pPr>
            <w:r>
              <w:rPr>
                <w:rFonts w:ascii="Arial" w:cs="Arial" w:eastAsia="Arial" w:hAnsi="Arial"/>
                <w:sz w:val="16"/>
                <w:szCs w:val="16"/>
                <w:b w:val="1"/>
                <w:bCs w:val="1"/>
                <w:color w:val="2A2A2A"/>
                <w:w w:val="97"/>
              </w:rPr>
              <w:t>per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12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Outstanding grants, December 31, 2022</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w w:val="98"/>
              </w:rPr>
              <w:t>25</w:t>
            </w: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105.75</w:t>
            </w: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147.30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20" w:type="dxa"/>
            <w:vAlign w:val="bottom"/>
            <w:gridSpan w:val="2"/>
          </w:tcPr>
          <w:p>
            <w:pPr>
              <w:ind w:left="60"/>
              <w:spacing w:after="0"/>
              <w:rPr>
                <w:sz w:val="20"/>
                <w:szCs w:val="20"/>
                <w:color w:val="auto"/>
              </w:rPr>
            </w:pPr>
            <w:r>
              <w:rPr>
                <w:rFonts w:ascii="Arial" w:cs="Arial" w:eastAsia="Arial" w:hAnsi="Arial"/>
                <w:sz w:val="20"/>
                <w:szCs w:val="20"/>
                <w:b w:val="1"/>
                <w:bCs w:val="1"/>
                <w:color w:val="2A2A2A"/>
              </w:rPr>
              <w:t>Granted</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2A2A2A"/>
              </w:rPr>
              <w:t>4</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2A2A2A"/>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2A2A2A"/>
              </w:rPr>
              <w:t>173.90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2A2A2A"/>
              </w:rPr>
              <w:t>2</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2A2A2A"/>
              </w:rPr>
              <w:t>172.59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120" w:type="dxa"/>
            <w:vAlign w:val="bottom"/>
            <w:gridSpan w:val="2"/>
            <w:shd w:val="clear" w:color="auto" w:fill="D7D7D7"/>
          </w:tcPr>
          <w:p>
            <w:pPr>
              <w:ind w:left="60"/>
              <w:spacing w:after="0"/>
              <w:rPr>
                <w:sz w:val="20"/>
                <w:szCs w:val="20"/>
                <w:color w:val="auto"/>
              </w:rPr>
            </w:pPr>
            <w:r>
              <w:rPr>
                <w:rFonts w:ascii="Arial" w:cs="Arial" w:eastAsia="Arial" w:hAnsi="Arial"/>
                <w:sz w:val="20"/>
                <w:szCs w:val="20"/>
                <w:b w:val="1"/>
                <w:bCs w:val="1"/>
                <w:color w:val="2A2A2A"/>
              </w:rPr>
              <w:t>Stock options exercised/RSUs vested</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w:t>
            </w: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71.16</w:t>
            </w:r>
          </w:p>
        </w:tc>
        <w:tc>
          <w:tcPr>
            <w:tcW w:w="80" w:type="dxa"/>
            <w:vAlign w:val="bottom"/>
            <w:shd w:val="clear" w:color="auto" w:fill="D7D7D7"/>
          </w:tcPr>
          <w:p>
            <w:pPr>
              <w:spacing w:after="0"/>
              <w:rPr>
                <w:sz w:val="24"/>
                <w:szCs w:val="24"/>
                <w:color w:val="auto"/>
              </w:rPr>
            </w:pPr>
          </w:p>
        </w:tc>
        <w:tc>
          <w:tcPr>
            <w:tcW w:w="260" w:type="dxa"/>
            <w:vAlign w:val="bottom"/>
            <w:shd w:val="clear" w:color="auto" w:fill="D7D7D7"/>
          </w:tcPr>
          <w:p>
            <w:pPr>
              <w:spacing w:after="0"/>
              <w:rPr>
                <w:sz w:val="24"/>
                <w:szCs w:val="24"/>
                <w:color w:val="auto"/>
              </w:rPr>
            </w:pP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108.04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D7D7D7"/>
            </w:tcBorders>
          </w:tcPr>
          <w:p>
            <w:pPr>
              <w:ind w:left="60"/>
              <w:spacing w:after="0" w:line="210" w:lineRule="exact"/>
              <w:rPr>
                <w:sz w:val="20"/>
                <w:szCs w:val="20"/>
                <w:color w:val="auto"/>
              </w:rPr>
            </w:pPr>
            <w:r>
              <w:rPr>
                <w:rFonts w:ascii="Arial" w:cs="Arial" w:eastAsia="Arial" w:hAnsi="Arial"/>
                <w:sz w:val="20"/>
                <w:szCs w:val="20"/>
                <w:b w:val="1"/>
                <w:bCs w:val="1"/>
                <w:color w:val="2A2A2A"/>
              </w:rPr>
              <w:t>Outstanding grants, December 31, 2023 (a)</w:t>
            </w:r>
          </w:p>
        </w:tc>
        <w:tc>
          <w:tcPr>
            <w:tcW w:w="880" w:type="dxa"/>
            <w:vAlign w:val="bottom"/>
            <w:tcBorders>
              <w:top w:val="single" w:sz="8" w:color="2A2A2A"/>
              <w:bottom w:val="single" w:sz="8" w:color="2A2A2A"/>
            </w:tcBorders>
          </w:tcPr>
          <w:p>
            <w:pPr>
              <w:spacing w:after="0"/>
              <w:rPr>
                <w:sz w:val="18"/>
                <w:szCs w:val="18"/>
                <w:color w:val="auto"/>
              </w:rPr>
            </w:pPr>
          </w:p>
        </w:tc>
        <w:tc>
          <w:tcPr>
            <w:tcW w:w="320" w:type="dxa"/>
            <w:vAlign w:val="bottom"/>
            <w:tcBorders>
              <w:top w:val="single" w:sz="8" w:color="2A2A2A"/>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w w:val="98"/>
              </w:rPr>
              <w:t>26</w:t>
            </w:r>
          </w:p>
        </w:tc>
        <w:tc>
          <w:tcPr>
            <w:tcW w:w="280" w:type="dxa"/>
            <w:vAlign w:val="bottom"/>
            <w:tcBorders>
              <w:top w:val="single" w:sz="8" w:color="D7D7D7"/>
            </w:tcBorders>
            <w:gridSpan w:val="2"/>
          </w:tcPr>
          <w:p>
            <w:pPr>
              <w:jc w:val="right"/>
              <w:ind w:right="40"/>
              <w:spacing w:after="0" w:line="210" w:lineRule="exact"/>
              <w:rPr>
                <w:sz w:val="20"/>
                <w:szCs w:val="20"/>
                <w:color w:val="auto"/>
              </w:rPr>
            </w:pPr>
            <w:r>
              <w:rPr>
                <w:rFonts w:ascii="Arial" w:cs="Arial" w:eastAsia="Arial" w:hAnsi="Arial"/>
                <w:sz w:val="20"/>
                <w:szCs w:val="20"/>
                <w:b w:val="1"/>
                <w:bCs w:val="1"/>
                <w:color w:val="2A2A2A"/>
              </w:rPr>
              <w:t>$</w:t>
            </w:r>
          </w:p>
        </w:tc>
        <w:tc>
          <w:tcPr>
            <w:tcW w:w="980" w:type="dxa"/>
            <w:vAlign w:val="bottom"/>
            <w:tcBorders>
              <w:top w:val="single" w:sz="8" w:color="D7D7D7"/>
            </w:tcBorders>
          </w:tcPr>
          <w:p>
            <w:pPr>
              <w:jc w:val="right"/>
              <w:spacing w:after="0" w:line="210" w:lineRule="exact"/>
              <w:rPr>
                <w:sz w:val="20"/>
                <w:szCs w:val="20"/>
                <w:color w:val="auto"/>
              </w:rPr>
            </w:pPr>
            <w:r>
              <w:rPr>
                <w:rFonts w:ascii="Arial" w:cs="Arial" w:eastAsia="Arial" w:hAnsi="Arial"/>
                <w:sz w:val="20"/>
                <w:szCs w:val="20"/>
                <w:b w:val="1"/>
                <w:bCs w:val="1"/>
                <w:color w:val="2A2A2A"/>
              </w:rPr>
              <w:t>119.60</w:t>
            </w:r>
          </w:p>
        </w:tc>
        <w:tc>
          <w:tcPr>
            <w:tcW w:w="80" w:type="dxa"/>
            <w:vAlign w:val="bottom"/>
            <w:tcBorders>
              <w:top w:val="single" w:sz="8" w:color="D7D7D7"/>
            </w:tcBorders>
          </w:tcPr>
          <w:p>
            <w:pPr>
              <w:spacing w:after="0"/>
              <w:rPr>
                <w:sz w:val="18"/>
                <w:szCs w:val="18"/>
                <w:color w:val="auto"/>
              </w:rPr>
            </w:pPr>
          </w:p>
        </w:tc>
        <w:tc>
          <w:tcPr>
            <w:tcW w:w="260" w:type="dxa"/>
            <w:vAlign w:val="bottom"/>
            <w:tcBorders>
              <w:top w:val="single" w:sz="8" w:color="2A2A2A"/>
              <w:bottom w:val="single" w:sz="8" w:color="2A2A2A"/>
            </w:tcBorders>
          </w:tcPr>
          <w:p>
            <w:pPr>
              <w:spacing w:after="0"/>
              <w:rPr>
                <w:sz w:val="18"/>
                <w:szCs w:val="18"/>
                <w:color w:val="auto"/>
              </w:rPr>
            </w:pPr>
          </w:p>
        </w:tc>
        <w:tc>
          <w:tcPr>
            <w:tcW w:w="940" w:type="dxa"/>
            <w:vAlign w:val="bottom"/>
            <w:tcBorders>
              <w:top w:val="single" w:sz="8" w:color="2A2A2A"/>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5</w:t>
            </w:r>
          </w:p>
        </w:tc>
        <w:tc>
          <w:tcPr>
            <w:tcW w:w="260" w:type="dxa"/>
            <w:vAlign w:val="bottom"/>
            <w:tcBorders>
              <w:top w:val="single" w:sz="8" w:color="D7D7D7"/>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1020" w:type="dxa"/>
            <w:vAlign w:val="bottom"/>
            <w:tcBorders>
              <w:top w:val="single" w:sz="8" w:color="D7D7D7"/>
            </w:tcBorders>
          </w:tcPr>
          <w:p>
            <w:pPr>
              <w:jc w:val="right"/>
              <w:spacing w:after="0" w:line="210" w:lineRule="exact"/>
              <w:rPr>
                <w:sz w:val="20"/>
                <w:szCs w:val="20"/>
                <w:color w:val="auto"/>
              </w:rPr>
            </w:pPr>
            <w:r>
              <w:rPr>
                <w:rFonts w:ascii="Arial" w:cs="Arial" w:eastAsia="Arial" w:hAnsi="Arial"/>
                <w:sz w:val="20"/>
                <w:szCs w:val="20"/>
                <w:b w:val="1"/>
                <w:bCs w:val="1"/>
                <w:color w:val="2A2A2A"/>
              </w:rPr>
              <w:t>161.40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2A2A2A"/>
            </w:tcBorders>
          </w:tcPr>
          <w:p>
            <w:pPr>
              <w:spacing w:after="0" w:line="20" w:lineRule="exact"/>
              <w:rPr>
                <w:sz w:val="1"/>
                <w:szCs w:val="1"/>
                <w:color w:val="auto"/>
              </w:rPr>
            </w:pPr>
          </w:p>
        </w:tc>
        <w:tc>
          <w:tcPr>
            <w:tcW w:w="3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940" w:type="dxa"/>
            <w:vAlign w:val="bottom"/>
            <w:tcBorders>
              <w:bottom w:val="single" w:sz="8" w:color="2A2A2A"/>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120" w:type="dxa"/>
            <w:vAlign w:val="bottom"/>
            <w:gridSpan w:val="2"/>
          </w:tcPr>
          <w:p>
            <w:pPr>
              <w:spacing w:after="0"/>
              <w:rPr>
                <w:sz w:val="20"/>
                <w:szCs w:val="20"/>
                <w:color w:val="auto"/>
              </w:rPr>
            </w:pPr>
            <w:r>
              <w:rPr>
                <w:rFonts w:ascii="Arial" w:cs="Arial" w:eastAsia="Arial" w:hAnsi="Arial"/>
                <w:sz w:val="20"/>
                <w:szCs w:val="20"/>
                <w:color w:val="2A2A2A"/>
              </w:rPr>
              <w:t>(a)   Forfeited and expired shares were not material.</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2A2A2A"/>
            </w:tcBorders>
          </w:tcPr>
          <w:p>
            <w:pPr>
              <w:spacing w:after="0"/>
              <w:rPr>
                <w:sz w:val="24"/>
                <w:szCs w:val="24"/>
                <w:color w:val="auto"/>
              </w:rPr>
            </w:pPr>
          </w:p>
        </w:tc>
        <w:tc>
          <w:tcPr>
            <w:tcW w:w="3540" w:type="dxa"/>
            <w:vAlign w:val="bottom"/>
            <w:tcBorders>
              <w:bottom w:val="single" w:sz="8" w:color="2A2A2A"/>
            </w:tcBorders>
            <w:gridSpan w:val="6"/>
          </w:tcPr>
          <w:p>
            <w:pPr>
              <w:jc w:val="center"/>
              <w:ind w:right="89"/>
              <w:spacing w:after="0"/>
              <w:rPr>
                <w:sz w:val="20"/>
                <w:szCs w:val="20"/>
                <w:color w:val="auto"/>
              </w:rPr>
            </w:pPr>
            <w:r>
              <w:rPr>
                <w:rFonts w:ascii="Arial" w:cs="Arial" w:eastAsia="Arial" w:hAnsi="Arial"/>
                <w:sz w:val="16"/>
                <w:szCs w:val="16"/>
                <w:b w:val="1"/>
                <w:bCs w:val="1"/>
                <w:color w:val="2A2A2A"/>
              </w:rPr>
              <w:t>For Years Ended December 31,</w:t>
            </w:r>
          </w:p>
        </w:tc>
        <w:tc>
          <w:tcPr>
            <w:tcW w:w="20" w:type="dxa"/>
            <w:vAlign w:val="bottom"/>
            <w:tcBorders>
              <w:bottom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40" w:type="dxa"/>
            <w:vAlign w:val="bottom"/>
            <w:tcBorders>
              <w:bottom w:val="single" w:sz="8" w:color="2A2A2A"/>
            </w:tcBorders>
          </w:tcPr>
          <w:p>
            <w:pPr>
              <w:spacing w:after="0"/>
              <w:rPr>
                <w:sz w:val="23"/>
                <w:szCs w:val="23"/>
                <w:color w:val="auto"/>
              </w:rPr>
            </w:pPr>
          </w:p>
        </w:tc>
        <w:tc>
          <w:tcPr>
            <w:tcW w:w="880" w:type="dxa"/>
            <w:vAlign w:val="bottom"/>
            <w:tcBorders>
              <w:bottom w:val="single" w:sz="8" w:color="2A2A2A"/>
            </w:tcBorders>
          </w:tcPr>
          <w:p>
            <w:pPr>
              <w:spacing w:after="0"/>
              <w:rPr>
                <w:sz w:val="23"/>
                <w:szCs w:val="23"/>
                <w:color w:val="auto"/>
              </w:rPr>
            </w:pPr>
          </w:p>
        </w:tc>
        <w:tc>
          <w:tcPr>
            <w:tcW w:w="320" w:type="dxa"/>
            <w:vAlign w:val="bottom"/>
            <w:tcBorders>
              <w:bottom w:val="single" w:sz="8" w:color="2A2A2A"/>
            </w:tcBorders>
          </w:tcPr>
          <w:p>
            <w:pPr>
              <w:spacing w:after="0"/>
              <w:rPr>
                <w:sz w:val="23"/>
                <w:szCs w:val="23"/>
                <w:color w:val="auto"/>
              </w:rPr>
            </w:pPr>
          </w:p>
        </w:tc>
        <w:tc>
          <w:tcPr>
            <w:tcW w:w="80" w:type="dxa"/>
            <w:vAlign w:val="bottom"/>
            <w:tcBorders>
              <w:bottom w:val="single" w:sz="8" w:color="2A2A2A"/>
            </w:tcBorders>
          </w:tcPr>
          <w:p>
            <w:pPr>
              <w:spacing w:after="0"/>
              <w:rPr>
                <w:sz w:val="23"/>
                <w:szCs w:val="23"/>
                <w:color w:val="auto"/>
              </w:rPr>
            </w:pPr>
          </w:p>
        </w:tc>
        <w:tc>
          <w:tcPr>
            <w:tcW w:w="200" w:type="dxa"/>
            <w:vAlign w:val="bottom"/>
            <w:tcBorders>
              <w:bottom w:val="single" w:sz="8" w:color="2A2A2A"/>
            </w:tcBorders>
          </w:tcPr>
          <w:p>
            <w:pPr>
              <w:spacing w:after="0"/>
              <w:rPr>
                <w:sz w:val="23"/>
                <w:szCs w:val="23"/>
                <w:color w:val="auto"/>
              </w:rPr>
            </w:pPr>
          </w:p>
        </w:tc>
        <w:tc>
          <w:tcPr>
            <w:tcW w:w="980" w:type="dxa"/>
            <w:vAlign w:val="bottom"/>
            <w:tcBorders>
              <w:bottom w:val="single" w:sz="8" w:color="2A2A2A"/>
            </w:tcBorders>
          </w:tcPr>
          <w:p>
            <w:pPr>
              <w:jc w:val="center"/>
              <w:ind w:right="90"/>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940" w:type="dxa"/>
            <w:vAlign w:val="bottom"/>
            <w:tcBorders>
              <w:bottom w:val="single" w:sz="8" w:color="2A2A2A"/>
            </w:tcBorders>
          </w:tcPr>
          <w:p>
            <w:pPr>
              <w:jc w:val="center"/>
              <w:ind w:right="126"/>
              <w:spacing w:after="0"/>
              <w:rPr>
                <w:sz w:val="20"/>
                <w:szCs w:val="20"/>
                <w:color w:val="auto"/>
              </w:rPr>
            </w:pPr>
            <w:r>
              <w:rPr>
                <w:rFonts w:ascii="Arial" w:cs="Arial" w:eastAsia="Arial" w:hAnsi="Arial"/>
                <w:sz w:val="16"/>
                <w:szCs w:val="16"/>
                <w:b w:val="1"/>
                <w:bCs w:val="1"/>
                <w:color w:val="2A2A2A"/>
              </w:rPr>
              <w:t>2022</w:t>
            </w:r>
          </w:p>
        </w:tc>
        <w:tc>
          <w:tcPr>
            <w:tcW w:w="260" w:type="dxa"/>
            <w:vAlign w:val="bottom"/>
            <w:tcBorders>
              <w:bottom w:val="single" w:sz="8" w:color="2A2A2A"/>
            </w:tcBorders>
          </w:tcPr>
          <w:p>
            <w:pPr>
              <w:spacing w:after="0"/>
              <w:rPr>
                <w:sz w:val="23"/>
                <w:szCs w:val="23"/>
                <w:color w:val="auto"/>
              </w:rPr>
            </w:pPr>
          </w:p>
        </w:tc>
        <w:tc>
          <w:tcPr>
            <w:tcW w:w="1020" w:type="dxa"/>
            <w:vAlign w:val="bottom"/>
            <w:tcBorders>
              <w:bottom w:val="single" w:sz="8" w:color="2A2A2A"/>
            </w:tcBorders>
          </w:tcPr>
          <w:p>
            <w:pPr>
              <w:jc w:val="center"/>
              <w:ind w:right="49"/>
              <w:spacing w:after="0"/>
              <w:rPr>
                <w:sz w:val="20"/>
                <w:szCs w:val="20"/>
                <w:color w:val="auto"/>
              </w:rPr>
            </w:pPr>
            <w:r>
              <w:rPr>
                <w:rFonts w:ascii="Arial" w:cs="Arial" w:eastAsia="Arial" w:hAnsi="Arial"/>
                <w:sz w:val="16"/>
                <w:szCs w:val="16"/>
                <w:b w:val="1"/>
                <w:bCs w:val="1"/>
                <w:color w:val="2A2A2A"/>
              </w:rPr>
              <w:t>2021</w:t>
            </w:r>
          </w:p>
        </w:tc>
        <w:tc>
          <w:tcPr>
            <w:tcW w:w="20" w:type="dxa"/>
            <w:vAlign w:val="bottom"/>
            <w:tcBorders>
              <w:bottom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2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Weighted average grant date fair value per share for RSUs</w:t>
            </w:r>
          </w:p>
        </w:tc>
        <w:tc>
          <w:tcPr>
            <w:tcW w:w="320" w:type="dxa"/>
            <w:vAlign w:val="bottom"/>
            <w:shd w:val="clear" w:color="auto" w:fill="D7D7D7"/>
          </w:tcPr>
          <w:p>
            <w:pPr>
              <w:spacing w:after="0"/>
              <w:rPr>
                <w:sz w:val="23"/>
                <w:szCs w:val="23"/>
                <w:color w:val="auto"/>
              </w:rPr>
            </w:pP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172.59</w:t>
            </w:r>
          </w:p>
        </w:tc>
        <w:tc>
          <w:tcPr>
            <w:tcW w:w="340" w:type="dxa"/>
            <w:vAlign w:val="bottom"/>
            <w:gridSpan w:val="2"/>
            <w:shd w:val="clear" w:color="auto" w:fill="D7D7D7"/>
          </w:tcPr>
          <w:p>
            <w:pPr>
              <w:jc w:val="right"/>
              <w:ind w:right="80"/>
              <w:spacing w:after="0"/>
              <w:rPr>
                <w:sz w:val="20"/>
                <w:szCs w:val="20"/>
                <w:color w:val="auto"/>
              </w:rPr>
            </w:pPr>
            <w:r>
              <w:rPr>
                <w:rFonts w:ascii="Arial" w:cs="Arial" w:eastAsia="Arial" w:hAnsi="Arial"/>
                <w:sz w:val="20"/>
                <w:szCs w:val="20"/>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174.39</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176.08</w:t>
            </w:r>
          </w:p>
        </w:tc>
        <w:tc>
          <w:tcPr>
            <w:tcW w:w="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120" w:type="dxa"/>
            <w:vAlign w:val="bottom"/>
            <w:gridSpan w:val="2"/>
          </w:tcPr>
          <w:p>
            <w:pPr>
              <w:ind w:left="60"/>
              <w:spacing w:after="0"/>
              <w:rPr>
                <w:sz w:val="20"/>
                <w:szCs w:val="20"/>
                <w:color w:val="auto"/>
              </w:rPr>
            </w:pPr>
            <w:r>
              <w:rPr>
                <w:rFonts w:ascii="Arial" w:cs="Arial" w:eastAsia="Arial" w:hAnsi="Arial"/>
                <w:sz w:val="20"/>
                <w:szCs w:val="20"/>
                <w:color w:val="2A2A2A"/>
              </w:rPr>
              <w:t>Total grant date fair value of shares vested for RSUs</w:t>
            </w:r>
          </w:p>
        </w:tc>
        <w:tc>
          <w:tcPr>
            <w:tcW w:w="3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2A2A2A"/>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2A2A2A"/>
              </w:rPr>
              <w:t>106</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2A2A2A"/>
              </w:rPr>
              <w:t>$</w:t>
            </w:r>
          </w:p>
        </w:tc>
        <w:tc>
          <w:tcPr>
            <w:tcW w:w="940" w:type="dxa"/>
            <w:vAlign w:val="bottom"/>
          </w:tcPr>
          <w:p>
            <w:pPr>
              <w:jc w:val="right"/>
              <w:spacing w:after="0"/>
              <w:rPr>
                <w:sz w:val="20"/>
                <w:szCs w:val="20"/>
                <w:color w:val="auto"/>
              </w:rPr>
            </w:pPr>
            <w:r>
              <w:rPr>
                <w:rFonts w:ascii="Arial" w:cs="Arial" w:eastAsia="Arial" w:hAnsi="Arial"/>
                <w:sz w:val="20"/>
                <w:szCs w:val="20"/>
                <w:color w:val="2A2A2A"/>
              </w:rPr>
              <w:t>121</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1020" w:type="dxa"/>
            <w:vAlign w:val="bottom"/>
          </w:tcPr>
          <w:p>
            <w:pPr>
              <w:jc w:val="right"/>
              <w:spacing w:after="0"/>
              <w:rPr>
                <w:sz w:val="20"/>
                <w:szCs w:val="20"/>
                <w:color w:val="auto"/>
              </w:rPr>
            </w:pPr>
            <w:r>
              <w:rPr>
                <w:rFonts w:ascii="Arial" w:cs="Arial" w:eastAsia="Arial" w:hAnsi="Arial"/>
                <w:sz w:val="20"/>
                <w:szCs w:val="20"/>
                <w:color w:val="2A2A2A"/>
              </w:rPr>
              <w:t>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2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Aggregate intrinsic value of options exercised</w:t>
            </w:r>
          </w:p>
        </w:tc>
        <w:tc>
          <w:tcPr>
            <w:tcW w:w="320" w:type="dxa"/>
            <w:vAlign w:val="bottom"/>
            <w:shd w:val="clear" w:color="auto" w:fill="D7D7D7"/>
          </w:tcPr>
          <w:p>
            <w:pPr>
              <w:spacing w:after="0"/>
              <w:rPr>
                <w:sz w:val="24"/>
                <w:szCs w:val="24"/>
                <w:color w:val="auto"/>
              </w:rPr>
            </w:pP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319</w:t>
            </w:r>
          </w:p>
        </w:tc>
        <w:tc>
          <w:tcPr>
            <w:tcW w:w="340" w:type="dxa"/>
            <w:vAlign w:val="bottom"/>
            <w:gridSpan w:val="2"/>
            <w:shd w:val="clear" w:color="auto" w:fill="D7D7D7"/>
          </w:tcPr>
          <w:p>
            <w:pPr>
              <w:jc w:val="right"/>
              <w:ind w:right="80"/>
              <w:spacing w:after="0"/>
              <w:rPr>
                <w:sz w:val="20"/>
                <w:szCs w:val="20"/>
                <w:color w:val="auto"/>
              </w:rPr>
            </w:pPr>
            <w:r>
              <w:rPr>
                <w:rFonts w:ascii="Arial" w:cs="Arial" w:eastAsia="Arial" w:hAnsi="Arial"/>
                <w:sz w:val="20"/>
                <w:szCs w:val="20"/>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336</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611</w:t>
            </w: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-1971040</wp:posOffset>
            </wp:positionV>
            <wp:extent cx="654050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-1456690</wp:posOffset>
            </wp:positionV>
            <wp:extent cx="78740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-1456690</wp:posOffset>
            </wp:positionV>
            <wp:extent cx="78740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-554990</wp:posOffset>
            </wp:positionV>
            <wp:extent cx="655002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2A2A2A"/>
        </w:rPr>
        <w:t>As of December 31, 2023, 27 million shares remain available for future issuance under these plans.</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37</w:t>
      </w:r>
    </w:p>
    <w:p>
      <w:pPr>
        <w:sectPr>
          <w:pgSz w:w="12240" w:h="15840" w:orient="portrait"/>
          <w:cols w:equalWidth="0" w:num="1">
            <w:col w:w="10280"/>
          </w:cols>
          <w:pgMar w:left="980" w:top="664" w:right="980" w:bottom="24" w:gutter="0" w:footer="0" w:header="0"/>
          <w:type w:val="continuous"/>
        </w:sectPr>
      </w:pPr>
    </w:p>
    <w:bookmarkStart w:id="43" w:name="page44"/>
    <w:bookmarkEnd w:id="43"/>
    <w:p>
      <w:pPr>
        <w:ind w:left="1"/>
        <w:spacing w:after="0"/>
        <w:rPr>
          <w:sz w:val="20"/>
          <w:szCs w:val="20"/>
          <w:color w:val="auto"/>
        </w:rPr>
      </w:pPr>
      <w:r>
        <w:rPr>
          <w:rFonts w:ascii="Arial" w:cs="Arial" w:eastAsia="Arial" w:hAnsi="Arial"/>
          <w:sz w:val="20"/>
          <w:szCs w:val="20"/>
          <w:color w:val="2A2A2A"/>
        </w:rPr>
        <w:t>Summarized information about stock options outstanding as of December 31, 2023, is as follows:</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7800" w:type="dxa"/>
            <w:vAlign w:val="bottom"/>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2320" w:type="dxa"/>
            <w:vAlign w:val="bottom"/>
            <w:tcBorders>
              <w:bottom w:val="single" w:sz="8" w:color="2A2A2A"/>
            </w:tcBorders>
            <w:gridSpan w:val="3"/>
          </w:tcPr>
          <w:p>
            <w:pPr>
              <w:jc w:val="right"/>
              <w:ind w:right="110"/>
              <w:spacing w:after="0"/>
              <w:rPr>
                <w:sz w:val="20"/>
                <w:szCs w:val="20"/>
                <w:color w:val="auto"/>
              </w:rPr>
            </w:pPr>
            <w:r>
              <w:rPr>
                <w:rFonts w:ascii="Arial" w:cs="Arial" w:eastAsia="Arial" w:hAnsi="Arial"/>
                <w:sz w:val="16"/>
                <w:szCs w:val="16"/>
                <w:b w:val="1"/>
                <w:bCs w:val="1"/>
                <w:color w:val="2A2A2A"/>
              </w:rPr>
              <w:t>Stock Options Outstanding</w:t>
            </w:r>
          </w:p>
        </w:tc>
        <w:tc>
          <w:tcPr>
            <w:tcW w:w="0" w:type="dxa"/>
            <w:vAlign w:val="bottom"/>
          </w:tcPr>
          <w:p>
            <w:pPr>
              <w:spacing w:after="0"/>
              <w:rPr>
                <w:sz w:val="1"/>
                <w:szCs w:val="1"/>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70"/>
              <w:spacing w:after="0"/>
              <w:rPr>
                <w:sz w:val="20"/>
                <w:szCs w:val="20"/>
                <w:color w:val="auto"/>
              </w:rPr>
            </w:pPr>
            <w:r>
              <w:rPr>
                <w:rFonts w:ascii="Arial" w:cs="Arial" w:eastAsia="Arial" w:hAnsi="Arial"/>
                <w:sz w:val="16"/>
                <w:szCs w:val="16"/>
                <w:b w:val="1"/>
                <w:bCs w:val="1"/>
                <w:color w:val="2A2A2A"/>
                <w:w w:val="99"/>
              </w:rPr>
              <w:t>Weighted</w:t>
            </w:r>
          </w:p>
        </w:tc>
        <w:tc>
          <w:tcPr>
            <w:tcW w:w="0" w:type="dxa"/>
            <w:vAlign w:val="bottom"/>
          </w:tcPr>
          <w:p>
            <w:pPr>
              <w:spacing w:after="0"/>
              <w:rPr>
                <w:sz w:val="1"/>
                <w:szCs w:val="1"/>
                <w:color w:val="auto"/>
              </w:rPr>
            </w:pPr>
          </w:p>
        </w:tc>
      </w:tr>
      <w:tr>
        <w:trPr>
          <w:trHeight w:val="160"/>
        </w:trPr>
        <w:tc>
          <w:tcPr>
            <w:tcW w:w="7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center"/>
              <w:ind w:right="110"/>
              <w:spacing w:after="0"/>
              <w:rPr>
                <w:sz w:val="20"/>
                <w:szCs w:val="20"/>
                <w:color w:val="auto"/>
              </w:rPr>
            </w:pPr>
            <w:r>
              <w:rPr>
                <w:rFonts w:ascii="Arial" w:cs="Arial" w:eastAsia="Arial" w:hAnsi="Arial"/>
                <w:sz w:val="16"/>
                <w:szCs w:val="16"/>
                <w:b w:val="1"/>
                <w:bCs w:val="1"/>
                <w:color w:val="2A2A2A"/>
                <w:w w:val="99"/>
              </w:rPr>
              <w:t>Number</w:t>
            </w:r>
          </w:p>
        </w:tc>
        <w:tc>
          <w:tcPr>
            <w:tcW w:w="200" w:type="dxa"/>
            <w:vAlign w:val="bottom"/>
          </w:tcPr>
          <w:p>
            <w:pPr>
              <w:spacing w:after="0"/>
              <w:rPr>
                <w:sz w:val="13"/>
                <w:szCs w:val="13"/>
                <w:color w:val="auto"/>
              </w:rPr>
            </w:pPr>
          </w:p>
        </w:tc>
        <w:tc>
          <w:tcPr>
            <w:tcW w:w="1040" w:type="dxa"/>
            <w:vAlign w:val="bottom"/>
          </w:tcPr>
          <w:p>
            <w:pPr>
              <w:jc w:val="center"/>
              <w:ind w:right="90"/>
              <w:spacing w:after="0" w:line="160" w:lineRule="exact"/>
              <w:rPr>
                <w:sz w:val="20"/>
                <w:szCs w:val="20"/>
                <w:color w:val="auto"/>
              </w:rPr>
            </w:pPr>
            <w:r>
              <w:rPr>
                <w:rFonts w:ascii="Arial" w:cs="Arial" w:eastAsia="Arial" w:hAnsi="Arial"/>
                <w:sz w:val="16"/>
                <w:szCs w:val="16"/>
                <w:b w:val="1"/>
                <w:bCs w:val="1"/>
                <w:color w:val="2A2A2A"/>
                <w:w w:val="98"/>
              </w:rPr>
              <w:t>Average</w:t>
            </w:r>
          </w:p>
        </w:tc>
        <w:tc>
          <w:tcPr>
            <w:tcW w:w="0" w:type="dxa"/>
            <w:vAlign w:val="bottom"/>
          </w:tcPr>
          <w:p>
            <w:pPr>
              <w:spacing w:after="0"/>
              <w:rPr>
                <w:sz w:val="1"/>
                <w:szCs w:val="1"/>
                <w:color w:val="auto"/>
              </w:rPr>
            </w:pPr>
          </w:p>
        </w:tc>
      </w:tr>
      <w:tr>
        <w:trPr>
          <w:trHeight w:val="160"/>
        </w:trPr>
        <w:tc>
          <w:tcPr>
            <w:tcW w:w="7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90"/>
              <w:spacing w:after="0" w:line="160" w:lineRule="exact"/>
              <w:rPr>
                <w:sz w:val="20"/>
                <w:szCs w:val="20"/>
                <w:color w:val="auto"/>
              </w:rPr>
            </w:pPr>
            <w:r>
              <w:rPr>
                <w:rFonts w:ascii="Arial" w:cs="Arial" w:eastAsia="Arial" w:hAnsi="Arial"/>
                <w:sz w:val="16"/>
                <w:szCs w:val="16"/>
                <w:b w:val="1"/>
                <w:bCs w:val="1"/>
                <w:color w:val="2A2A2A"/>
              </w:rPr>
              <w:t>Remaining</w:t>
            </w:r>
          </w:p>
        </w:tc>
        <w:tc>
          <w:tcPr>
            <w:tcW w:w="0" w:type="dxa"/>
            <w:vAlign w:val="bottom"/>
          </w:tcPr>
          <w:p>
            <w:pPr>
              <w:spacing w:after="0"/>
              <w:rPr>
                <w:sz w:val="1"/>
                <w:szCs w:val="1"/>
                <w:color w:val="auto"/>
              </w:rPr>
            </w:pPr>
          </w:p>
        </w:tc>
      </w:tr>
      <w:tr>
        <w:trPr>
          <w:trHeight w:val="160"/>
        </w:trPr>
        <w:tc>
          <w:tcPr>
            <w:tcW w:w="7800" w:type="dxa"/>
            <w:vAlign w:val="bottom"/>
            <w:vMerge w:val="restart"/>
          </w:tcPr>
          <w:p>
            <w:pPr>
              <w:ind w:left="60"/>
              <w:spacing w:after="0"/>
              <w:rPr>
                <w:sz w:val="20"/>
                <w:szCs w:val="20"/>
                <w:color w:val="auto"/>
              </w:rPr>
            </w:pPr>
            <w:r>
              <w:rPr>
                <w:rFonts w:ascii="Arial" w:cs="Arial" w:eastAsia="Arial" w:hAnsi="Arial"/>
                <w:sz w:val="16"/>
                <w:szCs w:val="16"/>
                <w:b w:val="1"/>
                <w:bCs w:val="1"/>
                <w:color w:val="2A2A2A"/>
              </w:rPr>
              <w:t>Exercise Price Range</w:t>
            </w:r>
          </w:p>
        </w:tc>
        <w:tc>
          <w:tcPr>
            <w:tcW w:w="12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rPr>
              <w:t>Outstanding</w:t>
            </w:r>
          </w:p>
        </w:tc>
        <w:tc>
          <w:tcPr>
            <w:tcW w:w="12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w w:val="98"/>
              </w:rPr>
              <w:t>Contractual</w:t>
            </w:r>
          </w:p>
        </w:tc>
        <w:tc>
          <w:tcPr>
            <w:tcW w:w="0" w:type="dxa"/>
            <w:vAlign w:val="bottom"/>
          </w:tcPr>
          <w:p>
            <w:pPr>
              <w:spacing w:after="0"/>
              <w:rPr>
                <w:sz w:val="1"/>
                <w:szCs w:val="1"/>
                <w:color w:val="auto"/>
              </w:rPr>
            </w:pPr>
          </w:p>
        </w:tc>
      </w:tr>
      <w:tr>
        <w:trPr>
          <w:trHeight w:val="214"/>
        </w:trPr>
        <w:tc>
          <w:tcPr>
            <w:tcW w:w="7800" w:type="dxa"/>
            <w:vAlign w:val="bottom"/>
            <w:tcBorders>
              <w:bottom w:val="single" w:sz="8" w:color="2A2A2A"/>
            </w:tcBorders>
            <w:vMerge w:val="continue"/>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1080" w:type="dxa"/>
            <w:vAlign w:val="bottom"/>
            <w:tcBorders>
              <w:bottom w:val="single" w:sz="8" w:color="2A2A2A"/>
            </w:tcBorders>
          </w:tcPr>
          <w:p>
            <w:pPr>
              <w:jc w:val="center"/>
              <w:ind w:right="110"/>
              <w:spacing w:after="0"/>
              <w:rPr>
                <w:sz w:val="20"/>
                <w:szCs w:val="20"/>
                <w:color w:val="auto"/>
              </w:rPr>
            </w:pPr>
            <w:r>
              <w:rPr>
                <w:rFonts w:ascii="Arial" w:cs="Arial" w:eastAsia="Arial" w:hAnsi="Arial"/>
                <w:sz w:val="16"/>
                <w:szCs w:val="16"/>
                <w:b w:val="1"/>
                <w:bCs w:val="1"/>
                <w:color w:val="2A2A2A"/>
                <w:w w:val="99"/>
              </w:rPr>
              <w:t>(Shares)</w:t>
            </w:r>
          </w:p>
        </w:tc>
        <w:tc>
          <w:tcPr>
            <w:tcW w:w="200" w:type="dxa"/>
            <w:vAlign w:val="bottom"/>
            <w:tcBorders>
              <w:bottom w:val="single" w:sz="8" w:color="2A2A2A"/>
            </w:tcBorders>
          </w:tcPr>
          <w:p>
            <w:pPr>
              <w:spacing w:after="0"/>
              <w:rPr>
                <w:sz w:val="18"/>
                <w:szCs w:val="18"/>
                <w:color w:val="auto"/>
              </w:rPr>
            </w:pPr>
          </w:p>
        </w:tc>
        <w:tc>
          <w:tcPr>
            <w:tcW w:w="1040" w:type="dxa"/>
            <w:vAlign w:val="bottom"/>
            <w:tcBorders>
              <w:bottom w:val="single" w:sz="8" w:color="2A2A2A"/>
            </w:tcBorders>
          </w:tcPr>
          <w:p>
            <w:pPr>
              <w:jc w:val="center"/>
              <w:ind w:right="90"/>
              <w:spacing w:after="0"/>
              <w:rPr>
                <w:sz w:val="20"/>
                <w:szCs w:val="20"/>
                <w:color w:val="auto"/>
              </w:rPr>
            </w:pPr>
            <w:r>
              <w:rPr>
                <w:rFonts w:ascii="Arial" w:cs="Arial" w:eastAsia="Arial" w:hAnsi="Arial"/>
                <w:sz w:val="16"/>
                <w:szCs w:val="16"/>
                <w:b w:val="1"/>
                <w:bCs w:val="1"/>
                <w:color w:val="2A2A2A"/>
                <w:w w:val="98"/>
              </w:rPr>
              <w:t>Life (Years)</w:t>
            </w:r>
          </w:p>
        </w:tc>
        <w:tc>
          <w:tcPr>
            <w:tcW w:w="0" w:type="dxa"/>
            <w:vAlign w:val="bottom"/>
          </w:tcPr>
          <w:p>
            <w:pPr>
              <w:spacing w:after="0"/>
              <w:rPr>
                <w:sz w:val="1"/>
                <w:szCs w:val="1"/>
                <w:color w:val="auto"/>
              </w:rPr>
            </w:pPr>
          </w:p>
        </w:tc>
      </w:tr>
      <w:tr>
        <w:trPr>
          <w:trHeight w:val="260"/>
        </w:trPr>
        <w:tc>
          <w:tcPr>
            <w:tcW w:w="7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$44.09 to $193.58</w:t>
            </w:r>
          </w:p>
        </w:tc>
        <w:tc>
          <w:tcPr>
            <w:tcW w:w="160" w:type="dxa"/>
            <w:vAlign w:val="bottom"/>
            <w:shd w:val="clear" w:color="auto" w:fill="D7D7D7"/>
          </w:tcPr>
          <w:p>
            <w:pPr>
              <w:spacing w:after="0"/>
              <w:rPr>
                <w:sz w:val="22"/>
                <w:szCs w:val="22"/>
                <w:color w:val="auto"/>
              </w:rPr>
            </w:pPr>
          </w:p>
        </w:tc>
        <w:tc>
          <w:tcPr>
            <w:tcW w:w="1080" w:type="dxa"/>
            <w:vAlign w:val="bottom"/>
            <w:shd w:val="clear" w:color="auto" w:fill="D7D7D7"/>
          </w:tcPr>
          <w:p>
            <w:pPr>
              <w:jc w:val="right"/>
              <w:ind w:right="30"/>
              <w:spacing w:after="0"/>
              <w:rPr>
                <w:sz w:val="20"/>
                <w:szCs w:val="20"/>
                <w:color w:val="auto"/>
              </w:rPr>
            </w:pPr>
            <w:r>
              <w:rPr>
                <w:rFonts w:ascii="Arial" w:cs="Arial" w:eastAsia="Arial" w:hAnsi="Arial"/>
                <w:sz w:val="20"/>
                <w:szCs w:val="20"/>
                <w:color w:val="2A2A2A"/>
              </w:rPr>
              <w:t>26</w:t>
            </w:r>
          </w:p>
        </w:tc>
        <w:tc>
          <w:tcPr>
            <w:tcW w:w="200" w:type="dxa"/>
            <w:vAlign w:val="bottom"/>
            <w:shd w:val="clear" w:color="auto" w:fill="D7D7D7"/>
          </w:tcPr>
          <w:p>
            <w:pPr>
              <w:spacing w:after="0"/>
              <w:rPr>
                <w:sz w:val="22"/>
                <w:szCs w:val="22"/>
                <w:color w:val="auto"/>
              </w:rPr>
            </w:pPr>
          </w:p>
        </w:tc>
        <w:tc>
          <w:tcPr>
            <w:tcW w:w="10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5.3</w:t>
            </w:r>
          </w:p>
        </w:tc>
        <w:tc>
          <w:tcPr>
            <w:tcW w:w="0" w:type="dxa"/>
            <w:vAlign w:val="bottom"/>
          </w:tcPr>
          <w:p>
            <w:pPr>
              <w:spacing w:after="0"/>
              <w:rPr>
                <w:sz w:val="1"/>
                <w:szCs w:val="1"/>
                <w:color w:val="auto"/>
              </w:rPr>
            </w:pPr>
          </w:p>
        </w:tc>
      </w:tr>
      <w:tr>
        <w:trPr>
          <w:trHeight w:val="516"/>
        </w:trPr>
        <w:tc>
          <w:tcPr>
            <w:tcW w:w="780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Options Fully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10"/>
              <w:spacing w:after="0" w:line="160" w:lineRule="exact"/>
              <w:rPr>
                <w:sz w:val="20"/>
                <w:szCs w:val="20"/>
                <w:color w:val="auto"/>
              </w:rPr>
            </w:pPr>
            <w:r>
              <w:rPr>
                <w:rFonts w:ascii="Arial" w:cs="Arial" w:eastAsia="Arial" w:hAnsi="Arial"/>
                <w:sz w:val="16"/>
                <w:szCs w:val="16"/>
                <w:b w:val="1"/>
                <w:bCs w:val="1"/>
                <w:color w:val="2A2A2A"/>
                <w:w w:val="98"/>
              </w:rPr>
              <w:t>Vested and</w:t>
            </w:r>
          </w:p>
        </w:tc>
        <w:tc>
          <w:tcPr>
            <w:tcW w:w="200" w:type="dxa"/>
            <w:vAlign w:val="bottom"/>
          </w:tcPr>
          <w:p>
            <w:pPr>
              <w:spacing w:after="0"/>
              <w:rPr>
                <w:sz w:val="13"/>
                <w:szCs w:val="13"/>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6"/>
                <w:szCs w:val="16"/>
                <w:b w:val="1"/>
                <w:bCs w:val="1"/>
                <w:color w:val="2A2A2A"/>
                <w:w w:val="99"/>
              </w:rPr>
              <w:t>Options</w:t>
            </w:r>
          </w:p>
        </w:tc>
        <w:tc>
          <w:tcPr>
            <w:tcW w:w="0" w:type="dxa"/>
            <w:vAlign w:val="bottom"/>
          </w:tcPr>
          <w:p>
            <w:pPr>
              <w:spacing w:after="0"/>
              <w:rPr>
                <w:sz w:val="1"/>
                <w:szCs w:val="1"/>
                <w:color w:val="auto"/>
              </w:rPr>
            </w:pPr>
          </w:p>
        </w:tc>
      </w:tr>
      <w:tr>
        <w:trPr>
          <w:trHeight w:val="160"/>
        </w:trPr>
        <w:tc>
          <w:tcPr>
            <w:tcW w:w="7800" w:type="dxa"/>
            <w:vAlign w:val="bottom"/>
          </w:tcPr>
          <w:p>
            <w:pPr>
              <w:spacing w:after="0"/>
              <w:rPr>
                <w:sz w:val="13"/>
                <w:szCs w:val="13"/>
                <w:color w:val="auto"/>
              </w:rPr>
            </w:pPr>
          </w:p>
        </w:tc>
        <w:tc>
          <w:tcPr>
            <w:tcW w:w="12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rPr>
              <w:t>Expected to</w:t>
            </w: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800" w:type="dxa"/>
            <w:vAlign w:val="bottom"/>
            <w:tcBorders>
              <w:bottom w:val="single" w:sz="8" w:color="2A2A2A"/>
            </w:tcBorders>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1080" w:type="dxa"/>
            <w:vAlign w:val="bottom"/>
            <w:tcBorders>
              <w:bottom w:val="single" w:sz="8" w:color="2A2A2A"/>
            </w:tcBorders>
          </w:tcPr>
          <w:p>
            <w:pPr>
              <w:jc w:val="center"/>
              <w:ind w:right="110"/>
              <w:spacing w:after="0"/>
              <w:rPr>
                <w:sz w:val="20"/>
                <w:szCs w:val="20"/>
                <w:color w:val="auto"/>
              </w:rPr>
            </w:pPr>
            <w:r>
              <w:rPr>
                <w:rFonts w:ascii="Arial" w:cs="Arial" w:eastAsia="Arial" w:hAnsi="Arial"/>
                <w:sz w:val="16"/>
                <w:szCs w:val="16"/>
                <w:b w:val="1"/>
                <w:bCs w:val="1"/>
                <w:color w:val="2A2A2A"/>
                <w:w w:val="96"/>
              </w:rPr>
              <w:t>Vest (a)</w:t>
            </w:r>
          </w:p>
        </w:tc>
        <w:tc>
          <w:tcPr>
            <w:tcW w:w="124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8"/>
              </w:rPr>
              <w:t>Exercisable</w:t>
            </w:r>
          </w:p>
        </w:tc>
        <w:tc>
          <w:tcPr>
            <w:tcW w:w="0" w:type="dxa"/>
            <w:vAlign w:val="bottom"/>
          </w:tcPr>
          <w:p>
            <w:pPr>
              <w:spacing w:after="0"/>
              <w:rPr>
                <w:sz w:val="1"/>
                <w:szCs w:val="1"/>
                <w:color w:val="auto"/>
              </w:rPr>
            </w:pPr>
          </w:p>
        </w:tc>
      </w:tr>
      <w:tr>
        <w:trPr>
          <w:trHeight w:val="260"/>
        </w:trPr>
        <w:tc>
          <w:tcPr>
            <w:tcW w:w="7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Options outstanding (shares)</w:t>
            </w:r>
          </w:p>
        </w:tc>
        <w:tc>
          <w:tcPr>
            <w:tcW w:w="160" w:type="dxa"/>
            <w:vAlign w:val="bottom"/>
            <w:shd w:val="clear" w:color="auto" w:fill="D7D7D7"/>
          </w:tcPr>
          <w:p>
            <w:pPr>
              <w:spacing w:after="0"/>
              <w:rPr>
                <w:sz w:val="22"/>
                <w:szCs w:val="22"/>
                <w:color w:val="auto"/>
              </w:rPr>
            </w:pPr>
          </w:p>
        </w:tc>
        <w:tc>
          <w:tcPr>
            <w:tcW w:w="1080" w:type="dxa"/>
            <w:vAlign w:val="bottom"/>
            <w:shd w:val="clear" w:color="auto" w:fill="D7D7D7"/>
          </w:tcPr>
          <w:p>
            <w:pPr>
              <w:jc w:val="right"/>
              <w:ind w:right="30"/>
              <w:spacing w:after="0"/>
              <w:rPr>
                <w:sz w:val="20"/>
                <w:szCs w:val="20"/>
                <w:color w:val="auto"/>
              </w:rPr>
            </w:pPr>
            <w:r>
              <w:rPr>
                <w:rFonts w:ascii="Arial" w:cs="Arial" w:eastAsia="Arial" w:hAnsi="Arial"/>
                <w:sz w:val="20"/>
                <w:szCs w:val="20"/>
                <w:color w:val="2A2A2A"/>
              </w:rPr>
              <w:t>26</w:t>
            </w:r>
          </w:p>
        </w:tc>
        <w:tc>
          <w:tcPr>
            <w:tcW w:w="200" w:type="dxa"/>
            <w:vAlign w:val="bottom"/>
            <w:shd w:val="clear" w:color="auto" w:fill="D7D7D7"/>
          </w:tcPr>
          <w:p>
            <w:pPr>
              <w:spacing w:after="0"/>
              <w:rPr>
                <w:sz w:val="22"/>
                <w:szCs w:val="22"/>
                <w:color w:val="auto"/>
              </w:rPr>
            </w:pPr>
          </w:p>
        </w:tc>
        <w:tc>
          <w:tcPr>
            <w:tcW w:w="10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w:t>
            </w:r>
          </w:p>
        </w:tc>
        <w:tc>
          <w:tcPr>
            <w:tcW w:w="0" w:type="dxa"/>
            <w:vAlign w:val="bottom"/>
          </w:tcPr>
          <w:p>
            <w:pPr>
              <w:spacing w:after="0"/>
              <w:rPr>
                <w:sz w:val="1"/>
                <w:szCs w:val="1"/>
                <w:color w:val="auto"/>
              </w:rPr>
            </w:pPr>
          </w:p>
        </w:tc>
      </w:tr>
      <w:tr>
        <w:trPr>
          <w:trHeight w:val="268"/>
        </w:trPr>
        <w:tc>
          <w:tcPr>
            <w:tcW w:w="7800" w:type="dxa"/>
            <w:vAlign w:val="bottom"/>
          </w:tcPr>
          <w:p>
            <w:pPr>
              <w:ind w:left="60"/>
              <w:spacing w:after="0"/>
              <w:rPr>
                <w:sz w:val="20"/>
                <w:szCs w:val="20"/>
                <w:color w:val="auto"/>
              </w:rPr>
            </w:pPr>
            <w:r>
              <w:rPr>
                <w:rFonts w:ascii="Arial" w:cs="Arial" w:eastAsia="Arial" w:hAnsi="Arial"/>
                <w:sz w:val="20"/>
                <w:szCs w:val="20"/>
                <w:color w:val="2A2A2A"/>
              </w:rPr>
              <w:t>Weighted average remaining contractual life (in years)</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20"/>
                <w:szCs w:val="20"/>
                <w:color w:val="2A2A2A"/>
              </w:rPr>
              <w:t>5.3</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A2A2A"/>
              </w:rPr>
              <w:t>3.9</w:t>
            </w:r>
          </w:p>
        </w:tc>
        <w:tc>
          <w:tcPr>
            <w:tcW w:w="0" w:type="dxa"/>
            <w:vAlign w:val="bottom"/>
          </w:tcPr>
          <w:p>
            <w:pPr>
              <w:spacing w:after="0"/>
              <w:rPr>
                <w:sz w:val="1"/>
                <w:szCs w:val="1"/>
                <w:color w:val="auto"/>
              </w:rPr>
            </w:pPr>
          </w:p>
        </w:tc>
      </w:tr>
      <w:tr>
        <w:trPr>
          <w:trHeight w:val="273"/>
        </w:trPr>
        <w:tc>
          <w:tcPr>
            <w:tcW w:w="7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Weighted average exercise price per share</w:t>
            </w:r>
          </w:p>
        </w:tc>
        <w:tc>
          <w:tcPr>
            <w:tcW w:w="1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30"/>
              <w:spacing w:after="0"/>
              <w:rPr>
                <w:sz w:val="20"/>
                <w:szCs w:val="20"/>
                <w:color w:val="auto"/>
              </w:rPr>
            </w:pPr>
            <w:r>
              <w:rPr>
                <w:rFonts w:ascii="Arial" w:cs="Arial" w:eastAsia="Arial" w:hAnsi="Arial"/>
                <w:sz w:val="20"/>
                <w:szCs w:val="20"/>
                <w:color w:val="2A2A2A"/>
              </w:rPr>
              <w:t>119.08</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95.21</w:t>
            </w:r>
          </w:p>
        </w:tc>
        <w:tc>
          <w:tcPr>
            <w:tcW w:w="0" w:type="dxa"/>
            <w:vAlign w:val="bottom"/>
          </w:tcPr>
          <w:p>
            <w:pPr>
              <w:spacing w:after="0"/>
              <w:rPr>
                <w:sz w:val="1"/>
                <w:szCs w:val="1"/>
                <w:color w:val="auto"/>
              </w:rPr>
            </w:pPr>
          </w:p>
        </w:tc>
      </w:tr>
      <w:tr>
        <w:trPr>
          <w:trHeight w:val="265"/>
        </w:trPr>
        <w:tc>
          <w:tcPr>
            <w:tcW w:w="7800" w:type="dxa"/>
            <w:vAlign w:val="bottom"/>
          </w:tcPr>
          <w:p>
            <w:pPr>
              <w:ind w:left="60"/>
              <w:spacing w:after="0"/>
              <w:rPr>
                <w:sz w:val="20"/>
                <w:szCs w:val="20"/>
                <w:color w:val="auto"/>
              </w:rPr>
            </w:pPr>
            <w:r>
              <w:rPr>
                <w:rFonts w:ascii="Arial" w:cs="Arial" w:eastAsia="Arial" w:hAnsi="Arial"/>
                <w:sz w:val="20"/>
                <w:szCs w:val="20"/>
                <w:color w:val="2A2A2A"/>
              </w:rPr>
              <w:t>Intrinsic value (billions)</w:t>
            </w:r>
          </w:p>
        </w:tc>
        <w:tc>
          <w:tcPr>
            <w:tcW w:w="16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30"/>
              <w:spacing w:after="0"/>
              <w:rPr>
                <w:sz w:val="20"/>
                <w:szCs w:val="20"/>
                <w:color w:val="auto"/>
              </w:rPr>
            </w:pPr>
            <w:r>
              <w:rPr>
                <w:rFonts w:ascii="Arial" w:cs="Arial" w:eastAsia="Arial" w:hAnsi="Arial"/>
                <w:sz w:val="20"/>
                <w:szCs w:val="20"/>
                <w:color w:val="2A2A2A"/>
              </w:rPr>
              <w:t>1.34</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040" w:type="dxa"/>
            <w:vAlign w:val="bottom"/>
          </w:tcPr>
          <w:p>
            <w:pPr>
              <w:jc w:val="right"/>
              <w:spacing w:after="0"/>
              <w:rPr>
                <w:sz w:val="20"/>
                <w:szCs w:val="20"/>
                <w:color w:val="auto"/>
              </w:rPr>
            </w:pPr>
            <w:r>
              <w:rPr>
                <w:rFonts w:ascii="Arial" w:cs="Arial" w:eastAsia="Arial" w:hAnsi="Arial"/>
                <w:sz w:val="20"/>
                <w:szCs w:val="20"/>
                <w:color w:val="2A2A2A"/>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-1539240</wp:posOffset>
            </wp:positionV>
            <wp:extent cx="655002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-694690</wp:posOffset>
            </wp:positionV>
            <wp:extent cx="655002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70" w:lineRule="exact"/>
        <w:rPr>
          <w:sz w:val="20"/>
          <w:szCs w:val="20"/>
          <w:color w:val="auto"/>
        </w:rPr>
      </w:pPr>
    </w:p>
    <w:p>
      <w:pPr>
        <w:ind w:left="541" w:right="260" w:hanging="541"/>
        <w:spacing w:after="0" w:line="287" w:lineRule="auto"/>
        <w:tabs>
          <w:tab w:leader="none" w:pos="541" w:val="left"/>
        </w:tabs>
        <w:numPr>
          <w:ilvl w:val="0"/>
          <w:numId w:val="22"/>
        </w:numPr>
        <w:rPr>
          <w:rFonts w:ascii="Arial" w:cs="Arial" w:eastAsia="Arial" w:hAnsi="Arial"/>
          <w:sz w:val="20"/>
          <w:szCs w:val="20"/>
          <w:color w:val="2A2A2A"/>
        </w:rPr>
      </w:pPr>
      <w:r>
        <w:rPr>
          <w:rFonts w:ascii="Arial" w:cs="Arial" w:eastAsia="Arial" w:hAnsi="Arial"/>
          <w:sz w:val="20"/>
          <w:szCs w:val="20"/>
          <w:color w:val="2A2A2A"/>
        </w:rPr>
        <w:t>Includes effects of expected forfeitures. Excluding the effects of expected forfeitures, the aggregate intrinsic value of stock options outstanding was $1.34 billion.</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Effect on shares outstanding and treasury shares</w:t>
      </w:r>
    </w:p>
    <w:p>
      <w:pPr>
        <w:spacing w:after="0" w:line="255" w:lineRule="exact"/>
        <w:rPr>
          <w:sz w:val="20"/>
          <w:szCs w:val="20"/>
          <w:color w:val="auto"/>
        </w:rPr>
      </w:pPr>
    </w:p>
    <w:p>
      <w:pPr>
        <w:ind w:left="1" w:right="500"/>
        <w:spacing w:after="0" w:line="268" w:lineRule="auto"/>
        <w:rPr>
          <w:sz w:val="20"/>
          <w:szCs w:val="20"/>
          <w:color w:val="auto"/>
        </w:rPr>
      </w:pPr>
      <w:r>
        <w:rPr>
          <w:rFonts w:ascii="Arial" w:cs="Arial" w:eastAsia="Arial" w:hAnsi="Arial"/>
          <w:sz w:val="20"/>
          <w:szCs w:val="20"/>
          <w:color w:val="2A2A2A"/>
        </w:rPr>
        <w:t>Treasury shares were acquired in connection with the board-authorized stock repurchase program. As of December 31, 2023, $21.20 billion of stock repurchase authorizations remain, and no expiration date has been specified.</w:t>
      </w:r>
    </w:p>
    <w:p>
      <w:pPr>
        <w:spacing w:after="0" w:line="190" w:lineRule="exact"/>
        <w:rPr>
          <w:sz w:val="20"/>
          <w:szCs w:val="20"/>
          <w:color w:val="auto"/>
        </w:rPr>
      </w:pPr>
    </w:p>
    <w:p>
      <w:pPr>
        <w:ind w:left="1" w:right="100"/>
        <w:spacing w:after="0" w:line="268" w:lineRule="auto"/>
        <w:rPr>
          <w:sz w:val="20"/>
          <w:szCs w:val="20"/>
          <w:color w:val="auto"/>
        </w:rPr>
      </w:pPr>
      <w:r>
        <w:rPr>
          <w:rFonts w:ascii="Arial" w:cs="Arial" w:eastAsia="Arial" w:hAnsi="Arial"/>
          <w:sz w:val="20"/>
          <w:szCs w:val="20"/>
          <w:color w:val="2A2A2A"/>
        </w:rPr>
        <w:t>Our practice is to issue shares of common stock from treasury shares upon exercise of stock options, distribution of director deferred compensation and vesting of RSUs. The following table reflects the changes in our treasury shares:</w:t>
      </w:r>
    </w:p>
    <w:p>
      <w:pPr>
        <w:spacing w:after="0" w:line="81" w:lineRule="exact"/>
        <w:rPr>
          <w:sz w:val="20"/>
          <w:szCs w:val="20"/>
          <w:color w:val="auto"/>
        </w:rPr>
      </w:pPr>
    </w:p>
    <w:p>
      <w:pPr>
        <w:ind w:left="7221"/>
        <w:spacing w:after="0"/>
        <w:rPr>
          <w:sz w:val="20"/>
          <w:szCs w:val="20"/>
          <w:color w:val="auto"/>
        </w:rPr>
      </w:pPr>
      <w:r>
        <w:rPr>
          <w:rFonts w:ascii="Arial" w:cs="Arial" w:eastAsia="Arial" w:hAnsi="Arial"/>
          <w:sz w:val="16"/>
          <w:szCs w:val="16"/>
          <w:b w:val="1"/>
          <w:bCs w:val="1"/>
          <w:color w:val="2A2A2A"/>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19050</wp:posOffset>
            </wp:positionV>
            <wp:extent cx="238125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7300" w:type="dxa"/>
            <w:vAlign w:val="bottom"/>
            <w:tcBorders>
              <w:bottom w:val="single" w:sz="8" w:color="2A2A2A"/>
            </w:tcBorders>
            <w:gridSpan w:val="2"/>
          </w:tcPr>
          <w:p>
            <w:pPr>
              <w:ind w:left="6940"/>
              <w:spacing w:after="0"/>
              <w:rPr>
                <w:sz w:val="20"/>
                <w:szCs w:val="20"/>
                <w:color w:val="auto"/>
              </w:rPr>
            </w:pPr>
            <w:r>
              <w:rPr>
                <w:rFonts w:ascii="Arial" w:cs="Arial" w:eastAsia="Arial" w:hAnsi="Arial"/>
                <w:sz w:val="16"/>
                <w:szCs w:val="16"/>
                <w:b w:val="1"/>
                <w:bCs w:val="1"/>
                <w:color w:val="2A2A2A"/>
                <w:w w:val="95"/>
              </w:rPr>
              <w:t>2023</w:t>
            </w:r>
          </w:p>
        </w:tc>
        <w:tc>
          <w:tcPr>
            <w:tcW w:w="420" w:type="dxa"/>
            <w:vAlign w:val="bottom"/>
            <w:tcBorders>
              <w:bottom w:val="single" w:sz="8" w:color="2A2A2A"/>
            </w:tcBorders>
          </w:tcPr>
          <w:p>
            <w:pPr>
              <w:spacing w:after="0"/>
              <w:rPr>
                <w:sz w:val="18"/>
                <w:szCs w:val="18"/>
                <w:color w:val="auto"/>
              </w:rPr>
            </w:pPr>
          </w:p>
        </w:tc>
        <w:tc>
          <w:tcPr>
            <w:tcW w:w="1280" w:type="dxa"/>
            <w:vAlign w:val="bottom"/>
            <w:tcBorders>
              <w:bottom w:val="single" w:sz="8" w:color="2A2A2A"/>
            </w:tcBorders>
            <w:gridSpan w:val="2"/>
          </w:tcPr>
          <w:p>
            <w:pPr>
              <w:jc w:val="right"/>
              <w:ind w:right="320"/>
              <w:spacing w:after="0"/>
              <w:rPr>
                <w:sz w:val="20"/>
                <w:szCs w:val="20"/>
                <w:color w:val="auto"/>
              </w:rPr>
            </w:pPr>
            <w:r>
              <w:rPr>
                <w:rFonts w:ascii="Arial" w:cs="Arial" w:eastAsia="Arial" w:hAnsi="Arial"/>
                <w:sz w:val="16"/>
                <w:szCs w:val="16"/>
                <w:b w:val="1"/>
                <w:bCs w:val="1"/>
                <w:color w:val="2A2A2A"/>
              </w:rPr>
              <w:t>2022</w:t>
            </w:r>
          </w:p>
        </w:tc>
        <w:tc>
          <w:tcPr>
            <w:tcW w:w="1280" w:type="dxa"/>
            <w:vAlign w:val="bottom"/>
            <w:tcBorders>
              <w:bottom w:val="single" w:sz="8" w:color="2A2A2A"/>
            </w:tcBorders>
            <w:gridSpan w:val="2"/>
          </w:tcPr>
          <w:p>
            <w:pPr>
              <w:jc w:val="right"/>
              <w:ind w:right="320"/>
              <w:spacing w:after="0"/>
              <w:rPr>
                <w:sz w:val="20"/>
                <w:szCs w:val="20"/>
                <w:color w:val="auto"/>
              </w:rPr>
            </w:pPr>
            <w:r>
              <w:rPr>
                <w:rFonts w:ascii="Arial" w:cs="Arial" w:eastAsia="Arial" w:hAnsi="Arial"/>
                <w:sz w:val="16"/>
                <w:szCs w:val="16"/>
                <w:b w:val="1"/>
                <w:bCs w:val="1"/>
                <w:color w:val="2A2A2A"/>
              </w:rPr>
              <w:t>2021</w:t>
            </w:r>
          </w:p>
        </w:tc>
      </w:tr>
      <w:tr>
        <w:trPr>
          <w:trHeight w:val="260"/>
        </w:trPr>
        <w:tc>
          <w:tcPr>
            <w:tcW w:w="730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Balance, January 1</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w w:val="95"/>
              </w:rPr>
              <w:t>835</w:t>
            </w:r>
          </w:p>
        </w:tc>
        <w:tc>
          <w:tcPr>
            <w:tcW w:w="12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817</w:t>
            </w:r>
          </w:p>
        </w:tc>
        <w:tc>
          <w:tcPr>
            <w:tcW w:w="12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821</w:t>
            </w:r>
          </w:p>
        </w:tc>
      </w:tr>
      <w:tr>
        <w:trPr>
          <w:trHeight w:val="270"/>
        </w:trPr>
        <w:tc>
          <w:tcPr>
            <w:tcW w:w="7300" w:type="dxa"/>
            <w:vAlign w:val="bottom"/>
            <w:gridSpan w:val="2"/>
          </w:tcPr>
          <w:p>
            <w:pPr>
              <w:ind w:left="60"/>
              <w:spacing w:after="0"/>
              <w:rPr>
                <w:sz w:val="20"/>
                <w:szCs w:val="20"/>
                <w:color w:val="auto"/>
              </w:rPr>
            </w:pPr>
            <w:r>
              <w:rPr>
                <w:rFonts w:ascii="Arial" w:cs="Arial" w:eastAsia="Arial" w:hAnsi="Arial"/>
                <w:sz w:val="20"/>
                <w:szCs w:val="20"/>
                <w:color w:val="2A2A2A"/>
              </w:rPr>
              <w:t>Repurchases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2</w:t>
            </w:r>
          </w:p>
        </w:tc>
        <w:tc>
          <w:tcPr>
            <w:tcW w:w="1280" w:type="dxa"/>
            <w:vAlign w:val="bottom"/>
            <w:gridSpan w:val="2"/>
          </w:tcPr>
          <w:p>
            <w:pPr>
              <w:jc w:val="right"/>
              <w:spacing w:after="0"/>
              <w:rPr>
                <w:sz w:val="20"/>
                <w:szCs w:val="20"/>
                <w:color w:val="auto"/>
              </w:rPr>
            </w:pPr>
            <w:r>
              <w:rPr>
                <w:rFonts w:ascii="Arial" w:cs="Arial" w:eastAsia="Arial" w:hAnsi="Arial"/>
                <w:sz w:val="20"/>
                <w:szCs w:val="20"/>
                <w:color w:val="2A2A2A"/>
              </w:rPr>
              <w:t>22</w:t>
            </w:r>
          </w:p>
        </w:tc>
        <w:tc>
          <w:tcPr>
            <w:tcW w:w="1280" w:type="dxa"/>
            <w:vAlign w:val="bottom"/>
            <w:gridSpan w:val="2"/>
          </w:tcPr>
          <w:p>
            <w:pPr>
              <w:jc w:val="right"/>
              <w:spacing w:after="0"/>
              <w:rPr>
                <w:sz w:val="20"/>
                <w:szCs w:val="20"/>
                <w:color w:val="auto"/>
              </w:rPr>
            </w:pPr>
            <w:r>
              <w:rPr>
                <w:rFonts w:ascii="Arial" w:cs="Arial" w:eastAsia="Arial" w:hAnsi="Arial"/>
                <w:sz w:val="20"/>
                <w:szCs w:val="20"/>
                <w:color w:val="2A2A2A"/>
              </w:rPr>
              <w:t>3</w:t>
            </w:r>
          </w:p>
        </w:tc>
      </w:tr>
      <w:tr>
        <w:trPr>
          <w:trHeight w:val="280"/>
        </w:trPr>
        <w:tc>
          <w:tcPr>
            <w:tcW w:w="730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Shares issued</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12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(4)</w:t>
            </w:r>
          </w:p>
        </w:tc>
        <w:tc>
          <w:tcPr>
            <w:tcW w:w="12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(7)</w:t>
            </w:r>
          </w:p>
        </w:tc>
      </w:tr>
      <w:tr>
        <w:trPr>
          <w:trHeight w:val="210"/>
        </w:trPr>
        <w:tc>
          <w:tcPr>
            <w:tcW w:w="6520" w:type="dxa"/>
            <w:vAlign w:val="bottom"/>
            <w:tcBorders>
              <w:top w:val="single" w:sz="8" w:color="D7D7D7"/>
            </w:tcBorders>
          </w:tcPr>
          <w:p>
            <w:pPr>
              <w:ind w:left="60"/>
              <w:spacing w:after="0" w:line="210" w:lineRule="exact"/>
              <w:rPr>
                <w:sz w:val="20"/>
                <w:szCs w:val="20"/>
                <w:color w:val="auto"/>
              </w:rPr>
            </w:pPr>
            <w:r>
              <w:rPr>
                <w:rFonts w:ascii="Arial" w:cs="Arial" w:eastAsia="Arial" w:hAnsi="Arial"/>
                <w:sz w:val="20"/>
                <w:szCs w:val="20"/>
                <w:color w:val="2A2A2A"/>
              </w:rPr>
              <w:t>Balance, December 31</w:t>
            </w:r>
          </w:p>
        </w:tc>
        <w:tc>
          <w:tcPr>
            <w:tcW w:w="780" w:type="dxa"/>
            <w:vAlign w:val="bottom"/>
            <w:tcBorders>
              <w:top w:val="single" w:sz="8" w:color="2A2A2A"/>
              <w:bottom w:val="single" w:sz="8" w:color="2A2A2A"/>
            </w:tcBorders>
          </w:tcPr>
          <w:p>
            <w:pPr>
              <w:spacing w:after="0"/>
              <w:rPr>
                <w:sz w:val="18"/>
                <w:szCs w:val="18"/>
                <w:color w:val="auto"/>
              </w:rPr>
            </w:pPr>
          </w:p>
        </w:tc>
        <w:tc>
          <w:tcPr>
            <w:tcW w:w="420" w:type="dxa"/>
            <w:vAlign w:val="bottom"/>
            <w:tcBorders>
              <w:top w:val="single" w:sz="8" w:color="2A2A2A"/>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w w:val="95"/>
              </w:rPr>
              <w:t>832</w:t>
            </w:r>
          </w:p>
        </w:tc>
        <w:tc>
          <w:tcPr>
            <w:tcW w:w="80" w:type="dxa"/>
            <w:vAlign w:val="bottom"/>
            <w:tcBorders>
              <w:top w:val="single" w:sz="8" w:color="D7D7D7"/>
            </w:tcBorders>
          </w:tcPr>
          <w:p>
            <w:pPr>
              <w:spacing w:after="0"/>
              <w:rPr>
                <w:sz w:val="18"/>
                <w:szCs w:val="18"/>
                <w:color w:val="auto"/>
              </w:rPr>
            </w:pPr>
          </w:p>
        </w:tc>
        <w:tc>
          <w:tcPr>
            <w:tcW w:w="1200" w:type="dxa"/>
            <w:vAlign w:val="bottom"/>
            <w:tcBorders>
              <w:top w:val="single" w:sz="8" w:color="2A2A2A"/>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835</w:t>
            </w:r>
          </w:p>
        </w:tc>
        <w:tc>
          <w:tcPr>
            <w:tcW w:w="80" w:type="dxa"/>
            <w:vAlign w:val="bottom"/>
            <w:tcBorders>
              <w:top w:val="single" w:sz="8" w:color="D7D7D7"/>
            </w:tcBorders>
          </w:tcPr>
          <w:p>
            <w:pPr>
              <w:spacing w:after="0"/>
              <w:rPr>
                <w:sz w:val="18"/>
                <w:szCs w:val="18"/>
                <w:color w:val="auto"/>
              </w:rPr>
            </w:pPr>
          </w:p>
        </w:tc>
        <w:tc>
          <w:tcPr>
            <w:tcW w:w="1200" w:type="dxa"/>
            <w:vAlign w:val="bottom"/>
            <w:tcBorders>
              <w:top w:val="single" w:sz="8" w:color="2A2A2A"/>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817</w:t>
            </w:r>
          </w:p>
        </w:tc>
      </w:tr>
      <w:tr>
        <w:trPr>
          <w:trHeight w:val="20"/>
        </w:trPr>
        <w:tc>
          <w:tcPr>
            <w:tcW w:w="6520" w:type="dxa"/>
            <w:vAlign w:val="bottom"/>
          </w:tcPr>
          <w:p>
            <w:pPr>
              <w:spacing w:after="0" w:line="20" w:lineRule="exact"/>
              <w:rPr>
                <w:sz w:val="1"/>
                <w:szCs w:val="1"/>
                <w:color w:val="auto"/>
              </w:rPr>
            </w:pPr>
          </w:p>
        </w:tc>
        <w:tc>
          <w:tcPr>
            <w:tcW w:w="780" w:type="dxa"/>
            <w:vAlign w:val="bottom"/>
            <w:tcBorders>
              <w:bottom w:val="single" w:sz="8" w:color="2A2A2A"/>
            </w:tcBorders>
          </w:tcPr>
          <w:p>
            <w:pPr>
              <w:spacing w:after="0" w:line="20" w:lineRule="exact"/>
              <w:rPr>
                <w:sz w:val="1"/>
                <w:szCs w:val="1"/>
                <w:color w:val="auto"/>
              </w:rPr>
            </w:pPr>
          </w:p>
        </w:tc>
        <w:tc>
          <w:tcPr>
            <w:tcW w:w="4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-716915</wp:posOffset>
            </wp:positionV>
            <wp:extent cx="655002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-202565</wp:posOffset>
            </wp:positionV>
            <wp:extent cx="24066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06650" cy="25400"/>
                    </a:xfrm>
                    <a:prstGeom prst="rect">
                      <a:avLst/>
                    </a:prstGeom>
                    <a:noFill/>
                  </pic:spPr>
                </pic:pic>
              </a:graphicData>
            </a:graphic>
          </wp:anchor>
        </w:drawing>
      </w:r>
    </w:p>
    <w:p>
      <w:pPr>
        <w:spacing w:after="0" w:line="23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effects on cash flows are as follows:</w:t>
      </w:r>
    </w:p>
    <w:p>
      <w:pPr>
        <w:spacing w:after="0" w:line="111"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2A2A2A"/>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19050</wp:posOffset>
            </wp:positionV>
            <wp:extent cx="238125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81250" cy="12700"/>
                    </a:xfrm>
                    <a:prstGeom prst="rect">
                      <a:avLst/>
                    </a:prstGeom>
                    <a:noFill/>
                  </pic:spPr>
                </pic:pic>
              </a:graphicData>
            </a:graphic>
          </wp:anchor>
        </w:drawing>
      </w:r>
    </w:p>
    <w:p>
      <w:pPr>
        <w:spacing w:after="0" w:line="66" w:lineRule="exact"/>
        <w:rPr>
          <w:sz w:val="20"/>
          <w:szCs w:val="20"/>
          <w:color w:val="auto"/>
        </w:rPr>
      </w:pPr>
    </w:p>
    <w:p>
      <w:pPr>
        <w:ind w:left="6941"/>
        <w:spacing w:after="0"/>
        <w:tabs>
          <w:tab w:leader="none" w:pos="8200" w:val="left"/>
          <w:tab w:leader="none" w:pos="9480" w:val="left"/>
        </w:tabs>
        <w:rPr>
          <w:sz w:val="20"/>
          <w:szCs w:val="20"/>
          <w:color w:val="auto"/>
        </w:rPr>
      </w:pPr>
      <w:r>
        <w:rPr>
          <w:rFonts w:ascii="Arial" w:cs="Arial" w:eastAsia="Arial" w:hAnsi="Arial"/>
          <w:sz w:val="16"/>
          <w:szCs w:val="16"/>
          <w:b w:val="1"/>
          <w:bCs w:val="1"/>
          <w:color w:val="2A2A2A"/>
        </w:rPr>
        <w:t>2023</w:t>
      </w:r>
      <w:r>
        <w:rPr>
          <w:sz w:val="20"/>
          <w:szCs w:val="20"/>
          <w:color w:val="auto"/>
        </w:rPr>
        <w:tab/>
      </w:r>
      <w:r>
        <w:rPr>
          <w:rFonts w:ascii="Arial" w:cs="Arial" w:eastAsia="Arial" w:hAnsi="Arial"/>
          <w:sz w:val="16"/>
          <w:szCs w:val="16"/>
          <w:b w:val="1"/>
          <w:bCs w:val="1"/>
          <w:color w:val="2A2A2A"/>
        </w:rPr>
        <w:t>2022</w:t>
      </w:r>
      <w:r>
        <w:rPr>
          <w:sz w:val="20"/>
          <w:szCs w:val="20"/>
          <w:color w:val="auto"/>
        </w:rPr>
        <w:tab/>
      </w:r>
      <w:r>
        <w:rPr>
          <w:rFonts w:ascii="Arial" w:cs="Arial" w:eastAsia="Arial" w:hAnsi="Arial"/>
          <w:sz w:val="16"/>
          <w:szCs w:val="16"/>
          <w:b w:val="1"/>
          <w:bCs w:val="1"/>
          <w:color w:val="2A2A2A"/>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wp:posOffset>
            </wp:positionV>
            <wp:extent cx="655002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10" w:lineRule="exact"/>
        <w:rPr>
          <w:sz w:val="20"/>
          <w:szCs w:val="20"/>
          <w:color w:val="auto"/>
        </w:rPr>
      </w:pPr>
    </w:p>
    <w:tbl>
      <w:tblPr>
        <w:tblLayout w:type="fixed"/>
        <w:tblInd w:w="1" w:type="dxa"/>
        <w:tblCellMar>
          <w:top w:w="0" w:type="dxa"/>
          <w:left w:w="0" w:type="dxa"/>
          <w:bottom w:w="0" w:type="dxa"/>
          <w:right w:w="0" w:type="dxa"/>
        </w:tblCellMar>
      </w:tblPr>
      <w:tr>
        <w:trPr>
          <w:trHeight w:val="260"/>
        </w:trPr>
        <w:tc>
          <w:tcPr>
            <w:tcW w:w="5360" w:type="dxa"/>
            <w:vAlign w:val="bottom"/>
            <w:tcBorders>
              <w:top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Proceeds from common stock transactions (a)</w:t>
            </w:r>
          </w:p>
        </w:tc>
        <w:tc>
          <w:tcPr>
            <w:tcW w:w="1640" w:type="dxa"/>
            <w:vAlign w:val="bottom"/>
            <w:tcBorders>
              <w:top w:val="single" w:sz="8" w:color="2A2A2A"/>
            </w:tcBorders>
            <w:shd w:val="clear" w:color="auto" w:fill="D7D7D7"/>
          </w:tcPr>
          <w:p>
            <w:pPr>
              <w:jc w:val="right"/>
              <w:ind w:right="220"/>
              <w:spacing w:after="0"/>
              <w:rPr>
                <w:sz w:val="20"/>
                <w:szCs w:val="20"/>
                <w:color w:val="auto"/>
              </w:rPr>
            </w:pPr>
            <w:r>
              <w:rPr>
                <w:rFonts w:ascii="Arial" w:cs="Arial" w:eastAsia="Arial" w:hAnsi="Arial"/>
                <w:sz w:val="20"/>
                <w:szCs w:val="20"/>
                <w:b w:val="1"/>
                <w:bCs w:val="1"/>
                <w:color w:val="2A2A2A"/>
              </w:rPr>
              <w:t>$</w:t>
            </w:r>
          </w:p>
        </w:tc>
        <w:tc>
          <w:tcPr>
            <w:tcW w:w="740" w:type="dxa"/>
            <w:vAlign w:val="bottom"/>
            <w:tcBorders>
              <w:top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263</w:t>
            </w:r>
          </w:p>
        </w:tc>
        <w:tc>
          <w:tcPr>
            <w:tcW w:w="540" w:type="dxa"/>
            <w:vAlign w:val="bottom"/>
            <w:tcBorders>
              <w:top w:val="single" w:sz="8" w:color="2A2A2A"/>
            </w:tcBorders>
            <w:shd w:val="clear" w:color="auto" w:fill="D7D7D7"/>
          </w:tcPr>
          <w:p>
            <w:pPr>
              <w:jc w:val="right"/>
              <w:ind w:right="220"/>
              <w:spacing w:after="0"/>
              <w:rPr>
                <w:sz w:val="20"/>
                <w:szCs w:val="20"/>
                <w:color w:val="auto"/>
              </w:rPr>
            </w:pPr>
            <w:r>
              <w:rPr>
                <w:rFonts w:ascii="Arial" w:cs="Arial" w:eastAsia="Arial" w:hAnsi="Arial"/>
                <w:sz w:val="20"/>
                <w:szCs w:val="20"/>
                <w:color w:val="2A2A2A"/>
              </w:rPr>
              <w:t>$</w:t>
            </w:r>
          </w:p>
        </w:tc>
        <w:tc>
          <w:tcPr>
            <w:tcW w:w="740" w:type="dxa"/>
            <w:vAlign w:val="bottom"/>
            <w:tcBorders>
              <w:top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241</w:t>
            </w:r>
          </w:p>
        </w:tc>
        <w:tc>
          <w:tcPr>
            <w:tcW w:w="520" w:type="dxa"/>
            <w:vAlign w:val="bottom"/>
            <w:tcBorders>
              <w:top w:val="single" w:sz="8" w:color="2A2A2A"/>
            </w:tcBorders>
            <w:shd w:val="clear" w:color="auto" w:fill="D7D7D7"/>
          </w:tcPr>
          <w:p>
            <w:pPr>
              <w:jc w:val="right"/>
              <w:ind w:right="200"/>
              <w:spacing w:after="0"/>
              <w:rPr>
                <w:sz w:val="20"/>
                <w:szCs w:val="20"/>
                <w:color w:val="auto"/>
              </w:rPr>
            </w:pPr>
            <w:r>
              <w:rPr>
                <w:rFonts w:ascii="Arial" w:cs="Arial" w:eastAsia="Arial" w:hAnsi="Arial"/>
                <w:sz w:val="20"/>
                <w:szCs w:val="20"/>
                <w:color w:val="2A2A2A"/>
              </w:rPr>
              <w:t>$</w:t>
            </w:r>
          </w:p>
        </w:tc>
        <w:tc>
          <w:tcPr>
            <w:tcW w:w="740" w:type="dxa"/>
            <w:vAlign w:val="bottom"/>
            <w:tcBorders>
              <w:top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377</w:t>
            </w:r>
          </w:p>
        </w:tc>
      </w:tr>
      <w:tr>
        <w:trPr>
          <w:trHeight w:val="275"/>
        </w:trPr>
        <w:tc>
          <w:tcPr>
            <w:tcW w:w="5360" w:type="dxa"/>
            <w:vAlign w:val="bottom"/>
          </w:tcPr>
          <w:p>
            <w:pPr>
              <w:ind w:left="60"/>
              <w:spacing w:after="0"/>
              <w:rPr>
                <w:sz w:val="20"/>
                <w:szCs w:val="20"/>
                <w:color w:val="auto"/>
              </w:rPr>
            </w:pPr>
            <w:r>
              <w:rPr>
                <w:rFonts w:ascii="Arial" w:cs="Arial" w:eastAsia="Arial" w:hAnsi="Arial"/>
                <w:sz w:val="20"/>
                <w:szCs w:val="20"/>
                <w:color w:val="2A2A2A"/>
              </w:rPr>
              <w:t>Tax benefit realized from stock compensation</w:t>
            </w: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104</w:t>
            </w:r>
          </w:p>
        </w:tc>
        <w:tc>
          <w:tcPr>
            <w:tcW w:w="5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110</w:t>
            </w: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175</w:t>
            </w:r>
          </w:p>
        </w:tc>
      </w:tr>
    </w:tbl>
    <w:p>
      <w:pPr>
        <w:spacing w:after="0" w:line="280" w:lineRule="exact"/>
        <w:rPr>
          <w:sz w:val="20"/>
          <w:szCs w:val="20"/>
          <w:color w:val="auto"/>
        </w:rPr>
      </w:pPr>
    </w:p>
    <w:p>
      <w:pPr>
        <w:ind w:left="541" w:right="240" w:hanging="541"/>
        <w:spacing w:after="0" w:line="287" w:lineRule="auto"/>
        <w:tabs>
          <w:tab w:leader="none" w:pos="541" w:val="left"/>
        </w:tabs>
        <w:numPr>
          <w:ilvl w:val="0"/>
          <w:numId w:val="23"/>
        </w:numPr>
        <w:rPr>
          <w:rFonts w:ascii="Arial" w:cs="Arial" w:eastAsia="Arial" w:hAnsi="Arial"/>
          <w:sz w:val="20"/>
          <w:szCs w:val="20"/>
          <w:color w:val="2A2A2A"/>
        </w:rPr>
      </w:pPr>
      <w:r>
        <w:rPr>
          <w:rFonts w:ascii="Arial" w:cs="Arial" w:eastAsia="Arial" w:hAnsi="Arial"/>
          <w:sz w:val="20"/>
          <w:szCs w:val="20"/>
          <w:color w:val="2A2A2A"/>
        </w:rPr>
        <w:t>Net of taxes paid for employee shares withheld of $46 million, $50 million and $53 million in 2023, 2022 and 2021, respectively.</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22"/>
          <w:szCs w:val="22"/>
          <w:color w:val="2A2A2A"/>
        </w:rPr>
        <w:t xml:space="preserve">4. </w:t>
      </w:r>
      <w:r>
        <w:rPr>
          <w:rFonts w:ascii="Arial" w:cs="Arial" w:eastAsia="Arial" w:hAnsi="Arial"/>
          <w:sz w:val="22"/>
          <w:szCs w:val="22"/>
          <w:u w:val="single" w:color="auto"/>
          <w:color w:val="2A2A2A"/>
        </w:rPr>
        <w:t>Income taxes</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Income before income taxes is comprised of the following components:</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520" w:type="dxa"/>
            <w:vAlign w:val="bottom"/>
          </w:tcPr>
          <w:p>
            <w:pPr>
              <w:spacing w:after="0"/>
              <w:rPr>
                <w:sz w:val="19"/>
                <w:szCs w:val="19"/>
                <w:color w:val="auto"/>
              </w:rPr>
            </w:pPr>
          </w:p>
        </w:tc>
        <w:tc>
          <w:tcPr>
            <w:tcW w:w="300" w:type="dxa"/>
            <w:vAlign w:val="bottom"/>
            <w:tcBorders>
              <w:bottom w:val="single" w:sz="8" w:color="2A2A2A"/>
            </w:tcBorders>
          </w:tcPr>
          <w:p>
            <w:pPr>
              <w:spacing w:after="0"/>
              <w:rPr>
                <w:sz w:val="19"/>
                <w:szCs w:val="19"/>
                <w:color w:val="auto"/>
              </w:rPr>
            </w:pPr>
          </w:p>
        </w:tc>
        <w:tc>
          <w:tcPr>
            <w:tcW w:w="3460" w:type="dxa"/>
            <w:vAlign w:val="bottom"/>
            <w:tcBorders>
              <w:bottom w:val="single" w:sz="8" w:color="2A2A2A"/>
            </w:tcBorders>
            <w:gridSpan w:val="7"/>
          </w:tcPr>
          <w:p>
            <w:pPr>
              <w:jc w:val="right"/>
              <w:ind w:right="605"/>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520" w:type="dxa"/>
            <w:vAlign w:val="bottom"/>
            <w:tcBorders>
              <w:bottom w:val="single" w:sz="8" w:color="2A2A2A"/>
            </w:tcBorders>
          </w:tcPr>
          <w:p>
            <w:pPr>
              <w:spacing w:after="0"/>
              <w:rPr>
                <w:sz w:val="21"/>
                <w:szCs w:val="21"/>
                <w:color w:val="auto"/>
              </w:rPr>
            </w:pPr>
          </w:p>
        </w:tc>
        <w:tc>
          <w:tcPr>
            <w:tcW w:w="30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tcPr>
          <w:p>
            <w:pPr>
              <w:jc w:val="right"/>
              <w:ind w:right="328"/>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30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tcPr>
          <w:p>
            <w:pPr>
              <w:jc w:val="right"/>
              <w:ind w:right="325"/>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920" w:type="dxa"/>
            <w:vAlign w:val="bottom"/>
            <w:tcBorders>
              <w:bottom w:val="single" w:sz="8" w:color="2A2A2A"/>
            </w:tcBorders>
          </w:tcPr>
          <w:p>
            <w:pPr>
              <w:jc w:val="right"/>
              <w:ind w:right="325"/>
              <w:spacing w:after="0"/>
              <w:rPr>
                <w:sz w:val="20"/>
                <w:szCs w:val="20"/>
                <w:color w:val="auto"/>
              </w:rPr>
            </w:pPr>
            <w:r>
              <w:rPr>
                <w:rFonts w:ascii="Arial" w:cs="Arial" w:eastAsia="Arial" w:hAnsi="Arial"/>
                <w:sz w:val="16"/>
                <w:szCs w:val="16"/>
                <w:b w:val="1"/>
                <w:bCs w:val="1"/>
                <w:color w:val="2A2A2A"/>
              </w:rPr>
              <w:t>2021</w:t>
            </w:r>
          </w:p>
        </w:tc>
      </w:tr>
      <w:tr>
        <w:trPr>
          <w:trHeight w:val="256"/>
        </w:trPr>
        <w:tc>
          <w:tcPr>
            <w:tcW w:w="6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w:t>
            </w:r>
          </w:p>
        </w:tc>
        <w:tc>
          <w:tcPr>
            <w:tcW w:w="300" w:type="dxa"/>
            <w:vAlign w:val="bottom"/>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6,445</w:t>
            </w:r>
          </w:p>
        </w:tc>
        <w:tc>
          <w:tcPr>
            <w:tcW w:w="3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9,122</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7,998</w:t>
            </w:r>
          </w:p>
        </w:tc>
      </w:tr>
      <w:tr>
        <w:trPr>
          <w:trHeight w:val="264"/>
        </w:trPr>
        <w:tc>
          <w:tcPr>
            <w:tcW w:w="65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Non-U.S.</w:t>
            </w:r>
          </w:p>
        </w:tc>
        <w:tc>
          <w:tcPr>
            <w:tcW w:w="30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973</w:t>
            </w:r>
          </w:p>
        </w:tc>
        <w:tc>
          <w:tcPr>
            <w:tcW w:w="80" w:type="dxa"/>
            <w:vAlign w:val="bottom"/>
            <w:tcBorders>
              <w:bottom w:val="single" w:sz="8" w:color="D7D7D7"/>
            </w:tcBorders>
          </w:tcPr>
          <w:p>
            <w:pPr>
              <w:spacing w:after="0"/>
              <w:rPr>
                <w:sz w:val="23"/>
                <w:szCs w:val="23"/>
                <w:color w:val="auto"/>
              </w:rPr>
            </w:pPr>
          </w:p>
        </w:tc>
        <w:tc>
          <w:tcPr>
            <w:tcW w:w="30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910</w:t>
            </w:r>
          </w:p>
        </w:tc>
        <w:tc>
          <w:tcPr>
            <w:tcW w:w="8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9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921</w:t>
            </w:r>
          </w:p>
        </w:tc>
      </w:tr>
      <w:tr>
        <w:trPr>
          <w:trHeight w:val="255"/>
        </w:trPr>
        <w:tc>
          <w:tcPr>
            <w:tcW w:w="65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300" w:type="dxa"/>
            <w:vAlign w:val="bottom"/>
            <w:tcBorders>
              <w:bottom w:val="single" w:sz="8" w:color="2A2A2A"/>
            </w:tcBorders>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7,418</w:t>
            </w:r>
          </w:p>
        </w:tc>
        <w:tc>
          <w:tcPr>
            <w:tcW w:w="80" w:type="dxa"/>
            <w:vAlign w:val="bottom"/>
            <w:tcBorders>
              <w:bottom w:val="single" w:sz="8" w:color="D7D7D7"/>
            </w:tcBorders>
            <w:shd w:val="clear" w:color="auto" w:fill="D7D7D7"/>
          </w:tcPr>
          <w:p>
            <w:pPr>
              <w:spacing w:after="0"/>
              <w:rPr>
                <w:sz w:val="21"/>
                <w:szCs w:val="21"/>
                <w:color w:val="auto"/>
              </w:rPr>
            </w:pPr>
          </w:p>
        </w:tc>
        <w:tc>
          <w:tcPr>
            <w:tcW w:w="300" w:type="dxa"/>
            <w:vAlign w:val="bottom"/>
            <w:tcBorders>
              <w:bottom w:val="single" w:sz="8" w:color="2A2A2A"/>
            </w:tcBorders>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10,032</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9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8,919</w:t>
            </w:r>
          </w:p>
        </w:tc>
      </w:tr>
      <w:tr>
        <w:trPr>
          <w:trHeight w:val="20"/>
        </w:trPr>
        <w:tc>
          <w:tcPr>
            <w:tcW w:w="652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D7D7D7"/>
              <w:bottom w:val="single" w:sz="8" w:color="2A2A2A"/>
            </w:tcBorders>
          </w:tcPr>
          <w:p>
            <w:pPr>
              <w:spacing w:after="0" w:line="20" w:lineRule="exact"/>
              <w:rPr>
                <w:sz w:val="1"/>
                <w:szCs w:val="1"/>
                <w:color w:val="auto"/>
              </w:rPr>
            </w:pPr>
          </w:p>
        </w:tc>
        <w:tc>
          <w:tcPr>
            <w:tcW w:w="90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300" w:type="dxa"/>
            <w:vAlign w:val="bottom"/>
            <w:tcBorders>
              <w:top w:val="single" w:sz="8" w:color="D7D7D7"/>
              <w:bottom w:val="single" w:sz="8" w:color="2A2A2A"/>
            </w:tcBorders>
          </w:tcPr>
          <w:p>
            <w:pPr>
              <w:spacing w:after="0" w:line="20" w:lineRule="exact"/>
              <w:rPr>
                <w:sz w:val="1"/>
                <w:szCs w:val="1"/>
                <w:color w:val="auto"/>
              </w:rPr>
            </w:pPr>
          </w:p>
        </w:tc>
        <w:tc>
          <w:tcPr>
            <w:tcW w:w="90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9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-544195</wp:posOffset>
            </wp:positionV>
            <wp:extent cx="655256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2565" cy="2794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-201295</wp:posOffset>
            </wp:positionV>
            <wp:extent cx="2409190"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09190" cy="2794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-42545</wp:posOffset>
            </wp:positionV>
            <wp:extent cx="240919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9190" cy="53340"/>
                    </a:xfrm>
                    <a:prstGeom prst="rect">
                      <a:avLst/>
                    </a:prstGeom>
                    <a:noFill/>
                  </pic:spPr>
                </pic:pic>
              </a:graphicData>
            </a:graphic>
          </wp:anchor>
        </w:drawing>
      </w:r>
    </w:p>
    <w:p>
      <w:pPr>
        <w:sectPr>
          <w:pgSz w:w="12240" w:h="15840" w:orient="portrait"/>
          <w:cols w:equalWidth="0" w:num="1">
            <w:col w:w="10281"/>
          </w:cols>
          <w:pgMar w:left="979"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38</w:t>
      </w:r>
    </w:p>
    <w:p>
      <w:pPr>
        <w:sectPr>
          <w:pgSz w:w="12240" w:h="15840" w:orient="portrait"/>
          <w:cols w:equalWidth="0" w:num="1">
            <w:col w:w="10281"/>
          </w:cols>
          <w:pgMar w:left="979" w:top="664" w:right="980" w:bottom="24"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color w:val="2A2A2A"/>
        </w:rPr>
        <w:t>Provision for income taxes is comprised of the following components: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240" w:type="dxa"/>
            <w:vAlign w:val="bottom"/>
            <w:tcBorders>
              <w:bottom w:val="single" w:sz="8" w:color="2A2A2A"/>
            </w:tcBorders>
          </w:tcPr>
          <w:p>
            <w:pPr>
              <w:spacing w:after="0"/>
              <w:rPr>
                <w:sz w:val="18"/>
                <w:szCs w:val="18"/>
                <w:color w:val="auto"/>
              </w:rPr>
            </w:pPr>
          </w:p>
        </w:tc>
        <w:tc>
          <w:tcPr>
            <w:tcW w:w="66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680" w:type="dxa"/>
            <w:vAlign w:val="bottom"/>
            <w:tcBorders>
              <w:bottom w:val="single" w:sz="8" w:color="2A2A2A"/>
            </w:tcBorders>
          </w:tcPr>
          <w:p>
            <w:pPr>
              <w:spacing w:after="0"/>
              <w:rPr>
                <w:sz w:val="18"/>
                <w:szCs w:val="18"/>
                <w:color w:val="auto"/>
              </w:rPr>
            </w:pPr>
          </w:p>
        </w:tc>
        <w:tc>
          <w:tcPr>
            <w:tcW w:w="6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68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2640" w:type="dxa"/>
            <w:vAlign w:val="bottom"/>
            <w:tcBorders>
              <w:bottom w:val="single" w:sz="8" w:color="2A2A2A"/>
            </w:tcBorders>
            <w:gridSpan w:val="7"/>
          </w:tcPr>
          <w:p>
            <w:pPr>
              <w:jc w:val="center"/>
              <w:ind w:right="124"/>
              <w:spacing w:after="0"/>
              <w:rPr>
                <w:sz w:val="20"/>
                <w:szCs w:val="20"/>
                <w:color w:val="auto"/>
              </w:rPr>
            </w:pPr>
            <w:r>
              <w:rPr>
                <w:rFonts w:ascii="Arial" w:cs="Arial" w:eastAsia="Arial" w:hAnsi="Arial"/>
                <w:sz w:val="16"/>
                <w:szCs w:val="16"/>
                <w:b w:val="1"/>
                <w:bCs w:val="1"/>
                <w:color w:val="2A2A2A"/>
                <w:w w:val="99"/>
              </w:rPr>
              <w:t>For Years Ended December 31,</w:t>
            </w:r>
          </w:p>
        </w:tc>
        <w:tc>
          <w:tcPr>
            <w:tcW w:w="60" w:type="dxa"/>
            <w:vAlign w:val="bottom"/>
            <w:tcBorders>
              <w:bottom w:val="single" w:sz="8" w:color="2A2A2A"/>
            </w:tcBorders>
          </w:tcPr>
          <w:p>
            <w:pPr>
              <w:spacing w:after="0"/>
              <w:rPr>
                <w:sz w:val="18"/>
                <w:szCs w:val="18"/>
                <w:color w:val="auto"/>
              </w:rPr>
            </w:pPr>
          </w:p>
        </w:tc>
        <w:tc>
          <w:tcPr>
            <w:tcW w:w="240" w:type="dxa"/>
            <w:vAlign w:val="bottom"/>
            <w:tcBorders>
              <w:bottom w:val="single" w:sz="8" w:color="2A2A2A"/>
            </w:tcBorders>
          </w:tcPr>
          <w:p>
            <w:pPr>
              <w:spacing w:after="0"/>
              <w:rPr>
                <w:sz w:val="18"/>
                <w:szCs w:val="18"/>
                <w:color w:val="auto"/>
              </w:rPr>
            </w:pPr>
          </w:p>
        </w:tc>
        <w:tc>
          <w:tcPr>
            <w:tcW w:w="66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68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680" w:type="dxa"/>
            <w:vAlign w:val="bottom"/>
            <w:tcBorders>
              <w:bottom w:val="single" w:sz="8" w:color="2A2A2A"/>
            </w:tcBorders>
          </w:tcPr>
          <w:p>
            <w:pPr>
              <w:spacing w:after="0"/>
              <w:rPr>
                <w:sz w:val="18"/>
                <w:szCs w:val="18"/>
                <w:color w:val="auto"/>
              </w:rPr>
            </w:pPr>
          </w:p>
        </w:tc>
      </w:tr>
      <w:tr>
        <w:trPr>
          <w:trHeight w:val="250"/>
        </w:trPr>
        <w:tc>
          <w:tcPr>
            <w:tcW w:w="1560" w:type="dxa"/>
            <w:vAlign w:val="bottom"/>
          </w:tcPr>
          <w:p>
            <w:pPr>
              <w:spacing w:after="0"/>
              <w:rPr>
                <w:sz w:val="21"/>
                <w:szCs w:val="21"/>
                <w:color w:val="auto"/>
              </w:rPr>
            </w:pPr>
          </w:p>
        </w:tc>
        <w:tc>
          <w:tcPr>
            <w:tcW w:w="240" w:type="dxa"/>
            <w:vAlign w:val="bottom"/>
            <w:tcBorders>
              <w:bottom w:val="single" w:sz="8" w:color="2A2A2A"/>
            </w:tcBorders>
          </w:tcPr>
          <w:p>
            <w:pPr>
              <w:spacing w:after="0"/>
              <w:rPr>
                <w:sz w:val="21"/>
                <w:szCs w:val="21"/>
                <w:color w:val="auto"/>
              </w:rPr>
            </w:pPr>
          </w:p>
        </w:tc>
        <w:tc>
          <w:tcPr>
            <w:tcW w:w="66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right"/>
              <w:ind w:right="184"/>
              <w:spacing w:after="0"/>
              <w:rPr>
                <w:sz w:val="20"/>
                <w:szCs w:val="20"/>
                <w:color w:val="auto"/>
              </w:rPr>
            </w:pPr>
            <w:r>
              <w:rPr>
                <w:rFonts w:ascii="Arial" w:cs="Arial" w:eastAsia="Arial" w:hAnsi="Arial"/>
                <w:sz w:val="16"/>
                <w:szCs w:val="16"/>
                <w:b w:val="1"/>
                <w:bCs w:val="1"/>
                <w:color w:val="2A2A2A"/>
              </w:rPr>
              <w:t>2023</w:t>
            </w:r>
          </w:p>
        </w:tc>
        <w:tc>
          <w:tcPr>
            <w:tcW w:w="6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center"/>
              <w:ind w:right="124"/>
              <w:spacing w:after="0"/>
              <w:rPr>
                <w:sz w:val="20"/>
                <w:szCs w:val="20"/>
                <w:color w:val="auto"/>
              </w:rPr>
            </w:pPr>
            <w:r>
              <w:rPr>
                <w:rFonts w:ascii="Arial" w:cs="Arial" w:eastAsia="Arial" w:hAnsi="Arial"/>
                <w:sz w:val="16"/>
                <w:szCs w:val="16"/>
                <w:b w:val="1"/>
                <w:bCs w:val="1"/>
                <w:color w:val="2A2A2A"/>
                <w:w w:val="95"/>
              </w:rPr>
              <w:t>2022</w:t>
            </w:r>
          </w:p>
        </w:tc>
        <w:tc>
          <w:tcPr>
            <w:tcW w:w="80" w:type="dxa"/>
            <w:vAlign w:val="bottom"/>
            <w:tcBorders>
              <w:bottom w:val="single" w:sz="8" w:color="2A2A2A"/>
            </w:tcBorders>
          </w:tcPr>
          <w:p>
            <w:pPr>
              <w:spacing w:after="0"/>
              <w:rPr>
                <w:sz w:val="21"/>
                <w:szCs w:val="21"/>
                <w:color w:val="auto"/>
              </w:rPr>
            </w:pPr>
          </w:p>
        </w:tc>
        <w:tc>
          <w:tcPr>
            <w:tcW w:w="200" w:type="dxa"/>
            <w:vAlign w:val="bottom"/>
            <w:tcBorders>
              <w:bottom w:val="single" w:sz="8" w:color="2A2A2A"/>
            </w:tcBorders>
          </w:tcPr>
          <w:p>
            <w:pPr>
              <w:spacing w:after="0"/>
              <w:rPr>
                <w:sz w:val="21"/>
                <w:szCs w:val="21"/>
                <w:color w:val="auto"/>
              </w:rPr>
            </w:pPr>
          </w:p>
        </w:tc>
        <w:tc>
          <w:tcPr>
            <w:tcW w:w="700" w:type="dxa"/>
            <w:vAlign w:val="bottom"/>
            <w:tcBorders>
              <w:bottom w:val="single" w:sz="8" w:color="2A2A2A"/>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2A2A2A"/>
            </w:tcBorders>
          </w:tcPr>
          <w:p>
            <w:pPr>
              <w:spacing w:after="0"/>
              <w:rPr>
                <w:sz w:val="21"/>
                <w:szCs w:val="21"/>
                <w:color w:val="auto"/>
              </w:rPr>
            </w:pPr>
          </w:p>
        </w:tc>
        <w:tc>
          <w:tcPr>
            <w:tcW w:w="66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right"/>
              <w:ind w:right="164"/>
              <w:spacing w:after="0"/>
              <w:rPr>
                <w:sz w:val="20"/>
                <w:szCs w:val="20"/>
                <w:color w:val="auto"/>
              </w:rPr>
            </w:pPr>
            <w:r>
              <w:rPr>
                <w:rFonts w:ascii="Arial" w:cs="Arial" w:eastAsia="Arial" w:hAnsi="Arial"/>
                <w:sz w:val="16"/>
                <w:szCs w:val="16"/>
                <w:b w:val="1"/>
                <w:bCs w:val="1"/>
                <w:color w:val="2A2A2A"/>
              </w:rPr>
              <w:t>2021</w:t>
            </w: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spacing w:after="0"/>
              <w:rPr>
                <w:sz w:val="21"/>
                <w:szCs w:val="21"/>
                <w:color w:val="auto"/>
              </w:rPr>
            </w:pPr>
          </w:p>
        </w:tc>
      </w:tr>
      <w:tr>
        <w:trPr>
          <w:trHeight w:val="250"/>
        </w:trPr>
        <w:tc>
          <w:tcPr>
            <w:tcW w:w="156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right"/>
              <w:ind w:right="60"/>
              <w:spacing w:after="0"/>
              <w:rPr>
                <w:sz w:val="20"/>
                <w:szCs w:val="20"/>
                <w:color w:val="auto"/>
              </w:rPr>
            </w:pPr>
            <w:r>
              <w:rPr>
                <w:rFonts w:ascii="Arial" w:cs="Arial" w:eastAsia="Arial" w:hAnsi="Arial"/>
                <w:sz w:val="16"/>
                <w:szCs w:val="16"/>
                <w:b w:val="1"/>
                <w:bCs w:val="1"/>
                <w:color w:val="2A2A2A"/>
              </w:rPr>
              <w:t>Current</w:t>
            </w:r>
          </w:p>
        </w:tc>
        <w:tc>
          <w:tcPr>
            <w:tcW w:w="8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right"/>
              <w:ind w:right="24"/>
              <w:spacing w:after="0"/>
              <w:rPr>
                <w:sz w:val="20"/>
                <w:szCs w:val="20"/>
                <w:color w:val="auto"/>
              </w:rPr>
            </w:pPr>
            <w:r>
              <w:rPr>
                <w:rFonts w:ascii="Arial" w:cs="Arial" w:eastAsia="Arial" w:hAnsi="Arial"/>
                <w:sz w:val="16"/>
                <w:szCs w:val="16"/>
                <w:b w:val="1"/>
                <w:bCs w:val="1"/>
                <w:color w:val="2A2A2A"/>
              </w:rPr>
              <w:t>Deferred</w:t>
            </w:r>
          </w:p>
        </w:tc>
        <w:tc>
          <w:tcPr>
            <w:tcW w:w="6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right"/>
              <w:ind w:right="144"/>
              <w:spacing w:after="0"/>
              <w:rPr>
                <w:sz w:val="20"/>
                <w:szCs w:val="20"/>
                <w:color w:val="auto"/>
              </w:rPr>
            </w:pPr>
            <w:r>
              <w:rPr>
                <w:rFonts w:ascii="Arial" w:cs="Arial" w:eastAsia="Arial" w:hAnsi="Arial"/>
                <w:sz w:val="16"/>
                <w:szCs w:val="16"/>
                <w:b w:val="1"/>
                <w:bCs w:val="1"/>
                <w:color w:val="2A2A2A"/>
              </w:rPr>
              <w:t>Total</w:t>
            </w:r>
          </w:p>
        </w:tc>
        <w:tc>
          <w:tcPr>
            <w:tcW w:w="8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right"/>
              <w:ind w:right="64"/>
              <w:spacing w:after="0"/>
              <w:rPr>
                <w:sz w:val="20"/>
                <w:szCs w:val="20"/>
                <w:color w:val="auto"/>
              </w:rPr>
            </w:pPr>
            <w:r>
              <w:rPr>
                <w:rFonts w:ascii="Arial" w:cs="Arial" w:eastAsia="Arial" w:hAnsi="Arial"/>
                <w:sz w:val="16"/>
                <w:szCs w:val="16"/>
                <w:b w:val="1"/>
                <w:bCs w:val="1"/>
                <w:color w:val="2A2A2A"/>
              </w:rPr>
              <w:t>Current</w:t>
            </w:r>
          </w:p>
        </w:tc>
        <w:tc>
          <w:tcPr>
            <w:tcW w:w="8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Deferred</w:t>
            </w:r>
          </w:p>
        </w:tc>
        <w:tc>
          <w:tcPr>
            <w:tcW w:w="80" w:type="dxa"/>
            <w:vAlign w:val="bottom"/>
            <w:tcBorders>
              <w:bottom w:val="single" w:sz="8" w:color="2A2A2A"/>
            </w:tcBorders>
          </w:tcPr>
          <w:p>
            <w:pPr>
              <w:spacing w:after="0"/>
              <w:rPr>
                <w:sz w:val="21"/>
                <w:szCs w:val="21"/>
                <w:color w:val="auto"/>
              </w:rPr>
            </w:pPr>
          </w:p>
        </w:tc>
        <w:tc>
          <w:tcPr>
            <w:tcW w:w="200" w:type="dxa"/>
            <w:vAlign w:val="bottom"/>
            <w:tcBorders>
              <w:bottom w:val="single" w:sz="8" w:color="2A2A2A"/>
            </w:tcBorders>
          </w:tcPr>
          <w:p>
            <w:pPr>
              <w:spacing w:after="0"/>
              <w:rPr>
                <w:sz w:val="21"/>
                <w:szCs w:val="21"/>
                <w:color w:val="auto"/>
              </w:rPr>
            </w:pPr>
          </w:p>
        </w:tc>
        <w:tc>
          <w:tcPr>
            <w:tcW w:w="700" w:type="dxa"/>
            <w:vAlign w:val="bottom"/>
            <w:tcBorders>
              <w:bottom w:val="single" w:sz="8" w:color="2A2A2A"/>
            </w:tcBorders>
          </w:tcPr>
          <w:p>
            <w:pPr>
              <w:jc w:val="right"/>
              <w:ind w:right="164"/>
              <w:spacing w:after="0"/>
              <w:rPr>
                <w:sz w:val="20"/>
                <w:szCs w:val="20"/>
                <w:color w:val="auto"/>
              </w:rPr>
            </w:pPr>
            <w:r>
              <w:rPr>
                <w:rFonts w:ascii="Arial" w:cs="Arial" w:eastAsia="Arial" w:hAnsi="Arial"/>
                <w:sz w:val="16"/>
                <w:szCs w:val="16"/>
                <w:b w:val="1"/>
                <w:bCs w:val="1"/>
                <w:color w:val="2A2A2A"/>
              </w:rPr>
              <w:t>Total</w:t>
            </w:r>
          </w:p>
        </w:tc>
        <w:tc>
          <w:tcPr>
            <w:tcW w:w="6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right"/>
              <w:ind w:right="60"/>
              <w:spacing w:after="0"/>
              <w:rPr>
                <w:sz w:val="20"/>
                <w:szCs w:val="20"/>
                <w:color w:val="auto"/>
              </w:rPr>
            </w:pPr>
            <w:r>
              <w:rPr>
                <w:rFonts w:ascii="Arial" w:cs="Arial" w:eastAsia="Arial" w:hAnsi="Arial"/>
                <w:sz w:val="16"/>
                <w:szCs w:val="16"/>
                <w:b w:val="1"/>
                <w:bCs w:val="1"/>
                <w:color w:val="2A2A2A"/>
              </w:rPr>
              <w:t>Current</w:t>
            </w:r>
          </w:p>
        </w:tc>
        <w:tc>
          <w:tcPr>
            <w:tcW w:w="8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gridSpan w:val="2"/>
          </w:tcPr>
          <w:p>
            <w:pPr>
              <w:jc w:val="right"/>
              <w:ind w:right="24"/>
              <w:spacing w:after="0"/>
              <w:rPr>
                <w:sz w:val="20"/>
                <w:szCs w:val="20"/>
                <w:color w:val="auto"/>
              </w:rPr>
            </w:pPr>
            <w:r>
              <w:rPr>
                <w:rFonts w:ascii="Arial" w:cs="Arial" w:eastAsia="Arial" w:hAnsi="Arial"/>
                <w:sz w:val="16"/>
                <w:szCs w:val="16"/>
                <w:b w:val="1"/>
                <w:bCs w:val="1"/>
                <w:color w:val="2A2A2A"/>
              </w:rPr>
              <w:t>Deferred</w:t>
            </w: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right"/>
              <w:ind w:right="164"/>
              <w:spacing w:after="0"/>
              <w:rPr>
                <w:sz w:val="20"/>
                <w:szCs w:val="20"/>
                <w:color w:val="auto"/>
              </w:rPr>
            </w:pPr>
            <w:r>
              <w:rPr>
                <w:rFonts w:ascii="Arial" w:cs="Arial" w:eastAsia="Arial" w:hAnsi="Arial"/>
                <w:sz w:val="16"/>
                <w:szCs w:val="16"/>
                <w:b w:val="1"/>
                <w:bCs w:val="1"/>
                <w:color w:val="2A2A2A"/>
              </w:rPr>
              <w:t>Total</w:t>
            </w:r>
          </w:p>
        </w:tc>
      </w:tr>
      <w:tr>
        <w:trPr>
          <w:trHeight w:val="260"/>
        </w:trPr>
        <w:tc>
          <w:tcPr>
            <w:tcW w:w="15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 federal</w:t>
            </w:r>
          </w:p>
        </w:tc>
        <w:tc>
          <w:tcPr>
            <w:tcW w:w="2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943</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(277)</w:t>
            </w:r>
          </w:p>
        </w:tc>
        <w:tc>
          <w:tcPr>
            <w:tcW w:w="28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666</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1,235</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(223)</w:t>
            </w:r>
          </w:p>
        </w:tc>
        <w:tc>
          <w:tcPr>
            <w:tcW w:w="2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1,012</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948</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(23)</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925</w:t>
            </w:r>
          </w:p>
        </w:tc>
      </w:tr>
      <w:tr>
        <w:trPr>
          <w:trHeight w:val="270"/>
        </w:trPr>
        <w:tc>
          <w:tcPr>
            <w:tcW w:w="1560" w:type="dxa"/>
            <w:vAlign w:val="bottom"/>
          </w:tcPr>
          <w:p>
            <w:pPr>
              <w:ind w:left="60"/>
              <w:spacing w:after="0"/>
              <w:rPr>
                <w:sz w:val="20"/>
                <w:szCs w:val="20"/>
                <w:color w:val="auto"/>
              </w:rPr>
            </w:pPr>
            <w:r>
              <w:rPr>
                <w:rFonts w:ascii="Arial" w:cs="Arial" w:eastAsia="Arial" w:hAnsi="Arial"/>
                <w:sz w:val="20"/>
                <w:szCs w:val="20"/>
                <w:color w:val="2A2A2A"/>
              </w:rPr>
              <w:t>Non-U.S.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2A2A2A"/>
              </w:rPr>
              <w:t>240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2A2A2A"/>
              </w:rPr>
              <w:t>(22)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2A2A2A"/>
              </w:rPr>
              <w:t>218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212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32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2A2A2A"/>
              </w:rPr>
              <w:t>244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2A2A2A"/>
              </w:rPr>
              <w:t>169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38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207</w:t>
            </w:r>
          </w:p>
        </w:tc>
      </w:tr>
      <w:tr>
        <w:trPr>
          <w:trHeight w:val="280"/>
        </w:trPr>
        <w:tc>
          <w:tcPr>
            <w:tcW w:w="156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U.S. state</w:t>
            </w:r>
          </w:p>
        </w:tc>
        <w:tc>
          <w:tcPr>
            <w:tcW w:w="240" w:type="dxa"/>
            <w:vAlign w:val="bottom"/>
            <w:tcBorders>
              <w:bottom w:val="single" w:sz="8" w:color="2A2A2A"/>
            </w:tcBorders>
            <w:shd w:val="clear" w:color="auto" w:fill="D7D7D7"/>
          </w:tcPr>
          <w:p>
            <w:pPr>
              <w:spacing w:after="0"/>
              <w:rPr>
                <w:sz w:val="24"/>
                <w:szCs w:val="24"/>
                <w:color w:val="auto"/>
              </w:rPr>
            </w:pPr>
          </w:p>
        </w:tc>
        <w:tc>
          <w:tcPr>
            <w:tcW w:w="6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24</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24</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27</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7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27</w:t>
            </w:r>
          </w:p>
        </w:tc>
        <w:tc>
          <w:tcPr>
            <w:tcW w:w="60" w:type="dxa"/>
            <w:vAlign w:val="bottom"/>
            <w:tcBorders>
              <w:bottom w:val="single" w:sz="8" w:color="D7D7D7"/>
            </w:tcBorders>
            <w:shd w:val="clear" w:color="auto" w:fill="D7D7D7"/>
          </w:tcPr>
          <w:p>
            <w:pPr>
              <w:spacing w:after="0"/>
              <w:rPr>
                <w:sz w:val="24"/>
                <w:szCs w:val="24"/>
                <w:color w:val="auto"/>
              </w:rPr>
            </w:pPr>
          </w:p>
        </w:tc>
        <w:tc>
          <w:tcPr>
            <w:tcW w:w="240" w:type="dxa"/>
            <w:vAlign w:val="bottom"/>
            <w:tcBorders>
              <w:bottom w:val="single" w:sz="8" w:color="2A2A2A"/>
            </w:tcBorders>
            <w:shd w:val="clear" w:color="auto" w:fill="D7D7D7"/>
          </w:tcPr>
          <w:p>
            <w:pPr>
              <w:spacing w:after="0"/>
              <w:rPr>
                <w:sz w:val="24"/>
                <w:szCs w:val="24"/>
                <w:color w:val="auto"/>
              </w:rPr>
            </w:pPr>
          </w:p>
        </w:tc>
        <w:tc>
          <w:tcPr>
            <w:tcW w:w="6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18</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18</w:t>
            </w:r>
          </w:p>
        </w:tc>
      </w:tr>
      <w:tr>
        <w:trPr>
          <w:trHeight w:val="210"/>
        </w:trPr>
        <w:tc>
          <w:tcPr>
            <w:tcW w:w="156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2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6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1,207</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(299)</w:t>
            </w:r>
          </w:p>
        </w:tc>
        <w:tc>
          <w:tcPr>
            <w:tcW w:w="6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908</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1,474</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(191)</w:t>
            </w:r>
          </w:p>
        </w:tc>
        <w:tc>
          <w:tcPr>
            <w:tcW w:w="80" w:type="dxa"/>
            <w:vAlign w:val="bottom"/>
          </w:tcPr>
          <w:p>
            <w:pPr>
              <w:spacing w:after="0"/>
              <w:rPr>
                <w:sz w:val="18"/>
                <w:szCs w:val="18"/>
                <w:color w:val="auto"/>
              </w:rPr>
            </w:pPr>
          </w:p>
        </w:tc>
        <w:tc>
          <w:tcPr>
            <w:tcW w:w="2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7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1,283</w:t>
            </w:r>
          </w:p>
        </w:tc>
        <w:tc>
          <w:tcPr>
            <w:tcW w:w="60" w:type="dxa"/>
            <w:vAlign w:val="bottom"/>
          </w:tcPr>
          <w:p>
            <w:pPr>
              <w:spacing w:after="0"/>
              <w:rPr>
                <w:sz w:val="18"/>
                <w:szCs w:val="18"/>
                <w:color w:val="auto"/>
              </w:rPr>
            </w:pPr>
          </w:p>
        </w:tc>
        <w:tc>
          <w:tcPr>
            <w:tcW w:w="2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6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1,135</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15</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6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1,150</w:t>
            </w:r>
          </w:p>
        </w:tc>
      </w:tr>
      <w:tr>
        <w:trPr>
          <w:trHeight w:val="20"/>
        </w:trPr>
        <w:tc>
          <w:tcPr>
            <w:tcW w:w="1560" w:type="dxa"/>
            <w:vAlign w:val="bottom"/>
          </w:tcPr>
          <w:p>
            <w:pPr>
              <w:spacing w:after="0" w:line="20" w:lineRule="exact"/>
              <w:rPr>
                <w:sz w:val="1"/>
                <w:szCs w:val="1"/>
                <w:color w:val="auto"/>
              </w:rPr>
            </w:pPr>
          </w:p>
        </w:tc>
        <w:tc>
          <w:tcPr>
            <w:tcW w:w="240" w:type="dxa"/>
            <w:vAlign w:val="bottom"/>
            <w:tcBorders>
              <w:bottom w:val="single" w:sz="8" w:color="2A2A2A"/>
            </w:tcBorders>
          </w:tcPr>
          <w:p>
            <w:pPr>
              <w:spacing w:after="0" w:line="20" w:lineRule="exact"/>
              <w:rPr>
                <w:sz w:val="1"/>
                <w:szCs w:val="1"/>
                <w:color w:val="auto"/>
              </w:rPr>
            </w:pPr>
          </w:p>
        </w:tc>
        <w:tc>
          <w:tcPr>
            <w:tcW w:w="6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A2A2A"/>
            </w:tcBorders>
          </w:tcPr>
          <w:p>
            <w:pPr>
              <w:spacing w:after="0" w:line="20" w:lineRule="exact"/>
              <w:rPr>
                <w:sz w:val="1"/>
                <w:szCs w:val="1"/>
                <w:color w:val="auto"/>
              </w:rPr>
            </w:pPr>
          </w:p>
        </w:tc>
        <w:tc>
          <w:tcPr>
            <w:tcW w:w="70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A2A2A"/>
            </w:tcBorders>
          </w:tcPr>
          <w:p>
            <w:pPr>
              <w:spacing w:after="0" w:line="20" w:lineRule="exact"/>
              <w:rPr>
                <w:sz w:val="1"/>
                <w:szCs w:val="1"/>
                <w:color w:val="auto"/>
              </w:rPr>
            </w:pPr>
          </w:p>
        </w:tc>
        <w:tc>
          <w:tcPr>
            <w:tcW w:w="6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68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-716915</wp:posOffset>
            </wp:positionV>
            <wp:extent cx="654050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-202565</wp:posOffset>
            </wp:positionV>
            <wp:extent cx="554990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49900" cy="25400"/>
                    </a:xfrm>
                    <a:prstGeom prst="rect">
                      <a:avLst/>
                    </a:prstGeom>
                    <a:noFill/>
                  </pic:spPr>
                </pic:pic>
              </a:graphicData>
            </a:graphic>
          </wp:anchor>
        </w:drawing>
      </w:r>
    </w:p>
    <w:p>
      <w:pPr>
        <w:spacing w:after="0" w:line="235" w:lineRule="exact"/>
        <w:rPr>
          <w:sz w:val="20"/>
          <w:szCs w:val="20"/>
          <w:color w:val="auto"/>
        </w:rPr>
      </w:pPr>
    </w:p>
    <w:p>
      <w:pPr>
        <w:ind w:right="500"/>
        <w:spacing w:after="0" w:line="287" w:lineRule="auto"/>
        <w:rPr>
          <w:sz w:val="20"/>
          <w:szCs w:val="20"/>
          <w:color w:val="auto"/>
        </w:rPr>
      </w:pPr>
      <w:r>
        <w:rPr>
          <w:rFonts w:ascii="Arial" w:cs="Arial" w:eastAsia="Arial" w:hAnsi="Arial"/>
          <w:sz w:val="20"/>
          <w:szCs w:val="20"/>
          <w:color w:val="2A2A2A"/>
        </w:rPr>
        <w:t>Principal reconciling items from the U.S. statutory income tax rate to the effective tax rate (provision for income taxes as a percentage of income before income taxes)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20" w:type="dxa"/>
            <w:vAlign w:val="bottom"/>
          </w:tcPr>
          <w:p>
            <w:pPr>
              <w:spacing w:after="0"/>
              <w:rPr>
                <w:sz w:val="18"/>
                <w:szCs w:val="18"/>
                <w:color w:val="auto"/>
              </w:rPr>
            </w:pPr>
          </w:p>
        </w:tc>
        <w:tc>
          <w:tcPr>
            <w:tcW w:w="3440" w:type="dxa"/>
            <w:vAlign w:val="bottom"/>
            <w:tcBorders>
              <w:bottom w:val="single" w:sz="8" w:color="2A2A2A"/>
            </w:tcBorders>
            <w:gridSpan w:val="5"/>
          </w:tcPr>
          <w:p>
            <w:pPr>
              <w:jc w:val="right"/>
              <w:ind w:right="440"/>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spacing w:after="0"/>
              <w:rPr>
                <w:sz w:val="21"/>
                <w:szCs w:val="21"/>
                <w:color w:val="auto"/>
              </w:rPr>
            </w:pPr>
          </w:p>
        </w:tc>
        <w:tc>
          <w:tcPr>
            <w:tcW w:w="1100" w:type="dxa"/>
            <w:vAlign w:val="bottom"/>
            <w:tcBorders>
              <w:bottom w:val="single" w:sz="8" w:color="2A2A2A"/>
            </w:tcBorders>
          </w:tcPr>
          <w:p>
            <w:pPr>
              <w:jc w:val="right"/>
              <w:ind w:right="284"/>
              <w:spacing w:after="0"/>
              <w:rPr>
                <w:sz w:val="20"/>
                <w:szCs w:val="20"/>
                <w:color w:val="auto"/>
              </w:rPr>
            </w:pPr>
            <w:r>
              <w:rPr>
                <w:rFonts w:ascii="Arial" w:cs="Arial" w:eastAsia="Arial" w:hAnsi="Arial"/>
                <w:sz w:val="16"/>
                <w:szCs w:val="16"/>
                <w:b w:val="1"/>
                <w:bCs w:val="1"/>
                <w:color w:val="2A2A2A"/>
              </w:rPr>
              <w:t>2023</w:t>
            </w:r>
          </w:p>
        </w:tc>
        <w:tc>
          <w:tcPr>
            <w:tcW w:w="1160" w:type="dxa"/>
            <w:vAlign w:val="bottom"/>
            <w:tcBorders>
              <w:bottom w:val="single" w:sz="8" w:color="2A2A2A"/>
            </w:tcBorders>
            <w:gridSpan w:val="2"/>
          </w:tcPr>
          <w:p>
            <w:pPr>
              <w:jc w:val="right"/>
              <w:ind w:right="260"/>
              <w:spacing w:after="0"/>
              <w:rPr>
                <w:sz w:val="20"/>
                <w:szCs w:val="20"/>
                <w:color w:val="auto"/>
              </w:rPr>
            </w:pPr>
            <w:r>
              <w:rPr>
                <w:rFonts w:ascii="Arial" w:cs="Arial" w:eastAsia="Arial" w:hAnsi="Arial"/>
                <w:sz w:val="16"/>
                <w:szCs w:val="16"/>
                <w:b w:val="1"/>
                <w:bCs w:val="1"/>
                <w:color w:val="2A2A2A"/>
              </w:rPr>
              <w:t>2022</w:t>
            </w:r>
          </w:p>
        </w:tc>
        <w:tc>
          <w:tcPr>
            <w:tcW w:w="1180" w:type="dxa"/>
            <w:vAlign w:val="bottom"/>
            <w:tcBorders>
              <w:bottom w:val="single" w:sz="8" w:color="2A2A2A"/>
            </w:tcBorders>
            <w:gridSpan w:val="2"/>
          </w:tcPr>
          <w:p>
            <w:pPr>
              <w:jc w:val="right"/>
              <w:ind w:right="280"/>
              <w:spacing w:after="0"/>
              <w:rPr>
                <w:sz w:val="20"/>
                <w:szCs w:val="20"/>
                <w:color w:val="auto"/>
              </w:rPr>
            </w:pPr>
            <w:r>
              <w:rPr>
                <w:rFonts w:ascii="Arial" w:cs="Arial" w:eastAsia="Arial" w:hAnsi="Arial"/>
                <w:sz w:val="16"/>
                <w:szCs w:val="16"/>
                <w:b w:val="1"/>
                <w:bCs w:val="1"/>
                <w:color w:val="2A2A2A"/>
              </w:rPr>
              <w:t>2021</w:t>
            </w: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 statutory income tax rate</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21.0%</w:t>
            </w:r>
          </w:p>
        </w:tc>
        <w:tc>
          <w:tcPr>
            <w:tcW w:w="116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21.0%</w:t>
            </w:r>
          </w:p>
        </w:tc>
        <w:tc>
          <w:tcPr>
            <w:tcW w:w="118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21.0%</w:t>
            </w: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Foreign derived intangible income</w:t>
            </w:r>
          </w:p>
        </w:tc>
        <w:tc>
          <w:tcPr>
            <w:tcW w:w="1100" w:type="dxa"/>
            <w:vAlign w:val="bottom"/>
          </w:tcPr>
          <w:p>
            <w:pPr>
              <w:jc w:val="right"/>
              <w:ind w:right="24"/>
              <w:spacing w:after="0"/>
              <w:rPr>
                <w:sz w:val="20"/>
                <w:szCs w:val="20"/>
                <w:color w:val="auto"/>
              </w:rPr>
            </w:pPr>
            <w:r>
              <w:rPr>
                <w:rFonts w:ascii="Arial" w:cs="Arial" w:eastAsia="Arial" w:hAnsi="Arial"/>
                <w:sz w:val="20"/>
                <w:szCs w:val="20"/>
                <w:b w:val="1"/>
                <w:bCs w:val="1"/>
                <w:color w:val="2A2A2A"/>
              </w:rPr>
              <w:t>(6.8)</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2A2A2A"/>
              </w:rPr>
              <w:t>(7.0)</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2A2A2A"/>
              </w:rPr>
              <w:t>(6.1)</w:t>
            </w: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R&amp;D tax credit</w:t>
            </w:r>
          </w:p>
        </w:tc>
        <w:tc>
          <w:tcPr>
            <w:tcW w:w="1100" w:type="dxa"/>
            <w:vAlign w:val="bottom"/>
            <w:shd w:val="clear" w:color="auto" w:fill="D7D7D7"/>
          </w:tcPr>
          <w:p>
            <w:pPr>
              <w:jc w:val="right"/>
              <w:ind w:right="24"/>
              <w:spacing w:after="0"/>
              <w:rPr>
                <w:sz w:val="20"/>
                <w:szCs w:val="20"/>
                <w:color w:val="auto"/>
              </w:rPr>
            </w:pPr>
            <w:r>
              <w:rPr>
                <w:rFonts w:ascii="Arial" w:cs="Arial" w:eastAsia="Arial" w:hAnsi="Arial"/>
                <w:sz w:val="20"/>
                <w:szCs w:val="20"/>
                <w:b w:val="1"/>
                <w:bCs w:val="1"/>
                <w:color w:val="2A2A2A"/>
              </w:rPr>
              <w:t>(1.3)</w:t>
            </w:r>
          </w:p>
        </w:tc>
        <w:tc>
          <w:tcPr>
            <w:tcW w:w="11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(0.9)</w:t>
            </w:r>
          </w:p>
        </w:tc>
        <w:tc>
          <w:tcPr>
            <w:tcW w:w="118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(0.9)</w:t>
            </w: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Stock compensation</w:t>
            </w:r>
          </w:p>
        </w:tc>
        <w:tc>
          <w:tcPr>
            <w:tcW w:w="1100" w:type="dxa"/>
            <w:vAlign w:val="bottom"/>
          </w:tcPr>
          <w:p>
            <w:pPr>
              <w:jc w:val="right"/>
              <w:ind w:right="24"/>
              <w:spacing w:after="0"/>
              <w:rPr>
                <w:sz w:val="20"/>
                <w:szCs w:val="20"/>
                <w:color w:val="auto"/>
              </w:rPr>
            </w:pPr>
            <w:r>
              <w:rPr>
                <w:rFonts w:ascii="Arial" w:cs="Arial" w:eastAsia="Arial" w:hAnsi="Arial"/>
                <w:sz w:val="20"/>
                <w:szCs w:val="20"/>
                <w:b w:val="1"/>
                <w:bCs w:val="1"/>
                <w:color w:val="2A2A2A"/>
              </w:rPr>
              <w:t>(1.0)</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2A2A2A"/>
              </w:rPr>
              <w:t>(0.7)</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2A2A2A"/>
              </w:rPr>
              <w:t>(1.5)</w:t>
            </w: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Changes in uncertain tax positions</w:t>
            </w:r>
          </w:p>
        </w:tc>
        <w:tc>
          <w:tcPr>
            <w:tcW w:w="1100" w:type="dxa"/>
            <w:vAlign w:val="bottom"/>
            <w:shd w:val="clear" w:color="auto" w:fill="D7D7D7"/>
          </w:tcPr>
          <w:p>
            <w:pPr>
              <w:jc w:val="right"/>
              <w:ind w:right="104"/>
              <w:spacing w:after="0"/>
              <w:rPr>
                <w:sz w:val="20"/>
                <w:szCs w:val="20"/>
                <w:color w:val="auto"/>
              </w:rPr>
            </w:pPr>
            <w:r>
              <w:rPr>
                <w:rFonts w:ascii="Arial" w:cs="Arial" w:eastAsia="Arial" w:hAnsi="Arial"/>
                <w:sz w:val="20"/>
                <w:szCs w:val="20"/>
                <w:b w:val="1"/>
                <w:bCs w:val="1"/>
                <w:color w:val="2A2A2A"/>
              </w:rPr>
              <w:t>—</w:t>
            </w:r>
          </w:p>
        </w:tc>
        <w:tc>
          <w:tcPr>
            <w:tcW w:w="1160" w:type="dxa"/>
            <w:vAlign w:val="bottom"/>
            <w:gridSpan w:val="2"/>
            <w:shd w:val="clear" w:color="auto" w:fill="D7D7D7"/>
          </w:tcPr>
          <w:p>
            <w:pPr>
              <w:jc w:val="right"/>
              <w:ind w:right="80"/>
              <w:spacing w:after="0"/>
              <w:rPr>
                <w:sz w:val="20"/>
                <w:szCs w:val="20"/>
                <w:color w:val="auto"/>
              </w:rPr>
            </w:pPr>
            <w:r>
              <w:rPr>
                <w:rFonts w:ascii="Arial" w:cs="Arial" w:eastAsia="Arial" w:hAnsi="Arial"/>
                <w:sz w:val="20"/>
                <w:szCs w:val="20"/>
                <w:color w:val="2A2A2A"/>
              </w:rPr>
              <w:t>0.1</w:t>
            </w:r>
          </w:p>
        </w:tc>
        <w:tc>
          <w:tcPr>
            <w:tcW w:w="118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(0.2)</w:t>
            </w:r>
          </w:p>
        </w:tc>
      </w:tr>
      <w:tr>
        <w:trPr>
          <w:trHeight w:val="260"/>
        </w:trPr>
        <w:tc>
          <w:tcPr>
            <w:tcW w:w="6820" w:type="dxa"/>
            <w:vAlign w:val="bottom"/>
          </w:tcPr>
          <w:p>
            <w:pPr>
              <w:ind w:left="60"/>
              <w:spacing w:after="0"/>
              <w:rPr>
                <w:sz w:val="20"/>
                <w:szCs w:val="20"/>
                <w:color w:val="auto"/>
              </w:rPr>
            </w:pPr>
            <w:r>
              <w:rPr>
                <w:rFonts w:ascii="Arial" w:cs="Arial" w:eastAsia="Arial" w:hAnsi="Arial"/>
                <w:sz w:val="20"/>
                <w:szCs w:val="20"/>
                <w:color w:val="2A2A2A"/>
              </w:rPr>
              <w:t>Other</w:t>
            </w:r>
          </w:p>
        </w:tc>
        <w:tc>
          <w:tcPr>
            <w:tcW w:w="1100" w:type="dxa"/>
            <w:vAlign w:val="bottom"/>
          </w:tcPr>
          <w:p>
            <w:pPr>
              <w:jc w:val="right"/>
              <w:ind w:right="104"/>
              <w:spacing w:after="0"/>
              <w:rPr>
                <w:sz w:val="20"/>
                <w:szCs w:val="20"/>
                <w:color w:val="auto"/>
              </w:rPr>
            </w:pPr>
            <w:r>
              <w:rPr>
                <w:rFonts w:ascii="Arial" w:cs="Arial" w:eastAsia="Arial" w:hAnsi="Arial"/>
                <w:sz w:val="20"/>
                <w:szCs w:val="20"/>
                <w:b w:val="1"/>
                <w:bCs w:val="1"/>
                <w:color w:val="2A2A2A"/>
              </w:rPr>
              <w:t>0.3</w:t>
            </w:r>
          </w:p>
        </w:tc>
        <w:tc>
          <w:tcPr>
            <w:tcW w:w="1160" w:type="dxa"/>
            <w:vAlign w:val="bottom"/>
            <w:gridSpan w:val="2"/>
          </w:tcPr>
          <w:p>
            <w:pPr>
              <w:jc w:val="right"/>
              <w:ind w:right="80"/>
              <w:spacing w:after="0"/>
              <w:rPr>
                <w:sz w:val="20"/>
                <w:szCs w:val="20"/>
                <w:color w:val="auto"/>
              </w:rPr>
            </w:pPr>
            <w:r>
              <w:rPr>
                <w:rFonts w:ascii="Arial" w:cs="Arial" w:eastAsia="Arial" w:hAnsi="Arial"/>
                <w:sz w:val="20"/>
                <w:szCs w:val="20"/>
                <w:color w:val="2A2A2A"/>
              </w:rPr>
              <w:t>0.3</w:t>
            </w: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2A2A2A"/>
              </w:rPr>
              <w:t>0.6</w:t>
            </w:r>
          </w:p>
        </w:tc>
      </w:tr>
      <w:tr>
        <w:trPr>
          <w:trHeight w:val="255"/>
        </w:trPr>
        <w:tc>
          <w:tcPr>
            <w:tcW w:w="6820" w:type="dxa"/>
            <w:vAlign w:val="bottom"/>
            <w:tcBorders>
              <w:top w:val="single" w:sz="8" w:color="D7D7D7"/>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Effective tax rate</w:t>
            </w:r>
          </w:p>
        </w:tc>
        <w:tc>
          <w:tcPr>
            <w:tcW w:w="110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12.2%</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108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12.8%</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110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12.9%</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110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0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10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-1231265</wp:posOffset>
            </wp:positionV>
            <wp:extent cx="654050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-202565</wp:posOffset>
            </wp:positionV>
            <wp:extent cx="220662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-43815</wp:posOffset>
            </wp:positionV>
            <wp:extent cx="220662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06625" cy="25400"/>
                    </a:xfrm>
                    <a:prstGeom prst="rect">
                      <a:avLst/>
                    </a:prstGeom>
                    <a:noFill/>
                  </pic:spPr>
                </pic:pic>
              </a:graphicData>
            </a:graphic>
          </wp:anchor>
        </w:drawing>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2A2A2A"/>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2023, we have no basis differences that would result in material unrecognized deferred tax liabilities.</w:t>
      </w:r>
    </w:p>
    <w:p>
      <w:pPr>
        <w:spacing w:after="0" w:line="206" w:lineRule="exact"/>
        <w:rPr>
          <w:sz w:val="20"/>
          <w:szCs w:val="20"/>
          <w:color w:val="auto"/>
        </w:rPr>
      </w:pPr>
    </w:p>
    <w:p>
      <w:pPr>
        <w:ind w:right="720"/>
        <w:spacing w:after="0" w:line="287" w:lineRule="auto"/>
        <w:rPr>
          <w:sz w:val="20"/>
          <w:szCs w:val="20"/>
          <w:color w:val="auto"/>
        </w:rPr>
      </w:pPr>
      <w:r>
        <w:rPr>
          <w:rFonts w:ascii="Arial" w:cs="Arial" w:eastAsia="Arial" w:hAnsi="Arial"/>
          <w:sz w:val="20"/>
          <w:szCs w:val="20"/>
          <w:color w:val="2A2A2A"/>
        </w:rPr>
        <w:t>We have made an allowable policy election to account for the effects of GILTI as a component of income tax expense in the period in which the tax is incurred.</w:t>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39</w:t>
      </w:r>
    </w:p>
    <w:p>
      <w:pPr>
        <w:sectPr>
          <w:pgSz w:w="12240" w:h="15840" w:orient="portrait"/>
          <w:cols w:equalWidth="0" w:num="1">
            <w:col w:w="10260"/>
          </w:cols>
          <w:pgMar w:left="980" w:top="664" w:right="1000" w:bottom="24"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color w:val="2A2A2A"/>
        </w:rPr>
        <w:t>The primary components of deferred tax assets and liabilities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21"/>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2"/>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2022</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Deferred tax assets:</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Capitalized R&amp;D</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750</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380</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Accrued expenses</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236</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182</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Deferred loss and tax credit carryforwards</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205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201</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Stock compensation</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163</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132</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Inventories and related reserves</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88</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Retirement costs for defined benefit and retiree health care</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37</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43</w:t>
            </w:r>
          </w:p>
        </w:tc>
      </w:tr>
      <w:tr>
        <w:trPr>
          <w:trHeight w:val="260"/>
        </w:trPr>
        <w:tc>
          <w:tcPr>
            <w:tcW w:w="80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47</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36</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deferred tax assets, before valuation allowance</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1,542</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1,062</w:t>
            </w:r>
          </w:p>
        </w:tc>
      </w:tr>
      <w:tr>
        <w:trPr>
          <w:trHeight w:val="26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Valuation allowance</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(198)</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(189)</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deferred tax assets, after valuation allowance</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1,344</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873</w:t>
            </w:r>
          </w:p>
        </w:tc>
      </w:tr>
      <w:tr>
        <w:trPr>
          <w:trHeight w:val="268"/>
        </w:trPr>
        <w:tc>
          <w:tcPr>
            <w:tcW w:w="8000" w:type="dxa"/>
            <w:vAlign w:val="bottom"/>
          </w:tcPr>
          <w:p>
            <w:pPr>
              <w:ind w:left="60"/>
              <w:spacing w:after="0"/>
              <w:rPr>
                <w:sz w:val="20"/>
                <w:szCs w:val="20"/>
                <w:color w:val="auto"/>
              </w:rPr>
            </w:pPr>
            <w:r>
              <w:rPr>
                <w:rFonts w:ascii="Arial" w:cs="Arial" w:eastAsia="Arial" w:hAnsi="Arial"/>
                <w:sz w:val="20"/>
                <w:szCs w:val="20"/>
                <w:color w:val="2A2A2A"/>
              </w:rPr>
              <w:t>Deferred tax liabilities:</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3"/>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Property, plant and equipment</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(592)</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(410)</w:t>
            </w: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International earnings</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(33)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(35)</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Acquisition-related intangibles and fair-value adjustments</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(14)</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w:t>
            </w:r>
          </w:p>
        </w:tc>
      </w:tr>
      <w:tr>
        <w:trPr>
          <w:trHeight w:val="260"/>
        </w:trPr>
        <w:tc>
          <w:tcPr>
            <w:tcW w:w="80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(11)</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(8)</w:t>
            </w:r>
          </w:p>
        </w:tc>
      </w:tr>
      <w:tr>
        <w:trPr>
          <w:trHeight w:val="270"/>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deferred tax liabilities</w:t>
            </w:r>
          </w:p>
        </w:tc>
        <w:tc>
          <w:tcPr>
            <w:tcW w:w="260" w:type="dxa"/>
            <w:vAlign w:val="bottom"/>
            <w:tcBorders>
              <w:bottom w:val="single" w:sz="8" w:color="2A2A2A"/>
            </w:tcBorders>
            <w:shd w:val="clear" w:color="auto" w:fill="D7D7D7"/>
          </w:tcPr>
          <w:p>
            <w:pPr>
              <w:spacing w:after="0"/>
              <w:rPr>
                <w:sz w:val="23"/>
                <w:szCs w:val="23"/>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(650)</w:t>
            </w:r>
          </w:p>
        </w:tc>
        <w:tc>
          <w:tcPr>
            <w:tcW w:w="80" w:type="dxa"/>
            <w:vAlign w:val="bottom"/>
            <w:tcBorders>
              <w:bottom w:val="single" w:sz="8" w:color="D7D7D7"/>
            </w:tcBorders>
            <w:shd w:val="clear" w:color="auto" w:fill="D7D7D7"/>
          </w:tcPr>
          <w:p>
            <w:pPr>
              <w:spacing w:after="0"/>
              <w:rPr>
                <w:sz w:val="23"/>
                <w:szCs w:val="23"/>
                <w:color w:val="auto"/>
              </w:rPr>
            </w:pPr>
          </w:p>
        </w:tc>
        <w:tc>
          <w:tcPr>
            <w:tcW w:w="280" w:type="dxa"/>
            <w:vAlign w:val="bottom"/>
            <w:tcBorders>
              <w:bottom w:val="single" w:sz="8" w:color="2A2A2A"/>
            </w:tcBorders>
            <w:shd w:val="clear" w:color="auto" w:fill="D7D7D7"/>
          </w:tcPr>
          <w:p>
            <w:pPr>
              <w:spacing w:after="0"/>
              <w:rPr>
                <w:sz w:val="23"/>
                <w:szCs w:val="23"/>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(466)</w:t>
            </w:r>
          </w:p>
        </w:tc>
      </w:tr>
      <w:tr>
        <w:trPr>
          <w:trHeight w:val="210"/>
        </w:trPr>
        <w:tc>
          <w:tcPr>
            <w:tcW w:w="8000" w:type="dxa"/>
            <w:vAlign w:val="bottom"/>
          </w:tcPr>
          <w:p>
            <w:pPr>
              <w:ind w:left="60"/>
              <w:spacing w:after="0" w:line="210" w:lineRule="exact"/>
              <w:rPr>
                <w:sz w:val="20"/>
                <w:szCs w:val="20"/>
                <w:color w:val="auto"/>
              </w:rPr>
            </w:pPr>
            <w:r>
              <w:rPr>
                <w:rFonts w:ascii="Arial" w:cs="Arial" w:eastAsia="Arial" w:hAnsi="Arial"/>
                <w:sz w:val="20"/>
                <w:szCs w:val="20"/>
                <w:color w:val="2A2A2A"/>
              </w:rPr>
              <w:t>Net deferred tax asset</w:t>
            </w: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694</w:t>
            </w:r>
          </w:p>
        </w:tc>
        <w:tc>
          <w:tcPr>
            <w:tcW w:w="80" w:type="dxa"/>
            <w:vAlign w:val="bottom"/>
          </w:tcPr>
          <w:p>
            <w:pPr>
              <w:spacing w:after="0"/>
              <w:rPr>
                <w:sz w:val="18"/>
                <w:szCs w:val="18"/>
                <w:color w:val="auto"/>
              </w:rPr>
            </w:pP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407</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-3117215</wp:posOffset>
            </wp:positionV>
            <wp:extent cx="654050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-1745615</wp:posOffset>
            </wp:positionV>
            <wp:extent cx="146367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-1402715</wp:posOffset>
            </wp:positionV>
            <wp:extent cx="146367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-374015</wp:posOffset>
            </wp:positionV>
            <wp:extent cx="146367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2A2A2A"/>
        </w:rPr>
        <w:t>The deferred tax assets and liabilities based on tax jurisdictions are presented on our Consolidated Balance Sheets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25"/>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8"/>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2022</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Deferred tax assets</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757</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473</w:t>
            </w:r>
          </w:p>
        </w:tc>
      </w:tr>
      <w:tr>
        <w:trPr>
          <w:trHeight w:val="26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Deferred tax liabilities</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(63)</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(66)</w:t>
            </w:r>
          </w:p>
        </w:tc>
      </w:tr>
      <w:tr>
        <w:trPr>
          <w:trHeight w:val="255"/>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Net deferred tax asset</w:t>
            </w: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694</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407</w:t>
            </w:r>
          </w:p>
        </w:tc>
      </w:tr>
      <w:tr>
        <w:trPr>
          <w:trHeight w:val="20"/>
        </w:trPr>
        <w:tc>
          <w:tcPr>
            <w:tcW w:w="800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-545465</wp:posOffset>
            </wp:positionV>
            <wp:extent cx="654050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-43815</wp:posOffset>
            </wp:positionV>
            <wp:extent cx="146367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2A2A2A"/>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$9 million in 2023, increased $1 million in 2022 and increased $9 million in 2021. These changes had no impact to net income in 2023, 2022 or 2021.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2A2A2A"/>
        </w:rPr>
        <w:t>We have no material tax loss carryforwards as of December 31, 2023.</w:t>
      </w:r>
    </w:p>
    <w:p>
      <w:pPr>
        <w:spacing w:after="0" w:line="250" w:lineRule="exact"/>
        <w:rPr>
          <w:sz w:val="20"/>
          <w:szCs w:val="20"/>
          <w:color w:val="auto"/>
        </w:rPr>
      </w:pPr>
    </w:p>
    <w:p>
      <w:pPr>
        <w:ind w:right="340"/>
        <w:spacing w:after="0" w:line="287" w:lineRule="auto"/>
        <w:rPr>
          <w:sz w:val="20"/>
          <w:szCs w:val="20"/>
          <w:color w:val="auto"/>
        </w:rPr>
      </w:pPr>
      <w:r>
        <w:rPr>
          <w:rFonts w:ascii="Arial" w:cs="Arial" w:eastAsia="Arial" w:hAnsi="Arial"/>
          <w:sz w:val="20"/>
          <w:szCs w:val="20"/>
          <w:color w:val="2A2A2A"/>
        </w:rPr>
        <w:t>Cash payments made for income taxes, net of refunds, were $1.35 billion, $1.48 billion and $1.20 billion in 2023,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Uncertain tax positions</w:t>
      </w: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A2A2A"/>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40</w:t>
      </w:r>
    </w:p>
    <w:p>
      <w:pPr>
        <w:sectPr>
          <w:pgSz w:w="12240" w:h="15840" w:orient="portrait"/>
          <w:cols w:equalWidth="0" w:num="1">
            <w:col w:w="10260"/>
          </w:cols>
          <w:pgMar w:left="980" w:top="664" w:right="1000" w:bottom="24" w:gutter="0" w:footer="0" w:header="0"/>
          <w:type w:val="continuous"/>
        </w:sectPr>
      </w:pPr>
    </w:p>
    <w:bookmarkStart w:id="46" w:name="page47"/>
    <w:bookmarkEnd w:id="46"/>
    <w:p>
      <w:pPr>
        <w:ind w:left="1"/>
        <w:spacing w:after="0"/>
        <w:rPr>
          <w:sz w:val="20"/>
          <w:szCs w:val="20"/>
          <w:color w:val="auto"/>
        </w:rPr>
      </w:pPr>
      <w:r>
        <w:rPr>
          <w:rFonts w:ascii="Arial" w:cs="Arial" w:eastAsia="Arial" w:hAnsi="Arial"/>
          <w:sz w:val="20"/>
          <w:szCs w:val="20"/>
          <w:color w:val="2A2A2A"/>
        </w:rPr>
        <w:t>The changes in the total amounts of uncertain tax positions are as follows:</w:t>
      </w:r>
    </w:p>
    <w:p>
      <w:pPr>
        <w:spacing w:after="0" w:line="103"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6820" w:type="dxa"/>
            <w:vAlign w:val="bottom"/>
            <w:tcBorders>
              <w:bottom w:val="single" w:sz="8" w:color="2A2A2A"/>
            </w:tcBorders>
          </w:tcPr>
          <w:p>
            <w:pPr>
              <w:spacing w:after="0"/>
              <w:rPr>
                <w:sz w:val="19"/>
                <w:szCs w:val="19"/>
                <w:color w:val="auto"/>
              </w:rPr>
            </w:pPr>
          </w:p>
        </w:tc>
        <w:tc>
          <w:tcPr>
            <w:tcW w:w="76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2023</w:t>
            </w:r>
          </w:p>
        </w:tc>
        <w:tc>
          <w:tcPr>
            <w:tcW w:w="34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gridSpan w:val="2"/>
          </w:tcPr>
          <w:p>
            <w:pPr>
              <w:jc w:val="right"/>
              <w:spacing w:after="0"/>
              <w:rPr>
                <w:sz w:val="20"/>
                <w:szCs w:val="20"/>
                <w:color w:val="auto"/>
              </w:rPr>
            </w:pPr>
            <w:r>
              <w:rPr>
                <w:rFonts w:ascii="Arial" w:cs="Arial" w:eastAsia="Arial" w:hAnsi="Arial"/>
                <w:sz w:val="16"/>
                <w:szCs w:val="16"/>
                <w:b w:val="1"/>
                <w:bCs w:val="1"/>
                <w:color w:val="2A2A2A"/>
              </w:rPr>
              <w:t>2022</w:t>
            </w:r>
          </w:p>
        </w:tc>
        <w:tc>
          <w:tcPr>
            <w:tcW w:w="320" w:type="dxa"/>
            <w:vAlign w:val="bottom"/>
            <w:tcBorders>
              <w:bottom w:val="single" w:sz="8" w:color="2A2A2A"/>
            </w:tcBorders>
          </w:tcPr>
          <w:p>
            <w:pPr>
              <w:spacing w:after="0"/>
              <w:rPr>
                <w:sz w:val="19"/>
                <w:szCs w:val="19"/>
                <w:color w:val="auto"/>
              </w:rPr>
            </w:pPr>
          </w:p>
        </w:tc>
        <w:tc>
          <w:tcPr>
            <w:tcW w:w="80" w:type="dxa"/>
            <w:vAlign w:val="bottom"/>
            <w:tcBorders>
              <w:bottom w:val="single" w:sz="8" w:color="2A2A2A"/>
            </w:tcBorders>
          </w:tcPr>
          <w:p>
            <w:pPr>
              <w:spacing w:after="0"/>
              <w:rPr>
                <w:sz w:val="19"/>
                <w:szCs w:val="19"/>
                <w:color w:val="auto"/>
              </w:rPr>
            </w:pPr>
          </w:p>
        </w:tc>
        <w:tc>
          <w:tcPr>
            <w:tcW w:w="280" w:type="dxa"/>
            <w:vAlign w:val="bottom"/>
            <w:tcBorders>
              <w:bottom w:val="single" w:sz="8" w:color="2A2A2A"/>
            </w:tcBorders>
          </w:tcPr>
          <w:p>
            <w:pPr>
              <w:spacing w:after="0"/>
              <w:rPr>
                <w:sz w:val="19"/>
                <w:szCs w:val="19"/>
                <w:color w:val="auto"/>
              </w:rPr>
            </w:pPr>
          </w:p>
        </w:tc>
        <w:tc>
          <w:tcPr>
            <w:tcW w:w="820" w:type="dxa"/>
            <w:vAlign w:val="bottom"/>
            <w:tcBorders>
              <w:bottom w:val="single" w:sz="8" w:color="2A2A2A"/>
            </w:tcBorders>
          </w:tcPr>
          <w:p>
            <w:pPr>
              <w:jc w:val="right"/>
              <w:ind w:right="282"/>
              <w:spacing w:after="0"/>
              <w:rPr>
                <w:sz w:val="20"/>
                <w:szCs w:val="20"/>
                <w:color w:val="auto"/>
              </w:rPr>
            </w:pPr>
            <w:r>
              <w:rPr>
                <w:rFonts w:ascii="Arial" w:cs="Arial" w:eastAsia="Arial" w:hAnsi="Arial"/>
                <w:sz w:val="16"/>
                <w:szCs w:val="16"/>
                <w:b w:val="1"/>
                <w:bCs w:val="1"/>
                <w:color w:val="2A2A2A"/>
              </w:rPr>
              <w:t>2021</w:t>
            </w: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Balance, January 1</w:t>
            </w:r>
          </w:p>
        </w:tc>
        <w:tc>
          <w:tcPr>
            <w:tcW w:w="760" w:type="dxa"/>
            <w:vAlign w:val="bottom"/>
            <w:shd w:val="clear" w:color="auto" w:fill="D7D7D7"/>
          </w:tcPr>
          <w:p>
            <w:pPr>
              <w:jc w:val="right"/>
              <w:ind w:right="504"/>
              <w:spacing w:after="0"/>
              <w:rPr>
                <w:sz w:val="20"/>
                <w:szCs w:val="20"/>
                <w:color w:val="auto"/>
              </w:rPr>
            </w:pPr>
            <w:r>
              <w:rPr>
                <w:rFonts w:ascii="Arial" w:cs="Arial" w:eastAsia="Arial" w:hAnsi="Arial"/>
                <w:sz w:val="20"/>
                <w:szCs w:val="20"/>
                <w:b w:val="1"/>
                <w:bCs w:val="1"/>
                <w:color w:val="2A2A2A"/>
              </w:rPr>
              <w:t>$</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82</w:t>
            </w:r>
          </w:p>
        </w:tc>
        <w:tc>
          <w:tcPr>
            <w:tcW w:w="840" w:type="dxa"/>
            <w:vAlign w:val="bottom"/>
            <w:gridSpan w:val="2"/>
            <w:shd w:val="clear" w:color="auto" w:fill="D7D7D7"/>
          </w:tcPr>
          <w:p>
            <w:pPr>
              <w:jc w:val="right"/>
              <w:ind w:right="500"/>
              <w:spacing w:after="0"/>
              <w:rPr>
                <w:sz w:val="20"/>
                <w:szCs w:val="20"/>
                <w:color w:val="auto"/>
              </w:rPr>
            </w:pPr>
            <w:r>
              <w:rPr>
                <w:rFonts w:ascii="Arial" w:cs="Arial" w:eastAsia="Arial" w:hAnsi="Arial"/>
                <w:sz w:val="20"/>
                <w:szCs w:val="20"/>
                <w:color w:val="2A2A2A"/>
              </w:rPr>
              <w:t>$</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w w:val="98"/>
              </w:rPr>
              <w:t>69</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89</w:t>
            </w: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Additions based on tax positions related to the current year</w:t>
            </w:r>
          </w:p>
        </w:tc>
        <w:tc>
          <w:tcPr>
            <w:tcW w:w="7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2A2A2A"/>
              </w:rPr>
              <w:t>3</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2A2A2A"/>
              </w:rPr>
              <w:t>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2</w:t>
            </w: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Additions for tax positions of prior years</w:t>
            </w:r>
          </w:p>
        </w:tc>
        <w:tc>
          <w:tcPr>
            <w:tcW w:w="760" w:type="dxa"/>
            <w:vAlign w:val="bottom"/>
            <w:shd w:val="clear" w:color="auto" w:fill="D7D7D7"/>
          </w:tcPr>
          <w:p>
            <w:pPr>
              <w:spacing w:after="0"/>
              <w:rPr>
                <w:sz w:val="23"/>
                <w:szCs w:val="23"/>
                <w:color w:val="auto"/>
              </w:rPr>
            </w:pP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760" w:type="dxa"/>
            <w:vAlign w:val="bottom"/>
            <w:shd w:val="clear" w:color="auto" w:fill="D7D7D7"/>
          </w:tcPr>
          <w:p>
            <w:pPr>
              <w:spacing w:after="0"/>
              <w:rPr>
                <w:sz w:val="23"/>
                <w:szCs w:val="23"/>
                <w:color w:val="auto"/>
              </w:rPr>
            </w:pP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w w:val="98"/>
              </w:rPr>
              <w:t>10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w:t>
            </w:r>
          </w:p>
        </w:tc>
      </w:tr>
      <w:tr>
        <w:trPr>
          <w:trHeight w:val="270"/>
        </w:trPr>
        <w:tc>
          <w:tcPr>
            <w:tcW w:w="6820" w:type="dxa"/>
            <w:vAlign w:val="bottom"/>
          </w:tcPr>
          <w:p>
            <w:pPr>
              <w:ind w:left="60"/>
              <w:spacing w:after="0"/>
              <w:rPr>
                <w:sz w:val="20"/>
                <w:szCs w:val="20"/>
                <w:color w:val="auto"/>
              </w:rPr>
            </w:pPr>
            <w:r>
              <w:rPr>
                <w:rFonts w:ascii="Arial" w:cs="Arial" w:eastAsia="Arial" w:hAnsi="Arial"/>
                <w:sz w:val="20"/>
                <w:szCs w:val="20"/>
                <w:color w:val="2A2A2A"/>
              </w:rPr>
              <w:t>Reductions for tax positions of prior years</w:t>
            </w:r>
          </w:p>
        </w:tc>
        <w:tc>
          <w:tcPr>
            <w:tcW w:w="7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2A2A2A"/>
              </w:rPr>
              <w:t>(3)</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(6)</w:t>
            </w:r>
          </w:p>
        </w:tc>
      </w:tr>
      <w:tr>
        <w:trPr>
          <w:trHeight w:val="27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Settlements with tax authorities</w:t>
            </w:r>
          </w:p>
        </w:tc>
        <w:tc>
          <w:tcPr>
            <w:tcW w:w="760" w:type="dxa"/>
            <w:vAlign w:val="bottom"/>
            <w:shd w:val="clear" w:color="auto" w:fill="D7D7D7"/>
          </w:tcPr>
          <w:p>
            <w:pPr>
              <w:spacing w:after="0"/>
              <w:rPr>
                <w:sz w:val="23"/>
                <w:szCs w:val="23"/>
                <w:color w:val="auto"/>
              </w:rPr>
            </w:pP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760" w:type="dxa"/>
            <w:vAlign w:val="bottom"/>
            <w:shd w:val="clear" w:color="auto" w:fill="D7D7D7"/>
          </w:tcPr>
          <w:p>
            <w:pPr>
              <w:spacing w:after="0"/>
              <w:rPr>
                <w:sz w:val="23"/>
                <w:szCs w:val="23"/>
                <w:color w:val="auto"/>
              </w:rPr>
            </w:pP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(23)</w:t>
            </w:r>
          </w:p>
        </w:tc>
      </w:tr>
      <w:tr>
        <w:trPr>
          <w:trHeight w:val="260"/>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Expiration of the statute of limitations for assessing taxes</w:t>
            </w:r>
          </w:p>
        </w:tc>
        <w:tc>
          <w:tcPr>
            <w:tcW w:w="760" w:type="dxa"/>
            <w:vAlign w:val="bottom"/>
            <w:tcBorders>
              <w:bottom w:val="single" w:sz="8" w:color="2A2A2A"/>
            </w:tcBorders>
          </w:tcPr>
          <w:p>
            <w:pPr>
              <w:spacing w:after="0"/>
              <w:rPr>
                <w:sz w:val="22"/>
                <w:szCs w:val="22"/>
                <w:color w:val="auto"/>
              </w:rPr>
            </w:pPr>
          </w:p>
        </w:tc>
        <w:tc>
          <w:tcPr>
            <w:tcW w:w="3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760" w:type="dxa"/>
            <w:vAlign w:val="bottom"/>
            <w:tcBorders>
              <w:bottom w:val="single" w:sz="8" w:color="2A2A2A"/>
            </w:tcBorders>
          </w:tcPr>
          <w:p>
            <w:pPr>
              <w:spacing w:after="0"/>
              <w:rPr>
                <w:sz w:val="22"/>
                <w:szCs w:val="22"/>
                <w:color w:val="auto"/>
              </w:rPr>
            </w:pPr>
          </w:p>
        </w:tc>
        <w:tc>
          <w:tcPr>
            <w:tcW w:w="3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Balance, December 31</w:t>
            </w:r>
          </w:p>
        </w:tc>
        <w:tc>
          <w:tcPr>
            <w:tcW w:w="760" w:type="dxa"/>
            <w:vAlign w:val="bottom"/>
            <w:tcBorders>
              <w:bottom w:val="single" w:sz="8" w:color="2A2A2A"/>
            </w:tcBorders>
            <w:shd w:val="clear" w:color="auto" w:fill="D7D7D7"/>
          </w:tcPr>
          <w:p>
            <w:pPr>
              <w:jc w:val="right"/>
              <w:ind w:right="504"/>
              <w:spacing w:after="0"/>
              <w:rPr>
                <w:sz w:val="20"/>
                <w:szCs w:val="20"/>
                <w:color w:val="auto"/>
              </w:rPr>
            </w:pPr>
            <w:r>
              <w:rPr>
                <w:rFonts w:ascii="Arial" w:cs="Arial" w:eastAsia="Arial" w:hAnsi="Arial"/>
                <w:sz w:val="20"/>
                <w:szCs w:val="20"/>
                <w:b w:val="1"/>
                <w:bCs w:val="1"/>
                <w:color w:val="2A2A2A"/>
              </w:rPr>
              <w:t>$</w:t>
            </w:r>
          </w:p>
        </w:tc>
        <w:tc>
          <w:tcPr>
            <w:tcW w:w="3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82</w:t>
            </w:r>
          </w:p>
        </w:tc>
        <w:tc>
          <w:tcPr>
            <w:tcW w:w="80" w:type="dxa"/>
            <w:vAlign w:val="bottom"/>
            <w:tcBorders>
              <w:bottom w:val="single" w:sz="8" w:color="D7D7D7"/>
            </w:tcBorders>
            <w:shd w:val="clear" w:color="auto" w:fill="D7D7D7"/>
          </w:tcPr>
          <w:p>
            <w:pPr>
              <w:spacing w:after="0"/>
              <w:rPr>
                <w:sz w:val="21"/>
                <w:szCs w:val="21"/>
                <w:color w:val="auto"/>
              </w:rPr>
            </w:pPr>
          </w:p>
        </w:tc>
        <w:tc>
          <w:tcPr>
            <w:tcW w:w="760" w:type="dxa"/>
            <w:vAlign w:val="bottom"/>
            <w:tcBorders>
              <w:bottom w:val="single" w:sz="8" w:color="2A2A2A"/>
            </w:tcBorders>
            <w:shd w:val="clear" w:color="auto" w:fill="D7D7D7"/>
          </w:tcPr>
          <w:p>
            <w:pPr>
              <w:jc w:val="right"/>
              <w:ind w:right="500"/>
              <w:spacing w:after="0"/>
              <w:rPr>
                <w:sz w:val="20"/>
                <w:szCs w:val="20"/>
                <w:color w:val="auto"/>
              </w:rPr>
            </w:pPr>
            <w:r>
              <w:rPr>
                <w:rFonts w:ascii="Arial" w:cs="Arial" w:eastAsia="Arial" w:hAnsi="Arial"/>
                <w:sz w:val="20"/>
                <w:szCs w:val="20"/>
                <w:color w:val="2A2A2A"/>
              </w:rPr>
              <w:t>$</w:t>
            </w:r>
          </w:p>
        </w:tc>
        <w:tc>
          <w:tcPr>
            <w:tcW w:w="3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w w:val="98"/>
              </w:rPr>
              <w:t>82</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69</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D7D7D7"/>
              <w:bottom w:val="single" w:sz="8" w:color="2A2A2A"/>
            </w:tcBorders>
          </w:tcPr>
          <w:p>
            <w:pPr>
              <w:spacing w:after="0" w:line="20" w:lineRule="exact"/>
              <w:rPr>
                <w:sz w:val="1"/>
                <w:szCs w:val="1"/>
                <w:color w:val="auto"/>
              </w:rPr>
            </w:pPr>
          </w:p>
        </w:tc>
        <w:tc>
          <w:tcPr>
            <w:tcW w:w="34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D7D7D7"/>
              <w:bottom w:val="single" w:sz="8" w:color="2A2A2A"/>
            </w:tcBorders>
          </w:tcPr>
          <w:p>
            <w:pPr>
              <w:spacing w:after="0" w:line="20" w:lineRule="exact"/>
              <w:rPr>
                <w:sz w:val="1"/>
                <w:szCs w:val="1"/>
                <w:color w:val="auto"/>
              </w:rPr>
            </w:pPr>
          </w:p>
        </w:tc>
        <w:tc>
          <w:tcPr>
            <w:tcW w:w="3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r>
        <w:trPr>
          <w:trHeight w:val="205"/>
        </w:trPr>
        <w:tc>
          <w:tcPr>
            <w:tcW w:w="6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Interest expense recognized in the year ended December 31</w:t>
            </w:r>
          </w:p>
        </w:tc>
        <w:tc>
          <w:tcPr>
            <w:tcW w:w="760" w:type="dxa"/>
            <w:vAlign w:val="bottom"/>
            <w:shd w:val="clear" w:color="auto" w:fill="D7D7D7"/>
          </w:tcPr>
          <w:p>
            <w:pPr>
              <w:jc w:val="right"/>
              <w:ind w:right="504"/>
              <w:spacing w:after="0"/>
              <w:rPr>
                <w:sz w:val="20"/>
                <w:szCs w:val="20"/>
                <w:color w:val="auto"/>
              </w:rPr>
            </w:pPr>
            <w:r>
              <w:rPr>
                <w:rFonts w:ascii="Arial" w:cs="Arial" w:eastAsia="Arial" w:hAnsi="Arial"/>
                <w:sz w:val="20"/>
                <w:szCs w:val="20"/>
                <w:b w:val="1"/>
                <w:bCs w:val="1"/>
                <w:color w:val="2A2A2A"/>
              </w:rPr>
              <w:t>$</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(9)</w:t>
            </w:r>
          </w:p>
        </w:tc>
        <w:tc>
          <w:tcPr>
            <w:tcW w:w="840" w:type="dxa"/>
            <w:vAlign w:val="bottom"/>
            <w:gridSpan w:val="2"/>
            <w:shd w:val="clear" w:color="auto" w:fill="D7D7D7"/>
          </w:tcPr>
          <w:p>
            <w:pPr>
              <w:jc w:val="right"/>
              <w:ind w:right="500"/>
              <w:spacing w:after="0"/>
              <w:rPr>
                <w:sz w:val="20"/>
                <w:szCs w:val="20"/>
                <w:color w:val="auto"/>
              </w:rPr>
            </w:pPr>
            <w:r>
              <w:rPr>
                <w:rFonts w:ascii="Arial" w:cs="Arial" w:eastAsia="Arial" w:hAnsi="Arial"/>
                <w:sz w:val="20"/>
                <w:szCs w:val="20"/>
                <w:color w:val="2A2A2A"/>
              </w:rPr>
              <w:t>$</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3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3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r>
      <w:tr>
        <w:trPr>
          <w:trHeight w:val="205"/>
        </w:trPr>
        <w:tc>
          <w:tcPr>
            <w:tcW w:w="6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60"/>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Interest payable as of December 31</w:t>
            </w:r>
          </w:p>
        </w:tc>
        <w:tc>
          <w:tcPr>
            <w:tcW w:w="760" w:type="dxa"/>
            <w:vAlign w:val="bottom"/>
            <w:shd w:val="clear" w:color="auto" w:fill="D7D7D7"/>
          </w:tcPr>
          <w:p>
            <w:pPr>
              <w:jc w:val="right"/>
              <w:ind w:right="504"/>
              <w:spacing w:after="0"/>
              <w:rPr>
                <w:sz w:val="20"/>
                <w:szCs w:val="20"/>
                <w:color w:val="auto"/>
              </w:rPr>
            </w:pPr>
            <w:r>
              <w:rPr>
                <w:rFonts w:ascii="Arial" w:cs="Arial" w:eastAsia="Arial" w:hAnsi="Arial"/>
                <w:sz w:val="20"/>
                <w:szCs w:val="20"/>
                <w:b w:val="1"/>
                <w:bCs w:val="1"/>
                <w:color w:val="2A2A2A"/>
              </w:rPr>
              <w:t>$</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10</w:t>
            </w:r>
          </w:p>
        </w:tc>
        <w:tc>
          <w:tcPr>
            <w:tcW w:w="840" w:type="dxa"/>
            <w:vAlign w:val="bottom"/>
            <w:gridSpan w:val="2"/>
            <w:shd w:val="clear" w:color="auto" w:fill="D7D7D7"/>
          </w:tcPr>
          <w:p>
            <w:pPr>
              <w:jc w:val="right"/>
              <w:ind w:right="500"/>
              <w:spacing w:after="0"/>
              <w:rPr>
                <w:sz w:val="20"/>
                <w:szCs w:val="20"/>
                <w:color w:val="auto"/>
              </w:rPr>
            </w:pPr>
            <w:r>
              <w:rPr>
                <w:rFonts w:ascii="Arial" w:cs="Arial" w:eastAsia="Arial" w:hAnsi="Arial"/>
                <w:sz w:val="20"/>
                <w:szCs w:val="20"/>
                <w:color w:val="2A2A2A"/>
              </w:rPr>
              <w:t>$</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3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760" w:type="dxa"/>
            <w:vAlign w:val="bottom"/>
            <w:tcBorders>
              <w:top w:val="single" w:sz="8" w:color="2A2A2A"/>
              <w:bottom w:val="single" w:sz="8" w:color="2A2A2A"/>
            </w:tcBorders>
          </w:tcPr>
          <w:p>
            <w:pPr>
              <w:spacing w:after="0" w:line="20" w:lineRule="exact"/>
              <w:rPr>
                <w:sz w:val="1"/>
                <w:szCs w:val="1"/>
                <w:color w:val="auto"/>
              </w:rPr>
            </w:pPr>
          </w:p>
        </w:tc>
        <w:tc>
          <w:tcPr>
            <w:tcW w:w="3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-869315</wp:posOffset>
            </wp:positionV>
            <wp:extent cx="220662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-710565</wp:posOffset>
            </wp:positionV>
            <wp:extent cx="220662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-377190</wp:posOffset>
            </wp:positionV>
            <wp:extent cx="220662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06625" cy="254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-43815</wp:posOffset>
            </wp:positionV>
            <wp:extent cx="220662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06625" cy="25400"/>
                    </a:xfrm>
                    <a:prstGeom prst="rect">
                      <a:avLst/>
                    </a:prstGeom>
                    <a:noFill/>
                  </pic:spPr>
                </pic:pic>
              </a:graphicData>
            </a:graphic>
          </wp:anchor>
        </w:drawing>
      </w:r>
    </w:p>
    <w:p>
      <w:pPr>
        <w:spacing w:after="0" w:line="235" w:lineRule="exact"/>
        <w:rPr>
          <w:sz w:val="20"/>
          <w:szCs w:val="20"/>
          <w:color w:val="auto"/>
        </w:rPr>
      </w:pPr>
    </w:p>
    <w:p>
      <w:pPr>
        <w:ind w:left="1" w:right="480"/>
        <w:spacing w:after="0" w:line="287" w:lineRule="auto"/>
        <w:rPr>
          <w:sz w:val="20"/>
          <w:szCs w:val="20"/>
          <w:color w:val="auto"/>
        </w:rPr>
      </w:pPr>
      <w:r>
        <w:rPr>
          <w:rFonts w:ascii="Arial" w:cs="Arial" w:eastAsia="Arial" w:hAnsi="Arial"/>
          <w:sz w:val="20"/>
          <w:szCs w:val="20"/>
          <w:color w:val="2A2A2A"/>
        </w:rPr>
        <w:t>The liability for uncertain tax positions is a component of other long-term liabilities on our Consolidated Balance Sheets.</w:t>
      </w:r>
    </w:p>
    <w:p>
      <w:pPr>
        <w:spacing w:after="0" w:line="170" w:lineRule="exact"/>
        <w:rPr>
          <w:sz w:val="20"/>
          <w:szCs w:val="20"/>
          <w:color w:val="auto"/>
        </w:rPr>
      </w:pPr>
    </w:p>
    <w:p>
      <w:pPr>
        <w:ind w:left="1" w:right="200"/>
        <w:spacing w:after="0" w:line="268" w:lineRule="auto"/>
        <w:rPr>
          <w:sz w:val="20"/>
          <w:szCs w:val="20"/>
          <w:color w:val="auto"/>
        </w:rPr>
      </w:pPr>
      <w:r>
        <w:rPr>
          <w:rFonts w:ascii="Arial" w:cs="Arial" w:eastAsia="Arial" w:hAnsi="Arial"/>
          <w:sz w:val="20"/>
          <w:szCs w:val="20"/>
          <w:color w:val="2A2A2A"/>
        </w:rPr>
        <w:t>All of the $82 million liabilities for uncertain tax positions at both December 31, 2023 and 2022 are comprised of positions that, if recognized, would lower the effective tax rate. If these liabilities are ultimately realized, no existing deferred tax assets in 2023 or 2022 would also be realized.</w:t>
      </w:r>
    </w:p>
    <w:p>
      <w:pPr>
        <w:spacing w:after="0" w:line="190" w:lineRule="exact"/>
        <w:rPr>
          <w:sz w:val="20"/>
          <w:szCs w:val="20"/>
          <w:color w:val="auto"/>
        </w:rPr>
      </w:pPr>
    </w:p>
    <w:p>
      <w:pPr>
        <w:ind w:left="1"/>
        <w:spacing w:after="0" w:line="268" w:lineRule="auto"/>
        <w:rPr>
          <w:sz w:val="20"/>
          <w:szCs w:val="20"/>
          <w:color w:val="auto"/>
        </w:rPr>
      </w:pPr>
      <w:r>
        <w:rPr>
          <w:rFonts w:ascii="Arial" w:cs="Arial" w:eastAsia="Arial" w:hAnsi="Arial"/>
          <w:sz w:val="20"/>
          <w:szCs w:val="20"/>
          <w:color w:val="2A2A2A"/>
        </w:rPr>
        <w:t>As of December 31, 2023, the statute of limitations remains open for U.S. federal tax returns for 2017 and following years. Certain tax treaty procedures for relief from double taxation remain pending for U.S. federal tax returns for the years 2018 through 2022.</w:t>
      </w:r>
    </w:p>
    <w:p>
      <w:pPr>
        <w:spacing w:after="0" w:line="190" w:lineRule="exact"/>
        <w:rPr>
          <w:sz w:val="20"/>
          <w:szCs w:val="20"/>
          <w:color w:val="auto"/>
        </w:rPr>
      </w:pPr>
    </w:p>
    <w:p>
      <w:pPr>
        <w:jc w:val="both"/>
        <w:ind w:left="1" w:right="180"/>
        <w:spacing w:after="0" w:line="268" w:lineRule="auto"/>
        <w:rPr>
          <w:sz w:val="20"/>
          <w:szCs w:val="20"/>
          <w:color w:val="auto"/>
        </w:rPr>
      </w:pPr>
      <w:r>
        <w:rPr>
          <w:rFonts w:ascii="Arial" w:cs="Arial" w:eastAsia="Arial" w:hAnsi="Arial"/>
          <w:sz w:val="20"/>
          <w:szCs w:val="20"/>
          <w:color w:val="2A2A2A"/>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84" w:lineRule="exact"/>
        <w:rPr>
          <w:sz w:val="20"/>
          <w:szCs w:val="20"/>
          <w:color w:val="auto"/>
        </w:rPr>
      </w:pPr>
    </w:p>
    <w:p>
      <w:pPr>
        <w:ind w:left="241" w:hanging="241"/>
        <w:spacing w:after="0"/>
        <w:tabs>
          <w:tab w:leader="none" w:pos="241" w:val="left"/>
        </w:tabs>
        <w:numPr>
          <w:ilvl w:val="0"/>
          <w:numId w:val="24"/>
        </w:numPr>
        <w:rPr>
          <w:rFonts w:ascii="Arial" w:cs="Arial" w:eastAsia="Arial" w:hAnsi="Arial"/>
          <w:sz w:val="22"/>
          <w:szCs w:val="22"/>
          <w:color w:val="2A2A2A"/>
        </w:rPr>
      </w:pPr>
      <w:r>
        <w:rPr>
          <w:rFonts w:ascii="Arial" w:cs="Arial" w:eastAsia="Arial" w:hAnsi="Arial"/>
          <w:sz w:val="22"/>
          <w:szCs w:val="22"/>
          <w:u w:val="single" w:color="auto"/>
          <w:color w:val="2A2A2A"/>
        </w:rPr>
        <w:t>Financial instruments and risk concentration</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Financial instruments</w:t>
      </w:r>
    </w:p>
    <w:p>
      <w:pPr>
        <w:spacing w:after="0" w:line="255" w:lineRule="exact"/>
        <w:rPr>
          <w:sz w:val="20"/>
          <w:szCs w:val="20"/>
          <w:color w:val="auto"/>
        </w:rPr>
      </w:pPr>
    </w:p>
    <w:p>
      <w:pPr>
        <w:ind w:left="1" w:right="160"/>
        <w:spacing w:after="0" w:line="259" w:lineRule="auto"/>
        <w:rPr>
          <w:sz w:val="20"/>
          <w:szCs w:val="20"/>
          <w:color w:val="auto"/>
        </w:rPr>
      </w:pPr>
      <w:r>
        <w:rPr>
          <w:rFonts w:ascii="Arial" w:cs="Arial" w:eastAsia="Arial" w:hAnsi="Arial"/>
          <w:sz w:val="20"/>
          <w:szCs w:val="20"/>
          <w:color w:val="2A2A2A"/>
        </w:rPr>
        <w:t>We hold derivative financial instruments such as forward foreign currency exchange contracts, the fair value of which was not material as of December 31, 2023. Our forward foreign currency exchange contracts outstanding as of December 31, 2023, had a notional value of $328 million to hedge our non-U.S. dollar net balance sheet exposures, including $102 million to sell Japanese yen, $77 million to sell British pounds and $58 million to buy Chinese yuan.</w:t>
      </w:r>
    </w:p>
    <w:p>
      <w:pPr>
        <w:spacing w:after="0" w:line="199" w:lineRule="exact"/>
        <w:rPr>
          <w:sz w:val="20"/>
          <w:szCs w:val="20"/>
          <w:color w:val="auto"/>
        </w:rPr>
      </w:pPr>
    </w:p>
    <w:p>
      <w:pPr>
        <w:ind w:left="1" w:right="100"/>
        <w:spacing w:after="0" w:line="256" w:lineRule="auto"/>
        <w:rPr>
          <w:sz w:val="20"/>
          <w:szCs w:val="20"/>
          <w:color w:val="auto"/>
        </w:rPr>
      </w:pPr>
      <w:r>
        <w:rPr>
          <w:rFonts w:ascii="Arial" w:cs="Arial" w:eastAsia="Arial" w:hAnsi="Arial"/>
          <w:sz w:val="20"/>
          <w:szCs w:val="20"/>
          <w:color w:val="2A2A2A"/>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2023, the carrying value of long-term debt, including the current portion, was $11.22 billion, and the estimated fair value was $10.68 billion. The estimated fair value is measured using broker-dealer quotes, which are Level 2 inputs. See Note 6 for a description of fair value and the definition of Level 2 inputs.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Risk concentration</w:t>
      </w:r>
    </w:p>
    <w:p>
      <w:pPr>
        <w:spacing w:after="0" w:line="255" w:lineRule="exact"/>
        <w:rPr>
          <w:sz w:val="20"/>
          <w:szCs w:val="20"/>
          <w:color w:val="auto"/>
        </w:rPr>
      </w:pPr>
    </w:p>
    <w:p>
      <w:pPr>
        <w:ind w:left="1"/>
        <w:spacing w:after="0" w:line="257" w:lineRule="auto"/>
        <w:rPr>
          <w:sz w:val="20"/>
          <w:szCs w:val="20"/>
          <w:color w:val="auto"/>
        </w:rPr>
      </w:pPr>
      <w:r>
        <w:rPr>
          <w:rFonts w:ascii="Arial" w:cs="Arial" w:eastAsia="Arial" w:hAnsi="Arial"/>
          <w:sz w:val="20"/>
          <w:szCs w:val="20"/>
          <w:color w:val="2A2A2A"/>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ectPr>
          <w:pgSz w:w="12240" w:h="15840" w:orient="portrait"/>
          <w:cols w:equalWidth="0" w:num="1">
            <w:col w:w="10281"/>
          </w:cols>
          <w:pgMar w:left="979"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41</w:t>
      </w:r>
    </w:p>
    <w:p>
      <w:pPr>
        <w:sectPr>
          <w:pgSz w:w="12240" w:h="15840" w:orient="portrait"/>
          <w:cols w:equalWidth="0" w:num="1">
            <w:col w:w="10281"/>
          </w:cols>
          <w:pgMar w:left="979" w:top="664" w:right="980" w:bottom="24" w:gutter="0" w:footer="0" w:header="0"/>
          <w:type w:val="continuous"/>
        </w:sectPr>
      </w:pPr>
    </w:p>
    <w:bookmarkStart w:id="47" w:name="page48"/>
    <w:bookmarkEnd w:id="47"/>
    <w:p>
      <w:pPr>
        <w:ind w:left="1" w:right="60"/>
        <w:spacing w:after="0" w:line="262" w:lineRule="auto"/>
        <w:rPr>
          <w:sz w:val="20"/>
          <w:szCs w:val="20"/>
          <w:color w:val="auto"/>
        </w:rPr>
      </w:pPr>
      <w:r>
        <w:rPr>
          <w:rFonts w:ascii="Arial" w:cs="Arial" w:eastAsia="Arial" w:hAnsi="Arial"/>
          <w:sz w:val="20"/>
          <w:szCs w:val="20"/>
          <w:color w:val="2A2A2A"/>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96" w:lineRule="exact"/>
        <w:rPr>
          <w:sz w:val="20"/>
          <w:szCs w:val="20"/>
          <w:color w:val="auto"/>
        </w:rPr>
      </w:pPr>
    </w:p>
    <w:p>
      <w:pPr>
        <w:ind w:left="1" w:right="320"/>
        <w:spacing w:after="0" w:line="287" w:lineRule="auto"/>
        <w:rPr>
          <w:sz w:val="20"/>
          <w:szCs w:val="20"/>
          <w:color w:val="auto"/>
        </w:rPr>
      </w:pPr>
      <w:r>
        <w:rPr>
          <w:rFonts w:ascii="Arial" w:cs="Arial" w:eastAsia="Arial" w:hAnsi="Arial"/>
          <w:sz w:val="20"/>
          <w:szCs w:val="20"/>
          <w:color w:val="2A2A2A"/>
        </w:rPr>
        <w:t>Accounts receivable allowances changed to reflect amounts charged (credited) to operating results by $3 million, $5 million and ($3) million in 2023, 2022 and 2021, respectively.</w:t>
      </w:r>
    </w:p>
    <w:p>
      <w:pPr>
        <w:spacing w:after="0" w:line="164" w:lineRule="exact"/>
        <w:rPr>
          <w:sz w:val="20"/>
          <w:szCs w:val="20"/>
          <w:color w:val="auto"/>
        </w:rPr>
      </w:pPr>
    </w:p>
    <w:p>
      <w:pPr>
        <w:ind w:left="241" w:hanging="241"/>
        <w:spacing w:after="0"/>
        <w:tabs>
          <w:tab w:leader="none" w:pos="241" w:val="left"/>
        </w:tabs>
        <w:numPr>
          <w:ilvl w:val="0"/>
          <w:numId w:val="25"/>
        </w:numPr>
        <w:rPr>
          <w:rFonts w:ascii="Arial" w:cs="Arial" w:eastAsia="Arial" w:hAnsi="Arial"/>
          <w:sz w:val="22"/>
          <w:szCs w:val="22"/>
          <w:color w:val="2A2A2A"/>
        </w:rPr>
      </w:pPr>
      <w:r>
        <w:rPr>
          <w:rFonts w:ascii="Arial" w:cs="Arial" w:eastAsia="Arial" w:hAnsi="Arial"/>
          <w:sz w:val="22"/>
          <w:szCs w:val="22"/>
          <w:u w:val="single" w:color="auto"/>
          <w:color w:val="2A2A2A"/>
        </w:rPr>
        <w:t>Valuation of debt and equity investments and certain liabilities</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Investments measured at fair value</w:t>
      </w:r>
    </w:p>
    <w:p>
      <w:pPr>
        <w:spacing w:after="0" w:line="255" w:lineRule="exact"/>
        <w:rPr>
          <w:sz w:val="20"/>
          <w:szCs w:val="20"/>
          <w:color w:val="auto"/>
        </w:rPr>
      </w:pPr>
    </w:p>
    <w:p>
      <w:pPr>
        <w:ind w:left="1" w:right="160"/>
        <w:spacing w:after="0" w:line="259" w:lineRule="auto"/>
        <w:rPr>
          <w:sz w:val="20"/>
          <w:szCs w:val="20"/>
          <w:color w:val="auto"/>
        </w:rPr>
      </w:pPr>
      <w:r>
        <w:rPr>
          <w:rFonts w:ascii="Arial" w:cs="Arial" w:eastAsia="Arial" w:hAnsi="Arial"/>
          <w:sz w:val="20"/>
          <w:szCs w:val="20"/>
          <w:color w:val="2A2A2A"/>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20"/>
          <w:szCs w:val="20"/>
          <w:i w:val="1"/>
          <w:iCs w:val="1"/>
          <w:color w:val="2A2A2A"/>
        </w:rPr>
        <w:t>Fair-value</w:t>
      </w:r>
      <w:r>
        <w:rPr>
          <w:rFonts w:ascii="Arial" w:cs="Arial" w:eastAsia="Arial" w:hAnsi="Arial"/>
          <w:sz w:val="20"/>
          <w:szCs w:val="20"/>
          <w:color w:val="2A2A2A"/>
        </w:rPr>
        <w:t xml:space="preserve"> </w:t>
      </w:r>
      <w:r>
        <w:rPr>
          <w:rFonts w:ascii="Arial" w:cs="Arial" w:eastAsia="Arial" w:hAnsi="Arial"/>
          <w:sz w:val="20"/>
          <w:szCs w:val="20"/>
          <w:i w:val="1"/>
          <w:iCs w:val="1"/>
          <w:color w:val="2A2A2A"/>
        </w:rPr>
        <w:t xml:space="preserve">considerations. </w:t>
      </w:r>
      <w:r>
        <w:rPr>
          <w:rFonts w:ascii="Arial" w:cs="Arial" w:eastAsia="Arial" w:hAnsi="Arial"/>
          <w:sz w:val="20"/>
          <w:szCs w:val="20"/>
          <w:color w:val="2A2A2A"/>
        </w:rPr>
        <w:t>Unrealized gains and losses are recorded as an increase or decrease, net of taxes, in AOCI on our</w:t>
      </w:r>
      <w:r>
        <w:rPr>
          <w:rFonts w:ascii="Arial" w:cs="Arial" w:eastAsia="Arial" w:hAnsi="Arial"/>
          <w:sz w:val="20"/>
          <w:szCs w:val="20"/>
          <w:i w:val="1"/>
          <w:iCs w:val="1"/>
          <w:color w:val="2A2A2A"/>
        </w:rPr>
        <w:t xml:space="preserve"> </w:t>
      </w:r>
      <w:r>
        <w:rPr>
          <w:rFonts w:ascii="Arial" w:cs="Arial" w:eastAsia="Arial" w:hAnsi="Arial"/>
          <w:sz w:val="20"/>
          <w:szCs w:val="20"/>
          <w:color w:val="2A2A2A"/>
        </w:rPr>
        <w:t>Consolidated Balance Sheets, and any credit losses are recorded as an allowance for credit losses with an offset recognized in OI&amp;E in our Consolidated Statements of Income.</w:t>
      </w:r>
    </w:p>
    <w:p>
      <w:pPr>
        <w:spacing w:after="0" w:line="199" w:lineRule="exact"/>
        <w:rPr>
          <w:sz w:val="20"/>
          <w:szCs w:val="20"/>
          <w:color w:val="auto"/>
        </w:rPr>
      </w:pPr>
    </w:p>
    <w:p>
      <w:pPr>
        <w:jc w:val="both"/>
        <w:ind w:left="1" w:right="160"/>
        <w:spacing w:after="0" w:line="268" w:lineRule="auto"/>
        <w:rPr>
          <w:sz w:val="20"/>
          <w:szCs w:val="20"/>
          <w:color w:val="auto"/>
        </w:rPr>
      </w:pPr>
      <w:r>
        <w:rPr>
          <w:rFonts w:ascii="Arial" w:cs="Arial" w:eastAsia="Arial" w:hAnsi="Arial"/>
          <w:sz w:val="20"/>
          <w:szCs w:val="20"/>
          <w:color w:val="2A2A2A"/>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Other investments</w:t>
      </w:r>
    </w:p>
    <w:p>
      <w:pPr>
        <w:spacing w:after="0" w:line="255" w:lineRule="exact"/>
        <w:rPr>
          <w:sz w:val="20"/>
          <w:szCs w:val="20"/>
          <w:color w:val="auto"/>
        </w:rPr>
      </w:pPr>
    </w:p>
    <w:p>
      <w:pPr>
        <w:ind w:left="1" w:right="40"/>
        <w:spacing w:after="0" w:line="259" w:lineRule="auto"/>
        <w:rPr>
          <w:sz w:val="20"/>
          <w:szCs w:val="20"/>
          <w:color w:val="auto"/>
        </w:rPr>
      </w:pPr>
      <w:r>
        <w:rPr>
          <w:rFonts w:ascii="Arial" w:cs="Arial" w:eastAsia="Arial" w:hAnsi="Arial"/>
          <w:sz w:val="20"/>
          <w:szCs w:val="20"/>
          <w:color w:val="2A2A2A"/>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2A2A2A"/>
        </w:rPr>
        <w:t>Details of our investments are as follows:</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3500" w:type="dxa"/>
            <w:vAlign w:val="bottom"/>
          </w:tcPr>
          <w:p>
            <w:pPr>
              <w:spacing w:after="0"/>
              <w:rPr>
                <w:sz w:val="19"/>
                <w:szCs w:val="19"/>
                <w:color w:val="auto"/>
              </w:rPr>
            </w:pPr>
          </w:p>
        </w:tc>
        <w:tc>
          <w:tcPr>
            <w:tcW w:w="180" w:type="dxa"/>
            <w:vAlign w:val="bottom"/>
            <w:tcBorders>
              <w:bottom w:val="single" w:sz="8" w:color="2A2A2A"/>
            </w:tcBorders>
          </w:tcPr>
          <w:p>
            <w:pPr>
              <w:spacing w:after="0"/>
              <w:rPr>
                <w:sz w:val="19"/>
                <w:szCs w:val="19"/>
                <w:color w:val="auto"/>
              </w:rPr>
            </w:pPr>
          </w:p>
        </w:tc>
        <w:tc>
          <w:tcPr>
            <w:tcW w:w="2580" w:type="dxa"/>
            <w:vAlign w:val="bottom"/>
            <w:tcBorders>
              <w:bottom w:val="single" w:sz="8" w:color="2A2A2A"/>
            </w:tcBorders>
            <w:gridSpan w:val="6"/>
          </w:tcPr>
          <w:p>
            <w:pPr>
              <w:jc w:val="right"/>
              <w:ind w:right="270"/>
              <w:spacing w:after="0"/>
              <w:rPr>
                <w:sz w:val="20"/>
                <w:szCs w:val="20"/>
                <w:color w:val="auto"/>
              </w:rPr>
            </w:pPr>
            <w:r>
              <w:rPr>
                <w:rFonts w:ascii="Arial" w:cs="Arial" w:eastAsia="Arial" w:hAnsi="Arial"/>
                <w:sz w:val="16"/>
                <w:szCs w:val="16"/>
                <w:b w:val="1"/>
                <w:bCs w:val="1"/>
                <w:color w:val="2A2A2A"/>
              </w:rPr>
              <w:t>December 31, 2023</w:t>
            </w:r>
          </w:p>
        </w:tc>
        <w:tc>
          <w:tcPr>
            <w:tcW w:w="600" w:type="dxa"/>
            <w:vAlign w:val="bottom"/>
            <w:tcBorders>
              <w:bottom w:val="single" w:sz="8" w:color="2A2A2A"/>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2A2A2A"/>
            </w:tcBorders>
          </w:tcPr>
          <w:p>
            <w:pPr>
              <w:spacing w:after="0"/>
              <w:rPr>
                <w:sz w:val="19"/>
                <w:szCs w:val="19"/>
                <w:color w:val="auto"/>
              </w:rPr>
            </w:pPr>
          </w:p>
        </w:tc>
        <w:tc>
          <w:tcPr>
            <w:tcW w:w="2580" w:type="dxa"/>
            <w:vAlign w:val="bottom"/>
            <w:tcBorders>
              <w:bottom w:val="single" w:sz="8" w:color="2A2A2A"/>
            </w:tcBorders>
            <w:gridSpan w:val="6"/>
          </w:tcPr>
          <w:p>
            <w:pPr>
              <w:jc w:val="right"/>
              <w:ind w:right="270"/>
              <w:spacing w:after="0"/>
              <w:rPr>
                <w:sz w:val="20"/>
                <w:szCs w:val="20"/>
                <w:color w:val="auto"/>
              </w:rPr>
            </w:pPr>
            <w:r>
              <w:rPr>
                <w:rFonts w:ascii="Arial" w:cs="Arial" w:eastAsia="Arial" w:hAnsi="Arial"/>
                <w:sz w:val="16"/>
                <w:szCs w:val="16"/>
                <w:b w:val="1"/>
                <w:bCs w:val="1"/>
                <w:color w:val="2A2A2A"/>
              </w:rPr>
              <w:t>December 31, 2022</w:t>
            </w:r>
          </w:p>
        </w:tc>
        <w:tc>
          <w:tcPr>
            <w:tcW w:w="600" w:type="dxa"/>
            <w:vAlign w:val="bottom"/>
            <w:tcBorders>
              <w:bottom w:val="single" w:sz="8" w:color="2A2A2A"/>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b w:val="1"/>
                <w:bCs w:val="1"/>
                <w:color w:val="2A2A2A"/>
                <w:w w:val="97"/>
              </w:rPr>
              <w:t>Cash and</w:t>
            </w:r>
          </w:p>
        </w:tc>
        <w:tc>
          <w:tcPr>
            <w:tcW w:w="6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2A2A2A"/>
              </w:rPr>
              <w:t>Short-Term</w:t>
            </w:r>
          </w:p>
        </w:tc>
        <w:tc>
          <w:tcPr>
            <w:tcW w:w="60" w:type="dxa"/>
            <w:vAlign w:val="bottom"/>
          </w:tcPr>
          <w:p>
            <w:pPr>
              <w:spacing w:after="0"/>
              <w:rPr>
                <w:sz w:val="16"/>
                <w:szCs w:val="16"/>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2A2A2A"/>
              </w:rPr>
              <w:t>Long-Term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b w:val="1"/>
                <w:bCs w:val="1"/>
                <w:color w:val="2A2A2A"/>
                <w:w w:val="97"/>
              </w:rPr>
              <w:t>Cash and</w:t>
            </w:r>
          </w:p>
        </w:tc>
        <w:tc>
          <w:tcPr>
            <w:tcW w:w="6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2A2A2A"/>
              </w:rPr>
              <w:t>Short-Term</w:t>
            </w:r>
          </w:p>
        </w:tc>
        <w:tc>
          <w:tcPr>
            <w:tcW w:w="60" w:type="dxa"/>
            <w:vAlign w:val="bottom"/>
          </w:tcPr>
          <w:p>
            <w:pPr>
              <w:spacing w:after="0"/>
              <w:rPr>
                <w:sz w:val="16"/>
                <w:szCs w:val="16"/>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2A2A2A"/>
              </w:rPr>
              <w:t>Long-Term</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44"/>
              <w:spacing w:after="0" w:line="160" w:lineRule="exact"/>
              <w:rPr>
                <w:sz w:val="20"/>
                <w:szCs w:val="20"/>
                <w:color w:val="auto"/>
              </w:rPr>
            </w:pPr>
            <w:r>
              <w:rPr>
                <w:rFonts w:ascii="Arial" w:cs="Arial" w:eastAsia="Arial" w:hAnsi="Arial"/>
                <w:sz w:val="16"/>
                <w:szCs w:val="16"/>
                <w:b w:val="1"/>
                <w:bCs w:val="1"/>
                <w:color w:val="2A2A2A"/>
              </w:rPr>
              <w:t>Cash</w:t>
            </w: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44"/>
              <w:spacing w:after="0" w:line="160" w:lineRule="exact"/>
              <w:rPr>
                <w:sz w:val="20"/>
                <w:szCs w:val="20"/>
                <w:color w:val="auto"/>
              </w:rPr>
            </w:pPr>
            <w:r>
              <w:rPr>
                <w:rFonts w:ascii="Arial" w:cs="Arial" w:eastAsia="Arial" w:hAnsi="Arial"/>
                <w:sz w:val="16"/>
                <w:szCs w:val="16"/>
                <w:b w:val="1"/>
                <w:bCs w:val="1"/>
                <w:color w:val="2A2A2A"/>
              </w:rPr>
              <w:t>Cash</w:t>
            </w: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500" w:type="dxa"/>
            <w:vAlign w:val="bottom"/>
            <w:tcBorders>
              <w:bottom w:val="single" w:sz="8" w:color="2A2A2A"/>
            </w:tcBorders>
          </w:tcPr>
          <w:p>
            <w:pPr>
              <w:spacing w:after="0"/>
              <w:rPr>
                <w:sz w:val="18"/>
                <w:szCs w:val="18"/>
                <w:color w:val="auto"/>
              </w:rPr>
            </w:pPr>
          </w:p>
        </w:tc>
        <w:tc>
          <w:tcPr>
            <w:tcW w:w="6780" w:type="dxa"/>
            <w:vAlign w:val="bottom"/>
            <w:tcBorders>
              <w:bottom w:val="single" w:sz="8" w:color="2A2A2A"/>
            </w:tcBorders>
            <w:gridSpan w:val="17"/>
          </w:tcPr>
          <w:p>
            <w:pPr>
              <w:jc w:val="right"/>
              <w:spacing w:after="0"/>
              <w:rPr>
                <w:sz w:val="20"/>
                <w:szCs w:val="20"/>
                <w:color w:val="auto"/>
              </w:rPr>
            </w:pPr>
            <w:r>
              <w:rPr>
                <w:rFonts w:ascii="Arial" w:cs="Arial" w:eastAsia="Arial" w:hAnsi="Arial"/>
                <w:sz w:val="16"/>
                <w:szCs w:val="16"/>
                <w:b w:val="1"/>
                <w:bCs w:val="1"/>
                <w:color w:val="2A2A2A"/>
              </w:rPr>
              <w:t>Equivalents   Investments   Investments   Equivalents   Investments   Investments</w:t>
            </w:r>
          </w:p>
        </w:tc>
        <w:tc>
          <w:tcPr>
            <w:tcW w:w="0" w:type="dxa"/>
            <w:vAlign w:val="bottom"/>
          </w:tcPr>
          <w:p>
            <w:pPr>
              <w:spacing w:after="0"/>
              <w:rPr>
                <w:sz w:val="1"/>
                <w:szCs w:val="1"/>
                <w:color w:val="auto"/>
              </w:rPr>
            </w:pPr>
          </w:p>
        </w:tc>
      </w:tr>
      <w:tr>
        <w:trPr>
          <w:trHeight w:val="255"/>
        </w:trPr>
        <w:tc>
          <w:tcPr>
            <w:tcW w:w="35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Measured at fair value:</w:t>
            </w: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4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480" w:type="dxa"/>
            <w:vAlign w:val="bottom"/>
            <w:shd w:val="clear" w:color="auto" w:fill="D7D7D7"/>
          </w:tcPr>
          <w:p>
            <w:pPr>
              <w:spacing w:after="0"/>
              <w:rPr>
                <w:sz w:val="22"/>
                <w:szCs w:val="22"/>
                <w:color w:val="auto"/>
              </w:rPr>
            </w:pPr>
          </w:p>
        </w:tc>
        <w:tc>
          <w:tcPr>
            <w:tcW w:w="60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4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480" w:type="dxa"/>
            <w:vAlign w:val="bottom"/>
            <w:shd w:val="clear" w:color="auto" w:fill="D7D7D7"/>
          </w:tcPr>
          <w:p>
            <w:pPr>
              <w:spacing w:after="0"/>
              <w:rPr>
                <w:sz w:val="22"/>
                <w:szCs w:val="22"/>
                <w:color w:val="auto"/>
              </w:rPr>
            </w:pPr>
          </w:p>
        </w:tc>
        <w:tc>
          <w:tcPr>
            <w:tcW w:w="600" w:type="dxa"/>
            <w:vAlign w:val="bottom"/>
            <w:shd w:val="clear" w:color="auto" w:fill="D7D7D7"/>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180"/>
              <w:spacing w:after="0"/>
              <w:rPr>
                <w:sz w:val="20"/>
                <w:szCs w:val="20"/>
                <w:color w:val="auto"/>
              </w:rPr>
            </w:pPr>
            <w:r>
              <w:rPr>
                <w:rFonts w:ascii="Arial" w:cs="Arial" w:eastAsia="Arial" w:hAnsi="Arial"/>
                <w:sz w:val="20"/>
                <w:szCs w:val="20"/>
                <w:color w:val="2A2A2A"/>
              </w:rPr>
              <w:t>Money market funds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2A2A2A"/>
              </w:rPr>
              <w:t>1,068</w:t>
            </w:r>
          </w:p>
        </w:tc>
        <w:tc>
          <w:tcPr>
            <w:tcW w:w="400" w:type="dxa"/>
            <w:vAlign w:val="bottom"/>
            <w:gridSpan w:val="2"/>
          </w:tcPr>
          <w:p>
            <w:pPr>
              <w:jc w:val="right"/>
              <w:ind w:right="70"/>
              <w:spacing w:after="0"/>
              <w:rPr>
                <w:sz w:val="20"/>
                <w:szCs w:val="20"/>
                <w:color w:val="auto"/>
              </w:rPr>
            </w:pPr>
            <w:r>
              <w:rPr>
                <w:rFonts w:ascii="Arial" w:cs="Arial" w:eastAsia="Arial" w:hAnsi="Arial"/>
                <w:sz w:val="20"/>
                <w:szCs w:val="20"/>
                <w:b w:val="1"/>
                <w:bCs w:val="1"/>
                <w:color w:val="2A2A2A"/>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540" w:type="dxa"/>
            <w:vAlign w:val="bottom"/>
            <w:gridSpan w:val="2"/>
          </w:tcPr>
          <w:p>
            <w:pPr>
              <w:jc w:val="right"/>
              <w:ind w:right="210"/>
              <w:spacing w:after="0"/>
              <w:rPr>
                <w:sz w:val="20"/>
                <w:szCs w:val="20"/>
                <w:color w:val="auto"/>
              </w:rPr>
            </w:pPr>
            <w:r>
              <w:rPr>
                <w:rFonts w:ascii="Arial" w:cs="Arial" w:eastAsia="Arial" w:hAnsi="Arial"/>
                <w:sz w:val="20"/>
                <w:szCs w:val="20"/>
                <w:b w:val="1"/>
                <w:bCs w:val="1"/>
                <w:color w:val="2A2A2A"/>
              </w:rPr>
              <w: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900" w:type="dxa"/>
            <w:vAlign w:val="bottom"/>
          </w:tcPr>
          <w:p>
            <w:pPr>
              <w:jc w:val="right"/>
              <w:spacing w:after="0"/>
              <w:rPr>
                <w:sz w:val="20"/>
                <w:szCs w:val="20"/>
                <w:color w:val="auto"/>
              </w:rPr>
            </w:pPr>
            <w:r>
              <w:rPr>
                <w:rFonts w:ascii="Arial" w:cs="Arial" w:eastAsia="Arial" w:hAnsi="Arial"/>
                <w:sz w:val="20"/>
                <w:szCs w:val="20"/>
                <w:color w:val="2A2A2A"/>
              </w:rPr>
              <w:t>1,238</w:t>
            </w:r>
          </w:p>
        </w:tc>
        <w:tc>
          <w:tcPr>
            <w:tcW w:w="400" w:type="dxa"/>
            <w:vAlign w:val="bottom"/>
            <w:gridSpan w:val="2"/>
          </w:tcPr>
          <w:p>
            <w:pPr>
              <w:jc w:val="right"/>
              <w:ind w:right="70"/>
              <w:spacing w:after="0"/>
              <w:rPr>
                <w:sz w:val="20"/>
                <w:szCs w:val="20"/>
                <w:color w:val="auto"/>
              </w:rPr>
            </w:pPr>
            <w:r>
              <w:rPr>
                <w:rFonts w:ascii="Arial" w:cs="Arial" w:eastAsia="Arial" w:hAnsi="Arial"/>
                <w:sz w:val="20"/>
                <w:szCs w:val="20"/>
                <w:color w:val="2A2A2A"/>
              </w:rPr>
              <w:t>$</w:t>
            </w: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540" w:type="dxa"/>
            <w:vAlign w:val="bottom"/>
            <w:gridSpan w:val="2"/>
          </w:tcPr>
          <w:p>
            <w:pPr>
              <w:jc w:val="right"/>
              <w:ind w:right="210"/>
              <w:spacing w:after="0"/>
              <w:rPr>
                <w:sz w:val="20"/>
                <w:szCs w:val="20"/>
                <w:color w:val="auto"/>
              </w:rPr>
            </w:pPr>
            <w:r>
              <w:rPr>
                <w:rFonts w:ascii="Arial" w:cs="Arial" w:eastAsia="Arial" w:hAnsi="Arial"/>
                <w:sz w:val="20"/>
                <w:szCs w:val="20"/>
                <w:color w:val="2A2A2A"/>
              </w:rPr>
              <w:t>$</w:t>
            </w:r>
          </w:p>
        </w:tc>
        <w:tc>
          <w:tcPr>
            <w:tcW w:w="600" w:type="dxa"/>
            <w:vAlign w:val="bottom"/>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70"/>
        </w:trPr>
        <w:tc>
          <w:tcPr>
            <w:tcW w:w="35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Corporate obligations</w:t>
            </w: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349</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1,605</w:t>
            </w: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276</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1,535</w:t>
            </w: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20"/>
                <w:szCs w:val="20"/>
                <w:color w:val="2A2A2A"/>
              </w:rPr>
              <w:t>U.S. government and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500" w:type="dxa"/>
            <w:vAlign w:val="bottom"/>
          </w:tcPr>
          <w:p>
            <w:pPr>
              <w:ind w:left="180"/>
              <w:spacing w:after="0"/>
              <w:rPr>
                <w:sz w:val="20"/>
                <w:szCs w:val="20"/>
                <w:color w:val="auto"/>
              </w:rPr>
            </w:pPr>
            <w:r>
              <w:rPr>
                <w:rFonts w:ascii="Arial" w:cs="Arial" w:eastAsia="Arial" w:hAnsi="Arial"/>
                <w:sz w:val="20"/>
                <w:szCs w:val="20"/>
                <w:color w:val="2A2A2A"/>
              </w:rPr>
              <w:t>agency securities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2A2A2A"/>
              </w:rPr>
              <w:t>696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3,808</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A2A2A"/>
              </w:rPr>
              <w:t>680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4,234</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22"/>
        </w:trPr>
        <w:tc>
          <w:tcPr>
            <w:tcW w:w="3500" w:type="dxa"/>
            <w:vAlign w:val="bottom"/>
            <w:shd w:val="clear" w:color="auto" w:fill="D7D7D7"/>
          </w:tcPr>
          <w:p>
            <w:pPr>
              <w:ind w:left="180"/>
              <w:spacing w:after="0" w:line="222" w:lineRule="exact"/>
              <w:rPr>
                <w:sz w:val="20"/>
                <w:szCs w:val="20"/>
                <w:color w:val="auto"/>
              </w:rPr>
            </w:pPr>
            <w:r>
              <w:rPr>
                <w:rFonts w:ascii="Arial" w:cs="Arial" w:eastAsia="Arial" w:hAnsi="Arial"/>
                <w:sz w:val="20"/>
                <w:szCs w:val="20"/>
                <w:color w:val="2A2A2A"/>
              </w:rPr>
              <w:t>Non-U.S. government and</w:t>
            </w:r>
          </w:p>
        </w:tc>
        <w:tc>
          <w:tcPr>
            <w:tcW w:w="180" w:type="dxa"/>
            <w:vAlign w:val="bottom"/>
            <w:shd w:val="clear" w:color="auto" w:fill="D7D7D7"/>
          </w:tcPr>
          <w:p>
            <w:pPr>
              <w:spacing w:after="0"/>
              <w:rPr>
                <w:sz w:val="19"/>
                <w:szCs w:val="19"/>
                <w:color w:val="auto"/>
              </w:rPr>
            </w:pPr>
          </w:p>
        </w:tc>
        <w:tc>
          <w:tcPr>
            <w:tcW w:w="900" w:type="dxa"/>
            <w:vAlign w:val="bottom"/>
            <w:shd w:val="clear" w:color="auto" w:fill="D7D7D7"/>
          </w:tcPr>
          <w:p>
            <w:pPr>
              <w:spacing w:after="0"/>
              <w:rPr>
                <w:sz w:val="19"/>
                <w:szCs w:val="19"/>
                <w:color w:val="auto"/>
              </w:rPr>
            </w:pPr>
          </w:p>
        </w:tc>
        <w:tc>
          <w:tcPr>
            <w:tcW w:w="60" w:type="dxa"/>
            <w:vAlign w:val="bottom"/>
            <w:shd w:val="clear" w:color="auto" w:fill="D7D7D7"/>
          </w:tcPr>
          <w:p>
            <w:pPr>
              <w:spacing w:after="0"/>
              <w:rPr>
                <w:sz w:val="19"/>
                <w:szCs w:val="19"/>
                <w:color w:val="auto"/>
              </w:rPr>
            </w:pPr>
          </w:p>
        </w:tc>
        <w:tc>
          <w:tcPr>
            <w:tcW w:w="340" w:type="dxa"/>
            <w:vAlign w:val="bottom"/>
            <w:shd w:val="clear" w:color="auto" w:fill="D7D7D7"/>
          </w:tcPr>
          <w:p>
            <w:pPr>
              <w:spacing w:after="0"/>
              <w:rPr>
                <w:sz w:val="19"/>
                <w:szCs w:val="19"/>
                <w:color w:val="auto"/>
              </w:rPr>
            </w:pPr>
          </w:p>
        </w:tc>
        <w:tc>
          <w:tcPr>
            <w:tcW w:w="740" w:type="dxa"/>
            <w:vAlign w:val="bottom"/>
            <w:shd w:val="clear" w:color="auto" w:fill="D7D7D7"/>
          </w:tcPr>
          <w:p>
            <w:pPr>
              <w:spacing w:after="0"/>
              <w:rPr>
                <w:sz w:val="19"/>
                <w:szCs w:val="19"/>
                <w:color w:val="auto"/>
              </w:rPr>
            </w:pPr>
          </w:p>
        </w:tc>
        <w:tc>
          <w:tcPr>
            <w:tcW w:w="60" w:type="dxa"/>
            <w:vAlign w:val="bottom"/>
            <w:shd w:val="clear" w:color="auto" w:fill="D7D7D7"/>
          </w:tcPr>
          <w:p>
            <w:pPr>
              <w:spacing w:after="0"/>
              <w:rPr>
                <w:sz w:val="19"/>
                <w:szCs w:val="19"/>
                <w:color w:val="auto"/>
              </w:rPr>
            </w:pPr>
          </w:p>
        </w:tc>
        <w:tc>
          <w:tcPr>
            <w:tcW w:w="480" w:type="dxa"/>
            <w:vAlign w:val="bottom"/>
            <w:shd w:val="clear" w:color="auto" w:fill="D7D7D7"/>
          </w:tcPr>
          <w:p>
            <w:pPr>
              <w:spacing w:after="0"/>
              <w:rPr>
                <w:sz w:val="19"/>
                <w:szCs w:val="19"/>
                <w:color w:val="auto"/>
              </w:rPr>
            </w:pPr>
          </w:p>
        </w:tc>
        <w:tc>
          <w:tcPr>
            <w:tcW w:w="600" w:type="dxa"/>
            <w:vAlign w:val="bottom"/>
            <w:shd w:val="clear" w:color="auto" w:fill="D7D7D7"/>
          </w:tcPr>
          <w:p>
            <w:pPr>
              <w:spacing w:after="0"/>
              <w:rPr>
                <w:sz w:val="19"/>
                <w:szCs w:val="19"/>
                <w:color w:val="auto"/>
              </w:rPr>
            </w:pPr>
          </w:p>
        </w:tc>
        <w:tc>
          <w:tcPr>
            <w:tcW w:w="60" w:type="dxa"/>
            <w:vAlign w:val="bottom"/>
            <w:shd w:val="clear" w:color="auto" w:fill="D7D7D7"/>
          </w:tcPr>
          <w:p>
            <w:pPr>
              <w:spacing w:after="0"/>
              <w:rPr>
                <w:sz w:val="19"/>
                <w:szCs w:val="19"/>
                <w:color w:val="auto"/>
              </w:rPr>
            </w:pPr>
          </w:p>
        </w:tc>
        <w:tc>
          <w:tcPr>
            <w:tcW w:w="180" w:type="dxa"/>
            <w:vAlign w:val="bottom"/>
            <w:shd w:val="clear" w:color="auto" w:fill="D7D7D7"/>
          </w:tcPr>
          <w:p>
            <w:pPr>
              <w:spacing w:after="0"/>
              <w:rPr>
                <w:sz w:val="19"/>
                <w:szCs w:val="19"/>
                <w:color w:val="auto"/>
              </w:rPr>
            </w:pPr>
          </w:p>
        </w:tc>
        <w:tc>
          <w:tcPr>
            <w:tcW w:w="900" w:type="dxa"/>
            <w:vAlign w:val="bottom"/>
            <w:shd w:val="clear" w:color="auto" w:fill="D7D7D7"/>
          </w:tcPr>
          <w:p>
            <w:pPr>
              <w:spacing w:after="0"/>
              <w:rPr>
                <w:sz w:val="19"/>
                <w:szCs w:val="19"/>
                <w:color w:val="auto"/>
              </w:rPr>
            </w:pPr>
          </w:p>
        </w:tc>
        <w:tc>
          <w:tcPr>
            <w:tcW w:w="60" w:type="dxa"/>
            <w:vAlign w:val="bottom"/>
            <w:shd w:val="clear" w:color="auto" w:fill="D7D7D7"/>
          </w:tcPr>
          <w:p>
            <w:pPr>
              <w:spacing w:after="0"/>
              <w:rPr>
                <w:sz w:val="19"/>
                <w:szCs w:val="19"/>
                <w:color w:val="auto"/>
              </w:rPr>
            </w:pPr>
          </w:p>
        </w:tc>
        <w:tc>
          <w:tcPr>
            <w:tcW w:w="340" w:type="dxa"/>
            <w:vAlign w:val="bottom"/>
            <w:shd w:val="clear" w:color="auto" w:fill="D7D7D7"/>
          </w:tcPr>
          <w:p>
            <w:pPr>
              <w:spacing w:after="0"/>
              <w:rPr>
                <w:sz w:val="19"/>
                <w:szCs w:val="19"/>
                <w:color w:val="auto"/>
              </w:rPr>
            </w:pPr>
          </w:p>
        </w:tc>
        <w:tc>
          <w:tcPr>
            <w:tcW w:w="740" w:type="dxa"/>
            <w:vAlign w:val="bottom"/>
            <w:shd w:val="clear" w:color="auto" w:fill="D7D7D7"/>
          </w:tcPr>
          <w:p>
            <w:pPr>
              <w:spacing w:after="0"/>
              <w:rPr>
                <w:sz w:val="19"/>
                <w:szCs w:val="19"/>
                <w:color w:val="auto"/>
              </w:rPr>
            </w:pPr>
          </w:p>
        </w:tc>
        <w:tc>
          <w:tcPr>
            <w:tcW w:w="60" w:type="dxa"/>
            <w:vAlign w:val="bottom"/>
            <w:shd w:val="clear" w:color="auto" w:fill="D7D7D7"/>
          </w:tcPr>
          <w:p>
            <w:pPr>
              <w:spacing w:after="0"/>
              <w:rPr>
                <w:sz w:val="19"/>
                <w:szCs w:val="19"/>
                <w:color w:val="auto"/>
              </w:rPr>
            </w:pPr>
          </w:p>
        </w:tc>
        <w:tc>
          <w:tcPr>
            <w:tcW w:w="480" w:type="dxa"/>
            <w:vAlign w:val="bottom"/>
            <w:shd w:val="clear" w:color="auto" w:fill="D7D7D7"/>
          </w:tcPr>
          <w:p>
            <w:pPr>
              <w:spacing w:after="0"/>
              <w:rPr>
                <w:sz w:val="19"/>
                <w:szCs w:val="19"/>
                <w:color w:val="auto"/>
              </w:rPr>
            </w:pPr>
          </w:p>
        </w:tc>
        <w:tc>
          <w:tcPr>
            <w:tcW w:w="600" w:type="dxa"/>
            <w:vAlign w:val="bottom"/>
            <w:shd w:val="clear" w:color="auto" w:fill="D7D7D7"/>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5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agency securities</w:t>
            </w: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50</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198</w:t>
            </w: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149</w:t>
            </w: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248</w:t>
            </w: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65"/>
        </w:trPr>
        <w:tc>
          <w:tcPr>
            <w:tcW w:w="35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Mutual funds</w:t>
            </w:r>
          </w:p>
        </w:tc>
        <w:tc>
          <w:tcPr>
            <w:tcW w:w="18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3"/>
                <w:szCs w:val="23"/>
                <w:color w:val="auto"/>
              </w:rPr>
            </w:pPr>
          </w:p>
        </w:tc>
        <w:tc>
          <w:tcPr>
            <w:tcW w:w="340" w:type="dxa"/>
            <w:vAlign w:val="bottom"/>
            <w:tcBorders>
              <w:bottom w:val="single" w:sz="8" w:color="2A2A2A"/>
            </w:tcBorders>
          </w:tcPr>
          <w:p>
            <w:pPr>
              <w:spacing w:after="0"/>
              <w:rPr>
                <w:sz w:val="23"/>
                <w:szCs w:val="23"/>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3"/>
                <w:szCs w:val="23"/>
                <w:color w:val="auto"/>
              </w:rPr>
            </w:pPr>
          </w:p>
        </w:tc>
        <w:tc>
          <w:tcPr>
            <w:tcW w:w="48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12</w:t>
            </w:r>
          </w:p>
        </w:tc>
        <w:tc>
          <w:tcPr>
            <w:tcW w:w="6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tcPr>
          <w:p>
            <w:pPr>
              <w:spacing w:after="0"/>
              <w:rPr>
                <w:sz w:val="23"/>
                <w:szCs w:val="23"/>
                <w:color w:val="auto"/>
              </w:rPr>
            </w:pPr>
          </w:p>
        </w:tc>
        <w:tc>
          <w:tcPr>
            <w:tcW w:w="340" w:type="dxa"/>
            <w:vAlign w:val="bottom"/>
            <w:tcBorders>
              <w:bottom w:val="single" w:sz="8" w:color="2A2A2A"/>
            </w:tcBorders>
          </w:tcPr>
          <w:p>
            <w:pPr>
              <w:spacing w:after="0"/>
              <w:rPr>
                <w:sz w:val="23"/>
                <w:szCs w:val="23"/>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tcPr>
          <w:p>
            <w:pPr>
              <w:spacing w:after="0"/>
              <w:rPr>
                <w:sz w:val="23"/>
                <w:szCs w:val="23"/>
                <w:color w:val="auto"/>
              </w:rPr>
            </w:pPr>
          </w:p>
        </w:tc>
        <w:tc>
          <w:tcPr>
            <w:tcW w:w="48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11</w:t>
            </w:r>
          </w:p>
        </w:tc>
        <w:tc>
          <w:tcPr>
            <w:tcW w:w="0" w:type="dxa"/>
            <w:vAlign w:val="bottom"/>
          </w:tcPr>
          <w:p>
            <w:pPr>
              <w:spacing w:after="0"/>
              <w:rPr>
                <w:sz w:val="1"/>
                <w:szCs w:val="1"/>
                <w:color w:val="auto"/>
              </w:rPr>
            </w:pPr>
          </w:p>
        </w:tc>
      </w:tr>
      <w:tr>
        <w:trPr>
          <w:trHeight w:val="255"/>
        </w:trPr>
        <w:tc>
          <w:tcPr>
            <w:tcW w:w="35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2,163</w:t>
            </w: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5,611</w:t>
            </w:r>
          </w:p>
        </w:tc>
        <w:tc>
          <w:tcPr>
            <w:tcW w:w="60" w:type="dxa"/>
            <w:vAlign w:val="bottom"/>
            <w:shd w:val="clear" w:color="auto" w:fill="D7D7D7"/>
          </w:tcPr>
          <w:p>
            <w:pPr>
              <w:spacing w:after="0"/>
              <w:rPr>
                <w:sz w:val="22"/>
                <w:szCs w:val="22"/>
                <w:color w:val="auto"/>
              </w:rPr>
            </w:pPr>
          </w:p>
        </w:tc>
        <w:tc>
          <w:tcPr>
            <w:tcW w:w="480" w:type="dxa"/>
            <w:vAlign w:val="bottom"/>
            <w:shd w:val="clear" w:color="auto" w:fill="D7D7D7"/>
          </w:tcPr>
          <w:p>
            <w:pPr>
              <w:spacing w:after="0"/>
              <w:rPr>
                <w:sz w:val="22"/>
                <w:szCs w:val="22"/>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12</w:t>
            </w:r>
          </w:p>
        </w:tc>
        <w:tc>
          <w:tcPr>
            <w:tcW w:w="6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2,343</w:t>
            </w:r>
          </w:p>
        </w:tc>
        <w:tc>
          <w:tcPr>
            <w:tcW w:w="60" w:type="dxa"/>
            <w:vAlign w:val="bottom"/>
            <w:shd w:val="clear" w:color="auto" w:fill="D7D7D7"/>
          </w:tcPr>
          <w:p>
            <w:pPr>
              <w:spacing w:after="0"/>
              <w:rPr>
                <w:sz w:val="22"/>
                <w:szCs w:val="22"/>
                <w:color w:val="auto"/>
              </w:rPr>
            </w:pPr>
          </w:p>
        </w:tc>
        <w:tc>
          <w:tcPr>
            <w:tcW w:w="340" w:type="dxa"/>
            <w:vAlign w:val="bottom"/>
            <w:shd w:val="clear" w:color="auto" w:fill="D7D7D7"/>
          </w:tcPr>
          <w:p>
            <w:pPr>
              <w:spacing w:after="0"/>
              <w:rPr>
                <w:sz w:val="22"/>
                <w:szCs w:val="22"/>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6,017</w:t>
            </w:r>
          </w:p>
        </w:tc>
        <w:tc>
          <w:tcPr>
            <w:tcW w:w="60" w:type="dxa"/>
            <w:vAlign w:val="bottom"/>
            <w:shd w:val="clear" w:color="auto" w:fill="D7D7D7"/>
          </w:tcPr>
          <w:p>
            <w:pPr>
              <w:spacing w:after="0"/>
              <w:rPr>
                <w:sz w:val="22"/>
                <w:szCs w:val="22"/>
                <w:color w:val="auto"/>
              </w:rPr>
            </w:pPr>
          </w:p>
        </w:tc>
        <w:tc>
          <w:tcPr>
            <w:tcW w:w="480" w:type="dxa"/>
            <w:vAlign w:val="bottom"/>
            <w:shd w:val="clear" w:color="auto" w:fill="D7D7D7"/>
          </w:tcPr>
          <w:p>
            <w:pPr>
              <w:spacing w:after="0"/>
              <w:rPr>
                <w:sz w:val="22"/>
                <w:szCs w:val="22"/>
                <w:color w:val="auto"/>
              </w:rPr>
            </w:pPr>
          </w:p>
        </w:tc>
        <w:tc>
          <w:tcPr>
            <w:tcW w:w="6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11</w:t>
            </w:r>
          </w:p>
        </w:tc>
        <w:tc>
          <w:tcPr>
            <w:tcW w:w="0" w:type="dxa"/>
            <w:vAlign w:val="bottom"/>
          </w:tcPr>
          <w:p>
            <w:pPr>
              <w:spacing w:after="0"/>
              <w:rPr>
                <w:sz w:val="1"/>
                <w:szCs w:val="1"/>
                <w:color w:val="auto"/>
              </w:rPr>
            </w:pPr>
          </w:p>
        </w:tc>
      </w:tr>
      <w:tr>
        <w:trPr>
          <w:trHeight w:val="285"/>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Other measurement basis:</w:t>
            </w: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180"/>
              <w:spacing w:after="0"/>
              <w:rPr>
                <w:sz w:val="20"/>
                <w:szCs w:val="20"/>
                <w:color w:val="auto"/>
              </w:rPr>
            </w:pPr>
            <w:r>
              <w:rPr>
                <w:rFonts w:ascii="Arial" w:cs="Arial" w:eastAsia="Arial" w:hAnsi="Arial"/>
                <w:sz w:val="20"/>
                <w:szCs w:val="20"/>
                <w:color w:val="2A2A2A"/>
              </w:rPr>
              <w:t>Equity-method investments</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2A2A2A"/>
              </w:rPr>
              <w:t>17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2A2A2A"/>
              </w:rPr>
              <w:t>18</w:t>
            </w:r>
          </w:p>
        </w:tc>
        <w:tc>
          <w:tcPr>
            <w:tcW w:w="0" w:type="dxa"/>
            <w:vAlign w:val="bottom"/>
          </w:tcPr>
          <w:p>
            <w:pPr>
              <w:spacing w:after="0"/>
              <w:rPr>
                <w:sz w:val="1"/>
                <w:szCs w:val="1"/>
                <w:color w:val="auto"/>
              </w:rPr>
            </w:pPr>
          </w:p>
        </w:tc>
      </w:tr>
      <w:tr>
        <w:trPr>
          <w:trHeight w:val="315"/>
        </w:trPr>
        <w:tc>
          <w:tcPr>
            <w:tcW w:w="35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Nonmarketable investments</w:t>
            </w:r>
          </w:p>
        </w:tc>
        <w:tc>
          <w:tcPr>
            <w:tcW w:w="180" w:type="dxa"/>
            <w:vAlign w:val="bottom"/>
            <w:tcBorders>
              <w:bottom w:val="single" w:sz="8" w:color="2A2A2A"/>
            </w:tcBorders>
            <w:shd w:val="clear" w:color="auto" w:fill="D7D7D7"/>
          </w:tcPr>
          <w:p>
            <w:pPr>
              <w:spacing w:after="0"/>
              <w:rPr>
                <w:sz w:val="24"/>
                <w:szCs w:val="24"/>
                <w:color w:val="auto"/>
              </w:rPr>
            </w:pP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340" w:type="dxa"/>
            <w:vAlign w:val="bottom"/>
            <w:tcBorders>
              <w:bottom w:val="single" w:sz="8" w:color="2A2A2A"/>
            </w:tcBorders>
            <w:shd w:val="clear" w:color="auto" w:fill="D7D7D7"/>
          </w:tcPr>
          <w:p>
            <w:pPr>
              <w:spacing w:after="0"/>
              <w:rPr>
                <w:sz w:val="24"/>
                <w:szCs w:val="24"/>
                <w:color w:val="auto"/>
              </w:rPr>
            </w:pP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480" w:type="dxa"/>
            <w:vAlign w:val="bottom"/>
            <w:tcBorders>
              <w:bottom w:val="single" w:sz="8" w:color="2A2A2A"/>
            </w:tcBorders>
            <w:shd w:val="clear" w:color="auto" w:fill="D7D7D7"/>
          </w:tcPr>
          <w:p>
            <w:pPr>
              <w:spacing w:after="0"/>
              <w:rPr>
                <w:sz w:val="24"/>
                <w:szCs w:val="24"/>
                <w:color w:val="auto"/>
              </w:rPr>
            </w:pP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340" w:type="dxa"/>
            <w:vAlign w:val="bottom"/>
            <w:tcBorders>
              <w:bottom w:val="single" w:sz="8" w:color="2A2A2A"/>
            </w:tcBorders>
            <w:shd w:val="clear" w:color="auto" w:fill="D7D7D7"/>
          </w:tcPr>
          <w:p>
            <w:pPr>
              <w:spacing w:after="0"/>
              <w:rPr>
                <w:sz w:val="24"/>
                <w:szCs w:val="24"/>
                <w:color w:val="auto"/>
              </w:rPr>
            </w:pP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480" w:type="dxa"/>
            <w:vAlign w:val="bottom"/>
            <w:tcBorders>
              <w:bottom w:val="single" w:sz="8" w:color="2A2A2A"/>
            </w:tcBorders>
            <w:shd w:val="clear" w:color="auto" w:fill="D7D7D7"/>
          </w:tcPr>
          <w:p>
            <w:pPr>
              <w:spacing w:after="0"/>
              <w:rPr>
                <w:sz w:val="24"/>
                <w:szCs w:val="24"/>
                <w:color w:val="auto"/>
              </w:rPr>
            </w:pP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w:t>
            </w:r>
          </w:p>
        </w:tc>
        <w:tc>
          <w:tcPr>
            <w:tcW w:w="0" w:type="dxa"/>
            <w:vAlign w:val="bottom"/>
          </w:tcPr>
          <w:p>
            <w:pPr>
              <w:spacing w:after="0"/>
              <w:rPr>
                <w:sz w:val="1"/>
                <w:szCs w:val="1"/>
                <w:color w:val="auto"/>
              </w:rPr>
            </w:pPr>
          </w:p>
        </w:tc>
      </w:tr>
      <w:tr>
        <w:trPr>
          <w:trHeight w:val="235"/>
        </w:trPr>
        <w:tc>
          <w:tcPr>
            <w:tcW w:w="3500" w:type="dxa"/>
            <w:vAlign w:val="bottom"/>
          </w:tcPr>
          <w:p>
            <w:pPr>
              <w:ind w:left="60"/>
              <w:spacing w:after="0"/>
              <w:rPr>
                <w:sz w:val="20"/>
                <w:szCs w:val="20"/>
                <w:color w:val="auto"/>
              </w:rPr>
            </w:pPr>
            <w:r>
              <w:rPr>
                <w:rFonts w:ascii="Arial" w:cs="Arial" w:eastAsia="Arial" w:hAnsi="Arial"/>
                <w:sz w:val="20"/>
                <w:szCs w:val="20"/>
                <w:color w:val="2A2A2A"/>
              </w:rPr>
              <w:t>Total</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2A2A2A"/>
              </w:rPr>
              <w:t>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2A2A2A"/>
              </w:rPr>
              <w:t>23</w:t>
            </w:r>
          </w:p>
        </w:tc>
        <w:tc>
          <w:tcPr>
            <w:tcW w:w="0" w:type="dxa"/>
            <w:vAlign w:val="bottom"/>
          </w:tcPr>
          <w:p>
            <w:pPr>
              <w:spacing w:after="0"/>
              <w:rPr>
                <w:sz w:val="1"/>
                <w:szCs w:val="1"/>
                <w:color w:val="auto"/>
              </w:rPr>
            </w:pPr>
          </w:p>
        </w:tc>
      </w:tr>
      <w:tr>
        <w:trPr>
          <w:trHeight w:val="270"/>
        </w:trPr>
        <w:tc>
          <w:tcPr>
            <w:tcW w:w="350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48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D7D7D7"/>
            </w:tcBorders>
          </w:tcPr>
          <w:p>
            <w:pPr>
              <w:ind w:left="60"/>
              <w:spacing w:after="0"/>
              <w:rPr>
                <w:sz w:val="20"/>
                <w:szCs w:val="20"/>
                <w:color w:val="auto"/>
              </w:rPr>
            </w:pPr>
            <w:r>
              <w:rPr>
                <w:rFonts w:ascii="Arial" w:cs="Arial" w:eastAsia="Arial" w:hAnsi="Arial"/>
                <w:sz w:val="20"/>
                <w:szCs w:val="20"/>
                <w:b w:val="1"/>
                <w:bCs w:val="1"/>
                <w:color w:val="2A2A2A"/>
              </w:rPr>
              <w:t>Cash on hand</w:t>
            </w:r>
          </w:p>
        </w:tc>
        <w:tc>
          <w:tcPr>
            <w:tcW w:w="18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801</w:t>
            </w:r>
          </w:p>
        </w:tc>
        <w:tc>
          <w:tcPr>
            <w:tcW w:w="60" w:type="dxa"/>
            <w:vAlign w:val="bottom"/>
            <w:tcBorders>
              <w:bottom w:val="single" w:sz="8" w:color="D7D7D7"/>
            </w:tcBorders>
          </w:tcPr>
          <w:p>
            <w:pPr>
              <w:spacing w:after="0"/>
              <w:rPr>
                <w:sz w:val="23"/>
                <w:szCs w:val="23"/>
                <w:color w:val="auto"/>
              </w:rPr>
            </w:pPr>
          </w:p>
        </w:tc>
        <w:tc>
          <w:tcPr>
            <w:tcW w:w="340" w:type="dxa"/>
            <w:vAlign w:val="bottom"/>
            <w:tcBorders>
              <w:bottom w:val="single" w:sz="8" w:color="2A2A2A"/>
            </w:tcBorders>
          </w:tcPr>
          <w:p>
            <w:pPr>
              <w:spacing w:after="0"/>
              <w:rPr>
                <w:sz w:val="23"/>
                <w:szCs w:val="23"/>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3"/>
                <w:szCs w:val="23"/>
                <w:color w:val="auto"/>
              </w:rPr>
            </w:pPr>
          </w:p>
        </w:tc>
        <w:tc>
          <w:tcPr>
            <w:tcW w:w="48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707</w:t>
            </w:r>
          </w:p>
        </w:tc>
        <w:tc>
          <w:tcPr>
            <w:tcW w:w="60" w:type="dxa"/>
            <w:vAlign w:val="bottom"/>
            <w:tcBorders>
              <w:bottom w:val="single" w:sz="8" w:color="D7D7D7"/>
            </w:tcBorders>
          </w:tcPr>
          <w:p>
            <w:pPr>
              <w:spacing w:after="0"/>
              <w:rPr>
                <w:sz w:val="23"/>
                <w:szCs w:val="23"/>
                <w:color w:val="auto"/>
              </w:rPr>
            </w:pPr>
          </w:p>
        </w:tc>
        <w:tc>
          <w:tcPr>
            <w:tcW w:w="340" w:type="dxa"/>
            <w:vAlign w:val="bottom"/>
            <w:tcBorders>
              <w:bottom w:val="single" w:sz="8" w:color="2A2A2A"/>
            </w:tcBorders>
          </w:tcPr>
          <w:p>
            <w:pPr>
              <w:spacing w:after="0"/>
              <w:rPr>
                <w:sz w:val="23"/>
                <w:szCs w:val="23"/>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tcPr>
          <w:p>
            <w:pPr>
              <w:spacing w:after="0"/>
              <w:rPr>
                <w:sz w:val="23"/>
                <w:szCs w:val="23"/>
                <w:color w:val="auto"/>
              </w:rPr>
            </w:pPr>
          </w:p>
        </w:tc>
        <w:tc>
          <w:tcPr>
            <w:tcW w:w="48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55"/>
        </w:trPr>
        <w:tc>
          <w:tcPr>
            <w:tcW w:w="35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2,964</w:t>
            </w:r>
          </w:p>
        </w:tc>
        <w:tc>
          <w:tcPr>
            <w:tcW w:w="60" w:type="dxa"/>
            <w:vAlign w:val="bottom"/>
            <w:tcBorders>
              <w:bottom w:val="single" w:sz="8" w:color="D7D7D7"/>
            </w:tcBorders>
            <w:shd w:val="clear" w:color="auto" w:fill="D7D7D7"/>
          </w:tcPr>
          <w:p>
            <w:pPr>
              <w:spacing w:after="0"/>
              <w:rPr>
                <w:sz w:val="21"/>
                <w:szCs w:val="21"/>
                <w:color w:val="auto"/>
              </w:rPr>
            </w:pPr>
          </w:p>
        </w:tc>
        <w:tc>
          <w:tcPr>
            <w:tcW w:w="340" w:type="dxa"/>
            <w:vAlign w:val="bottom"/>
            <w:tcBorders>
              <w:bottom w:val="single" w:sz="8" w:color="2A2A2A"/>
            </w:tcBorders>
            <w:shd w:val="clear" w:color="auto" w:fill="D7D7D7"/>
          </w:tcPr>
          <w:p>
            <w:pPr>
              <w:jc w:val="right"/>
              <w:ind w:right="70"/>
              <w:spacing w:after="0"/>
              <w:rPr>
                <w:sz w:val="20"/>
                <w:szCs w:val="20"/>
                <w:color w:val="auto"/>
              </w:rPr>
            </w:pPr>
            <w:r>
              <w:rPr>
                <w:rFonts w:ascii="Arial" w:cs="Arial" w:eastAsia="Arial" w:hAnsi="Arial"/>
                <w:sz w:val="20"/>
                <w:szCs w:val="20"/>
                <w:b w:val="1"/>
                <w:bCs w:val="1"/>
                <w:color w:val="2A2A2A"/>
              </w:rPr>
              <w:t>$</w:t>
            </w: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5,611</w:t>
            </w:r>
          </w:p>
        </w:tc>
        <w:tc>
          <w:tcPr>
            <w:tcW w:w="60" w:type="dxa"/>
            <w:vAlign w:val="bottom"/>
            <w:tcBorders>
              <w:bottom w:val="single" w:sz="8" w:color="D7D7D7"/>
            </w:tcBorders>
            <w:shd w:val="clear" w:color="auto" w:fill="D7D7D7"/>
          </w:tcPr>
          <w:p>
            <w:pPr>
              <w:spacing w:after="0"/>
              <w:rPr>
                <w:sz w:val="21"/>
                <w:szCs w:val="21"/>
                <w:color w:val="auto"/>
              </w:rPr>
            </w:pPr>
          </w:p>
        </w:tc>
        <w:tc>
          <w:tcPr>
            <w:tcW w:w="480" w:type="dxa"/>
            <w:vAlign w:val="bottom"/>
            <w:tcBorders>
              <w:bottom w:val="single" w:sz="8" w:color="2A2A2A"/>
            </w:tcBorders>
            <w:shd w:val="clear" w:color="auto" w:fill="D7D7D7"/>
          </w:tcPr>
          <w:p>
            <w:pPr>
              <w:jc w:val="right"/>
              <w:ind w:right="210"/>
              <w:spacing w:after="0"/>
              <w:rPr>
                <w:sz w:val="20"/>
                <w:szCs w:val="20"/>
                <w:color w:val="auto"/>
              </w:rPr>
            </w:pPr>
            <w:r>
              <w:rPr>
                <w:rFonts w:ascii="Arial" w:cs="Arial" w:eastAsia="Arial" w:hAnsi="Arial"/>
                <w:sz w:val="20"/>
                <w:szCs w:val="20"/>
                <w:b w:val="1"/>
                <w:bCs w:val="1"/>
                <w:color w:val="2A2A2A"/>
              </w:rPr>
              <w:t>$</w:t>
            </w: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34</w:t>
            </w:r>
          </w:p>
        </w:tc>
        <w:tc>
          <w:tcPr>
            <w:tcW w:w="6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3,050</w:t>
            </w:r>
          </w:p>
        </w:tc>
        <w:tc>
          <w:tcPr>
            <w:tcW w:w="60" w:type="dxa"/>
            <w:vAlign w:val="bottom"/>
            <w:tcBorders>
              <w:bottom w:val="single" w:sz="8" w:color="D7D7D7"/>
            </w:tcBorders>
            <w:shd w:val="clear" w:color="auto" w:fill="D7D7D7"/>
          </w:tcPr>
          <w:p>
            <w:pPr>
              <w:spacing w:after="0"/>
              <w:rPr>
                <w:sz w:val="21"/>
                <w:szCs w:val="21"/>
                <w:color w:val="auto"/>
              </w:rPr>
            </w:pPr>
          </w:p>
        </w:tc>
        <w:tc>
          <w:tcPr>
            <w:tcW w:w="340" w:type="dxa"/>
            <w:vAlign w:val="bottom"/>
            <w:tcBorders>
              <w:bottom w:val="single" w:sz="8" w:color="2A2A2A"/>
            </w:tcBorders>
            <w:shd w:val="clear" w:color="auto" w:fill="D7D7D7"/>
          </w:tcPr>
          <w:p>
            <w:pPr>
              <w:jc w:val="right"/>
              <w:ind w:right="70"/>
              <w:spacing w:after="0"/>
              <w:rPr>
                <w:sz w:val="20"/>
                <w:szCs w:val="20"/>
                <w:color w:val="auto"/>
              </w:rPr>
            </w:pPr>
            <w:r>
              <w:rPr>
                <w:rFonts w:ascii="Arial" w:cs="Arial" w:eastAsia="Arial" w:hAnsi="Arial"/>
                <w:sz w:val="20"/>
                <w:szCs w:val="20"/>
                <w:color w:val="2A2A2A"/>
              </w:rPr>
              <w:t>$</w:t>
            </w: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6,017</w:t>
            </w:r>
          </w:p>
        </w:tc>
        <w:tc>
          <w:tcPr>
            <w:tcW w:w="60" w:type="dxa"/>
            <w:vAlign w:val="bottom"/>
            <w:tcBorders>
              <w:bottom w:val="single" w:sz="8" w:color="D7D7D7"/>
            </w:tcBorders>
            <w:shd w:val="clear" w:color="auto" w:fill="D7D7D7"/>
          </w:tcPr>
          <w:p>
            <w:pPr>
              <w:spacing w:after="0"/>
              <w:rPr>
                <w:sz w:val="21"/>
                <w:szCs w:val="21"/>
                <w:color w:val="auto"/>
              </w:rPr>
            </w:pPr>
          </w:p>
        </w:tc>
        <w:tc>
          <w:tcPr>
            <w:tcW w:w="480" w:type="dxa"/>
            <w:vAlign w:val="bottom"/>
            <w:tcBorders>
              <w:bottom w:val="single" w:sz="8" w:color="2A2A2A"/>
            </w:tcBorders>
            <w:shd w:val="clear" w:color="auto" w:fill="D7D7D7"/>
          </w:tcPr>
          <w:p>
            <w:pPr>
              <w:jc w:val="right"/>
              <w:ind w:right="210"/>
              <w:spacing w:after="0"/>
              <w:rPr>
                <w:sz w:val="20"/>
                <w:szCs w:val="20"/>
                <w:color w:val="auto"/>
              </w:rPr>
            </w:pPr>
            <w:r>
              <w:rPr>
                <w:rFonts w:ascii="Arial" w:cs="Arial" w:eastAsia="Arial" w:hAnsi="Arial"/>
                <w:sz w:val="20"/>
                <w:szCs w:val="20"/>
                <w:color w:val="2A2A2A"/>
              </w:rPr>
              <w:t>$</w:t>
            </w: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34</w:t>
            </w:r>
          </w:p>
        </w:tc>
        <w:tc>
          <w:tcPr>
            <w:tcW w:w="0" w:type="dxa"/>
            <w:vAlign w:val="bottom"/>
          </w:tcPr>
          <w:p>
            <w:pPr>
              <w:spacing w:after="0"/>
              <w:rPr>
                <w:sz w:val="1"/>
                <w:szCs w:val="1"/>
                <w:color w:val="auto"/>
              </w:rPr>
            </w:pPr>
          </w:p>
        </w:tc>
      </w:tr>
      <w:tr>
        <w:trPr>
          <w:trHeight w:val="20"/>
        </w:trPr>
        <w:tc>
          <w:tcPr>
            <w:tcW w:w="35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90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340" w:type="dxa"/>
            <w:vAlign w:val="bottom"/>
            <w:tcBorders>
              <w:top w:val="single" w:sz="8" w:color="D7D7D7"/>
              <w:bottom w:val="single" w:sz="8" w:color="2A2A2A"/>
            </w:tcBorders>
          </w:tcPr>
          <w:p>
            <w:pPr>
              <w:spacing w:after="0" w:line="20" w:lineRule="exact"/>
              <w:rPr>
                <w:sz w:val="1"/>
                <w:szCs w:val="1"/>
                <w:color w:val="auto"/>
              </w:rPr>
            </w:pPr>
          </w:p>
        </w:tc>
        <w:tc>
          <w:tcPr>
            <w:tcW w:w="7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480" w:type="dxa"/>
            <w:vAlign w:val="bottom"/>
            <w:tcBorders>
              <w:top w:val="single" w:sz="8" w:color="D7D7D7"/>
              <w:bottom w:val="single" w:sz="8" w:color="2A2A2A"/>
            </w:tcBorders>
          </w:tcPr>
          <w:p>
            <w:pPr>
              <w:spacing w:after="0" w:line="20" w:lineRule="exact"/>
              <w:rPr>
                <w:sz w:val="1"/>
                <w:szCs w:val="1"/>
                <w:color w:val="auto"/>
              </w:rPr>
            </w:pPr>
          </w:p>
        </w:tc>
        <w:tc>
          <w:tcPr>
            <w:tcW w:w="60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90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340" w:type="dxa"/>
            <w:vAlign w:val="bottom"/>
            <w:tcBorders>
              <w:top w:val="single" w:sz="8" w:color="D7D7D7"/>
              <w:bottom w:val="single" w:sz="8" w:color="2A2A2A"/>
            </w:tcBorders>
          </w:tcPr>
          <w:p>
            <w:pPr>
              <w:spacing w:after="0" w:line="20" w:lineRule="exact"/>
              <w:rPr>
                <w:sz w:val="1"/>
                <w:szCs w:val="1"/>
                <w:color w:val="auto"/>
              </w:rPr>
            </w:pPr>
          </w:p>
        </w:tc>
        <w:tc>
          <w:tcPr>
            <w:tcW w:w="7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480" w:type="dxa"/>
            <w:vAlign w:val="bottom"/>
            <w:tcBorders>
              <w:top w:val="single" w:sz="8" w:color="D7D7D7"/>
              <w:bottom w:val="single" w:sz="8" w:color="2A2A2A"/>
            </w:tcBorders>
          </w:tcPr>
          <w:p>
            <w:pPr>
              <w:spacing w:after="0" w:line="20" w:lineRule="exact"/>
              <w:rPr>
                <w:sz w:val="1"/>
                <w:szCs w:val="1"/>
                <w:color w:val="auto"/>
              </w:rPr>
            </w:pPr>
          </w:p>
        </w:tc>
        <w:tc>
          <w:tcPr>
            <w:tcW w:w="600" w:type="dxa"/>
            <w:vAlign w:val="bottom"/>
            <w:tcBorders>
              <w:top w:val="single" w:sz="8" w:color="D7D7D7"/>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-2915920</wp:posOffset>
            </wp:positionV>
            <wp:extent cx="655256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2565" cy="2794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-1601470</wp:posOffset>
            </wp:positionV>
            <wp:extent cx="432371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23715" cy="2794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-715645</wp:posOffset>
            </wp:positionV>
            <wp:extent cx="432371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23715" cy="2794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-201295</wp:posOffset>
            </wp:positionV>
            <wp:extent cx="432371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23715" cy="2794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-42545</wp:posOffset>
            </wp:positionV>
            <wp:extent cx="4323715"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23715" cy="53340"/>
                    </a:xfrm>
                    <a:prstGeom prst="rect">
                      <a:avLst/>
                    </a:prstGeom>
                    <a:noFill/>
                  </pic:spPr>
                </pic:pic>
              </a:graphicData>
            </a:graphic>
          </wp:anchor>
        </w:drawing>
      </w:r>
    </w:p>
    <w:p>
      <w:pPr>
        <w:spacing w:after="0" w:line="239" w:lineRule="exact"/>
        <w:rPr>
          <w:sz w:val="20"/>
          <w:szCs w:val="20"/>
          <w:color w:val="auto"/>
        </w:rPr>
      </w:pPr>
    </w:p>
    <w:p>
      <w:pPr>
        <w:ind w:left="1" w:right="400"/>
        <w:spacing w:after="0" w:line="287" w:lineRule="auto"/>
        <w:rPr>
          <w:sz w:val="20"/>
          <w:szCs w:val="20"/>
          <w:color w:val="auto"/>
        </w:rPr>
      </w:pPr>
      <w:r>
        <w:rPr>
          <w:rFonts w:ascii="Arial" w:cs="Arial" w:eastAsia="Arial" w:hAnsi="Arial"/>
          <w:sz w:val="20"/>
          <w:szCs w:val="20"/>
          <w:color w:val="2A2A2A"/>
        </w:rPr>
        <w:t>As of December 31, 2023 and 2022, unrealized gains and losses associated with our debt investments were not material. We did not recognize any credit losses related to debt investments in 2023, 2022 or 2021.</w:t>
      </w:r>
    </w:p>
    <w:p>
      <w:pPr>
        <w:sectPr>
          <w:pgSz w:w="12240" w:h="15840" w:orient="portrait"/>
          <w:cols w:equalWidth="0" w:num="1">
            <w:col w:w="10281"/>
          </w:cols>
          <w:pgMar w:left="979"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42</w:t>
      </w:r>
    </w:p>
    <w:p>
      <w:pPr>
        <w:sectPr>
          <w:pgSz w:w="12240" w:h="15840" w:orient="portrait"/>
          <w:cols w:equalWidth="0" w:num="1">
            <w:col w:w="10281"/>
          </w:cols>
          <w:pgMar w:left="979" w:top="664" w:right="980" w:bottom="24"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color w:val="2A2A2A"/>
        </w:rPr>
        <w:t>The following table presents the aggregate maturities of our debt investments as of December 31, 2023: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tcBorders>
              <w:bottom w:val="single" w:sz="8" w:color="2A2A2A"/>
            </w:tcBorders>
          </w:tcPr>
          <w:p>
            <w:pPr>
              <w:spacing w:after="0"/>
              <w:rPr>
                <w:sz w:val="18"/>
                <w:szCs w:val="18"/>
                <w:color w:val="auto"/>
              </w:rPr>
            </w:pPr>
          </w:p>
        </w:tc>
        <w:tc>
          <w:tcPr>
            <w:tcW w:w="4860" w:type="dxa"/>
            <w:vAlign w:val="bottom"/>
            <w:tcBorders>
              <w:bottom w:val="single" w:sz="8" w:color="2A2A2A"/>
            </w:tcBorders>
          </w:tcPr>
          <w:p>
            <w:pPr>
              <w:jc w:val="right"/>
              <w:ind w:right="67"/>
              <w:spacing w:after="0"/>
              <w:rPr>
                <w:sz w:val="20"/>
                <w:szCs w:val="20"/>
                <w:color w:val="auto"/>
              </w:rPr>
            </w:pPr>
            <w:r>
              <w:rPr>
                <w:rFonts w:ascii="Arial" w:cs="Arial" w:eastAsia="Arial" w:hAnsi="Arial"/>
                <w:sz w:val="16"/>
                <w:szCs w:val="16"/>
                <w:b w:val="1"/>
                <w:bCs w:val="1"/>
                <w:color w:val="2A2A2A"/>
              </w:rPr>
              <w:t>Fair Value</w:t>
            </w:r>
          </w:p>
        </w:tc>
      </w:tr>
      <w:tr>
        <w:trPr>
          <w:trHeight w:val="275"/>
        </w:trPr>
        <w:tc>
          <w:tcPr>
            <w:tcW w:w="54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One year or less</w:t>
            </w:r>
          </w:p>
        </w:tc>
        <w:tc>
          <w:tcPr>
            <w:tcW w:w="48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   6,362</w:t>
            </w:r>
          </w:p>
        </w:tc>
      </w:tr>
      <w:tr>
        <w:trPr>
          <w:trHeight w:val="281"/>
        </w:trPr>
        <w:tc>
          <w:tcPr>
            <w:tcW w:w="5420" w:type="dxa"/>
            <w:vAlign w:val="bottom"/>
          </w:tcPr>
          <w:p>
            <w:pPr>
              <w:ind w:left="60"/>
              <w:spacing w:after="0"/>
              <w:rPr>
                <w:sz w:val="20"/>
                <w:szCs w:val="20"/>
                <w:color w:val="auto"/>
              </w:rPr>
            </w:pPr>
            <w:r>
              <w:rPr>
                <w:rFonts w:ascii="Arial" w:cs="Arial" w:eastAsia="Arial" w:hAnsi="Arial"/>
                <w:sz w:val="20"/>
                <w:szCs w:val="20"/>
                <w:color w:val="2A2A2A"/>
              </w:rPr>
              <w:t>One to two years</w:t>
            </w:r>
          </w:p>
        </w:tc>
        <w:tc>
          <w:tcPr>
            <w:tcW w:w="4860" w:type="dxa"/>
            <w:vAlign w:val="bottom"/>
          </w:tcPr>
          <w:p>
            <w:pPr>
              <w:jc w:val="right"/>
              <w:spacing w:after="0"/>
              <w:rPr>
                <w:sz w:val="20"/>
                <w:szCs w:val="20"/>
                <w:color w:val="auto"/>
              </w:rPr>
            </w:pPr>
            <w:r>
              <w:rPr>
                <w:rFonts w:ascii="Arial" w:cs="Arial" w:eastAsia="Arial" w:hAnsi="Arial"/>
                <w:sz w:val="20"/>
                <w:szCs w:val="20"/>
                <w:color w:val="2A2A2A"/>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-371475</wp:posOffset>
            </wp:positionV>
            <wp:extent cx="655002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9"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color w:val="2A2A2A"/>
        </w:rPr>
        <w:t>In 2023, 2022 and 2021, the proceeds from sales, redemptions and maturities of short-term debt investments were $13.39 billion, $13.66 billion and $8.48 billion, respectively. Gross realized gains and losses from these sales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Fair-value considerations</w:t>
      </w:r>
    </w:p>
    <w:p>
      <w:pPr>
        <w:spacing w:after="0" w:line="255"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2A2A2A"/>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6" w:lineRule="exact"/>
        <w:rPr>
          <w:sz w:val="20"/>
          <w:szCs w:val="20"/>
          <w:color w:val="auto"/>
        </w:rPr>
      </w:pPr>
    </w:p>
    <w:p>
      <w:pPr>
        <w:ind w:right="440"/>
        <w:spacing w:after="0" w:line="287" w:lineRule="auto"/>
        <w:rPr>
          <w:sz w:val="20"/>
          <w:szCs w:val="20"/>
          <w:color w:val="auto"/>
        </w:rPr>
      </w:pPr>
      <w:r>
        <w:rPr>
          <w:rFonts w:ascii="Arial" w:cs="Arial" w:eastAsia="Arial" w:hAnsi="Arial"/>
          <w:sz w:val="20"/>
          <w:szCs w:val="20"/>
          <w:color w:val="2A2A2A"/>
        </w:rPr>
        <w:t>The three-level hierarchy described below indicates the extent and level of judgment used to estimate fair-value measurements.</w:t>
      </w:r>
    </w:p>
    <w:p>
      <w:pPr>
        <w:spacing w:after="0" w:line="170" w:lineRule="exact"/>
        <w:rPr>
          <w:sz w:val="20"/>
          <w:szCs w:val="20"/>
          <w:color w:val="auto"/>
        </w:rPr>
      </w:pPr>
    </w:p>
    <w:p>
      <w:pPr>
        <w:ind w:left="720" w:right="60" w:hanging="361"/>
        <w:spacing w:after="0" w:line="287" w:lineRule="auto"/>
        <w:tabs>
          <w:tab w:leader="none" w:pos="720" w:val="left"/>
        </w:tabs>
        <w:numPr>
          <w:ilvl w:val="0"/>
          <w:numId w:val="26"/>
        </w:numPr>
        <w:rPr>
          <w:rFonts w:ascii="Arial" w:cs="Arial" w:eastAsia="Arial" w:hAnsi="Arial"/>
          <w:sz w:val="20"/>
          <w:szCs w:val="20"/>
          <w:color w:val="2A2A2A"/>
        </w:rPr>
      </w:pPr>
      <w:r>
        <w:rPr>
          <w:rFonts w:ascii="Arial" w:cs="Arial" w:eastAsia="Arial" w:hAnsi="Arial"/>
          <w:sz w:val="20"/>
          <w:szCs w:val="20"/>
          <w:i w:val="1"/>
          <w:iCs w:val="1"/>
          <w:color w:val="2A2A2A"/>
        </w:rPr>
        <w:t xml:space="preserve">Level 1 </w:t>
      </w:r>
      <w:r>
        <w:rPr>
          <w:rFonts w:ascii="Arial" w:cs="Arial" w:eastAsia="Arial" w:hAnsi="Arial"/>
          <w:sz w:val="20"/>
          <w:szCs w:val="20"/>
          <w:color w:val="2A2A2A"/>
        </w:rPr>
        <w:t>– Uses unadjusted quoted prices that are available in active markets for identical assets or liabilities</w:t>
      </w:r>
      <w:r>
        <w:rPr>
          <w:rFonts w:ascii="Arial" w:cs="Arial" w:eastAsia="Arial" w:hAnsi="Arial"/>
          <w:sz w:val="20"/>
          <w:szCs w:val="20"/>
          <w:i w:val="1"/>
          <w:iCs w:val="1"/>
          <w:color w:val="2A2A2A"/>
        </w:rPr>
        <w:t xml:space="preserve"> </w:t>
      </w:r>
      <w:r>
        <w:rPr>
          <w:rFonts w:ascii="Arial" w:cs="Arial" w:eastAsia="Arial" w:hAnsi="Arial"/>
          <w:sz w:val="20"/>
          <w:szCs w:val="20"/>
          <w:color w:val="2A2A2A"/>
        </w:rPr>
        <w:t>as of the reporting date.</w:t>
      </w:r>
    </w:p>
    <w:p>
      <w:pPr>
        <w:spacing w:after="0" w:line="49" w:lineRule="exact"/>
        <w:rPr>
          <w:rFonts w:ascii="Arial" w:cs="Arial" w:eastAsia="Arial" w:hAnsi="Arial"/>
          <w:sz w:val="20"/>
          <w:szCs w:val="20"/>
          <w:color w:val="2A2A2A"/>
        </w:rPr>
      </w:pPr>
    </w:p>
    <w:p>
      <w:pPr>
        <w:ind w:left="720" w:right="60" w:hanging="361"/>
        <w:spacing w:after="0" w:line="255" w:lineRule="auto"/>
        <w:tabs>
          <w:tab w:leader="none" w:pos="720" w:val="left"/>
        </w:tabs>
        <w:numPr>
          <w:ilvl w:val="0"/>
          <w:numId w:val="26"/>
        </w:numPr>
        <w:rPr>
          <w:rFonts w:ascii="Arial" w:cs="Arial" w:eastAsia="Arial" w:hAnsi="Arial"/>
          <w:sz w:val="20"/>
          <w:szCs w:val="20"/>
          <w:color w:val="2A2A2A"/>
        </w:rPr>
      </w:pPr>
      <w:r>
        <w:rPr>
          <w:rFonts w:ascii="Arial" w:cs="Arial" w:eastAsia="Arial" w:hAnsi="Arial"/>
          <w:sz w:val="20"/>
          <w:szCs w:val="20"/>
          <w:i w:val="1"/>
          <w:iCs w:val="1"/>
          <w:color w:val="2A2A2A"/>
        </w:rPr>
        <w:t xml:space="preserve">Level 2 </w:t>
      </w:r>
      <w:r>
        <w:rPr>
          <w:rFonts w:ascii="Arial" w:cs="Arial" w:eastAsia="Arial" w:hAnsi="Arial"/>
          <w:sz w:val="20"/>
          <w:szCs w:val="20"/>
          <w:color w:val="2A2A2A"/>
        </w:rPr>
        <w:t>– Uses inputs other than Level 1 that are either directly or indirectly observable as of the reporting</w:t>
      </w:r>
      <w:r>
        <w:rPr>
          <w:rFonts w:ascii="Arial" w:cs="Arial" w:eastAsia="Arial" w:hAnsi="Arial"/>
          <w:sz w:val="20"/>
          <w:szCs w:val="20"/>
          <w:i w:val="1"/>
          <w:iCs w:val="1"/>
          <w:color w:val="2A2A2A"/>
        </w:rPr>
        <w:t xml:space="preserve"> </w:t>
      </w:r>
      <w:r>
        <w:rPr>
          <w:rFonts w:ascii="Arial" w:cs="Arial" w:eastAsia="Arial" w:hAnsi="Arial"/>
          <w:sz w:val="20"/>
          <w:szCs w:val="20"/>
          <w:color w:val="2A2A2A"/>
        </w:rPr>
        <w:t>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85" w:lineRule="exact"/>
        <w:rPr>
          <w:rFonts w:ascii="Arial" w:cs="Arial" w:eastAsia="Arial" w:hAnsi="Arial"/>
          <w:sz w:val="20"/>
          <w:szCs w:val="20"/>
          <w:color w:val="2A2A2A"/>
        </w:rPr>
      </w:pPr>
    </w:p>
    <w:p>
      <w:pPr>
        <w:jc w:val="both"/>
        <w:ind w:left="720" w:right="160" w:hanging="361"/>
        <w:spacing w:after="0" w:line="262" w:lineRule="auto"/>
        <w:tabs>
          <w:tab w:leader="none" w:pos="720" w:val="left"/>
        </w:tabs>
        <w:numPr>
          <w:ilvl w:val="0"/>
          <w:numId w:val="26"/>
        </w:numPr>
        <w:rPr>
          <w:rFonts w:ascii="Arial" w:cs="Arial" w:eastAsia="Arial" w:hAnsi="Arial"/>
          <w:sz w:val="20"/>
          <w:szCs w:val="20"/>
          <w:color w:val="2A2A2A"/>
        </w:rPr>
      </w:pPr>
      <w:r>
        <w:rPr>
          <w:rFonts w:ascii="Arial" w:cs="Arial" w:eastAsia="Arial" w:hAnsi="Arial"/>
          <w:sz w:val="20"/>
          <w:szCs w:val="20"/>
          <w:i w:val="1"/>
          <w:iCs w:val="1"/>
          <w:color w:val="2A2A2A"/>
        </w:rPr>
        <w:t xml:space="preserve">Level 3 </w:t>
      </w:r>
      <w:r>
        <w:rPr>
          <w:rFonts w:ascii="Arial" w:cs="Arial" w:eastAsia="Arial" w:hAnsi="Arial"/>
          <w:sz w:val="20"/>
          <w:szCs w:val="20"/>
          <w:color w:val="2A2A2A"/>
        </w:rPr>
        <w:t>– Uses inputs that are unobservable, supported by little or no market activity and reflect the use of</w:t>
      </w:r>
      <w:r>
        <w:rPr>
          <w:rFonts w:ascii="Arial" w:cs="Arial" w:eastAsia="Arial" w:hAnsi="Arial"/>
          <w:sz w:val="20"/>
          <w:szCs w:val="20"/>
          <w:i w:val="1"/>
          <w:iCs w:val="1"/>
          <w:color w:val="2A2A2A"/>
        </w:rPr>
        <w:t xml:space="preserve"> </w:t>
      </w:r>
      <w:r>
        <w:rPr>
          <w:rFonts w:ascii="Arial" w:cs="Arial" w:eastAsia="Arial" w:hAnsi="Arial"/>
          <w:sz w:val="20"/>
          <w:szCs w:val="20"/>
          <w:color w:val="2A2A2A"/>
        </w:rPr>
        <w:t>significant management judgment. These values are generally determined using pricing models that utilize management estimates of market participant assumptions. As of December 31, 2023 and 2022, we had no Level 3 assets or liabilities.</w:t>
      </w:r>
    </w:p>
    <w:p>
      <w:pPr>
        <w:spacing w:after="0" w:line="196"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6"/>
          </w:tcPr>
          <w:p>
            <w:pPr>
              <w:jc w:val="right"/>
              <w:spacing w:after="0"/>
              <w:rPr>
                <w:sz w:val="20"/>
                <w:szCs w:val="20"/>
                <w:color w:val="auto"/>
              </w:rPr>
            </w:pPr>
            <w:r>
              <w:rPr>
                <w:rFonts w:ascii="Arial" w:cs="Arial" w:eastAsia="Arial" w:hAnsi="Arial"/>
                <w:sz w:val="16"/>
                <w:szCs w:val="16"/>
                <w:b w:val="1"/>
                <w:bCs w:val="1"/>
                <w:color w:val="2A2A2A"/>
              </w:rPr>
              <w:t>December 31, 2023</w:t>
            </w:r>
          </w:p>
        </w:tc>
        <w:tc>
          <w:tcPr>
            <w:tcW w:w="660" w:type="dxa"/>
            <w:vAlign w:val="bottom"/>
            <w:tcBorders>
              <w:bottom w:val="single" w:sz="8" w:color="2A2A2A"/>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6"/>
          </w:tcPr>
          <w:p>
            <w:pPr>
              <w:jc w:val="right"/>
              <w:spacing w:after="0"/>
              <w:rPr>
                <w:sz w:val="20"/>
                <w:szCs w:val="20"/>
                <w:color w:val="auto"/>
              </w:rPr>
            </w:pPr>
            <w:r>
              <w:rPr>
                <w:rFonts w:ascii="Arial" w:cs="Arial" w:eastAsia="Arial" w:hAnsi="Arial"/>
                <w:sz w:val="16"/>
                <w:szCs w:val="16"/>
                <w:b w:val="1"/>
                <w:bCs w:val="1"/>
                <w:color w:val="2A2A2A"/>
              </w:rPr>
              <w:t>December 31, 2022</w:t>
            </w:r>
          </w:p>
        </w:tc>
        <w:tc>
          <w:tcPr>
            <w:tcW w:w="680" w:type="dxa"/>
            <w:vAlign w:val="bottom"/>
            <w:tcBorders>
              <w:bottom w:val="single" w:sz="8" w:color="2A2A2A"/>
            </w:tcBorders>
          </w:tcPr>
          <w:p>
            <w:pPr>
              <w:spacing w:after="0"/>
              <w:rPr>
                <w:sz w:val="18"/>
                <w:szCs w:val="18"/>
                <w:color w:val="auto"/>
              </w:rPr>
            </w:pPr>
          </w:p>
        </w:tc>
      </w:tr>
      <w:tr>
        <w:trPr>
          <w:trHeight w:val="250"/>
        </w:trPr>
        <w:tc>
          <w:tcPr>
            <w:tcW w:w="450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720" w:type="dxa"/>
            <w:vAlign w:val="bottom"/>
            <w:tcBorders>
              <w:bottom w:val="single" w:sz="8" w:color="2A2A2A"/>
            </w:tcBorders>
          </w:tcPr>
          <w:p>
            <w:pPr>
              <w:jc w:val="right"/>
              <w:ind w:right="84"/>
              <w:spacing w:after="0"/>
              <w:rPr>
                <w:sz w:val="20"/>
                <w:szCs w:val="20"/>
                <w:color w:val="auto"/>
              </w:rPr>
            </w:pPr>
            <w:r>
              <w:rPr>
                <w:rFonts w:ascii="Arial" w:cs="Arial" w:eastAsia="Arial" w:hAnsi="Arial"/>
                <w:sz w:val="16"/>
                <w:szCs w:val="16"/>
                <w:b w:val="1"/>
                <w:bCs w:val="1"/>
                <w:color w:val="2A2A2A"/>
                <w:w w:val="95"/>
              </w:rPr>
              <w:t>Level 1</w:t>
            </w:r>
          </w:p>
        </w:tc>
        <w:tc>
          <w:tcPr>
            <w:tcW w:w="80" w:type="dxa"/>
            <w:vAlign w:val="bottom"/>
            <w:tcBorders>
              <w:bottom w:val="single" w:sz="8" w:color="2A2A2A"/>
            </w:tcBorders>
          </w:tcPr>
          <w:p>
            <w:pPr>
              <w:spacing w:after="0"/>
              <w:rPr>
                <w:sz w:val="21"/>
                <w:szCs w:val="21"/>
                <w:color w:val="auto"/>
              </w:rPr>
            </w:pPr>
          </w:p>
        </w:tc>
        <w:tc>
          <w:tcPr>
            <w:tcW w:w="160" w:type="dxa"/>
            <w:vAlign w:val="bottom"/>
            <w:tcBorders>
              <w:bottom w:val="single" w:sz="8" w:color="2A2A2A"/>
            </w:tcBorders>
          </w:tcPr>
          <w:p>
            <w:pPr>
              <w:spacing w:after="0"/>
              <w:rPr>
                <w:sz w:val="21"/>
                <w:szCs w:val="21"/>
                <w:color w:val="auto"/>
              </w:rPr>
            </w:pPr>
          </w:p>
        </w:tc>
        <w:tc>
          <w:tcPr>
            <w:tcW w:w="740" w:type="dxa"/>
            <w:vAlign w:val="bottom"/>
            <w:tcBorders>
              <w:bottom w:val="single" w:sz="8" w:color="2A2A2A"/>
            </w:tcBorders>
          </w:tcPr>
          <w:p>
            <w:pPr>
              <w:jc w:val="right"/>
              <w:ind w:right="82"/>
              <w:spacing w:after="0"/>
              <w:rPr>
                <w:sz w:val="20"/>
                <w:szCs w:val="20"/>
                <w:color w:val="auto"/>
              </w:rPr>
            </w:pPr>
            <w:r>
              <w:rPr>
                <w:rFonts w:ascii="Arial" w:cs="Arial" w:eastAsia="Arial" w:hAnsi="Arial"/>
                <w:sz w:val="16"/>
                <w:szCs w:val="16"/>
                <w:b w:val="1"/>
                <w:bCs w:val="1"/>
                <w:color w:val="2A2A2A"/>
                <w:w w:val="99"/>
              </w:rPr>
              <w:t>Level 2</w:t>
            </w:r>
          </w:p>
        </w:tc>
        <w:tc>
          <w:tcPr>
            <w:tcW w:w="60" w:type="dxa"/>
            <w:vAlign w:val="bottom"/>
            <w:tcBorders>
              <w:bottom w:val="single" w:sz="8" w:color="2A2A2A"/>
            </w:tcBorders>
          </w:tcPr>
          <w:p>
            <w:pPr>
              <w:spacing w:after="0"/>
              <w:rPr>
                <w:sz w:val="21"/>
                <w:szCs w:val="21"/>
                <w:color w:val="auto"/>
              </w:rPr>
            </w:pPr>
          </w:p>
        </w:tc>
        <w:tc>
          <w:tcPr>
            <w:tcW w:w="240" w:type="dxa"/>
            <w:vAlign w:val="bottom"/>
            <w:tcBorders>
              <w:bottom w:val="single" w:sz="8" w:color="2A2A2A"/>
            </w:tcBorders>
          </w:tcPr>
          <w:p>
            <w:pPr>
              <w:spacing w:after="0"/>
              <w:rPr>
                <w:sz w:val="21"/>
                <w:szCs w:val="21"/>
                <w:color w:val="auto"/>
              </w:rPr>
            </w:pPr>
          </w:p>
        </w:tc>
        <w:tc>
          <w:tcPr>
            <w:tcW w:w="660" w:type="dxa"/>
            <w:vAlign w:val="bottom"/>
            <w:tcBorders>
              <w:bottom w:val="single" w:sz="8" w:color="2A2A2A"/>
            </w:tcBorders>
          </w:tcPr>
          <w:p>
            <w:pPr>
              <w:jc w:val="right"/>
              <w:ind w:right="142"/>
              <w:spacing w:after="0"/>
              <w:rPr>
                <w:sz w:val="20"/>
                <w:szCs w:val="20"/>
                <w:color w:val="auto"/>
              </w:rPr>
            </w:pPr>
            <w:r>
              <w:rPr>
                <w:rFonts w:ascii="Arial" w:cs="Arial" w:eastAsia="Arial" w:hAnsi="Arial"/>
                <w:sz w:val="16"/>
                <w:szCs w:val="16"/>
                <w:b w:val="1"/>
                <w:bCs w:val="1"/>
                <w:color w:val="2A2A2A"/>
              </w:rPr>
              <w:t>Total</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720" w:type="dxa"/>
            <w:vAlign w:val="bottom"/>
            <w:tcBorders>
              <w:bottom w:val="single" w:sz="8" w:color="2A2A2A"/>
            </w:tcBorders>
          </w:tcPr>
          <w:p>
            <w:pPr>
              <w:jc w:val="right"/>
              <w:ind w:right="84"/>
              <w:spacing w:after="0"/>
              <w:rPr>
                <w:sz w:val="20"/>
                <w:szCs w:val="20"/>
                <w:color w:val="auto"/>
              </w:rPr>
            </w:pPr>
            <w:r>
              <w:rPr>
                <w:rFonts w:ascii="Arial" w:cs="Arial" w:eastAsia="Arial" w:hAnsi="Arial"/>
                <w:sz w:val="16"/>
                <w:szCs w:val="16"/>
                <w:b w:val="1"/>
                <w:bCs w:val="1"/>
                <w:color w:val="2A2A2A"/>
                <w:w w:val="95"/>
              </w:rPr>
              <w:t>Level 1</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720" w:type="dxa"/>
            <w:vAlign w:val="bottom"/>
            <w:tcBorders>
              <w:bottom w:val="single" w:sz="8" w:color="2A2A2A"/>
            </w:tcBorders>
          </w:tcPr>
          <w:p>
            <w:pPr>
              <w:jc w:val="right"/>
              <w:ind w:right="82"/>
              <w:spacing w:after="0"/>
              <w:rPr>
                <w:sz w:val="20"/>
                <w:szCs w:val="20"/>
                <w:color w:val="auto"/>
              </w:rPr>
            </w:pPr>
            <w:r>
              <w:rPr>
                <w:rFonts w:ascii="Arial" w:cs="Arial" w:eastAsia="Arial" w:hAnsi="Arial"/>
                <w:sz w:val="16"/>
                <w:szCs w:val="16"/>
                <w:b w:val="1"/>
                <w:bCs w:val="1"/>
                <w:color w:val="2A2A2A"/>
                <w:w w:val="95"/>
              </w:rPr>
              <w:t>Level 2</w:t>
            </w: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680" w:type="dxa"/>
            <w:vAlign w:val="bottom"/>
            <w:tcBorders>
              <w:bottom w:val="single" w:sz="8" w:color="2A2A2A"/>
            </w:tcBorders>
          </w:tcPr>
          <w:p>
            <w:pPr>
              <w:jc w:val="right"/>
              <w:ind w:right="162"/>
              <w:spacing w:after="0"/>
              <w:rPr>
                <w:sz w:val="20"/>
                <w:szCs w:val="20"/>
                <w:color w:val="auto"/>
              </w:rPr>
            </w:pPr>
            <w:r>
              <w:rPr>
                <w:rFonts w:ascii="Arial" w:cs="Arial" w:eastAsia="Arial" w:hAnsi="Arial"/>
                <w:sz w:val="16"/>
                <w:szCs w:val="16"/>
                <w:b w:val="1"/>
                <w:bCs w:val="1"/>
                <w:color w:val="2A2A2A"/>
              </w:rPr>
              <w:t>Total</w:t>
            </w:r>
          </w:p>
        </w:tc>
      </w:tr>
      <w:tr>
        <w:trPr>
          <w:trHeight w:val="260"/>
        </w:trPr>
        <w:tc>
          <w:tcPr>
            <w:tcW w:w="45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Assets:</w:t>
            </w:r>
          </w:p>
        </w:tc>
        <w:tc>
          <w:tcPr>
            <w:tcW w:w="180" w:type="dxa"/>
            <w:vAlign w:val="bottom"/>
            <w:shd w:val="clear" w:color="auto" w:fill="D7D7D7"/>
          </w:tcPr>
          <w:p>
            <w:pPr>
              <w:spacing w:after="0"/>
              <w:rPr>
                <w:sz w:val="22"/>
                <w:szCs w:val="22"/>
                <w:color w:val="auto"/>
              </w:rPr>
            </w:pPr>
          </w:p>
        </w:tc>
        <w:tc>
          <w:tcPr>
            <w:tcW w:w="7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60" w:type="dxa"/>
            <w:vAlign w:val="bottom"/>
            <w:shd w:val="clear" w:color="auto" w:fill="D7D7D7"/>
          </w:tcPr>
          <w:p>
            <w:pPr>
              <w:spacing w:after="0"/>
              <w:rPr>
                <w:sz w:val="22"/>
                <w:szCs w:val="22"/>
                <w:color w:val="auto"/>
              </w:rPr>
            </w:pPr>
          </w:p>
        </w:tc>
        <w:tc>
          <w:tcPr>
            <w:tcW w:w="74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40" w:type="dxa"/>
            <w:vAlign w:val="bottom"/>
            <w:shd w:val="clear" w:color="auto" w:fill="D7D7D7"/>
          </w:tcPr>
          <w:p>
            <w:pPr>
              <w:spacing w:after="0"/>
              <w:rPr>
                <w:sz w:val="22"/>
                <w:szCs w:val="22"/>
                <w:color w:val="auto"/>
              </w:rPr>
            </w:pPr>
          </w:p>
        </w:tc>
        <w:tc>
          <w:tcPr>
            <w:tcW w:w="66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7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7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680" w:type="dxa"/>
            <w:vAlign w:val="bottom"/>
            <w:shd w:val="clear" w:color="auto" w:fill="D7D7D7"/>
          </w:tcPr>
          <w:p>
            <w:pPr>
              <w:spacing w:after="0"/>
              <w:rPr>
                <w:sz w:val="22"/>
                <w:szCs w:val="22"/>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20"/>
                <w:szCs w:val="20"/>
                <w:color w:val="2A2A2A"/>
              </w:rPr>
              <w:t>Money market funds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1,068</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660" w:type="dxa"/>
            <w:vAlign w:val="bottom"/>
          </w:tcPr>
          <w:p>
            <w:pPr>
              <w:jc w:val="right"/>
              <w:spacing w:after="0"/>
              <w:rPr>
                <w:sz w:val="20"/>
                <w:szCs w:val="20"/>
                <w:color w:val="auto"/>
              </w:rPr>
            </w:pPr>
            <w:r>
              <w:rPr>
                <w:rFonts w:ascii="Arial" w:cs="Arial" w:eastAsia="Arial" w:hAnsi="Arial"/>
                <w:sz w:val="20"/>
                <w:szCs w:val="20"/>
                <w:b w:val="1"/>
                <w:bCs w:val="1"/>
                <w:color w:val="2A2A2A"/>
              </w:rPr>
              <w:t>1,068</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720" w:type="dxa"/>
            <w:vAlign w:val="bottom"/>
          </w:tcPr>
          <w:p>
            <w:pPr>
              <w:jc w:val="right"/>
              <w:spacing w:after="0"/>
              <w:rPr>
                <w:sz w:val="20"/>
                <w:szCs w:val="20"/>
                <w:color w:val="auto"/>
              </w:rPr>
            </w:pPr>
            <w:r>
              <w:rPr>
                <w:rFonts w:ascii="Arial" w:cs="Arial" w:eastAsia="Arial" w:hAnsi="Arial"/>
                <w:sz w:val="20"/>
                <w:szCs w:val="20"/>
                <w:color w:val="2A2A2A"/>
              </w:rPr>
              <w:t>1,238</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680" w:type="dxa"/>
            <w:vAlign w:val="bottom"/>
          </w:tcPr>
          <w:p>
            <w:pPr>
              <w:jc w:val="right"/>
              <w:spacing w:after="0"/>
              <w:rPr>
                <w:sz w:val="20"/>
                <w:szCs w:val="20"/>
                <w:color w:val="auto"/>
              </w:rPr>
            </w:pPr>
            <w:r>
              <w:rPr>
                <w:rFonts w:ascii="Arial" w:cs="Arial" w:eastAsia="Arial" w:hAnsi="Arial"/>
                <w:sz w:val="20"/>
                <w:szCs w:val="20"/>
                <w:color w:val="2A2A2A"/>
              </w:rPr>
              <w:t>1,238</w:t>
            </w:r>
          </w:p>
        </w:tc>
      </w:tr>
      <w:tr>
        <w:trPr>
          <w:trHeight w:val="270"/>
        </w:trPr>
        <w:tc>
          <w:tcPr>
            <w:tcW w:w="45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Corporate obligations</w:t>
            </w: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60" w:type="dxa"/>
            <w:vAlign w:val="bottom"/>
            <w:shd w:val="clear" w:color="auto" w:fill="D7D7D7"/>
          </w:tcPr>
          <w:p>
            <w:pPr>
              <w:spacing w:after="0"/>
              <w:rPr>
                <w:sz w:val="23"/>
                <w:szCs w:val="23"/>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1,954</w:t>
            </w:r>
          </w:p>
        </w:tc>
        <w:tc>
          <w:tcPr>
            <w:tcW w:w="6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6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1,954</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1,811</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1,811</w:t>
            </w:r>
          </w:p>
        </w:tc>
      </w:tr>
      <w:tr>
        <w:trPr>
          <w:trHeight w:val="300"/>
        </w:trPr>
        <w:tc>
          <w:tcPr>
            <w:tcW w:w="4500" w:type="dxa"/>
            <w:vAlign w:val="bottom"/>
          </w:tcPr>
          <w:p>
            <w:pPr>
              <w:ind w:left="180"/>
              <w:spacing w:after="0"/>
              <w:rPr>
                <w:sz w:val="20"/>
                <w:szCs w:val="20"/>
                <w:color w:val="auto"/>
              </w:rPr>
            </w:pPr>
            <w:r>
              <w:rPr>
                <w:rFonts w:ascii="Arial" w:cs="Arial" w:eastAsia="Arial" w:hAnsi="Arial"/>
                <w:sz w:val="20"/>
                <w:szCs w:val="20"/>
                <w:color w:val="2A2A2A"/>
              </w:rPr>
              <w:t>U.S. government and agency securities</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3,618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886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2A2A2A"/>
              </w:rPr>
              <w:t>4,504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4,914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4,914</w:t>
            </w:r>
          </w:p>
        </w:tc>
      </w:tr>
      <w:tr>
        <w:trPr>
          <w:trHeight w:val="300"/>
        </w:trPr>
        <w:tc>
          <w:tcPr>
            <w:tcW w:w="45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Non-U.S. government and agency securities</w:t>
            </w:r>
          </w:p>
        </w:tc>
        <w:tc>
          <w:tcPr>
            <w:tcW w:w="180" w:type="dxa"/>
            <w:vAlign w:val="bottom"/>
            <w:shd w:val="clear" w:color="auto" w:fill="D7D7D7"/>
          </w:tcPr>
          <w:p>
            <w:pPr>
              <w:spacing w:after="0"/>
              <w:rPr>
                <w:sz w:val="24"/>
                <w:szCs w:val="24"/>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4"/>
                <w:szCs w:val="24"/>
                <w:color w:val="auto"/>
              </w:rPr>
            </w:pPr>
          </w:p>
        </w:tc>
        <w:tc>
          <w:tcPr>
            <w:tcW w:w="160" w:type="dxa"/>
            <w:vAlign w:val="bottom"/>
            <w:shd w:val="clear" w:color="auto" w:fill="D7D7D7"/>
          </w:tcPr>
          <w:p>
            <w:pPr>
              <w:spacing w:after="0"/>
              <w:rPr>
                <w:sz w:val="24"/>
                <w:szCs w:val="24"/>
                <w:color w:val="auto"/>
              </w:rPr>
            </w:pPr>
          </w:p>
        </w:tc>
        <w:tc>
          <w:tcPr>
            <w:tcW w:w="7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248</w:t>
            </w:r>
          </w:p>
        </w:tc>
        <w:tc>
          <w:tcPr>
            <w:tcW w:w="60" w:type="dxa"/>
            <w:vAlign w:val="bottom"/>
            <w:shd w:val="clear" w:color="auto" w:fill="D7D7D7"/>
          </w:tcPr>
          <w:p>
            <w:pPr>
              <w:spacing w:after="0"/>
              <w:rPr>
                <w:sz w:val="24"/>
                <w:szCs w:val="24"/>
                <w:color w:val="auto"/>
              </w:rPr>
            </w:pPr>
          </w:p>
        </w:tc>
        <w:tc>
          <w:tcPr>
            <w:tcW w:w="240" w:type="dxa"/>
            <w:vAlign w:val="bottom"/>
            <w:shd w:val="clear" w:color="auto" w:fill="D7D7D7"/>
          </w:tcPr>
          <w:p>
            <w:pPr>
              <w:spacing w:after="0"/>
              <w:rPr>
                <w:sz w:val="24"/>
                <w:szCs w:val="24"/>
                <w:color w:val="auto"/>
              </w:rPr>
            </w:pPr>
          </w:p>
        </w:tc>
        <w:tc>
          <w:tcPr>
            <w:tcW w:w="6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248</w:t>
            </w:r>
          </w:p>
        </w:tc>
        <w:tc>
          <w:tcPr>
            <w:tcW w:w="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7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397</w:t>
            </w:r>
          </w:p>
        </w:tc>
        <w:tc>
          <w:tcPr>
            <w:tcW w:w="80" w:type="dxa"/>
            <w:vAlign w:val="bottom"/>
            <w:shd w:val="clear" w:color="auto" w:fill="D7D7D7"/>
          </w:tcPr>
          <w:p>
            <w:pPr>
              <w:spacing w:after="0"/>
              <w:rPr>
                <w:sz w:val="24"/>
                <w:szCs w:val="24"/>
                <w:color w:val="auto"/>
              </w:rPr>
            </w:pPr>
          </w:p>
        </w:tc>
        <w:tc>
          <w:tcPr>
            <w:tcW w:w="220" w:type="dxa"/>
            <w:vAlign w:val="bottom"/>
            <w:shd w:val="clear" w:color="auto" w:fill="D7D7D7"/>
          </w:tcPr>
          <w:p>
            <w:pPr>
              <w:spacing w:after="0"/>
              <w:rPr>
                <w:sz w:val="24"/>
                <w:szCs w:val="24"/>
                <w:color w:val="auto"/>
              </w:rPr>
            </w:pP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397</w:t>
            </w:r>
          </w:p>
        </w:tc>
      </w:tr>
      <w:tr>
        <w:trPr>
          <w:trHeight w:val="260"/>
        </w:trPr>
        <w:tc>
          <w:tcPr>
            <w:tcW w:w="45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Mutual funds</w:t>
            </w:r>
          </w:p>
        </w:tc>
        <w:tc>
          <w:tcPr>
            <w:tcW w:w="180" w:type="dxa"/>
            <w:vAlign w:val="bottom"/>
            <w:tcBorders>
              <w:bottom w:val="single" w:sz="8" w:color="2A2A2A"/>
            </w:tcBorders>
          </w:tcPr>
          <w:p>
            <w:pPr>
              <w:spacing w:after="0"/>
              <w:rPr>
                <w:sz w:val="22"/>
                <w:szCs w:val="22"/>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12</w:t>
            </w:r>
          </w:p>
        </w:tc>
        <w:tc>
          <w:tcPr>
            <w:tcW w:w="80" w:type="dxa"/>
            <w:vAlign w:val="bottom"/>
            <w:tcBorders>
              <w:bottom w:val="single" w:sz="8" w:color="D7D7D7"/>
            </w:tcBorders>
          </w:tcPr>
          <w:p>
            <w:pPr>
              <w:spacing w:after="0"/>
              <w:rPr>
                <w:sz w:val="22"/>
                <w:szCs w:val="22"/>
                <w:color w:val="auto"/>
              </w:rPr>
            </w:pPr>
          </w:p>
        </w:tc>
        <w:tc>
          <w:tcPr>
            <w:tcW w:w="160" w:type="dxa"/>
            <w:vAlign w:val="bottom"/>
            <w:tcBorders>
              <w:bottom w:val="single" w:sz="8" w:color="2A2A2A"/>
            </w:tcBorders>
          </w:tcPr>
          <w:p>
            <w:pPr>
              <w:spacing w:after="0"/>
              <w:rPr>
                <w:sz w:val="22"/>
                <w:szCs w:val="22"/>
                <w:color w:val="auto"/>
              </w:rPr>
            </w:pPr>
          </w:p>
        </w:tc>
        <w:tc>
          <w:tcPr>
            <w:tcW w:w="7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240" w:type="dxa"/>
            <w:vAlign w:val="bottom"/>
            <w:tcBorders>
              <w:bottom w:val="single" w:sz="8" w:color="2A2A2A"/>
            </w:tcBorders>
          </w:tcPr>
          <w:p>
            <w:pPr>
              <w:spacing w:after="0"/>
              <w:rPr>
                <w:sz w:val="22"/>
                <w:szCs w:val="22"/>
                <w:color w:val="auto"/>
              </w:rPr>
            </w:pPr>
          </w:p>
        </w:tc>
        <w:tc>
          <w:tcPr>
            <w:tcW w:w="6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12</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11</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7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220" w:type="dxa"/>
            <w:vAlign w:val="bottom"/>
            <w:tcBorders>
              <w:bottom w:val="single" w:sz="8" w:color="2A2A2A"/>
            </w:tcBorders>
          </w:tcPr>
          <w:p>
            <w:pPr>
              <w:spacing w:after="0"/>
              <w:rPr>
                <w:sz w:val="22"/>
                <w:szCs w:val="22"/>
                <w:color w:val="auto"/>
              </w:rPr>
            </w:pPr>
          </w:p>
        </w:tc>
        <w:tc>
          <w:tcPr>
            <w:tcW w:w="6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11</w:t>
            </w:r>
          </w:p>
        </w:tc>
      </w:tr>
      <w:tr>
        <w:trPr>
          <w:trHeight w:val="255"/>
        </w:trPr>
        <w:tc>
          <w:tcPr>
            <w:tcW w:w="45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assets</w:t>
            </w: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4,698</w:t>
            </w:r>
          </w:p>
        </w:tc>
        <w:tc>
          <w:tcPr>
            <w:tcW w:w="80" w:type="dxa"/>
            <w:vAlign w:val="bottom"/>
            <w:tcBorders>
              <w:bottom w:val="single" w:sz="8" w:color="D7D7D7"/>
            </w:tcBorders>
            <w:shd w:val="clear" w:color="auto" w:fill="D7D7D7"/>
          </w:tcPr>
          <w:p>
            <w:pPr>
              <w:spacing w:after="0"/>
              <w:rPr>
                <w:sz w:val="21"/>
                <w:szCs w:val="21"/>
                <w:color w:val="auto"/>
              </w:rPr>
            </w:pPr>
          </w:p>
        </w:tc>
        <w:tc>
          <w:tcPr>
            <w:tcW w:w="1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3,088</w:t>
            </w:r>
          </w:p>
        </w:tc>
        <w:tc>
          <w:tcPr>
            <w:tcW w:w="60" w:type="dxa"/>
            <w:vAlign w:val="bottom"/>
            <w:tcBorders>
              <w:bottom w:val="single" w:sz="8" w:color="D7D7D7"/>
            </w:tcBorders>
            <w:shd w:val="clear" w:color="auto" w:fill="D7D7D7"/>
          </w:tcPr>
          <w:p>
            <w:pPr>
              <w:spacing w:after="0"/>
              <w:rPr>
                <w:sz w:val="21"/>
                <w:szCs w:val="21"/>
                <w:color w:val="auto"/>
              </w:rPr>
            </w:pPr>
          </w:p>
        </w:tc>
        <w:tc>
          <w:tcPr>
            <w:tcW w:w="2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7,786</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6,163</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2,208</w:t>
            </w:r>
          </w:p>
        </w:tc>
        <w:tc>
          <w:tcPr>
            <w:tcW w:w="80" w:type="dxa"/>
            <w:vAlign w:val="bottom"/>
            <w:tcBorders>
              <w:bottom w:val="single" w:sz="8" w:color="D7D7D7"/>
            </w:tcBorders>
            <w:shd w:val="clear" w:color="auto" w:fill="D7D7D7"/>
          </w:tcPr>
          <w:p>
            <w:pPr>
              <w:spacing w:after="0"/>
              <w:rPr>
                <w:sz w:val="21"/>
                <w:szCs w:val="21"/>
                <w:color w:val="auto"/>
              </w:rPr>
            </w:pPr>
          </w:p>
        </w:tc>
        <w:tc>
          <w:tcPr>
            <w:tcW w:w="2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8,371</w:t>
            </w:r>
          </w:p>
        </w:tc>
      </w:tr>
      <w:tr>
        <w:trPr>
          <w:trHeight w:val="20"/>
        </w:trPr>
        <w:tc>
          <w:tcPr>
            <w:tcW w:w="45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60" w:type="dxa"/>
            <w:vAlign w:val="bottom"/>
            <w:tcBorders>
              <w:top w:val="single" w:sz="8" w:color="D7D7D7"/>
              <w:bottom w:val="single" w:sz="8" w:color="2A2A2A"/>
            </w:tcBorders>
          </w:tcPr>
          <w:p>
            <w:pPr>
              <w:spacing w:after="0" w:line="20" w:lineRule="exact"/>
              <w:rPr>
                <w:sz w:val="1"/>
                <w:szCs w:val="1"/>
                <w:color w:val="auto"/>
              </w:rPr>
            </w:pPr>
          </w:p>
        </w:tc>
        <w:tc>
          <w:tcPr>
            <w:tcW w:w="7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40" w:type="dxa"/>
            <w:vAlign w:val="bottom"/>
            <w:tcBorders>
              <w:top w:val="single" w:sz="8" w:color="D7D7D7"/>
              <w:bottom w:val="single" w:sz="8" w:color="2A2A2A"/>
            </w:tcBorders>
          </w:tcPr>
          <w:p>
            <w:pPr>
              <w:spacing w:after="0" w:line="20" w:lineRule="exact"/>
              <w:rPr>
                <w:sz w:val="1"/>
                <w:szCs w:val="1"/>
                <w:color w:val="auto"/>
              </w:rPr>
            </w:pPr>
          </w:p>
        </w:tc>
        <w:tc>
          <w:tcPr>
            <w:tcW w:w="66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D7D7D7"/>
              <w:bottom w:val="single" w:sz="8" w:color="2A2A2A"/>
            </w:tcBorders>
          </w:tcPr>
          <w:p>
            <w:pPr>
              <w:spacing w:after="0" w:line="20" w:lineRule="exact"/>
              <w:rPr>
                <w:sz w:val="1"/>
                <w:szCs w:val="1"/>
                <w:color w:val="auto"/>
              </w:rPr>
            </w:pPr>
          </w:p>
        </w:tc>
        <w:tc>
          <w:tcPr>
            <w:tcW w:w="680" w:type="dxa"/>
            <w:vAlign w:val="bottom"/>
            <w:tcBorders>
              <w:top w:val="single" w:sz="8" w:color="D7D7D7"/>
              <w:bottom w:val="single" w:sz="8" w:color="2A2A2A"/>
            </w:tcBorders>
          </w:tcPr>
          <w:p>
            <w:pPr>
              <w:spacing w:after="0" w:line="20" w:lineRule="exact"/>
              <w:rPr>
                <w:sz w:val="1"/>
                <w:szCs w:val="1"/>
                <w:color w:val="auto"/>
              </w:rPr>
            </w:pPr>
          </w:p>
        </w:tc>
      </w:tr>
      <w:tr>
        <w:trPr>
          <w:trHeight w:val="235"/>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45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Liabilities:</w:t>
            </w: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60" w:type="dxa"/>
            <w:vAlign w:val="bottom"/>
            <w:shd w:val="clear" w:color="auto" w:fill="D7D7D7"/>
          </w:tcPr>
          <w:p>
            <w:pPr>
              <w:spacing w:after="0"/>
              <w:rPr>
                <w:sz w:val="23"/>
                <w:szCs w:val="23"/>
                <w:color w:val="auto"/>
              </w:rPr>
            </w:pPr>
          </w:p>
        </w:tc>
        <w:tc>
          <w:tcPr>
            <w:tcW w:w="7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66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72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680" w:type="dxa"/>
            <w:vAlign w:val="bottom"/>
            <w:shd w:val="clear" w:color="auto" w:fill="D7D7D7"/>
          </w:tcPr>
          <w:p>
            <w:pPr>
              <w:spacing w:after="0"/>
              <w:rPr>
                <w:sz w:val="23"/>
                <w:szCs w:val="23"/>
                <w:color w:val="auto"/>
              </w:rPr>
            </w:pPr>
          </w:p>
        </w:tc>
      </w:tr>
      <w:tr>
        <w:trPr>
          <w:trHeight w:val="260"/>
        </w:trPr>
        <w:tc>
          <w:tcPr>
            <w:tcW w:w="4500" w:type="dxa"/>
            <w:vAlign w:val="bottom"/>
          </w:tcPr>
          <w:p>
            <w:pPr>
              <w:ind w:left="180"/>
              <w:spacing w:after="0"/>
              <w:rPr>
                <w:sz w:val="20"/>
                <w:szCs w:val="20"/>
                <w:color w:val="auto"/>
              </w:rPr>
            </w:pPr>
            <w:r>
              <w:rPr>
                <w:rFonts w:ascii="Arial" w:cs="Arial" w:eastAsia="Arial" w:hAnsi="Arial"/>
                <w:sz w:val="20"/>
                <w:szCs w:val="20"/>
                <w:color w:val="2A2A2A"/>
              </w:rPr>
              <w:t>Deferred compensation</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2A2A2A"/>
              </w:rPr>
              <w:t>393</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660" w:type="dxa"/>
            <w:vAlign w:val="bottom"/>
          </w:tcPr>
          <w:p>
            <w:pPr>
              <w:jc w:val="right"/>
              <w:spacing w:after="0"/>
              <w:rPr>
                <w:sz w:val="20"/>
                <w:szCs w:val="20"/>
                <w:color w:val="auto"/>
              </w:rPr>
            </w:pPr>
            <w:r>
              <w:rPr>
                <w:rFonts w:ascii="Arial" w:cs="Arial" w:eastAsia="Arial" w:hAnsi="Arial"/>
                <w:sz w:val="20"/>
                <w:szCs w:val="20"/>
                <w:b w:val="1"/>
                <w:bCs w:val="1"/>
                <w:color w:val="2A2A2A"/>
              </w:rPr>
              <w:t>393</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720" w:type="dxa"/>
            <w:vAlign w:val="bottom"/>
          </w:tcPr>
          <w:p>
            <w:pPr>
              <w:jc w:val="right"/>
              <w:spacing w:after="0"/>
              <w:rPr>
                <w:sz w:val="20"/>
                <w:szCs w:val="20"/>
                <w:color w:val="auto"/>
              </w:rPr>
            </w:pPr>
            <w:r>
              <w:rPr>
                <w:rFonts w:ascii="Arial" w:cs="Arial" w:eastAsia="Arial" w:hAnsi="Arial"/>
                <w:sz w:val="20"/>
                <w:szCs w:val="20"/>
                <w:color w:val="2A2A2A"/>
              </w:rPr>
              <w:t>326</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720" w:type="dxa"/>
            <w:vAlign w:val="bottom"/>
          </w:tcPr>
          <w:p>
            <w:pPr>
              <w:jc w:val="right"/>
              <w:spacing w:after="0"/>
              <w:rPr>
                <w:sz w:val="20"/>
                <w:szCs w:val="20"/>
                <w:color w:val="auto"/>
              </w:rPr>
            </w:pPr>
            <w:r>
              <w:rPr>
                <w:rFonts w:ascii="Arial" w:cs="Arial" w:eastAsia="Arial" w:hAnsi="Arial"/>
                <w:sz w:val="20"/>
                <w:szCs w:val="20"/>
                <w:color w:val="2A2A2A"/>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680" w:type="dxa"/>
            <w:vAlign w:val="bottom"/>
          </w:tcPr>
          <w:p>
            <w:pPr>
              <w:jc w:val="right"/>
              <w:spacing w:after="0"/>
              <w:rPr>
                <w:sz w:val="20"/>
                <w:szCs w:val="20"/>
                <w:color w:val="auto"/>
              </w:rPr>
            </w:pPr>
            <w:r>
              <w:rPr>
                <w:rFonts w:ascii="Arial" w:cs="Arial" w:eastAsia="Arial" w:hAnsi="Arial"/>
                <w:sz w:val="20"/>
                <w:szCs w:val="20"/>
                <w:color w:val="2A2A2A"/>
              </w:rPr>
              <w:t>326</w:t>
            </w:r>
          </w:p>
        </w:tc>
      </w:tr>
      <w:tr>
        <w:trPr>
          <w:trHeight w:val="255"/>
        </w:trPr>
        <w:tc>
          <w:tcPr>
            <w:tcW w:w="4500" w:type="dxa"/>
            <w:vAlign w:val="bottom"/>
            <w:tcBorders>
              <w:top w:val="single" w:sz="8" w:color="D7D7D7"/>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liabilities</w:t>
            </w:r>
          </w:p>
        </w:tc>
        <w:tc>
          <w:tcPr>
            <w:tcW w:w="18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393</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16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74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top w:val="single" w:sz="8" w:color="D7D7D7"/>
              <w:bottom w:val="single" w:sz="8" w:color="D7D7D7"/>
            </w:tcBorders>
            <w:shd w:val="clear" w:color="auto" w:fill="D7D7D7"/>
          </w:tcPr>
          <w:p>
            <w:pPr>
              <w:spacing w:after="0"/>
              <w:rPr>
                <w:sz w:val="21"/>
                <w:szCs w:val="21"/>
                <w:color w:val="auto"/>
              </w:rPr>
            </w:pPr>
          </w:p>
        </w:tc>
        <w:tc>
          <w:tcPr>
            <w:tcW w:w="24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6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393</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18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326</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18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7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top w:val="single" w:sz="8" w:color="D7D7D7"/>
              <w:bottom w:val="single" w:sz="8" w:color="D7D7D7"/>
            </w:tcBorders>
            <w:shd w:val="clear" w:color="auto" w:fill="D7D7D7"/>
          </w:tcPr>
          <w:p>
            <w:pPr>
              <w:spacing w:after="0"/>
              <w:rPr>
                <w:sz w:val="21"/>
                <w:szCs w:val="21"/>
                <w:color w:val="auto"/>
              </w:rPr>
            </w:pPr>
          </w:p>
        </w:tc>
        <w:tc>
          <w:tcPr>
            <w:tcW w:w="22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680" w:type="dxa"/>
            <w:vAlign w:val="bottom"/>
            <w:tcBorders>
              <w:top w:val="single" w:sz="8" w:color="2A2A2A"/>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326</w:t>
            </w:r>
          </w:p>
        </w:tc>
      </w:tr>
      <w:tr>
        <w:trPr>
          <w:trHeight w:val="20"/>
        </w:trPr>
        <w:tc>
          <w:tcPr>
            <w:tcW w:w="45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60" w:type="dxa"/>
            <w:vAlign w:val="bottom"/>
            <w:tcBorders>
              <w:top w:val="single" w:sz="8" w:color="D7D7D7"/>
              <w:bottom w:val="single" w:sz="8" w:color="2A2A2A"/>
            </w:tcBorders>
          </w:tcPr>
          <w:p>
            <w:pPr>
              <w:spacing w:after="0" w:line="20" w:lineRule="exact"/>
              <w:rPr>
                <w:sz w:val="1"/>
                <w:szCs w:val="1"/>
                <w:color w:val="auto"/>
              </w:rPr>
            </w:pPr>
          </w:p>
        </w:tc>
        <w:tc>
          <w:tcPr>
            <w:tcW w:w="7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40" w:type="dxa"/>
            <w:vAlign w:val="bottom"/>
            <w:tcBorders>
              <w:top w:val="single" w:sz="8" w:color="D7D7D7"/>
              <w:bottom w:val="single" w:sz="8" w:color="2A2A2A"/>
            </w:tcBorders>
          </w:tcPr>
          <w:p>
            <w:pPr>
              <w:spacing w:after="0" w:line="20" w:lineRule="exact"/>
              <w:rPr>
                <w:sz w:val="1"/>
                <w:szCs w:val="1"/>
                <w:color w:val="auto"/>
              </w:rPr>
            </w:pPr>
          </w:p>
        </w:tc>
        <w:tc>
          <w:tcPr>
            <w:tcW w:w="66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7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D7D7D7"/>
              <w:bottom w:val="single" w:sz="8" w:color="2A2A2A"/>
            </w:tcBorders>
          </w:tcPr>
          <w:p>
            <w:pPr>
              <w:spacing w:after="0" w:line="20" w:lineRule="exact"/>
              <w:rPr>
                <w:sz w:val="1"/>
                <w:szCs w:val="1"/>
                <w:color w:val="auto"/>
              </w:rPr>
            </w:pPr>
          </w:p>
        </w:tc>
        <w:tc>
          <w:tcPr>
            <w:tcW w:w="68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-1964690</wp:posOffset>
            </wp:positionV>
            <wp:extent cx="655002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-897890</wp:posOffset>
            </wp:positionV>
            <wp:extent cx="369252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-739140</wp:posOffset>
            </wp:positionV>
            <wp:extent cx="369252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-202565</wp:posOffset>
            </wp:positionV>
            <wp:extent cx="369252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92525" cy="2540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-43815</wp:posOffset>
            </wp:positionV>
            <wp:extent cx="369252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92525" cy="25400"/>
                    </a:xfrm>
                    <a:prstGeom prst="rect">
                      <a:avLst/>
                    </a:prstGeom>
                    <a:noFill/>
                  </pic:spPr>
                </pic:pic>
              </a:graphicData>
            </a:graphic>
          </wp:anchor>
        </w:drawing>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43</w:t>
      </w:r>
    </w:p>
    <w:p>
      <w:pPr>
        <w:sectPr>
          <w:pgSz w:w="12240" w:h="15840" w:orient="portrait"/>
          <w:cols w:equalWidth="0" w:num="1">
            <w:col w:w="10280"/>
          </w:cols>
          <w:pgMar w:left="980" w:top="664" w:right="980" w:bottom="24" w:gutter="0" w:footer="0" w:header="0"/>
          <w:type w:val="continuous"/>
        </w:sectPr>
      </w:pPr>
    </w:p>
    <w:bookmarkStart w:id="49" w:name="page50"/>
    <w:bookmarkEnd w:id="49"/>
    <w:p>
      <w:pPr>
        <w:ind w:left="241" w:hanging="241"/>
        <w:spacing w:after="0"/>
        <w:tabs>
          <w:tab w:leader="none" w:pos="241" w:val="left"/>
        </w:tabs>
        <w:numPr>
          <w:ilvl w:val="0"/>
          <w:numId w:val="27"/>
        </w:numPr>
        <w:rPr>
          <w:rFonts w:ascii="Arial" w:cs="Arial" w:eastAsia="Arial" w:hAnsi="Arial"/>
          <w:sz w:val="22"/>
          <w:szCs w:val="22"/>
          <w:color w:val="2A2A2A"/>
        </w:rPr>
      </w:pPr>
      <w:r>
        <w:rPr>
          <w:rFonts w:ascii="Arial" w:cs="Arial" w:eastAsia="Arial" w:hAnsi="Arial"/>
          <w:sz w:val="22"/>
          <w:szCs w:val="22"/>
          <w:u w:val="single" w:color="auto"/>
          <w:color w:val="2A2A2A"/>
        </w:rPr>
        <w:t>Postretirement benefit plans</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Plan descriptions</w:t>
      </w:r>
    </w:p>
    <w:p>
      <w:pPr>
        <w:spacing w:after="0" w:line="255" w:lineRule="exact"/>
        <w:rPr>
          <w:sz w:val="20"/>
          <w:szCs w:val="20"/>
          <w:color w:val="auto"/>
        </w:rPr>
      </w:pPr>
    </w:p>
    <w:p>
      <w:pPr>
        <w:ind w:left="1" w:right="160"/>
        <w:spacing w:after="0" w:line="287" w:lineRule="auto"/>
        <w:rPr>
          <w:sz w:val="20"/>
          <w:szCs w:val="20"/>
          <w:color w:val="auto"/>
        </w:rPr>
      </w:pPr>
      <w:r>
        <w:rPr>
          <w:rFonts w:ascii="Arial" w:cs="Arial" w:eastAsia="Arial" w:hAnsi="Arial"/>
          <w:sz w:val="20"/>
          <w:szCs w:val="20"/>
          <w:color w:val="2A2A2A"/>
        </w:rPr>
        <w:t>We have various employee retirement plans, including defined contribution, defined benefit and retiree health care benefit plans. For qualifying employees, we offer deferred compensation arrangements.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U.S. retirement plans</w:t>
      </w:r>
    </w:p>
    <w:p>
      <w:pPr>
        <w:spacing w:after="0" w:line="28" w:lineRule="exact"/>
        <w:rPr>
          <w:sz w:val="20"/>
          <w:szCs w:val="20"/>
          <w:color w:val="auto"/>
        </w:rPr>
      </w:pPr>
    </w:p>
    <w:p>
      <w:pPr>
        <w:ind w:left="1"/>
        <w:spacing w:after="0" w:line="254" w:lineRule="auto"/>
        <w:rPr>
          <w:sz w:val="20"/>
          <w:szCs w:val="20"/>
          <w:color w:val="auto"/>
        </w:rPr>
      </w:pPr>
      <w:r>
        <w:rPr>
          <w:rFonts w:ascii="Arial" w:cs="Arial" w:eastAsia="Arial" w:hAnsi="Arial"/>
          <w:sz w:val="20"/>
          <w:szCs w:val="20"/>
          <w:color w:val="2A2A2A"/>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203" w:lineRule="exact"/>
        <w:rPr>
          <w:sz w:val="20"/>
          <w:szCs w:val="20"/>
          <w:color w:val="auto"/>
        </w:rPr>
      </w:pPr>
    </w:p>
    <w:p>
      <w:pPr>
        <w:ind w:left="1" w:right="60"/>
        <w:spacing w:after="0" w:line="255" w:lineRule="auto"/>
        <w:rPr>
          <w:sz w:val="20"/>
          <w:szCs w:val="20"/>
          <w:color w:val="auto"/>
        </w:rPr>
      </w:pPr>
      <w:r>
        <w:rPr>
          <w:rFonts w:ascii="Arial" w:cs="Arial" w:eastAsia="Arial" w:hAnsi="Arial"/>
          <w:sz w:val="20"/>
          <w:szCs w:val="20"/>
          <w:color w:val="2A2A2A"/>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201" w:lineRule="exact"/>
        <w:rPr>
          <w:sz w:val="20"/>
          <w:szCs w:val="20"/>
          <w:color w:val="auto"/>
        </w:rPr>
      </w:pPr>
    </w:p>
    <w:p>
      <w:pPr>
        <w:ind w:left="1" w:right="300"/>
        <w:spacing w:after="0" w:line="280" w:lineRule="auto"/>
        <w:rPr>
          <w:sz w:val="20"/>
          <w:szCs w:val="20"/>
          <w:color w:val="auto"/>
        </w:rPr>
      </w:pPr>
      <w:r>
        <w:rPr>
          <w:rFonts w:ascii="Arial" w:cs="Arial" w:eastAsia="Arial" w:hAnsi="Arial"/>
          <w:sz w:val="19"/>
          <w:szCs w:val="19"/>
          <w:color w:val="2A2A2A"/>
        </w:rPr>
        <w:t>As of December 31, 2023 and 2022, as a result of employees’ elections, TI’s U.S. defined contribution plans held shares of TI common stock totaling 5 million shares and 6 million shares valued at $873 million and $940 million, respectively. Dividends paid on these shares in 2023 and 2022 were $27 million and $28 million, respectively. Effective April 1, 2016, the TI common stock fund was frozen to new contributions or transfers into the fund.</w:t>
      </w:r>
    </w:p>
    <w:p>
      <w:pPr>
        <w:spacing w:after="0" w:line="180" w:lineRule="exact"/>
        <w:rPr>
          <w:sz w:val="20"/>
          <w:szCs w:val="20"/>
          <w:color w:val="auto"/>
        </w:rPr>
      </w:pPr>
    </w:p>
    <w:p>
      <w:pPr>
        <w:ind w:left="1" w:right="440"/>
        <w:spacing w:after="0" w:line="287" w:lineRule="auto"/>
        <w:rPr>
          <w:sz w:val="20"/>
          <w:szCs w:val="20"/>
          <w:color w:val="auto"/>
        </w:rPr>
      </w:pPr>
      <w:r>
        <w:rPr>
          <w:rFonts w:ascii="Arial" w:cs="Arial" w:eastAsia="Arial" w:hAnsi="Arial"/>
          <w:sz w:val="20"/>
          <w:szCs w:val="20"/>
          <w:color w:val="2A2A2A"/>
        </w:rPr>
        <w:t>Our aggregate expense for the U.S. defined contribution plans was $75 million in 2023, $70 million in 2022 and $63 million in 2021.</w:t>
      </w:r>
    </w:p>
    <w:p>
      <w:pPr>
        <w:spacing w:after="0" w:line="170" w:lineRule="exact"/>
        <w:rPr>
          <w:sz w:val="20"/>
          <w:szCs w:val="20"/>
          <w:color w:val="auto"/>
        </w:rPr>
      </w:pPr>
    </w:p>
    <w:p>
      <w:pPr>
        <w:ind w:left="1" w:right="140"/>
        <w:spacing w:after="0" w:line="273" w:lineRule="auto"/>
        <w:rPr>
          <w:sz w:val="20"/>
          <w:szCs w:val="20"/>
          <w:color w:val="auto"/>
        </w:rPr>
      </w:pPr>
      <w:r>
        <w:rPr>
          <w:rFonts w:ascii="Arial" w:cs="Arial" w:eastAsia="Arial" w:hAnsi="Arial"/>
          <w:sz w:val="19"/>
          <w:szCs w:val="19"/>
          <w:color w:val="2A2A2A"/>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U.S. retiree health care benefit plan</w:t>
      </w:r>
    </w:p>
    <w:p>
      <w:pPr>
        <w:spacing w:after="0" w:line="28" w:lineRule="exact"/>
        <w:rPr>
          <w:sz w:val="20"/>
          <w:szCs w:val="20"/>
          <w:color w:val="auto"/>
        </w:rPr>
      </w:pPr>
    </w:p>
    <w:p>
      <w:pPr>
        <w:ind w:left="1" w:right="60"/>
        <w:spacing w:after="0" w:line="253" w:lineRule="auto"/>
        <w:rPr>
          <w:sz w:val="20"/>
          <w:szCs w:val="20"/>
          <w:color w:val="auto"/>
        </w:rPr>
      </w:pPr>
      <w:r>
        <w:rPr>
          <w:rFonts w:ascii="Arial" w:cs="Arial" w:eastAsia="Arial" w:hAnsi="Arial"/>
          <w:sz w:val="20"/>
          <w:szCs w:val="20"/>
          <w:color w:val="2A2A2A"/>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Non-U.S. retirement plans</w:t>
      </w:r>
    </w:p>
    <w:p>
      <w:pPr>
        <w:spacing w:after="0" w:line="28" w:lineRule="exact"/>
        <w:rPr>
          <w:sz w:val="20"/>
          <w:szCs w:val="20"/>
          <w:color w:val="auto"/>
        </w:rPr>
      </w:pPr>
    </w:p>
    <w:p>
      <w:pPr>
        <w:ind w:left="1" w:right="40"/>
        <w:spacing w:after="0" w:line="255" w:lineRule="auto"/>
        <w:rPr>
          <w:sz w:val="20"/>
          <w:szCs w:val="20"/>
          <w:color w:val="auto"/>
        </w:rPr>
      </w:pPr>
      <w:r>
        <w:rPr>
          <w:rFonts w:ascii="Arial" w:cs="Arial" w:eastAsia="Arial" w:hAnsi="Arial"/>
          <w:sz w:val="20"/>
          <w:szCs w:val="20"/>
          <w:color w:val="2A2A2A"/>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203" w:lineRule="exact"/>
        <w:rPr>
          <w:sz w:val="20"/>
          <w:szCs w:val="20"/>
          <w:color w:val="auto"/>
        </w:rPr>
      </w:pPr>
    </w:p>
    <w:p>
      <w:pPr>
        <w:ind w:left="1" w:right="320"/>
        <w:spacing w:after="0" w:line="268" w:lineRule="auto"/>
        <w:rPr>
          <w:sz w:val="20"/>
          <w:szCs w:val="20"/>
          <w:color w:val="auto"/>
        </w:rPr>
      </w:pPr>
      <w:r>
        <w:rPr>
          <w:rFonts w:ascii="Arial" w:cs="Arial" w:eastAsia="Arial" w:hAnsi="Arial"/>
          <w:sz w:val="20"/>
          <w:szCs w:val="20"/>
          <w:color w:val="2A2A2A"/>
        </w:rPr>
        <w:t>As of December 31, 2023 and 2022, as a result of employees’ elections, TI’s non-U.S. defined contribution plans held TI common stock valued at $34 million and $33 million, respectively. Dividends paid on these shares of TI common stock in 2023 and 2022 were not material.</w:t>
      </w:r>
    </w:p>
    <w:p>
      <w:pPr>
        <w:sectPr>
          <w:pgSz w:w="12240" w:h="15840" w:orient="portrait"/>
          <w:cols w:equalWidth="0" w:num="1">
            <w:col w:w="10241"/>
          </w:cols>
          <w:pgMar w:left="979" w:top="658"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44</w:t>
      </w:r>
    </w:p>
    <w:p>
      <w:pPr>
        <w:sectPr>
          <w:pgSz w:w="12240" w:h="15840" w:orient="portrait"/>
          <w:cols w:equalWidth="0" w:num="1">
            <w:col w:w="10241"/>
          </w:cols>
          <w:pgMar w:left="979" w:top="658" w:right="1020" w:bottom="24" w:gutter="0" w:footer="0" w:header="0"/>
          <w:type w:val="continuous"/>
        </w:sectPr>
      </w:pPr>
    </w:p>
    <w:bookmarkStart w:id="50" w:name="page51"/>
    <w:bookmarkEnd w:id="50"/>
    <w:p>
      <w:pPr>
        <w:ind w:right="2540"/>
        <w:spacing w:after="0" w:line="521" w:lineRule="auto"/>
        <w:rPr>
          <w:sz w:val="20"/>
          <w:szCs w:val="20"/>
          <w:color w:val="auto"/>
        </w:rPr>
      </w:pPr>
      <w:r>
        <w:rPr>
          <w:rFonts w:ascii="Arial" w:cs="Arial" w:eastAsia="Arial" w:hAnsi="Arial"/>
          <w:sz w:val="21"/>
          <w:szCs w:val="21"/>
          <w:i w:val="1"/>
          <w:iCs w:val="1"/>
          <w:color w:val="2A2A2A"/>
        </w:rPr>
        <w:t xml:space="preserve">Effects on our Consolidated Statements of Income and Balance Sheets </w:t>
      </w:r>
      <w:r>
        <w:rPr>
          <w:rFonts w:ascii="Arial" w:cs="Arial" w:eastAsia="Arial" w:hAnsi="Arial"/>
          <w:sz w:val="19"/>
          <w:szCs w:val="19"/>
          <w:color w:val="2A2A2A"/>
        </w:rPr>
        <w:t>Expenses related to defined benefit and retiree health care benefit plans are as follows:</w:t>
      </w: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1840" w:type="dxa"/>
            <w:vAlign w:val="bottom"/>
            <w:tcBorders>
              <w:bottom w:val="single" w:sz="8" w:color="2A2A2A"/>
            </w:tcBorders>
            <w:gridSpan w:val="7"/>
          </w:tcPr>
          <w:p>
            <w:pPr>
              <w:jc w:val="right"/>
              <w:ind w:right="160"/>
              <w:spacing w:after="0"/>
              <w:rPr>
                <w:sz w:val="20"/>
                <w:szCs w:val="20"/>
                <w:color w:val="auto"/>
              </w:rPr>
            </w:pPr>
            <w:r>
              <w:rPr>
                <w:rFonts w:ascii="Arial" w:cs="Arial" w:eastAsia="Arial" w:hAnsi="Arial"/>
                <w:sz w:val="16"/>
                <w:szCs w:val="16"/>
                <w:b w:val="1"/>
                <w:bCs w:val="1"/>
                <w:color w:val="2A2A2A"/>
              </w:rPr>
              <w:t>U.S. Defined Benefit</w:t>
            </w:r>
          </w:p>
        </w:tc>
        <w:tc>
          <w:tcPr>
            <w:tcW w:w="80" w:type="dxa"/>
            <w:vAlign w:val="bottom"/>
          </w:tcPr>
          <w:p>
            <w:pPr>
              <w:spacing w:after="0"/>
              <w:rPr>
                <w:sz w:val="18"/>
                <w:szCs w:val="18"/>
                <w:color w:val="auto"/>
              </w:rPr>
            </w:pPr>
          </w:p>
        </w:tc>
        <w:tc>
          <w:tcPr>
            <w:tcW w:w="2040" w:type="dxa"/>
            <w:vAlign w:val="bottom"/>
            <w:tcBorders>
              <w:bottom w:val="single" w:sz="8" w:color="2A2A2A"/>
            </w:tcBorders>
            <w:gridSpan w:val="8"/>
          </w:tcPr>
          <w:p>
            <w:pPr>
              <w:jc w:val="right"/>
              <w:spacing w:after="0"/>
              <w:rPr>
                <w:sz w:val="20"/>
                <w:szCs w:val="20"/>
                <w:color w:val="auto"/>
              </w:rPr>
            </w:pPr>
            <w:r>
              <w:rPr>
                <w:rFonts w:ascii="Arial" w:cs="Arial" w:eastAsia="Arial" w:hAnsi="Arial"/>
                <w:sz w:val="16"/>
                <w:szCs w:val="16"/>
                <w:b w:val="1"/>
                <w:bCs w:val="1"/>
                <w:color w:val="2A2A2A"/>
              </w:rPr>
              <w:t>U.S. Retiree Health Care</w:t>
            </w:r>
          </w:p>
        </w:tc>
        <w:tc>
          <w:tcPr>
            <w:tcW w:w="80" w:type="dxa"/>
            <w:vAlign w:val="bottom"/>
          </w:tcPr>
          <w:p>
            <w:pPr>
              <w:spacing w:after="0"/>
              <w:rPr>
                <w:sz w:val="18"/>
                <w:szCs w:val="18"/>
                <w:color w:val="auto"/>
              </w:rPr>
            </w:pPr>
          </w:p>
        </w:tc>
        <w:tc>
          <w:tcPr>
            <w:tcW w:w="2080" w:type="dxa"/>
            <w:vAlign w:val="bottom"/>
            <w:tcBorders>
              <w:bottom w:val="single" w:sz="8" w:color="2A2A2A"/>
            </w:tcBorders>
            <w:gridSpan w:val="8"/>
          </w:tcPr>
          <w:p>
            <w:pPr>
              <w:jc w:val="right"/>
              <w:spacing w:after="0"/>
              <w:rPr>
                <w:sz w:val="20"/>
                <w:szCs w:val="20"/>
                <w:color w:val="auto"/>
              </w:rPr>
            </w:pPr>
            <w:r>
              <w:rPr>
                <w:rFonts w:ascii="Arial" w:cs="Arial" w:eastAsia="Arial" w:hAnsi="Arial"/>
                <w:sz w:val="16"/>
                <w:szCs w:val="16"/>
                <w:b w:val="1"/>
                <w:bCs w:val="1"/>
                <w:color w:val="2A2A2A"/>
              </w:rPr>
              <w:t>Non-U.S. Defined Benefit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2A2A2A"/>
            </w:tcBorders>
          </w:tcPr>
          <w:p>
            <w:pPr>
              <w:spacing w:after="0"/>
              <w:rPr>
                <w:sz w:val="21"/>
                <w:szCs w:val="21"/>
                <w:color w:val="auto"/>
              </w:rPr>
            </w:pPr>
          </w:p>
        </w:tc>
        <w:tc>
          <w:tcPr>
            <w:tcW w:w="640" w:type="dxa"/>
            <w:vAlign w:val="bottom"/>
            <w:tcBorders>
              <w:bottom w:val="single" w:sz="8" w:color="2A2A2A"/>
            </w:tcBorders>
            <w:gridSpan w:val="2"/>
          </w:tcPr>
          <w:p>
            <w:pPr>
              <w:jc w:val="right"/>
              <w:ind w:right="42"/>
              <w:spacing w:after="0"/>
              <w:rPr>
                <w:sz w:val="20"/>
                <w:szCs w:val="20"/>
                <w:color w:val="auto"/>
              </w:rPr>
            </w:pPr>
            <w:r>
              <w:rPr>
                <w:rFonts w:ascii="Arial" w:cs="Arial" w:eastAsia="Arial" w:hAnsi="Arial"/>
                <w:sz w:val="16"/>
                <w:szCs w:val="16"/>
                <w:b w:val="1"/>
                <w:bCs w:val="1"/>
                <w:color w:val="2A2A2A"/>
              </w:rPr>
              <w:t>2023</w:t>
            </w:r>
          </w:p>
        </w:tc>
        <w:tc>
          <w:tcPr>
            <w:tcW w:w="70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2022</w:t>
            </w:r>
          </w:p>
        </w:tc>
        <w:tc>
          <w:tcPr>
            <w:tcW w:w="700" w:type="dxa"/>
            <w:vAlign w:val="bottom"/>
            <w:tcBorders>
              <w:bottom w:val="single" w:sz="8" w:color="2A2A2A"/>
            </w:tcBorders>
            <w:gridSpan w:val="3"/>
          </w:tcPr>
          <w:p>
            <w:pPr>
              <w:jc w:val="right"/>
              <w:ind w:right="20"/>
              <w:spacing w:after="0"/>
              <w:rPr>
                <w:sz w:val="20"/>
                <w:szCs w:val="20"/>
                <w:color w:val="auto"/>
              </w:rPr>
            </w:pPr>
            <w:r>
              <w:rPr>
                <w:rFonts w:ascii="Arial" w:cs="Arial" w:eastAsia="Arial" w:hAnsi="Arial"/>
                <w:sz w:val="16"/>
                <w:szCs w:val="16"/>
                <w:b w:val="1"/>
                <w:bCs w:val="1"/>
                <w:color w:val="2A2A2A"/>
              </w:rPr>
              <w:t>2021</w:t>
            </w:r>
          </w:p>
        </w:tc>
        <w:tc>
          <w:tcPr>
            <w:tcW w:w="72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2023</w:t>
            </w:r>
          </w:p>
        </w:tc>
        <w:tc>
          <w:tcPr>
            <w:tcW w:w="70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2022</w:t>
            </w:r>
          </w:p>
        </w:tc>
        <w:tc>
          <w:tcPr>
            <w:tcW w:w="70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2021</w:t>
            </w:r>
          </w:p>
        </w:tc>
        <w:tc>
          <w:tcPr>
            <w:tcW w:w="72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2023</w:t>
            </w:r>
          </w:p>
        </w:tc>
        <w:tc>
          <w:tcPr>
            <w:tcW w:w="72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2022</w:t>
            </w:r>
          </w:p>
        </w:tc>
        <w:tc>
          <w:tcPr>
            <w:tcW w:w="720" w:type="dxa"/>
            <w:vAlign w:val="bottom"/>
            <w:tcBorders>
              <w:bottom w:val="single" w:sz="8" w:color="2A2A2A"/>
            </w:tcBorders>
            <w:gridSpan w:val="3"/>
          </w:tcPr>
          <w:p>
            <w:pPr>
              <w:jc w:val="right"/>
              <w:ind w:right="40"/>
              <w:spacing w:after="0"/>
              <w:rPr>
                <w:sz w:val="20"/>
                <w:szCs w:val="20"/>
                <w:color w:val="auto"/>
              </w:rPr>
            </w:pPr>
            <w:r>
              <w:rPr>
                <w:rFonts w:ascii="Arial" w:cs="Arial" w:eastAsia="Arial" w:hAnsi="Arial"/>
                <w:sz w:val="16"/>
                <w:szCs w:val="16"/>
                <w:b w:val="1"/>
                <w:bCs w:val="1"/>
                <w:color w:val="2A2A2A"/>
              </w:rPr>
              <w:t>2021</w:t>
            </w:r>
          </w:p>
        </w:tc>
        <w:tc>
          <w:tcPr>
            <w:tcW w:w="0" w:type="dxa"/>
            <w:vAlign w:val="bottom"/>
          </w:tcPr>
          <w:p>
            <w:pPr>
              <w:spacing w:after="0"/>
              <w:rPr>
                <w:sz w:val="1"/>
                <w:szCs w:val="1"/>
                <w:color w:val="auto"/>
              </w:rPr>
            </w:pPr>
          </w:p>
        </w:tc>
      </w:tr>
      <w:tr>
        <w:trPr>
          <w:trHeight w:val="275"/>
        </w:trPr>
        <w:tc>
          <w:tcPr>
            <w:tcW w:w="39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Service cost</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4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w:t>
            </w: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w:t>
            </w:r>
          </w:p>
        </w:tc>
        <w:tc>
          <w:tcPr>
            <w:tcW w:w="300" w:type="dxa"/>
            <w:vAlign w:val="bottom"/>
            <w:gridSpan w:val="2"/>
            <w:shd w:val="clear" w:color="auto" w:fill="D7D7D7"/>
          </w:tcPr>
          <w:p>
            <w:pPr>
              <w:jc w:val="right"/>
              <w:ind w:right="60"/>
              <w:spacing w:after="0"/>
              <w:rPr>
                <w:sz w:val="20"/>
                <w:szCs w:val="20"/>
                <w:color w:val="auto"/>
              </w:rPr>
            </w:pPr>
            <w:r>
              <w:rPr>
                <w:rFonts w:ascii="Arial" w:cs="Arial" w:eastAsia="Arial" w:hAnsi="Arial"/>
                <w:sz w:val="20"/>
                <w:szCs w:val="20"/>
                <w:color w:val="2A2A2A"/>
              </w:rPr>
              <w:t>$</w:t>
            </w:r>
          </w:p>
        </w:tc>
        <w:tc>
          <w:tcPr>
            <w:tcW w:w="4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21</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w:t>
            </w:r>
          </w:p>
        </w:tc>
        <w:tc>
          <w:tcPr>
            <w:tcW w:w="280" w:type="dxa"/>
            <w:vAlign w:val="bottom"/>
            <w:gridSpan w:val="2"/>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320" w:type="dxa"/>
            <w:vAlign w:val="bottom"/>
            <w:gridSpan w:val="2"/>
            <w:shd w:val="clear" w:color="auto" w:fill="D7D7D7"/>
          </w:tcPr>
          <w:p>
            <w:pPr>
              <w:jc w:val="right"/>
              <w:ind w:right="80"/>
              <w:spacing w:after="0"/>
              <w:rPr>
                <w:sz w:val="20"/>
                <w:szCs w:val="20"/>
                <w:color w:val="auto"/>
              </w:rPr>
            </w:pPr>
            <w:r>
              <w:rPr>
                <w:rFonts w:ascii="Arial" w:cs="Arial" w:eastAsia="Arial" w:hAnsi="Arial"/>
                <w:sz w:val="20"/>
                <w:szCs w:val="20"/>
                <w:color w:val="2A2A2A"/>
              </w:rPr>
              <w:t>$</w:t>
            </w:r>
          </w:p>
        </w:tc>
        <w:tc>
          <w:tcPr>
            <w:tcW w:w="3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16</w:t>
            </w:r>
          </w:p>
        </w:tc>
        <w:tc>
          <w:tcPr>
            <w:tcW w:w="300" w:type="dxa"/>
            <w:vAlign w:val="bottom"/>
            <w:gridSpan w:val="2"/>
            <w:shd w:val="clear" w:color="auto" w:fill="D7D7D7"/>
          </w:tcPr>
          <w:p>
            <w:pPr>
              <w:jc w:val="right"/>
              <w:ind w:right="60"/>
              <w:spacing w:after="0"/>
              <w:rPr>
                <w:sz w:val="20"/>
                <w:szCs w:val="20"/>
                <w:color w:val="auto"/>
              </w:rPr>
            </w:pPr>
            <w:r>
              <w:rPr>
                <w:rFonts w:ascii="Arial" w:cs="Arial" w:eastAsia="Arial" w:hAnsi="Arial"/>
                <w:sz w:val="20"/>
                <w:szCs w:val="20"/>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w:t>
            </w:r>
          </w:p>
        </w:tc>
        <w:tc>
          <w:tcPr>
            <w:tcW w:w="300" w:type="dxa"/>
            <w:vAlign w:val="bottom"/>
            <w:gridSpan w:val="2"/>
            <w:shd w:val="clear" w:color="auto" w:fill="D7D7D7"/>
          </w:tcPr>
          <w:p>
            <w:pPr>
              <w:jc w:val="right"/>
              <w:ind w:right="60"/>
              <w:spacing w:after="0"/>
              <w:rPr>
                <w:sz w:val="20"/>
                <w:szCs w:val="20"/>
                <w:color w:val="auto"/>
              </w:rPr>
            </w:pPr>
            <w:r>
              <w:rPr>
                <w:rFonts w:ascii="Arial" w:cs="Arial" w:eastAsia="Arial" w:hAnsi="Arial"/>
                <w:sz w:val="20"/>
                <w:szCs w:val="20"/>
                <w:color w:val="2A2A2A"/>
              </w:rPr>
              <w:t>$</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36</w:t>
            </w:r>
          </w:p>
        </w:tc>
        <w:tc>
          <w:tcPr>
            <w:tcW w:w="0" w:type="dxa"/>
            <w:vAlign w:val="bottom"/>
          </w:tcPr>
          <w:p>
            <w:pPr>
              <w:spacing w:after="0"/>
              <w:rPr>
                <w:sz w:val="1"/>
                <w:szCs w:val="1"/>
                <w:color w:val="auto"/>
              </w:rPr>
            </w:pPr>
          </w:p>
        </w:tc>
      </w:tr>
      <w:tr>
        <w:trPr>
          <w:trHeight w:val="270"/>
        </w:trPr>
        <w:tc>
          <w:tcPr>
            <w:tcW w:w="3920" w:type="dxa"/>
            <w:vAlign w:val="bottom"/>
          </w:tcPr>
          <w:p>
            <w:pPr>
              <w:ind w:left="60"/>
              <w:spacing w:after="0"/>
              <w:rPr>
                <w:sz w:val="20"/>
                <w:szCs w:val="20"/>
                <w:color w:val="auto"/>
              </w:rPr>
            </w:pPr>
            <w:r>
              <w:rPr>
                <w:rFonts w:ascii="Arial" w:cs="Arial" w:eastAsia="Arial" w:hAnsi="Arial"/>
                <w:sz w:val="20"/>
                <w:szCs w:val="20"/>
                <w:color w:val="2A2A2A"/>
              </w:rPr>
              <w:t>Interest cost</w:t>
            </w: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2A2A2A"/>
              </w:rPr>
              <w:t>28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A2A2A"/>
              </w:rPr>
              <w:t>30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15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11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2A2A2A"/>
              </w:rPr>
              <w:t>10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57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33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37</w:t>
            </w:r>
          </w:p>
        </w:tc>
        <w:tc>
          <w:tcPr>
            <w:tcW w:w="0" w:type="dxa"/>
            <w:vAlign w:val="bottom"/>
          </w:tcPr>
          <w:p>
            <w:pPr>
              <w:spacing w:after="0"/>
              <w:rPr>
                <w:sz w:val="1"/>
                <w:szCs w:val="1"/>
                <w:color w:val="auto"/>
              </w:rPr>
            </w:pPr>
          </w:p>
        </w:tc>
      </w:tr>
      <w:tr>
        <w:trPr>
          <w:trHeight w:val="270"/>
        </w:trPr>
        <w:tc>
          <w:tcPr>
            <w:tcW w:w="39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Expected return on plan assets</w:t>
            </w:r>
          </w:p>
        </w:tc>
        <w:tc>
          <w:tcPr>
            <w:tcW w:w="200" w:type="dxa"/>
            <w:vAlign w:val="bottom"/>
            <w:shd w:val="clear" w:color="auto" w:fill="D7D7D7"/>
          </w:tcPr>
          <w:p>
            <w:pPr>
              <w:spacing w:after="0"/>
              <w:rPr>
                <w:sz w:val="23"/>
                <w:szCs w:val="23"/>
                <w:color w:val="auto"/>
              </w:rPr>
            </w:pPr>
          </w:p>
        </w:tc>
        <w:tc>
          <w:tcPr>
            <w:tcW w:w="4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(23)</w:t>
            </w: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(27)</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(31)</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(19)</w:t>
            </w:r>
          </w:p>
        </w:tc>
        <w:tc>
          <w:tcPr>
            <w:tcW w:w="6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(12)</w:t>
            </w: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3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(63)</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(66)</w:t>
            </w: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(81)</w:t>
            </w:r>
          </w:p>
        </w:tc>
        <w:tc>
          <w:tcPr>
            <w:tcW w:w="0" w:type="dxa"/>
            <w:vAlign w:val="bottom"/>
          </w:tcPr>
          <w:p>
            <w:pPr>
              <w:spacing w:after="0"/>
              <w:rPr>
                <w:sz w:val="1"/>
                <w:szCs w:val="1"/>
                <w:color w:val="auto"/>
              </w:rPr>
            </w:pPr>
          </w:p>
        </w:tc>
      </w:tr>
      <w:tr>
        <w:trPr>
          <w:trHeight w:val="285"/>
        </w:trPr>
        <w:tc>
          <w:tcPr>
            <w:tcW w:w="3920" w:type="dxa"/>
            <w:vAlign w:val="bottom"/>
          </w:tcPr>
          <w:p>
            <w:pPr>
              <w:ind w:left="60"/>
              <w:spacing w:after="0"/>
              <w:rPr>
                <w:sz w:val="20"/>
                <w:szCs w:val="20"/>
                <w:color w:val="auto"/>
              </w:rPr>
            </w:pPr>
            <w:r>
              <w:rPr>
                <w:rFonts w:ascii="Arial" w:cs="Arial" w:eastAsia="Arial" w:hAnsi="Arial"/>
                <w:sz w:val="20"/>
                <w:szCs w:val="20"/>
                <w:color w:val="2A2A2A"/>
              </w:rPr>
              <w:t>Amortization of prior service cost (credit)</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2A2A2A"/>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1</w:t>
            </w:r>
          </w:p>
        </w:tc>
        <w:tc>
          <w:tcPr>
            <w:tcW w:w="0" w:type="dxa"/>
            <w:vAlign w:val="bottom"/>
          </w:tcPr>
          <w:p>
            <w:pPr>
              <w:spacing w:after="0"/>
              <w:rPr>
                <w:sz w:val="1"/>
                <w:szCs w:val="1"/>
                <w:color w:val="auto"/>
              </w:rPr>
            </w:pPr>
          </w:p>
        </w:tc>
      </w:tr>
      <w:tr>
        <w:trPr>
          <w:trHeight w:val="280"/>
        </w:trPr>
        <w:tc>
          <w:tcPr>
            <w:tcW w:w="39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Recognized net actuarial losses (gains)</w:t>
            </w:r>
          </w:p>
        </w:tc>
        <w:tc>
          <w:tcPr>
            <w:tcW w:w="200" w:type="dxa"/>
            <w:vAlign w:val="bottom"/>
            <w:tcBorders>
              <w:bottom w:val="single" w:sz="8" w:color="2A2A2A"/>
            </w:tcBorders>
            <w:shd w:val="clear" w:color="auto" w:fill="D7D7D7"/>
          </w:tcPr>
          <w:p>
            <w:pPr>
              <w:spacing w:after="0"/>
              <w:rPr>
                <w:sz w:val="24"/>
                <w:szCs w:val="24"/>
                <w:color w:val="auto"/>
              </w:rPr>
            </w:pPr>
          </w:p>
        </w:tc>
        <w:tc>
          <w:tcPr>
            <w:tcW w:w="4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15</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40" w:type="dxa"/>
            <w:vAlign w:val="bottom"/>
            <w:tcBorders>
              <w:bottom w:val="single" w:sz="8" w:color="2A2A2A"/>
            </w:tcBorders>
            <w:shd w:val="clear" w:color="auto" w:fill="D7D7D7"/>
          </w:tcPr>
          <w:p>
            <w:pPr>
              <w:spacing w:after="0"/>
              <w:rPr>
                <w:sz w:val="24"/>
                <w:szCs w:val="24"/>
                <w:color w:val="auto"/>
              </w:rPr>
            </w:pPr>
          </w:p>
        </w:tc>
        <w:tc>
          <w:tcPr>
            <w:tcW w:w="3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12</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7</w:t>
            </w:r>
          </w:p>
        </w:tc>
        <w:tc>
          <w:tcPr>
            <w:tcW w:w="0" w:type="dxa"/>
            <w:vAlign w:val="bottom"/>
          </w:tcPr>
          <w:p>
            <w:pPr>
              <w:spacing w:after="0"/>
              <w:rPr>
                <w:sz w:val="1"/>
                <w:szCs w:val="1"/>
                <w:color w:val="auto"/>
              </w:rPr>
            </w:pPr>
          </w:p>
        </w:tc>
      </w:tr>
      <w:tr>
        <w:trPr>
          <w:trHeight w:val="240"/>
        </w:trPr>
        <w:tc>
          <w:tcPr>
            <w:tcW w:w="3920" w:type="dxa"/>
            <w:vAlign w:val="bottom"/>
          </w:tcPr>
          <w:p>
            <w:pPr>
              <w:ind w:left="60"/>
              <w:spacing w:after="0"/>
              <w:rPr>
                <w:sz w:val="20"/>
                <w:szCs w:val="20"/>
                <w:color w:val="auto"/>
              </w:rPr>
            </w:pPr>
            <w:r>
              <w:rPr>
                <w:rFonts w:ascii="Arial" w:cs="Arial" w:eastAsia="Arial" w:hAnsi="Arial"/>
                <w:sz w:val="20"/>
                <w:szCs w:val="20"/>
                <w:color w:val="2A2A2A"/>
              </w:rPr>
              <w:t>Net periodic benefit costs (credits)</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2A2A2A"/>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A2A2A"/>
              </w:rPr>
              <w:t>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2A2A2A"/>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2A2A2A"/>
              </w:rPr>
              <w:t>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80"/>
        </w:trPr>
        <w:tc>
          <w:tcPr>
            <w:tcW w:w="39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Settlement losses</w:t>
            </w:r>
          </w:p>
        </w:tc>
        <w:tc>
          <w:tcPr>
            <w:tcW w:w="200" w:type="dxa"/>
            <w:vAlign w:val="bottom"/>
            <w:tcBorders>
              <w:bottom w:val="single" w:sz="8" w:color="2A2A2A"/>
            </w:tcBorders>
            <w:shd w:val="clear" w:color="auto" w:fill="D7D7D7"/>
          </w:tcPr>
          <w:p>
            <w:pPr>
              <w:spacing w:after="0"/>
              <w:rPr>
                <w:sz w:val="24"/>
                <w:szCs w:val="24"/>
                <w:color w:val="auto"/>
              </w:rPr>
            </w:pPr>
          </w:p>
        </w:tc>
        <w:tc>
          <w:tcPr>
            <w:tcW w:w="4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7</w:t>
            </w:r>
          </w:p>
        </w:tc>
        <w:tc>
          <w:tcPr>
            <w:tcW w:w="8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64</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13</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40" w:type="dxa"/>
            <w:vAlign w:val="bottom"/>
            <w:tcBorders>
              <w:bottom w:val="single" w:sz="8" w:color="2A2A2A"/>
            </w:tcBorders>
            <w:shd w:val="clear" w:color="auto" w:fill="D7D7D7"/>
          </w:tcPr>
          <w:p>
            <w:pPr>
              <w:spacing w:after="0"/>
              <w:rPr>
                <w:sz w:val="24"/>
                <w:szCs w:val="24"/>
                <w:color w:val="auto"/>
              </w:rPr>
            </w:pPr>
          </w:p>
        </w:tc>
        <w:tc>
          <w:tcPr>
            <w:tcW w:w="3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10</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4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w:t>
            </w:r>
          </w:p>
        </w:tc>
        <w:tc>
          <w:tcPr>
            <w:tcW w:w="0" w:type="dxa"/>
            <w:vAlign w:val="bottom"/>
          </w:tcPr>
          <w:p>
            <w:pPr>
              <w:spacing w:after="0"/>
              <w:rPr>
                <w:sz w:val="1"/>
                <w:szCs w:val="1"/>
                <w:color w:val="auto"/>
              </w:rPr>
            </w:pPr>
          </w:p>
        </w:tc>
      </w:tr>
      <w:tr>
        <w:trPr>
          <w:trHeight w:val="193"/>
        </w:trPr>
        <w:tc>
          <w:tcPr>
            <w:tcW w:w="3920" w:type="dxa"/>
            <w:vAlign w:val="bottom"/>
          </w:tcPr>
          <w:p>
            <w:pPr>
              <w:ind w:left="60"/>
              <w:spacing w:after="0" w:line="193" w:lineRule="exact"/>
              <w:rPr>
                <w:sz w:val="20"/>
                <w:szCs w:val="20"/>
                <w:color w:val="auto"/>
              </w:rPr>
            </w:pPr>
            <w:r>
              <w:rPr>
                <w:rFonts w:ascii="Arial" w:cs="Arial" w:eastAsia="Arial" w:hAnsi="Arial"/>
                <w:sz w:val="20"/>
                <w:szCs w:val="20"/>
                <w:color w:val="2A2A2A"/>
              </w:rPr>
              <w:t>Total, including other postretirement</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44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26</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2A2A2A"/>
              </w:rPr>
              <w:t>84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2A2A2A"/>
              </w:rPr>
              <w: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2A2A2A"/>
              </w:rPr>
              <w:t>48</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(7)</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2A2A2A"/>
              </w:rPr>
              <w:t>$</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2A2A2A"/>
              </w:rPr>
              <w:t>2</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23</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2A2A2A"/>
              </w:rPr>
              <w:t>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2A2A2A"/>
              </w:rPr>
              <w:t>$</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2A2A2A"/>
              </w:rPr>
              <w:t>2</w:t>
            </w:r>
          </w:p>
        </w:tc>
        <w:tc>
          <w:tcPr>
            <w:tcW w:w="0" w:type="dxa"/>
            <w:vAlign w:val="bottom"/>
          </w:tcPr>
          <w:p>
            <w:pPr>
              <w:spacing w:after="0"/>
              <w:rPr>
                <w:sz w:val="1"/>
                <w:szCs w:val="1"/>
                <w:color w:val="auto"/>
              </w:rPr>
            </w:pPr>
          </w:p>
        </w:tc>
      </w:tr>
      <w:tr>
        <w:trPr>
          <w:trHeight w:val="242"/>
        </w:trPr>
        <w:tc>
          <w:tcPr>
            <w:tcW w:w="3920" w:type="dxa"/>
            <w:vAlign w:val="bottom"/>
          </w:tcPr>
          <w:p>
            <w:pPr>
              <w:ind w:left="60"/>
              <w:spacing w:after="0"/>
              <w:rPr>
                <w:sz w:val="20"/>
                <w:szCs w:val="20"/>
                <w:color w:val="auto"/>
              </w:rPr>
            </w:pPr>
            <w:r>
              <w:rPr>
                <w:rFonts w:ascii="Arial" w:cs="Arial" w:eastAsia="Arial" w:hAnsi="Arial"/>
                <w:sz w:val="20"/>
                <w:szCs w:val="20"/>
                <w:color w:val="2A2A2A"/>
              </w:rPr>
              <w:t>losses (gains)</w:t>
            </w:r>
          </w:p>
        </w:tc>
        <w:tc>
          <w:tcPr>
            <w:tcW w:w="2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44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0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A2A2A"/>
              <w:bottom w:val="single" w:sz="8" w:color="2A2A2A"/>
            </w:tcBorders>
          </w:tcPr>
          <w:p>
            <w:pPr>
              <w:spacing w:after="0" w:line="20" w:lineRule="exact"/>
              <w:rPr>
                <w:sz w:val="1"/>
                <w:szCs w:val="1"/>
                <w:color w:val="auto"/>
              </w:rPr>
            </w:pPr>
          </w:p>
        </w:tc>
        <w:tc>
          <w:tcPr>
            <w:tcW w:w="38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420" w:type="dxa"/>
            <w:vAlign w:val="bottom"/>
            <w:tcBorders>
              <w:top w:val="single" w:sz="8" w:color="2A2A2A"/>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-1564640</wp:posOffset>
            </wp:positionV>
            <wp:extent cx="653097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-688340</wp:posOffset>
            </wp:positionV>
            <wp:extent cx="40449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44950" cy="2540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-345440</wp:posOffset>
            </wp:positionV>
            <wp:extent cx="40449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44950" cy="25400"/>
                    </a:xfrm>
                    <a:prstGeom prst="rect">
                      <a:avLst/>
                    </a:prstGeom>
                    <a:noFill/>
                  </pic:spPr>
                </pic:pic>
              </a:graphicData>
            </a:graphic>
          </wp:anchor>
        </w:drawing>
      </w: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20"/>
          <w:szCs w:val="20"/>
          <w:color w:val="2A2A2A"/>
        </w:rPr>
        <w:t>All defined benefit and retiree health care benefit plan expense components other than service cost are recognized in OI&amp;E in our Consolidated Statements of Income. Service cost is recognized within operating profit.</w:t>
      </w:r>
    </w:p>
    <w:p>
      <w:pPr>
        <w:spacing w:after="0" w:line="170"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color w:val="2A2A2A"/>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ectPr>
          <w:pgSz w:w="12240" w:h="15840" w:orient="portrait"/>
          <w:cols w:equalWidth="0" w:num="1">
            <w:col w:w="10240"/>
          </w:cols>
          <w:pgMar w:left="980" w:top="660"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45</w:t>
      </w:r>
    </w:p>
    <w:p>
      <w:pPr>
        <w:sectPr>
          <w:pgSz w:w="12240" w:h="15840" w:orient="portrait"/>
          <w:cols w:equalWidth="0" w:num="1">
            <w:col w:w="10240"/>
          </w:cols>
          <w:pgMar w:left="980" w:top="660" w:right="1020" w:bottom="24" w:gutter="0" w:footer="0" w:header="0"/>
          <w:type w:val="continuous"/>
        </w:sectPr>
      </w:pPr>
    </w:p>
    <w:bookmarkStart w:id="51" w:name="page52"/>
    <w:bookmarkEnd w:id="51"/>
    <w:p>
      <w:pPr>
        <w:ind w:right="260"/>
        <w:spacing w:after="0" w:line="287" w:lineRule="auto"/>
        <w:rPr>
          <w:sz w:val="20"/>
          <w:szCs w:val="20"/>
          <w:color w:val="auto"/>
        </w:rPr>
      </w:pPr>
      <w:r>
        <w:rPr>
          <w:rFonts w:ascii="Arial" w:cs="Arial" w:eastAsia="Arial" w:hAnsi="Arial"/>
          <w:sz w:val="20"/>
          <w:szCs w:val="20"/>
          <w:color w:val="2A2A2A"/>
        </w:rPr>
        <w:t>Changes in the benefit obligations and plan assets for defined benefit and retiree health care benefit plans are as follows:</w:t>
      </w: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right"/>
              <w:ind w:right="221"/>
              <w:spacing w:after="0" w:line="182" w:lineRule="exact"/>
              <w:rPr>
                <w:sz w:val="20"/>
                <w:szCs w:val="20"/>
                <w:color w:val="auto"/>
              </w:rPr>
            </w:pPr>
            <w:r>
              <w:rPr>
                <w:rFonts w:ascii="Arial" w:cs="Arial" w:eastAsia="Arial" w:hAnsi="Arial"/>
                <w:sz w:val="16"/>
                <w:szCs w:val="16"/>
                <w:b w:val="1"/>
                <w:bCs w:val="1"/>
                <w:color w:val="2A2A2A"/>
              </w:rPr>
              <w:t>U.S. Defined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right"/>
              <w:ind w:right="241"/>
              <w:spacing w:after="0" w:line="182" w:lineRule="exact"/>
              <w:rPr>
                <w:sz w:val="20"/>
                <w:szCs w:val="20"/>
                <w:color w:val="auto"/>
              </w:rPr>
            </w:pPr>
            <w:r>
              <w:rPr>
                <w:rFonts w:ascii="Arial" w:cs="Arial" w:eastAsia="Arial" w:hAnsi="Arial"/>
                <w:sz w:val="16"/>
                <w:szCs w:val="16"/>
                <w:b w:val="1"/>
                <w:bCs w:val="1"/>
                <w:color w:val="2A2A2A"/>
              </w:rPr>
              <w:t>U.S. Retiree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4"/>
          </w:tcPr>
          <w:p>
            <w:pPr>
              <w:jc w:val="right"/>
              <w:ind w:right="361"/>
              <w:spacing w:after="0" w:line="182" w:lineRule="exact"/>
              <w:rPr>
                <w:sz w:val="20"/>
                <w:szCs w:val="20"/>
                <w:color w:val="auto"/>
              </w:rPr>
            </w:pPr>
            <w:r>
              <w:rPr>
                <w:rFonts w:ascii="Arial" w:cs="Arial" w:eastAsia="Arial" w:hAnsi="Arial"/>
                <w:sz w:val="16"/>
                <w:szCs w:val="16"/>
                <w:b w:val="1"/>
                <w:bCs w:val="1"/>
                <w:color w:val="2A2A2A"/>
              </w:rPr>
              <w:t>Non-U.S.</w:t>
            </w:r>
          </w:p>
        </w:tc>
      </w:tr>
      <w:tr>
        <w:trPr>
          <w:trHeight w:val="214"/>
        </w:trPr>
        <w:tc>
          <w:tcPr>
            <w:tcW w:w="520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420" w:type="dxa"/>
            <w:vAlign w:val="bottom"/>
            <w:tcBorders>
              <w:bottom w:val="single" w:sz="8" w:color="2A2A2A"/>
            </w:tcBorders>
            <w:gridSpan w:val="4"/>
          </w:tcPr>
          <w:p>
            <w:pPr>
              <w:jc w:val="right"/>
              <w:ind w:right="421"/>
              <w:spacing w:after="0"/>
              <w:rPr>
                <w:sz w:val="20"/>
                <w:szCs w:val="20"/>
                <w:color w:val="auto"/>
              </w:rPr>
            </w:pPr>
            <w:r>
              <w:rPr>
                <w:rFonts w:ascii="Arial" w:cs="Arial" w:eastAsia="Arial" w:hAnsi="Arial"/>
                <w:sz w:val="16"/>
                <w:szCs w:val="16"/>
                <w:b w:val="1"/>
                <w:bCs w:val="1"/>
                <w:color w:val="2A2A2A"/>
              </w:rPr>
              <w:t>Benefit</w:t>
            </w:r>
          </w:p>
        </w:tc>
        <w:tc>
          <w:tcPr>
            <w:tcW w:w="8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420" w:type="dxa"/>
            <w:vAlign w:val="bottom"/>
            <w:tcBorders>
              <w:bottom w:val="single" w:sz="8" w:color="2A2A2A"/>
            </w:tcBorders>
            <w:gridSpan w:val="4"/>
          </w:tcPr>
          <w:p>
            <w:pPr>
              <w:jc w:val="right"/>
              <w:ind w:right="241"/>
              <w:spacing w:after="0"/>
              <w:rPr>
                <w:sz w:val="20"/>
                <w:szCs w:val="20"/>
                <w:color w:val="auto"/>
              </w:rPr>
            </w:pPr>
            <w:r>
              <w:rPr>
                <w:rFonts w:ascii="Arial" w:cs="Arial" w:eastAsia="Arial" w:hAnsi="Arial"/>
                <w:sz w:val="16"/>
                <w:szCs w:val="16"/>
                <w:b w:val="1"/>
                <w:bCs w:val="1"/>
                <w:color w:val="2A2A2A"/>
              </w:rPr>
              <w:t>Health Care</w:t>
            </w:r>
          </w:p>
        </w:tc>
        <w:tc>
          <w:tcPr>
            <w:tcW w:w="8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420" w:type="dxa"/>
            <w:vAlign w:val="bottom"/>
            <w:tcBorders>
              <w:bottom w:val="single" w:sz="8" w:color="2A2A2A"/>
            </w:tcBorders>
            <w:gridSpan w:val="4"/>
          </w:tcPr>
          <w:p>
            <w:pPr>
              <w:jc w:val="right"/>
              <w:ind w:right="101"/>
              <w:spacing w:after="0"/>
              <w:rPr>
                <w:sz w:val="20"/>
                <w:szCs w:val="20"/>
                <w:color w:val="auto"/>
              </w:rPr>
            </w:pPr>
            <w:r>
              <w:rPr>
                <w:rFonts w:ascii="Arial" w:cs="Arial" w:eastAsia="Arial" w:hAnsi="Arial"/>
                <w:sz w:val="16"/>
                <w:szCs w:val="16"/>
                <w:b w:val="1"/>
                <w:bCs w:val="1"/>
                <w:color w:val="2A2A2A"/>
              </w:rPr>
              <w:t>Defined Benefit</w:t>
            </w:r>
          </w:p>
        </w:tc>
      </w:tr>
      <w:tr>
        <w:trPr>
          <w:trHeight w:val="250"/>
        </w:trPr>
        <w:tc>
          <w:tcPr>
            <w:tcW w:w="520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3"/>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1"/>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3"/>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1"/>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3"/>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580" w:type="dxa"/>
            <w:vAlign w:val="bottom"/>
            <w:tcBorders>
              <w:bottom w:val="single" w:sz="8" w:color="2A2A2A"/>
            </w:tcBorders>
          </w:tcPr>
          <w:p>
            <w:pPr>
              <w:jc w:val="right"/>
              <w:ind w:right="101"/>
              <w:spacing w:after="0"/>
              <w:rPr>
                <w:sz w:val="20"/>
                <w:szCs w:val="20"/>
                <w:color w:val="auto"/>
              </w:rPr>
            </w:pPr>
            <w:r>
              <w:rPr>
                <w:rFonts w:ascii="Arial" w:cs="Arial" w:eastAsia="Arial" w:hAnsi="Arial"/>
                <w:sz w:val="16"/>
                <w:szCs w:val="16"/>
                <w:b w:val="1"/>
                <w:bCs w:val="1"/>
                <w:color w:val="2A2A2A"/>
              </w:rPr>
              <w:t>2022</w:t>
            </w:r>
          </w:p>
        </w:tc>
      </w:tr>
      <w:tr>
        <w:trPr>
          <w:trHeight w:val="260"/>
        </w:trPr>
        <w:tc>
          <w:tcPr>
            <w:tcW w:w="52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Change in plan benefit obligation</w:t>
            </w: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580" w:type="dxa"/>
            <w:vAlign w:val="bottom"/>
            <w:shd w:val="clear" w:color="auto" w:fill="D7D7D7"/>
          </w:tcPr>
          <w:p>
            <w:pPr>
              <w:spacing w:after="0"/>
              <w:rPr>
                <w:sz w:val="22"/>
                <w:szCs w:val="22"/>
                <w:color w:val="auto"/>
              </w:rPr>
            </w:pPr>
          </w:p>
        </w:tc>
      </w:tr>
      <w:tr>
        <w:trPr>
          <w:trHeight w:val="270"/>
        </w:trPr>
        <w:tc>
          <w:tcPr>
            <w:tcW w:w="5200" w:type="dxa"/>
            <w:vAlign w:val="bottom"/>
          </w:tcPr>
          <w:p>
            <w:pPr>
              <w:ind w:left="180"/>
              <w:spacing w:after="0"/>
              <w:rPr>
                <w:sz w:val="20"/>
                <w:szCs w:val="20"/>
                <w:color w:val="auto"/>
              </w:rPr>
            </w:pPr>
            <w:r>
              <w:rPr>
                <w:rFonts w:ascii="Arial" w:cs="Arial" w:eastAsia="Arial" w:hAnsi="Arial"/>
                <w:sz w:val="20"/>
                <w:szCs w:val="20"/>
                <w:color w:val="2A2A2A"/>
              </w:rPr>
              <w:t>Benefit obligation at beginning of year:</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521</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rPr>
              <w:t>895</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274</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rPr>
              <w:t>360</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w w:val="95"/>
              </w:rPr>
              <w:t>1,667</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w w:val="95"/>
              </w:rPr>
              <w:t>2,574</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Service cost</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16</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Interest cost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28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29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11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57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33</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Participant contributions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14</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Benefits paid</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(12)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(41)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(41)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(86)</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Settlements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(40)</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(309)</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(91)</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Curtailments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(4)</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Actuarial loss (gain)</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(97)</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(74)</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80</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(547)</w:t>
            </w:r>
          </w:p>
        </w:tc>
      </w:tr>
      <w:tr>
        <w:trPr>
          <w:trHeight w:val="260"/>
        </w:trPr>
        <w:tc>
          <w:tcPr>
            <w:tcW w:w="5200" w:type="dxa"/>
            <w:vAlign w:val="bottom"/>
            <w:tcBorders>
              <w:bottom w:val="single" w:sz="8" w:color="D7D7D7"/>
            </w:tcBorders>
          </w:tcPr>
          <w:p>
            <w:pPr>
              <w:ind w:left="280"/>
              <w:spacing w:after="0"/>
              <w:rPr>
                <w:sz w:val="20"/>
                <w:szCs w:val="20"/>
                <w:color w:val="auto"/>
              </w:rPr>
            </w:pPr>
            <w:r>
              <w:rPr>
                <w:rFonts w:ascii="Arial" w:cs="Arial" w:eastAsia="Arial" w:hAnsi="Arial"/>
                <w:sz w:val="20"/>
                <w:szCs w:val="20"/>
                <w:color w:val="2A2A2A"/>
              </w:rPr>
              <w:t>Effects of exchange rate changes</w:t>
            </w: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(242)</w:t>
            </w:r>
          </w:p>
        </w:tc>
      </w:tr>
      <w:tr>
        <w:trPr>
          <w:trHeight w:val="250"/>
        </w:trPr>
        <w:tc>
          <w:tcPr>
            <w:tcW w:w="52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Benefit obligation at end of year</w:t>
            </w: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505</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521</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258</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274</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u w:val="single" w:color="auto"/>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w w:val="95"/>
              </w:rPr>
              <w:t>1,732</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u w:val="single" w:color="auto"/>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w w:val="95"/>
              </w:rPr>
              <w:t>1,667</w:t>
            </w:r>
          </w:p>
        </w:tc>
      </w:tr>
      <w:tr>
        <w:trPr>
          <w:trHeight w:val="275"/>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52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Change in plan assets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spacing w:after="0"/>
              <w:rPr>
                <w:sz w:val="23"/>
                <w:szCs w:val="23"/>
                <w:color w:val="auto"/>
              </w:rPr>
            </w:pPr>
          </w:p>
        </w:tc>
      </w:tr>
      <w:tr>
        <w:trPr>
          <w:trHeight w:val="270"/>
        </w:trPr>
        <w:tc>
          <w:tcPr>
            <w:tcW w:w="5200" w:type="dxa"/>
            <w:vAlign w:val="bottom"/>
          </w:tcPr>
          <w:p>
            <w:pPr>
              <w:ind w:left="180"/>
              <w:spacing w:after="0"/>
              <w:rPr>
                <w:sz w:val="20"/>
                <w:szCs w:val="20"/>
                <w:color w:val="auto"/>
              </w:rPr>
            </w:pPr>
            <w:r>
              <w:rPr>
                <w:rFonts w:ascii="Arial" w:cs="Arial" w:eastAsia="Arial" w:hAnsi="Arial"/>
                <w:sz w:val="20"/>
                <w:szCs w:val="20"/>
                <w:color w:val="2A2A2A"/>
              </w:rPr>
              <w:t>Fair value of plan assets at beginning of year:</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421</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rPr>
              <w:t>934</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280</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rPr>
              <w:t>385</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w w:val="95"/>
              </w:rPr>
              <w:t>1,822</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580" w:type="dxa"/>
            <w:vAlign w:val="bottom"/>
          </w:tcPr>
          <w:p>
            <w:pPr>
              <w:jc w:val="right"/>
              <w:spacing w:after="0"/>
              <w:rPr>
                <w:sz w:val="20"/>
                <w:szCs w:val="20"/>
                <w:color w:val="auto"/>
              </w:rPr>
            </w:pPr>
            <w:r>
              <w:rPr>
                <w:rFonts w:ascii="Arial" w:cs="Arial" w:eastAsia="Arial" w:hAnsi="Arial"/>
                <w:sz w:val="20"/>
                <w:szCs w:val="20"/>
                <w:color w:val="2A2A2A"/>
                <w:w w:val="95"/>
              </w:rPr>
              <w:t>2,813</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Actual return on plan assets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47</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(205)</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29</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(80)</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137</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(557)</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Employer contributions (qualified plans)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9</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Employer contributions (non-qualified plans)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Participant contributions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14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5</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Benefits paid</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(12)</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(41)</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(41)</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(77)</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(86)</w:t>
            </w:r>
          </w:p>
        </w:tc>
      </w:tr>
      <w:tr>
        <w:trPr>
          <w:trHeight w:val="270"/>
        </w:trPr>
        <w:tc>
          <w:tcPr>
            <w:tcW w:w="5200" w:type="dxa"/>
            <w:vAlign w:val="bottom"/>
          </w:tcPr>
          <w:p>
            <w:pPr>
              <w:ind w:left="280"/>
              <w:spacing w:after="0"/>
              <w:rPr>
                <w:sz w:val="20"/>
                <w:szCs w:val="20"/>
                <w:color w:val="auto"/>
              </w:rPr>
            </w:pPr>
            <w:r>
              <w:rPr>
                <w:rFonts w:ascii="Arial" w:cs="Arial" w:eastAsia="Arial" w:hAnsi="Arial"/>
                <w:sz w:val="20"/>
                <w:szCs w:val="20"/>
                <w:color w:val="2A2A2A"/>
              </w:rPr>
              <w:t>Settlements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(309)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A2A2A"/>
              </w:rPr>
              <w:t>(91)</w:t>
            </w:r>
          </w:p>
        </w:tc>
      </w:tr>
      <w:tr>
        <w:trPr>
          <w:trHeight w:val="270"/>
        </w:trPr>
        <w:tc>
          <w:tcPr>
            <w:tcW w:w="52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Effects of exchange rate changes</w:t>
            </w: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w:t>
            </w: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5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(271)</w:t>
            </w:r>
          </w:p>
        </w:tc>
      </w:tr>
      <w:tr>
        <w:trPr>
          <w:trHeight w:val="260"/>
        </w:trPr>
        <w:tc>
          <w:tcPr>
            <w:tcW w:w="5200" w:type="dxa"/>
            <w:vAlign w:val="bottom"/>
            <w:tcBorders>
              <w:bottom w:val="single" w:sz="8" w:color="D7D7D7"/>
            </w:tcBorders>
          </w:tcPr>
          <w:p>
            <w:pPr>
              <w:ind w:left="280"/>
              <w:spacing w:after="0"/>
              <w:rPr>
                <w:sz w:val="20"/>
                <w:szCs w:val="20"/>
                <w:color w:val="auto"/>
              </w:rPr>
            </w:pPr>
            <w:r>
              <w:rPr>
                <w:rFonts w:ascii="Arial" w:cs="Arial" w:eastAsia="Arial" w:hAnsi="Arial"/>
                <w:sz w:val="20"/>
                <w:szCs w:val="20"/>
                <w:color w:val="2A2A2A"/>
              </w:rPr>
              <w:t>Other</w:t>
            </w: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(19)</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5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r>
      <w:tr>
        <w:trPr>
          <w:trHeight w:val="250"/>
        </w:trPr>
        <w:tc>
          <w:tcPr>
            <w:tcW w:w="520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Fair value of plan assets at end of year</w:t>
            </w: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418</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421</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264</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280</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u w:val="single" w:color="auto"/>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w w:val="95"/>
              </w:rPr>
              <w:t>1,866</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u w:val="single" w:color="auto"/>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w w:val="95"/>
              </w:rPr>
              <w:t>1,822</w:t>
            </w:r>
          </w:p>
        </w:tc>
      </w:tr>
      <w:tr>
        <w:trPr>
          <w:trHeight w:val="265"/>
        </w:trPr>
        <w:tc>
          <w:tcPr>
            <w:tcW w:w="520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c>
          <w:tcPr>
            <w:tcW w:w="8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c>
          <w:tcPr>
            <w:tcW w:w="8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c>
          <w:tcPr>
            <w:tcW w:w="8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c>
          <w:tcPr>
            <w:tcW w:w="8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c>
          <w:tcPr>
            <w:tcW w:w="80" w:type="dxa"/>
            <w:vAlign w:val="bottom"/>
            <w:tcBorders>
              <w:bottom w:val="single" w:sz="8" w:color="D7D7D7"/>
            </w:tcBorders>
          </w:tcPr>
          <w:p>
            <w:pPr>
              <w:spacing w:after="0"/>
              <w:rPr>
                <w:sz w:val="23"/>
                <w:szCs w:val="23"/>
                <w:color w:val="auto"/>
              </w:rPr>
            </w:pPr>
          </w:p>
        </w:tc>
        <w:tc>
          <w:tcPr>
            <w:tcW w:w="180" w:type="dxa"/>
            <w:vAlign w:val="bottom"/>
            <w:tcBorders>
              <w:bottom w:val="single" w:sz="8" w:color="2A2A2A"/>
            </w:tcBorders>
          </w:tcPr>
          <w:p>
            <w:pPr>
              <w:spacing w:after="0"/>
              <w:rPr>
                <w:sz w:val="23"/>
                <w:szCs w:val="23"/>
                <w:color w:val="auto"/>
              </w:rPr>
            </w:pPr>
          </w:p>
        </w:tc>
        <w:tc>
          <w:tcPr>
            <w:tcW w:w="580" w:type="dxa"/>
            <w:vAlign w:val="bottom"/>
            <w:tcBorders>
              <w:bottom w:val="single" w:sz="8" w:color="2A2A2A"/>
            </w:tcBorders>
          </w:tcPr>
          <w:p>
            <w:pPr>
              <w:spacing w:after="0"/>
              <w:rPr>
                <w:sz w:val="23"/>
                <w:szCs w:val="23"/>
                <w:color w:val="auto"/>
              </w:rPr>
            </w:pPr>
          </w:p>
        </w:tc>
      </w:tr>
      <w:tr>
        <w:trPr>
          <w:trHeight w:val="255"/>
        </w:trPr>
        <w:tc>
          <w:tcPr>
            <w:tcW w:w="5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Funded status at end of year</w:t>
            </w: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(87)</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(100)</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6</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6</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134</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5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155</w:t>
            </w:r>
          </w:p>
        </w:tc>
      </w:tr>
      <w:tr>
        <w:trPr>
          <w:trHeight w:val="20"/>
        </w:trPr>
        <w:tc>
          <w:tcPr>
            <w:tcW w:w="52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58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-4336415</wp:posOffset>
            </wp:positionV>
            <wp:extent cx="64833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8335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-2621915</wp:posOffset>
            </wp:positionV>
            <wp:extent cx="317817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-2450465</wp:posOffset>
            </wp:positionV>
            <wp:extent cx="317817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-554990</wp:posOffset>
            </wp:positionV>
            <wp:extent cx="31781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-383540</wp:posOffset>
            </wp:positionV>
            <wp:extent cx="317817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-202565</wp:posOffset>
            </wp:positionV>
            <wp:extent cx="317817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-43815</wp:posOffset>
            </wp:positionV>
            <wp:extent cx="317817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78175" cy="25400"/>
                    </a:xfrm>
                    <a:prstGeom prst="rect">
                      <a:avLst/>
                    </a:prstGeom>
                    <a:noFill/>
                  </pic:spPr>
                </pic:pic>
              </a:graphicData>
            </a:graphic>
          </wp:anchor>
        </w:drawing>
      </w:r>
    </w:p>
    <w:p>
      <w:pPr>
        <w:spacing w:after="0" w:line="235" w:lineRule="exact"/>
        <w:rPr>
          <w:sz w:val="20"/>
          <w:szCs w:val="20"/>
          <w:color w:val="auto"/>
        </w:rPr>
      </w:pPr>
    </w:p>
    <w:p>
      <w:pPr>
        <w:ind w:right="500"/>
        <w:spacing w:after="0" w:line="287" w:lineRule="auto"/>
        <w:rPr>
          <w:sz w:val="20"/>
          <w:szCs w:val="20"/>
          <w:color w:val="auto"/>
        </w:rPr>
      </w:pPr>
      <w:r>
        <w:rPr>
          <w:rFonts w:ascii="Arial" w:cs="Arial" w:eastAsia="Arial" w:hAnsi="Arial"/>
          <w:sz w:val="20"/>
          <w:szCs w:val="20"/>
          <w:color w:val="2A2A2A"/>
        </w:rPr>
        <w:t>Changes in actuarial gains and losses in the projected benefit obligations are generally driven by discount rate movement.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2A2A2A"/>
        </w:rPr>
        <w:t>Amounts recognized on our Consolidated Balance Sheets as of December 31,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2A2A2A"/>
                <w:w w:val="97"/>
              </w:rPr>
              <w:t>U.S. Defined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6"/>
                <w:szCs w:val="16"/>
                <w:b w:val="1"/>
                <w:bCs w:val="1"/>
                <w:color w:val="2A2A2A"/>
              </w:rPr>
              <w:t>U.S. Retiree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22"/>
              <w:spacing w:after="0"/>
              <w:rPr>
                <w:sz w:val="20"/>
                <w:szCs w:val="20"/>
                <w:color w:val="auto"/>
              </w:rPr>
            </w:pPr>
            <w:r>
              <w:rPr>
                <w:rFonts w:ascii="Arial" w:cs="Arial" w:eastAsia="Arial" w:hAnsi="Arial"/>
                <w:sz w:val="16"/>
                <w:szCs w:val="16"/>
                <w:b w:val="1"/>
                <w:bCs w:val="1"/>
                <w:color w:val="2A2A2A"/>
              </w:rPr>
              <w:t>Non-U.S.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2A2A2A"/>
              </w:rPr>
              <w:t>Total</w:t>
            </w:r>
          </w:p>
        </w:tc>
        <w:tc>
          <w:tcPr>
            <w:tcW w:w="0" w:type="dxa"/>
            <w:vAlign w:val="bottom"/>
          </w:tcPr>
          <w:p>
            <w:pPr>
              <w:spacing w:after="0"/>
              <w:rPr>
                <w:sz w:val="1"/>
                <w:szCs w:val="1"/>
                <w:color w:val="auto"/>
              </w:rPr>
            </w:pPr>
          </w:p>
        </w:tc>
      </w:tr>
      <w:tr>
        <w:trPr>
          <w:trHeight w:val="214"/>
        </w:trPr>
        <w:tc>
          <w:tcPr>
            <w:tcW w:w="4800" w:type="dxa"/>
            <w:vAlign w:val="bottom"/>
            <w:tcBorders>
              <w:bottom w:val="single" w:sz="8" w:color="2A2A2A"/>
            </w:tcBorders>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120" w:type="dxa"/>
            <w:vAlign w:val="bottom"/>
            <w:tcBorders>
              <w:bottom w:val="single" w:sz="8" w:color="2A2A2A"/>
            </w:tcBorders>
          </w:tcPr>
          <w:p>
            <w:pPr>
              <w:jc w:val="right"/>
              <w:ind w:right="284"/>
              <w:spacing w:after="0"/>
              <w:rPr>
                <w:sz w:val="20"/>
                <w:szCs w:val="20"/>
                <w:color w:val="auto"/>
              </w:rPr>
            </w:pPr>
            <w:r>
              <w:rPr>
                <w:rFonts w:ascii="Arial" w:cs="Arial" w:eastAsia="Arial" w:hAnsi="Arial"/>
                <w:sz w:val="16"/>
                <w:szCs w:val="16"/>
                <w:b w:val="1"/>
                <w:bCs w:val="1"/>
                <w:color w:val="2A2A2A"/>
              </w:rPr>
              <w:t>Benefit</w:t>
            </w:r>
          </w:p>
        </w:tc>
        <w:tc>
          <w:tcPr>
            <w:tcW w:w="80" w:type="dxa"/>
            <w:vAlign w:val="bottom"/>
            <w:tcBorders>
              <w:bottom w:val="single" w:sz="8" w:color="2A2A2A"/>
            </w:tcBorders>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120" w:type="dxa"/>
            <w:vAlign w:val="bottom"/>
            <w:tcBorders>
              <w:bottom w:val="single" w:sz="8" w:color="2A2A2A"/>
            </w:tcBorders>
          </w:tcPr>
          <w:p>
            <w:pPr>
              <w:jc w:val="right"/>
              <w:ind w:right="104"/>
              <w:spacing w:after="0"/>
              <w:rPr>
                <w:sz w:val="20"/>
                <w:szCs w:val="20"/>
                <w:color w:val="auto"/>
              </w:rPr>
            </w:pPr>
            <w:r>
              <w:rPr>
                <w:rFonts w:ascii="Arial" w:cs="Arial" w:eastAsia="Arial" w:hAnsi="Arial"/>
                <w:sz w:val="16"/>
                <w:szCs w:val="16"/>
                <w:b w:val="1"/>
                <w:bCs w:val="1"/>
                <w:color w:val="2A2A2A"/>
              </w:rPr>
              <w:t>Health Care</w:t>
            </w:r>
          </w:p>
        </w:tc>
        <w:tc>
          <w:tcPr>
            <w:tcW w:w="80" w:type="dxa"/>
            <w:vAlign w:val="bottom"/>
            <w:tcBorders>
              <w:bottom w:val="single" w:sz="8" w:color="2A2A2A"/>
            </w:tcBorders>
          </w:tcPr>
          <w:p>
            <w:pPr>
              <w:spacing w:after="0"/>
              <w:rPr>
                <w:sz w:val="18"/>
                <w:szCs w:val="18"/>
                <w:color w:val="auto"/>
              </w:rPr>
            </w:pPr>
          </w:p>
        </w:tc>
        <w:tc>
          <w:tcPr>
            <w:tcW w:w="1300" w:type="dxa"/>
            <w:vAlign w:val="bottom"/>
            <w:tcBorders>
              <w:bottom w:val="single" w:sz="8" w:color="2A2A2A"/>
            </w:tcBorders>
            <w:gridSpan w:val="2"/>
          </w:tcPr>
          <w:p>
            <w:pPr>
              <w:ind w:left="60"/>
              <w:spacing w:after="0"/>
              <w:rPr>
                <w:sz w:val="20"/>
                <w:szCs w:val="20"/>
                <w:color w:val="auto"/>
              </w:rPr>
            </w:pPr>
            <w:r>
              <w:rPr>
                <w:rFonts w:ascii="Arial" w:cs="Arial" w:eastAsia="Arial" w:hAnsi="Arial"/>
                <w:sz w:val="16"/>
                <w:szCs w:val="16"/>
                <w:b w:val="1"/>
                <w:bCs w:val="1"/>
                <w:color w:val="2A2A2A"/>
              </w:rPr>
              <w:t>Defined Benefit</w:t>
            </w:r>
          </w:p>
        </w:tc>
        <w:tc>
          <w:tcPr>
            <w:tcW w:w="80" w:type="dxa"/>
            <w:vAlign w:val="bottom"/>
            <w:tcBorders>
              <w:bottom w:val="single" w:sz="8" w:color="2A2A2A"/>
            </w:tcBorders>
          </w:tcPr>
          <w:p>
            <w:pPr>
              <w:spacing w:after="0"/>
              <w:rPr>
                <w:sz w:val="18"/>
                <w:szCs w:val="18"/>
                <w:color w:val="auto"/>
              </w:rPr>
            </w:pPr>
          </w:p>
        </w:tc>
        <w:tc>
          <w:tcPr>
            <w:tcW w:w="320" w:type="dxa"/>
            <w:vAlign w:val="bottom"/>
            <w:tcBorders>
              <w:bottom w:val="single" w:sz="8" w:color="2A2A2A"/>
            </w:tcBorders>
          </w:tcPr>
          <w:p>
            <w:pPr>
              <w:spacing w:after="0"/>
              <w:rPr>
                <w:sz w:val="18"/>
                <w:szCs w:val="18"/>
                <w:color w:val="auto"/>
              </w:rPr>
            </w:pPr>
          </w:p>
        </w:tc>
        <w:tc>
          <w:tcPr>
            <w:tcW w:w="980" w:type="dxa"/>
            <w:vAlign w:val="bottom"/>
            <w:tcBorders>
              <w:bottom w:val="single" w:sz="8" w:color="2A2A2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2023</w:t>
            </w:r>
          </w:p>
        </w:tc>
        <w:tc>
          <w:tcPr>
            <w:tcW w:w="18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240" w:type="dxa"/>
            <w:vAlign w:val="bottom"/>
            <w:shd w:val="clear" w:color="auto" w:fill="D7D7D7"/>
          </w:tcPr>
          <w:p>
            <w:pPr>
              <w:spacing w:after="0"/>
              <w:rPr>
                <w:sz w:val="24"/>
                <w:szCs w:val="24"/>
                <w:color w:val="auto"/>
              </w:rPr>
            </w:pPr>
          </w:p>
        </w:tc>
        <w:tc>
          <w:tcPr>
            <w:tcW w:w="10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98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0" w:type="dxa"/>
            <w:vAlign w:val="bottom"/>
          </w:tcPr>
          <w:p>
            <w:pPr>
              <w:ind w:left="180"/>
              <w:spacing w:after="0"/>
              <w:rPr>
                <w:sz w:val="20"/>
                <w:szCs w:val="20"/>
                <w:color w:val="auto"/>
              </w:rPr>
            </w:pPr>
            <w:r>
              <w:rPr>
                <w:rFonts w:ascii="Arial" w:cs="Arial" w:eastAsia="Arial" w:hAnsi="Arial"/>
                <w:sz w:val="20"/>
                <w:szCs w:val="20"/>
                <w:b w:val="1"/>
                <w:bCs w:val="1"/>
                <w:color w:val="2A2A2A"/>
              </w:rPr>
              <w:t>Overfunded retirement plans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2A2A2A"/>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2A2A2A"/>
              </w:rPr>
              <w:t>8</w:t>
            </w:r>
          </w:p>
        </w:tc>
        <w:tc>
          <w:tcPr>
            <w:tcW w:w="320" w:type="dxa"/>
            <w:vAlign w:val="bottom"/>
            <w:gridSpan w:val="2"/>
          </w:tcPr>
          <w:p>
            <w:pPr>
              <w:ind w:left="140"/>
              <w:spacing w:after="0"/>
              <w:rPr>
                <w:sz w:val="20"/>
                <w:szCs w:val="20"/>
                <w:color w:val="auto"/>
              </w:rPr>
            </w:pPr>
            <w:r>
              <w:rPr>
                <w:rFonts w:ascii="Arial" w:cs="Arial" w:eastAsia="Arial" w:hAnsi="Arial"/>
                <w:sz w:val="20"/>
                <w:szCs w:val="20"/>
                <w:b w:val="1"/>
                <w:bCs w:val="1"/>
                <w:color w:val="2A2A2A"/>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2A2A2A"/>
              </w:rPr>
              <w:t>165</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2A2A2A"/>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2A2A2A"/>
              </w:rPr>
              <w:t>173</w:t>
            </w:r>
          </w:p>
        </w:tc>
        <w:tc>
          <w:tcPr>
            <w:tcW w:w="0" w:type="dxa"/>
            <w:vAlign w:val="bottom"/>
          </w:tcPr>
          <w:p>
            <w:pPr>
              <w:spacing w:after="0"/>
              <w:rPr>
                <w:sz w:val="1"/>
                <w:szCs w:val="1"/>
                <w:color w:val="auto"/>
              </w:rPr>
            </w:pPr>
          </w:p>
        </w:tc>
      </w:tr>
      <w:tr>
        <w:trPr>
          <w:trHeight w:val="223"/>
        </w:trPr>
        <w:tc>
          <w:tcPr>
            <w:tcW w:w="4800" w:type="dxa"/>
            <w:vAlign w:val="bottom"/>
            <w:shd w:val="clear" w:color="auto" w:fill="D7D7D7"/>
          </w:tcPr>
          <w:p>
            <w:pPr>
              <w:ind w:left="180"/>
              <w:spacing w:after="0" w:line="223" w:lineRule="exact"/>
              <w:rPr>
                <w:sz w:val="20"/>
                <w:szCs w:val="20"/>
                <w:color w:val="auto"/>
              </w:rPr>
            </w:pPr>
            <w:r>
              <w:rPr>
                <w:rFonts w:ascii="Arial" w:cs="Arial" w:eastAsia="Arial" w:hAnsi="Arial"/>
                <w:sz w:val="20"/>
                <w:szCs w:val="20"/>
                <w:b w:val="1"/>
                <w:bCs w:val="1"/>
                <w:color w:val="2A2A2A"/>
              </w:rPr>
              <w:t>Accrued expenses and other liabilities</w:t>
            </w:r>
          </w:p>
        </w:tc>
        <w:tc>
          <w:tcPr>
            <w:tcW w:w="180" w:type="dxa"/>
            <w:vAlign w:val="bottom"/>
            <w:shd w:val="clear" w:color="auto" w:fill="D7D7D7"/>
          </w:tcPr>
          <w:p>
            <w:pPr>
              <w:spacing w:after="0"/>
              <w:rPr>
                <w:sz w:val="19"/>
                <w:szCs w:val="19"/>
                <w:color w:val="auto"/>
              </w:rPr>
            </w:pPr>
          </w:p>
        </w:tc>
        <w:tc>
          <w:tcPr>
            <w:tcW w:w="112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80" w:type="dxa"/>
            <w:vAlign w:val="bottom"/>
            <w:shd w:val="clear" w:color="auto" w:fill="D7D7D7"/>
          </w:tcPr>
          <w:p>
            <w:pPr>
              <w:spacing w:after="0"/>
              <w:rPr>
                <w:sz w:val="19"/>
                <w:szCs w:val="19"/>
                <w:color w:val="auto"/>
              </w:rPr>
            </w:pPr>
          </w:p>
        </w:tc>
        <w:tc>
          <w:tcPr>
            <w:tcW w:w="180" w:type="dxa"/>
            <w:vAlign w:val="bottom"/>
            <w:shd w:val="clear" w:color="auto" w:fill="D7D7D7"/>
          </w:tcPr>
          <w:p>
            <w:pPr>
              <w:spacing w:after="0"/>
              <w:rPr>
                <w:sz w:val="19"/>
                <w:szCs w:val="19"/>
                <w:color w:val="auto"/>
              </w:rPr>
            </w:pPr>
          </w:p>
        </w:tc>
        <w:tc>
          <w:tcPr>
            <w:tcW w:w="112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19"/>
                <w:szCs w:val="19"/>
                <w:color w:val="auto"/>
              </w:rPr>
            </w:pPr>
          </w:p>
        </w:tc>
        <w:tc>
          <w:tcPr>
            <w:tcW w:w="240" w:type="dxa"/>
            <w:vAlign w:val="bottom"/>
            <w:shd w:val="clear" w:color="auto" w:fill="D7D7D7"/>
          </w:tcPr>
          <w:p>
            <w:pPr>
              <w:spacing w:after="0"/>
              <w:rPr>
                <w:sz w:val="19"/>
                <w:szCs w:val="19"/>
                <w:color w:val="auto"/>
              </w:rPr>
            </w:pPr>
          </w:p>
        </w:tc>
        <w:tc>
          <w:tcPr>
            <w:tcW w:w="106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(7)</w:t>
            </w:r>
          </w:p>
        </w:tc>
        <w:tc>
          <w:tcPr>
            <w:tcW w:w="80" w:type="dxa"/>
            <w:vAlign w:val="bottom"/>
            <w:shd w:val="clear" w:color="auto" w:fill="D7D7D7"/>
          </w:tcPr>
          <w:p>
            <w:pPr>
              <w:spacing w:after="0"/>
              <w:rPr>
                <w:sz w:val="19"/>
                <w:szCs w:val="19"/>
                <w:color w:val="auto"/>
              </w:rPr>
            </w:pPr>
          </w:p>
        </w:tc>
        <w:tc>
          <w:tcPr>
            <w:tcW w:w="320" w:type="dxa"/>
            <w:vAlign w:val="bottom"/>
            <w:shd w:val="clear" w:color="auto" w:fill="D7D7D7"/>
          </w:tcPr>
          <w:p>
            <w:pPr>
              <w:spacing w:after="0"/>
              <w:rPr>
                <w:sz w:val="19"/>
                <w:szCs w:val="19"/>
                <w:color w:val="auto"/>
              </w:rPr>
            </w:pPr>
          </w:p>
        </w:tc>
        <w:tc>
          <w:tcPr>
            <w:tcW w:w="98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(12)</w:t>
            </w:r>
          </w:p>
        </w:tc>
        <w:tc>
          <w:tcPr>
            <w:tcW w:w="0" w:type="dxa"/>
            <w:vAlign w:val="bottom"/>
          </w:tcPr>
          <w:p>
            <w:pPr>
              <w:spacing w:after="0"/>
              <w:rPr>
                <w:sz w:val="1"/>
                <w:szCs w:val="1"/>
                <w:color w:val="auto"/>
              </w:rPr>
            </w:pPr>
          </w:p>
        </w:tc>
      </w:tr>
      <w:tr>
        <w:trPr>
          <w:trHeight w:val="272"/>
        </w:trPr>
        <w:tc>
          <w:tcPr>
            <w:tcW w:w="480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&amp; other long-term liabilities</w:t>
            </w:r>
          </w:p>
        </w:tc>
        <w:tc>
          <w:tcPr>
            <w:tcW w:w="180" w:type="dxa"/>
            <w:vAlign w:val="bottom"/>
            <w:shd w:val="clear" w:color="auto" w:fill="D7D7D7"/>
          </w:tcPr>
          <w:p>
            <w:pPr>
              <w:spacing w:after="0"/>
              <w:rPr>
                <w:sz w:val="23"/>
                <w:szCs w:val="23"/>
                <w:color w:val="auto"/>
              </w:rPr>
            </w:pPr>
          </w:p>
        </w:tc>
        <w:tc>
          <w:tcPr>
            <w:tcW w:w="112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112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106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320" w:type="dxa"/>
            <w:vAlign w:val="bottom"/>
            <w:shd w:val="clear" w:color="auto" w:fill="D7D7D7"/>
          </w:tcPr>
          <w:p>
            <w:pPr>
              <w:spacing w:after="0"/>
              <w:rPr>
                <w:sz w:val="23"/>
                <w:szCs w:val="23"/>
                <w:color w:val="auto"/>
              </w:rPr>
            </w:pPr>
          </w:p>
        </w:tc>
        <w:tc>
          <w:tcPr>
            <w:tcW w:w="98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800" w:type="dxa"/>
            <w:vAlign w:val="bottom"/>
            <w:tcBorders>
              <w:bottom w:val="single" w:sz="8" w:color="D7D7D7"/>
            </w:tcBorders>
          </w:tcPr>
          <w:p>
            <w:pPr>
              <w:ind w:left="180"/>
              <w:spacing w:after="0"/>
              <w:rPr>
                <w:sz w:val="20"/>
                <w:szCs w:val="20"/>
                <w:color w:val="auto"/>
              </w:rPr>
            </w:pPr>
            <w:r>
              <w:rPr>
                <w:rFonts w:ascii="Arial" w:cs="Arial" w:eastAsia="Arial" w:hAnsi="Arial"/>
                <w:sz w:val="20"/>
                <w:szCs w:val="20"/>
                <w:b w:val="1"/>
                <w:bCs w:val="1"/>
                <w:color w:val="2A2A2A"/>
              </w:rPr>
              <w:t>Underfunded retirement plans</w:t>
            </w:r>
          </w:p>
        </w:tc>
        <w:tc>
          <w:tcPr>
            <w:tcW w:w="180" w:type="dxa"/>
            <w:vAlign w:val="bottom"/>
            <w:tcBorders>
              <w:bottom w:val="single" w:sz="8" w:color="2A2A2A"/>
            </w:tcBorders>
          </w:tcPr>
          <w:p>
            <w:pPr>
              <w:spacing w:after="0"/>
              <w:rPr>
                <w:sz w:val="24"/>
                <w:szCs w:val="24"/>
                <w:color w:val="auto"/>
              </w:rPr>
            </w:pPr>
          </w:p>
        </w:tc>
        <w:tc>
          <w:tcPr>
            <w:tcW w:w="11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(82)</w:t>
            </w:r>
          </w:p>
        </w:tc>
        <w:tc>
          <w:tcPr>
            <w:tcW w:w="80" w:type="dxa"/>
            <w:vAlign w:val="bottom"/>
            <w:tcBorders>
              <w:bottom w:val="single" w:sz="8" w:color="D7D7D7"/>
            </w:tcBorders>
          </w:tcPr>
          <w:p>
            <w:pPr>
              <w:spacing w:after="0"/>
              <w:rPr>
                <w:sz w:val="24"/>
                <w:szCs w:val="24"/>
                <w:color w:val="auto"/>
              </w:rPr>
            </w:pPr>
          </w:p>
        </w:tc>
        <w:tc>
          <w:tcPr>
            <w:tcW w:w="180" w:type="dxa"/>
            <w:vAlign w:val="bottom"/>
            <w:tcBorders>
              <w:bottom w:val="single" w:sz="8" w:color="2A2A2A"/>
            </w:tcBorders>
          </w:tcPr>
          <w:p>
            <w:pPr>
              <w:spacing w:after="0"/>
              <w:rPr>
                <w:sz w:val="24"/>
                <w:szCs w:val="24"/>
                <w:color w:val="auto"/>
              </w:rPr>
            </w:pPr>
          </w:p>
        </w:tc>
        <w:tc>
          <w:tcPr>
            <w:tcW w:w="11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w:t>
            </w:r>
          </w:p>
        </w:tc>
        <w:tc>
          <w:tcPr>
            <w:tcW w:w="80" w:type="dxa"/>
            <w:vAlign w:val="bottom"/>
            <w:tcBorders>
              <w:bottom w:val="single" w:sz="8" w:color="D7D7D7"/>
            </w:tcBorders>
          </w:tcPr>
          <w:p>
            <w:pPr>
              <w:spacing w:after="0"/>
              <w:rPr>
                <w:sz w:val="24"/>
                <w:szCs w:val="24"/>
                <w:color w:val="auto"/>
              </w:rPr>
            </w:pPr>
          </w:p>
        </w:tc>
        <w:tc>
          <w:tcPr>
            <w:tcW w:w="240" w:type="dxa"/>
            <w:vAlign w:val="bottom"/>
            <w:tcBorders>
              <w:bottom w:val="single" w:sz="8" w:color="2A2A2A"/>
            </w:tcBorders>
          </w:tcPr>
          <w:p>
            <w:pPr>
              <w:spacing w:after="0"/>
              <w:rPr>
                <w:sz w:val="24"/>
                <w:szCs w:val="24"/>
                <w:color w:val="auto"/>
              </w:rPr>
            </w:pPr>
          </w:p>
        </w:tc>
        <w:tc>
          <w:tcPr>
            <w:tcW w:w="10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(24)</w:t>
            </w:r>
          </w:p>
        </w:tc>
        <w:tc>
          <w:tcPr>
            <w:tcW w:w="80" w:type="dxa"/>
            <w:vAlign w:val="bottom"/>
            <w:tcBorders>
              <w:bottom w:val="single" w:sz="8" w:color="D7D7D7"/>
            </w:tcBorders>
          </w:tcPr>
          <w:p>
            <w:pPr>
              <w:spacing w:after="0"/>
              <w:rPr>
                <w:sz w:val="24"/>
                <w:szCs w:val="24"/>
                <w:color w:val="auto"/>
              </w:rPr>
            </w:pPr>
          </w:p>
        </w:tc>
        <w:tc>
          <w:tcPr>
            <w:tcW w:w="320" w:type="dxa"/>
            <w:vAlign w:val="bottom"/>
            <w:tcBorders>
              <w:bottom w:val="single" w:sz="8" w:color="2A2A2A"/>
            </w:tcBorders>
          </w:tcPr>
          <w:p>
            <w:pPr>
              <w:spacing w:after="0"/>
              <w:rPr>
                <w:sz w:val="24"/>
                <w:szCs w:val="24"/>
                <w:color w:val="auto"/>
              </w:rPr>
            </w:pPr>
          </w:p>
        </w:tc>
        <w:tc>
          <w:tcPr>
            <w:tcW w:w="9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(108)</w:t>
            </w:r>
          </w:p>
        </w:tc>
        <w:tc>
          <w:tcPr>
            <w:tcW w:w="0" w:type="dxa"/>
            <w:vAlign w:val="bottom"/>
          </w:tcPr>
          <w:p>
            <w:pPr>
              <w:spacing w:after="0"/>
              <w:rPr>
                <w:sz w:val="1"/>
                <w:szCs w:val="1"/>
                <w:color w:val="auto"/>
              </w:rPr>
            </w:pPr>
          </w:p>
        </w:tc>
      </w:tr>
      <w:tr>
        <w:trPr>
          <w:trHeight w:val="280"/>
        </w:trPr>
        <w:tc>
          <w:tcPr>
            <w:tcW w:w="480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Funded status at end of 2023</w:t>
            </w:r>
          </w:p>
        </w:tc>
        <w:tc>
          <w:tcPr>
            <w:tcW w:w="1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(87)</w:t>
            </w:r>
          </w:p>
        </w:tc>
        <w:tc>
          <w:tcPr>
            <w:tcW w:w="2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w:t>
            </w:r>
          </w:p>
        </w:tc>
        <w:tc>
          <w:tcPr>
            <w:tcW w:w="320" w:type="dxa"/>
            <w:vAlign w:val="bottom"/>
            <w:gridSpan w:val="2"/>
            <w:shd w:val="clear" w:color="auto" w:fill="D7D7D7"/>
          </w:tcPr>
          <w:p>
            <w:pPr>
              <w:ind w:left="140"/>
              <w:spacing w:after="0"/>
              <w:rPr>
                <w:sz w:val="20"/>
                <w:szCs w:val="20"/>
                <w:color w:val="auto"/>
              </w:rPr>
            </w:pPr>
            <w:r>
              <w:rPr>
                <w:rFonts w:ascii="Arial" w:cs="Arial" w:eastAsia="Arial" w:hAnsi="Arial"/>
                <w:sz w:val="20"/>
                <w:szCs w:val="20"/>
                <w:b w:val="1"/>
                <w:bCs w:val="1"/>
                <w:color w:val="2A2A2A"/>
              </w:rPr>
              <w:t>$</w:t>
            </w:r>
          </w:p>
        </w:tc>
        <w:tc>
          <w:tcPr>
            <w:tcW w:w="10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134</w:t>
            </w:r>
          </w:p>
        </w:tc>
        <w:tc>
          <w:tcPr>
            <w:tcW w:w="400" w:type="dxa"/>
            <w:vAlign w:val="bottom"/>
            <w:gridSpan w:val="2"/>
            <w:shd w:val="clear" w:color="auto" w:fill="D7D7D7"/>
          </w:tcPr>
          <w:p>
            <w:pPr>
              <w:jc w:val="right"/>
              <w:ind w:right="160"/>
              <w:spacing w:after="0"/>
              <w:rPr>
                <w:sz w:val="20"/>
                <w:szCs w:val="20"/>
                <w:color w:val="auto"/>
              </w:rPr>
            </w:pPr>
            <w:r>
              <w:rPr>
                <w:rFonts w:ascii="Arial" w:cs="Arial" w:eastAsia="Arial" w:hAnsi="Arial"/>
                <w:sz w:val="20"/>
                <w:szCs w:val="20"/>
                <w:b w:val="1"/>
                <w:bCs w:val="1"/>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53</w:t>
            </w:r>
          </w:p>
        </w:tc>
        <w:tc>
          <w:tcPr>
            <w:tcW w:w="0" w:type="dxa"/>
            <w:vAlign w:val="bottom"/>
          </w:tcPr>
          <w:p>
            <w:pPr>
              <w:spacing w:after="0"/>
              <w:rPr>
                <w:sz w:val="1"/>
                <w:szCs w:val="1"/>
                <w:color w:val="auto"/>
              </w:rPr>
            </w:pPr>
          </w:p>
        </w:tc>
      </w:tr>
      <w:tr>
        <w:trPr>
          <w:trHeight w:val="20"/>
        </w:trPr>
        <w:tc>
          <w:tcPr>
            <w:tcW w:w="48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11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11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40" w:type="dxa"/>
            <w:vAlign w:val="bottom"/>
            <w:tcBorders>
              <w:top w:val="single" w:sz="8" w:color="2A2A2A"/>
              <w:bottom w:val="single" w:sz="8" w:color="2A2A2A"/>
            </w:tcBorders>
          </w:tcPr>
          <w:p>
            <w:pPr>
              <w:spacing w:after="0" w:line="20" w:lineRule="exact"/>
              <w:rPr>
                <w:sz w:val="1"/>
                <w:szCs w:val="1"/>
                <w:color w:val="auto"/>
              </w:rPr>
            </w:pPr>
          </w:p>
        </w:tc>
        <w:tc>
          <w:tcPr>
            <w:tcW w:w="106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320" w:type="dxa"/>
            <w:vAlign w:val="bottom"/>
            <w:tcBorders>
              <w:top w:val="single" w:sz="8" w:color="2A2A2A"/>
              <w:bottom w:val="single" w:sz="8" w:color="2A2A2A"/>
            </w:tcBorders>
          </w:tcPr>
          <w:p>
            <w:pPr>
              <w:spacing w:after="0" w:line="20" w:lineRule="exact"/>
              <w:rPr>
                <w:sz w:val="1"/>
                <w:szCs w:val="1"/>
                <w:color w:val="auto"/>
              </w:rPr>
            </w:pPr>
          </w:p>
        </w:tc>
        <w:tc>
          <w:tcPr>
            <w:tcW w:w="980" w:type="dxa"/>
            <w:vAlign w:val="bottom"/>
            <w:tcBorders>
              <w:top w:val="single" w:sz="8" w:color="2A2A2A"/>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4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2022</w:t>
            </w:r>
          </w:p>
        </w:tc>
        <w:tc>
          <w:tcPr>
            <w:tcW w:w="18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240" w:type="dxa"/>
            <w:vAlign w:val="bottom"/>
            <w:shd w:val="clear" w:color="auto" w:fill="D7D7D7"/>
          </w:tcPr>
          <w:p>
            <w:pPr>
              <w:spacing w:after="0"/>
              <w:rPr>
                <w:sz w:val="24"/>
                <w:szCs w:val="24"/>
                <w:color w:val="auto"/>
              </w:rPr>
            </w:pPr>
          </w:p>
        </w:tc>
        <w:tc>
          <w:tcPr>
            <w:tcW w:w="1060" w:type="dxa"/>
            <w:vAlign w:val="bottom"/>
            <w:shd w:val="clear" w:color="auto" w:fill="D7D7D7"/>
          </w:tcPr>
          <w:p>
            <w:pPr>
              <w:spacing w:after="0"/>
              <w:rPr>
                <w:sz w:val="24"/>
                <w:szCs w:val="24"/>
                <w:color w:val="auto"/>
              </w:rPr>
            </w:pPr>
          </w:p>
        </w:tc>
        <w:tc>
          <w:tcPr>
            <w:tcW w:w="8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98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0" w:type="dxa"/>
            <w:vAlign w:val="bottom"/>
          </w:tcPr>
          <w:p>
            <w:pPr>
              <w:ind w:left="180"/>
              <w:spacing w:after="0"/>
              <w:rPr>
                <w:sz w:val="20"/>
                <w:szCs w:val="20"/>
                <w:color w:val="auto"/>
              </w:rPr>
            </w:pPr>
            <w:r>
              <w:rPr>
                <w:rFonts w:ascii="Arial" w:cs="Arial" w:eastAsia="Arial" w:hAnsi="Arial"/>
                <w:sz w:val="20"/>
                <w:szCs w:val="20"/>
                <w:color w:val="2A2A2A"/>
              </w:rPr>
              <w:t>Overfunded retirement plans</w:t>
            </w:r>
          </w:p>
        </w:tc>
        <w:tc>
          <w:tcPr>
            <w:tcW w:w="18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8</w:t>
            </w:r>
          </w:p>
        </w:tc>
        <w:tc>
          <w:tcPr>
            <w:tcW w:w="320" w:type="dxa"/>
            <w:vAlign w:val="bottom"/>
            <w:gridSpan w:val="2"/>
          </w:tcPr>
          <w:p>
            <w:pPr>
              <w:ind w:left="140"/>
              <w:spacing w:after="0"/>
              <w:rPr>
                <w:sz w:val="20"/>
                <w:szCs w:val="20"/>
                <w:color w:val="auto"/>
              </w:rPr>
            </w:pPr>
            <w:r>
              <w:rPr>
                <w:rFonts w:ascii="Arial" w:cs="Arial" w:eastAsia="Arial" w:hAnsi="Arial"/>
                <w:sz w:val="20"/>
                <w:szCs w:val="20"/>
                <w:color w:val="2A2A2A"/>
              </w:rPr>
              <w:t>$</w:t>
            </w:r>
          </w:p>
        </w:tc>
        <w:tc>
          <w:tcPr>
            <w:tcW w:w="1060" w:type="dxa"/>
            <w:vAlign w:val="bottom"/>
          </w:tcPr>
          <w:p>
            <w:pPr>
              <w:jc w:val="right"/>
              <w:spacing w:after="0"/>
              <w:rPr>
                <w:sz w:val="20"/>
                <w:szCs w:val="20"/>
                <w:color w:val="auto"/>
              </w:rPr>
            </w:pPr>
            <w:r>
              <w:rPr>
                <w:rFonts w:ascii="Arial" w:cs="Arial" w:eastAsia="Arial" w:hAnsi="Arial"/>
                <w:sz w:val="20"/>
                <w:szCs w:val="20"/>
                <w:color w:val="2A2A2A"/>
              </w:rPr>
              <w:t>180</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2A2A2A"/>
              </w:rPr>
              <w:t>$</w:t>
            </w:r>
          </w:p>
        </w:tc>
        <w:tc>
          <w:tcPr>
            <w:tcW w:w="980" w:type="dxa"/>
            <w:vAlign w:val="bottom"/>
          </w:tcPr>
          <w:p>
            <w:pPr>
              <w:jc w:val="right"/>
              <w:spacing w:after="0"/>
              <w:rPr>
                <w:sz w:val="20"/>
                <w:szCs w:val="20"/>
                <w:color w:val="auto"/>
              </w:rPr>
            </w:pPr>
            <w:r>
              <w:rPr>
                <w:rFonts w:ascii="Arial" w:cs="Arial" w:eastAsia="Arial" w:hAnsi="Arial"/>
                <w:sz w:val="20"/>
                <w:szCs w:val="20"/>
                <w:color w:val="2A2A2A"/>
              </w:rPr>
              <w:t>188</w:t>
            </w:r>
          </w:p>
        </w:tc>
        <w:tc>
          <w:tcPr>
            <w:tcW w:w="0" w:type="dxa"/>
            <w:vAlign w:val="bottom"/>
          </w:tcPr>
          <w:p>
            <w:pPr>
              <w:spacing w:after="0"/>
              <w:rPr>
                <w:sz w:val="1"/>
                <w:szCs w:val="1"/>
                <w:color w:val="auto"/>
              </w:rPr>
            </w:pPr>
          </w:p>
        </w:tc>
      </w:tr>
      <w:tr>
        <w:trPr>
          <w:trHeight w:val="227"/>
        </w:trPr>
        <w:tc>
          <w:tcPr>
            <w:tcW w:w="4800" w:type="dxa"/>
            <w:vAlign w:val="bottom"/>
            <w:shd w:val="clear" w:color="auto" w:fill="D7D7D7"/>
          </w:tcPr>
          <w:p>
            <w:pPr>
              <w:ind w:left="180"/>
              <w:spacing w:after="0" w:line="227" w:lineRule="exact"/>
              <w:rPr>
                <w:sz w:val="20"/>
                <w:szCs w:val="20"/>
                <w:color w:val="auto"/>
              </w:rPr>
            </w:pPr>
            <w:r>
              <w:rPr>
                <w:rFonts w:ascii="Arial" w:cs="Arial" w:eastAsia="Arial" w:hAnsi="Arial"/>
                <w:sz w:val="20"/>
                <w:szCs w:val="20"/>
                <w:color w:val="2A2A2A"/>
              </w:rPr>
              <w:t>Accrued expenses and other liabilities</w:t>
            </w:r>
          </w:p>
        </w:tc>
        <w:tc>
          <w:tcPr>
            <w:tcW w:w="180" w:type="dxa"/>
            <w:vAlign w:val="bottom"/>
            <w:shd w:val="clear" w:color="auto" w:fill="D7D7D7"/>
          </w:tcPr>
          <w:p>
            <w:pPr>
              <w:spacing w:after="0"/>
              <w:rPr>
                <w:sz w:val="19"/>
                <w:szCs w:val="19"/>
                <w:color w:val="auto"/>
              </w:rPr>
            </w:pPr>
          </w:p>
        </w:tc>
        <w:tc>
          <w:tcPr>
            <w:tcW w:w="112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(3)</w:t>
            </w:r>
          </w:p>
        </w:tc>
        <w:tc>
          <w:tcPr>
            <w:tcW w:w="80" w:type="dxa"/>
            <w:vAlign w:val="bottom"/>
            <w:shd w:val="clear" w:color="auto" w:fill="D7D7D7"/>
          </w:tcPr>
          <w:p>
            <w:pPr>
              <w:spacing w:after="0"/>
              <w:rPr>
                <w:sz w:val="19"/>
                <w:szCs w:val="19"/>
                <w:color w:val="auto"/>
              </w:rPr>
            </w:pPr>
          </w:p>
        </w:tc>
        <w:tc>
          <w:tcPr>
            <w:tcW w:w="180" w:type="dxa"/>
            <w:vAlign w:val="bottom"/>
            <w:shd w:val="clear" w:color="auto" w:fill="D7D7D7"/>
          </w:tcPr>
          <w:p>
            <w:pPr>
              <w:spacing w:after="0"/>
              <w:rPr>
                <w:sz w:val="19"/>
                <w:szCs w:val="19"/>
                <w:color w:val="auto"/>
              </w:rPr>
            </w:pPr>
          </w:p>
        </w:tc>
        <w:tc>
          <w:tcPr>
            <w:tcW w:w="112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shd w:val="clear" w:color="auto" w:fill="D7D7D7"/>
          </w:tcPr>
          <w:p>
            <w:pPr>
              <w:spacing w:after="0"/>
              <w:rPr>
                <w:sz w:val="19"/>
                <w:szCs w:val="19"/>
                <w:color w:val="auto"/>
              </w:rPr>
            </w:pPr>
          </w:p>
        </w:tc>
        <w:tc>
          <w:tcPr>
            <w:tcW w:w="240" w:type="dxa"/>
            <w:vAlign w:val="bottom"/>
            <w:shd w:val="clear" w:color="auto" w:fill="D7D7D7"/>
          </w:tcPr>
          <w:p>
            <w:pPr>
              <w:spacing w:after="0"/>
              <w:rPr>
                <w:sz w:val="19"/>
                <w:szCs w:val="19"/>
                <w:color w:val="auto"/>
              </w:rPr>
            </w:pPr>
          </w:p>
        </w:tc>
        <w:tc>
          <w:tcPr>
            <w:tcW w:w="10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(6)</w:t>
            </w:r>
          </w:p>
        </w:tc>
        <w:tc>
          <w:tcPr>
            <w:tcW w:w="80" w:type="dxa"/>
            <w:vAlign w:val="bottom"/>
            <w:shd w:val="clear" w:color="auto" w:fill="D7D7D7"/>
          </w:tcPr>
          <w:p>
            <w:pPr>
              <w:spacing w:after="0"/>
              <w:rPr>
                <w:sz w:val="19"/>
                <w:szCs w:val="19"/>
                <w:color w:val="auto"/>
              </w:rPr>
            </w:pPr>
          </w:p>
        </w:tc>
        <w:tc>
          <w:tcPr>
            <w:tcW w:w="320" w:type="dxa"/>
            <w:vAlign w:val="bottom"/>
            <w:shd w:val="clear" w:color="auto" w:fill="D7D7D7"/>
          </w:tcPr>
          <w:p>
            <w:pPr>
              <w:spacing w:after="0"/>
              <w:rPr>
                <w:sz w:val="19"/>
                <w:szCs w:val="19"/>
                <w:color w:val="auto"/>
              </w:rPr>
            </w:pPr>
          </w:p>
        </w:tc>
        <w:tc>
          <w:tcPr>
            <w:tcW w:w="98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(9)</w:t>
            </w:r>
          </w:p>
        </w:tc>
        <w:tc>
          <w:tcPr>
            <w:tcW w:w="0" w:type="dxa"/>
            <w:vAlign w:val="bottom"/>
          </w:tcPr>
          <w:p>
            <w:pPr>
              <w:spacing w:after="0"/>
              <w:rPr>
                <w:sz w:val="1"/>
                <w:szCs w:val="1"/>
                <w:color w:val="auto"/>
              </w:rPr>
            </w:pPr>
          </w:p>
        </w:tc>
      </w:tr>
      <w:tr>
        <w:trPr>
          <w:trHeight w:val="272"/>
        </w:trPr>
        <w:tc>
          <w:tcPr>
            <w:tcW w:w="48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&amp; other long-term liabilities</w:t>
            </w:r>
          </w:p>
        </w:tc>
        <w:tc>
          <w:tcPr>
            <w:tcW w:w="180" w:type="dxa"/>
            <w:vAlign w:val="bottom"/>
            <w:shd w:val="clear" w:color="auto" w:fill="D7D7D7"/>
          </w:tcPr>
          <w:p>
            <w:pPr>
              <w:spacing w:after="0"/>
              <w:rPr>
                <w:sz w:val="23"/>
                <w:szCs w:val="23"/>
                <w:color w:val="auto"/>
              </w:rPr>
            </w:pPr>
          </w:p>
        </w:tc>
        <w:tc>
          <w:tcPr>
            <w:tcW w:w="112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112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1060" w:type="dxa"/>
            <w:vAlign w:val="bottom"/>
            <w:vMerge w:val="continue"/>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320" w:type="dxa"/>
            <w:vAlign w:val="bottom"/>
            <w:shd w:val="clear" w:color="auto" w:fill="D7D7D7"/>
          </w:tcPr>
          <w:p>
            <w:pPr>
              <w:spacing w:after="0"/>
              <w:rPr>
                <w:sz w:val="23"/>
                <w:szCs w:val="23"/>
                <w:color w:val="auto"/>
              </w:rPr>
            </w:pPr>
          </w:p>
        </w:tc>
        <w:tc>
          <w:tcPr>
            <w:tcW w:w="98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80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Underfunded retirement plans</w:t>
            </w:r>
          </w:p>
        </w:tc>
        <w:tc>
          <w:tcPr>
            <w:tcW w:w="180" w:type="dxa"/>
            <w:vAlign w:val="bottom"/>
            <w:tcBorders>
              <w:bottom w:val="single" w:sz="8" w:color="2A2A2A"/>
            </w:tcBorders>
          </w:tcPr>
          <w:p>
            <w:pPr>
              <w:spacing w:after="0"/>
              <w:rPr>
                <w:sz w:val="24"/>
                <w:szCs w:val="24"/>
                <w:color w:val="auto"/>
              </w:rPr>
            </w:pPr>
          </w:p>
        </w:tc>
        <w:tc>
          <w:tcPr>
            <w:tcW w:w="11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(97)</w:t>
            </w:r>
          </w:p>
        </w:tc>
        <w:tc>
          <w:tcPr>
            <w:tcW w:w="80" w:type="dxa"/>
            <w:vAlign w:val="bottom"/>
            <w:tcBorders>
              <w:bottom w:val="single" w:sz="8" w:color="D7D7D7"/>
            </w:tcBorders>
          </w:tcPr>
          <w:p>
            <w:pPr>
              <w:spacing w:after="0"/>
              <w:rPr>
                <w:sz w:val="24"/>
                <w:szCs w:val="24"/>
                <w:color w:val="auto"/>
              </w:rPr>
            </w:pPr>
          </w:p>
        </w:tc>
        <w:tc>
          <w:tcPr>
            <w:tcW w:w="180" w:type="dxa"/>
            <w:vAlign w:val="bottom"/>
            <w:tcBorders>
              <w:bottom w:val="single" w:sz="8" w:color="2A2A2A"/>
            </w:tcBorders>
          </w:tcPr>
          <w:p>
            <w:pPr>
              <w:spacing w:after="0"/>
              <w:rPr>
                <w:sz w:val="24"/>
                <w:szCs w:val="24"/>
                <w:color w:val="auto"/>
              </w:rPr>
            </w:pPr>
          </w:p>
        </w:tc>
        <w:tc>
          <w:tcPr>
            <w:tcW w:w="11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w:t>
            </w:r>
          </w:p>
        </w:tc>
        <w:tc>
          <w:tcPr>
            <w:tcW w:w="80" w:type="dxa"/>
            <w:vAlign w:val="bottom"/>
            <w:tcBorders>
              <w:bottom w:val="single" w:sz="8" w:color="D7D7D7"/>
            </w:tcBorders>
          </w:tcPr>
          <w:p>
            <w:pPr>
              <w:spacing w:after="0"/>
              <w:rPr>
                <w:sz w:val="24"/>
                <w:szCs w:val="24"/>
                <w:color w:val="auto"/>
              </w:rPr>
            </w:pPr>
          </w:p>
        </w:tc>
        <w:tc>
          <w:tcPr>
            <w:tcW w:w="240" w:type="dxa"/>
            <w:vAlign w:val="bottom"/>
            <w:tcBorders>
              <w:bottom w:val="single" w:sz="8" w:color="2A2A2A"/>
            </w:tcBorders>
          </w:tcPr>
          <w:p>
            <w:pPr>
              <w:spacing w:after="0"/>
              <w:rPr>
                <w:sz w:val="24"/>
                <w:szCs w:val="24"/>
                <w:color w:val="auto"/>
              </w:rPr>
            </w:pPr>
          </w:p>
        </w:tc>
        <w:tc>
          <w:tcPr>
            <w:tcW w:w="106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(19)</w:t>
            </w:r>
          </w:p>
        </w:tc>
        <w:tc>
          <w:tcPr>
            <w:tcW w:w="80" w:type="dxa"/>
            <w:vAlign w:val="bottom"/>
            <w:tcBorders>
              <w:bottom w:val="single" w:sz="8" w:color="D7D7D7"/>
            </w:tcBorders>
          </w:tcPr>
          <w:p>
            <w:pPr>
              <w:spacing w:after="0"/>
              <w:rPr>
                <w:sz w:val="24"/>
                <w:szCs w:val="24"/>
                <w:color w:val="auto"/>
              </w:rPr>
            </w:pPr>
          </w:p>
        </w:tc>
        <w:tc>
          <w:tcPr>
            <w:tcW w:w="320" w:type="dxa"/>
            <w:vAlign w:val="bottom"/>
            <w:tcBorders>
              <w:bottom w:val="single" w:sz="8" w:color="2A2A2A"/>
            </w:tcBorders>
          </w:tcPr>
          <w:p>
            <w:pPr>
              <w:spacing w:after="0"/>
              <w:rPr>
                <w:sz w:val="24"/>
                <w:szCs w:val="24"/>
                <w:color w:val="auto"/>
              </w:rPr>
            </w:pPr>
          </w:p>
        </w:tc>
        <w:tc>
          <w:tcPr>
            <w:tcW w:w="9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(118)</w:t>
            </w:r>
          </w:p>
        </w:tc>
        <w:tc>
          <w:tcPr>
            <w:tcW w:w="0" w:type="dxa"/>
            <w:vAlign w:val="bottom"/>
          </w:tcPr>
          <w:p>
            <w:pPr>
              <w:spacing w:after="0"/>
              <w:rPr>
                <w:sz w:val="1"/>
                <w:szCs w:val="1"/>
                <w:color w:val="auto"/>
              </w:rPr>
            </w:pPr>
          </w:p>
        </w:tc>
      </w:tr>
      <w:tr>
        <w:trPr>
          <w:trHeight w:val="280"/>
        </w:trPr>
        <w:tc>
          <w:tcPr>
            <w:tcW w:w="4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Funded status at end of 2022</w:t>
            </w:r>
          </w:p>
        </w:tc>
        <w:tc>
          <w:tcPr>
            <w:tcW w:w="1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(100)</w:t>
            </w:r>
          </w:p>
        </w:tc>
        <w:tc>
          <w:tcPr>
            <w:tcW w:w="2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w:t>
            </w:r>
          </w:p>
        </w:tc>
        <w:tc>
          <w:tcPr>
            <w:tcW w:w="320" w:type="dxa"/>
            <w:vAlign w:val="bottom"/>
            <w:gridSpan w:val="2"/>
            <w:shd w:val="clear" w:color="auto" w:fill="D7D7D7"/>
          </w:tcPr>
          <w:p>
            <w:pPr>
              <w:ind w:left="140"/>
              <w:spacing w:after="0"/>
              <w:rPr>
                <w:sz w:val="20"/>
                <w:szCs w:val="20"/>
                <w:color w:val="auto"/>
              </w:rPr>
            </w:pPr>
            <w:r>
              <w:rPr>
                <w:rFonts w:ascii="Arial" w:cs="Arial" w:eastAsia="Arial" w:hAnsi="Arial"/>
                <w:sz w:val="20"/>
                <w:szCs w:val="20"/>
                <w:color w:val="2A2A2A"/>
              </w:rPr>
              <w:t>$</w:t>
            </w:r>
          </w:p>
        </w:tc>
        <w:tc>
          <w:tcPr>
            <w:tcW w:w="10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155</w:t>
            </w:r>
          </w:p>
        </w:tc>
        <w:tc>
          <w:tcPr>
            <w:tcW w:w="400" w:type="dxa"/>
            <w:vAlign w:val="bottom"/>
            <w:gridSpan w:val="2"/>
            <w:shd w:val="clear" w:color="auto" w:fill="D7D7D7"/>
          </w:tcPr>
          <w:p>
            <w:pPr>
              <w:jc w:val="right"/>
              <w:ind w:right="160"/>
              <w:spacing w:after="0"/>
              <w:rPr>
                <w:sz w:val="20"/>
                <w:szCs w:val="20"/>
                <w:color w:val="auto"/>
              </w:rPr>
            </w:pPr>
            <w:r>
              <w:rPr>
                <w:rFonts w:ascii="Arial" w:cs="Arial" w:eastAsia="Arial" w:hAnsi="Arial"/>
                <w:sz w:val="20"/>
                <w:szCs w:val="20"/>
                <w:color w:val="2A2A2A"/>
              </w:rPr>
              <w:t>$</w:t>
            </w:r>
          </w:p>
        </w:tc>
        <w:tc>
          <w:tcPr>
            <w:tcW w:w="9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61</w:t>
            </w:r>
          </w:p>
        </w:tc>
        <w:tc>
          <w:tcPr>
            <w:tcW w:w="0" w:type="dxa"/>
            <w:vAlign w:val="bottom"/>
          </w:tcPr>
          <w:p>
            <w:pPr>
              <w:spacing w:after="0"/>
              <w:rPr>
                <w:sz w:val="1"/>
                <w:szCs w:val="1"/>
                <w:color w:val="auto"/>
              </w:rPr>
            </w:pPr>
          </w:p>
        </w:tc>
      </w:tr>
      <w:tr>
        <w:trPr>
          <w:trHeight w:val="20"/>
        </w:trPr>
        <w:tc>
          <w:tcPr>
            <w:tcW w:w="480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11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112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40" w:type="dxa"/>
            <w:vAlign w:val="bottom"/>
            <w:tcBorders>
              <w:top w:val="single" w:sz="8" w:color="2A2A2A"/>
              <w:bottom w:val="single" w:sz="8" w:color="2A2A2A"/>
            </w:tcBorders>
          </w:tcPr>
          <w:p>
            <w:pPr>
              <w:spacing w:after="0" w:line="20" w:lineRule="exact"/>
              <w:rPr>
                <w:sz w:val="1"/>
                <w:szCs w:val="1"/>
                <w:color w:val="auto"/>
              </w:rPr>
            </w:pPr>
          </w:p>
        </w:tc>
        <w:tc>
          <w:tcPr>
            <w:tcW w:w="106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320" w:type="dxa"/>
            <w:vAlign w:val="bottom"/>
            <w:tcBorders>
              <w:top w:val="single" w:sz="8" w:color="2A2A2A"/>
              <w:bottom w:val="single" w:sz="8" w:color="2A2A2A"/>
            </w:tcBorders>
          </w:tcPr>
          <w:p>
            <w:pPr>
              <w:spacing w:after="0" w:line="20" w:lineRule="exact"/>
              <w:rPr>
                <w:sz w:val="1"/>
                <w:szCs w:val="1"/>
                <w:color w:val="auto"/>
              </w:rPr>
            </w:pPr>
          </w:p>
        </w:tc>
        <w:tc>
          <w:tcPr>
            <w:tcW w:w="980" w:type="dxa"/>
            <w:vAlign w:val="bottom"/>
            <w:tcBorders>
              <w:top w:val="single" w:sz="8" w:color="2A2A2A"/>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-2364740</wp:posOffset>
            </wp:positionV>
            <wp:extent cx="653097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-1478915</wp:posOffset>
            </wp:positionV>
            <wp:extent cx="348297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82975" cy="2540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-1301115</wp:posOffset>
            </wp:positionV>
            <wp:extent cx="348297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82975" cy="2540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-221615</wp:posOffset>
            </wp:positionV>
            <wp:extent cx="348297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2975" cy="2540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-43815</wp:posOffset>
            </wp:positionV>
            <wp:extent cx="348297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82975" cy="25400"/>
                    </a:xfrm>
                    <a:prstGeom prst="rect">
                      <a:avLst/>
                    </a:prstGeom>
                    <a:noFill/>
                  </pic:spPr>
                </pic:pic>
              </a:graphicData>
            </a:graphic>
          </wp:anchor>
        </w:drawing>
      </w:r>
    </w:p>
    <w:p>
      <w:pPr>
        <w:spacing w:after="0" w:line="235" w:lineRule="exact"/>
        <w:rPr>
          <w:sz w:val="20"/>
          <w:szCs w:val="20"/>
          <w:color w:val="auto"/>
        </w:rPr>
      </w:pPr>
    </w:p>
    <w:p>
      <w:pPr>
        <w:ind w:right="720"/>
        <w:spacing w:after="0" w:line="287" w:lineRule="auto"/>
        <w:rPr>
          <w:sz w:val="20"/>
          <w:szCs w:val="20"/>
          <w:color w:val="auto"/>
        </w:rPr>
      </w:pPr>
      <w:r>
        <w:rPr>
          <w:rFonts w:ascii="Arial" w:cs="Arial" w:eastAsia="Arial" w:hAnsi="Arial"/>
          <w:sz w:val="20"/>
          <w:szCs w:val="20"/>
          <w:color w:val="2A2A2A"/>
        </w:rPr>
        <w:t>Contributions to the plans meet or exceed all minimum funding requirements. We expect to contribute about $10 million to our retirement benefit plans in 2024.</w:t>
      </w:r>
    </w:p>
    <w:p>
      <w:pPr>
        <w:sectPr>
          <w:pgSz w:w="12240" w:h="15840" w:orient="portrait"/>
          <w:cols w:equalWidth="0" w:num="1">
            <w:col w:w="10240"/>
          </w:cols>
          <w:pgMar w:left="980" w:top="664" w:right="1020" w:bottom="24"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46</w:t>
      </w:r>
    </w:p>
    <w:p>
      <w:pPr>
        <w:sectPr>
          <w:pgSz w:w="12240" w:h="15840" w:orient="portrait"/>
          <w:cols w:equalWidth="0" w:num="1">
            <w:col w:w="10240"/>
          </w:cols>
          <w:pgMar w:left="980" w:top="664" w:right="1020" w:bottom="24" w:gutter="0" w:footer="0" w:header="0"/>
          <w:type w:val="continuous"/>
        </w:sectPr>
      </w:pPr>
    </w:p>
    <w:bookmarkStart w:id="52" w:name="page53"/>
    <w:bookmarkEnd w:id="52"/>
    <w:p>
      <w:pPr>
        <w:ind w:left="1" w:right="120"/>
        <w:spacing w:after="0" w:line="262" w:lineRule="auto"/>
        <w:rPr>
          <w:sz w:val="20"/>
          <w:szCs w:val="20"/>
          <w:color w:val="auto"/>
        </w:rPr>
      </w:pPr>
      <w:r>
        <w:rPr>
          <w:rFonts w:ascii="Arial" w:cs="Arial" w:eastAsia="Arial" w:hAnsi="Arial"/>
          <w:sz w:val="20"/>
          <w:szCs w:val="20"/>
          <w:color w:val="2A2A2A"/>
        </w:rPr>
        <w:t>Accumulated benefit obligations, which are generally less than the projected benefit obligations as they exclude the impact of future salary increases, were $480 million and $489 million as of December 31, 2023 and 2022, respectively, for the U.S. defined benefit plans, and $1.67 billion and $1.60 billion as of December 31, 2023 and 2022, respectively, for the non-U.S. defined benefit plans.</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change in AOCI is as follows:</w:t>
      </w:r>
    </w:p>
    <w:p>
      <w:pPr>
        <w:spacing w:after="0" w:line="31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U.S. Defined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2A2A2A"/>
              </w:rPr>
              <w:t>U.S. Retiree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jc w:val="right"/>
              <w:ind w:right="667"/>
              <w:spacing w:after="0"/>
              <w:rPr>
                <w:sz w:val="20"/>
                <w:szCs w:val="20"/>
                <w:color w:val="auto"/>
              </w:rPr>
            </w:pPr>
            <w:r>
              <w:rPr>
                <w:rFonts w:ascii="Arial" w:cs="Arial" w:eastAsia="Arial" w:hAnsi="Arial"/>
                <w:sz w:val="16"/>
                <w:szCs w:val="16"/>
                <w:b w:val="1"/>
                <w:bCs w:val="1"/>
                <w:color w:val="2A2A2A"/>
              </w:rPr>
              <w:t>Non-U.S.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6"/>
                <w:szCs w:val="16"/>
                <w:b w:val="1"/>
                <w:bCs w:val="1"/>
                <w:color w:val="2A2A2A"/>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68"/>
              <w:spacing w:after="0"/>
              <w:rPr>
                <w:sz w:val="20"/>
                <w:szCs w:val="20"/>
                <w:color w:val="auto"/>
              </w:rPr>
            </w:pPr>
            <w:r>
              <w:rPr>
                <w:rFonts w:ascii="Arial" w:cs="Arial" w:eastAsia="Arial" w:hAnsi="Arial"/>
                <w:sz w:val="16"/>
                <w:szCs w:val="16"/>
                <w:b w:val="1"/>
                <w:bCs w:val="1"/>
                <w:color w:val="2A2A2A"/>
              </w:rPr>
              <w:t>Benefit</w:t>
            </w:r>
          </w:p>
        </w:tc>
        <w:tc>
          <w:tcPr>
            <w:tcW w:w="6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1980" w:type="dxa"/>
            <w:vAlign w:val="bottom"/>
            <w:tcBorders>
              <w:bottom w:val="single" w:sz="8" w:color="2A2A2A"/>
            </w:tcBorders>
            <w:gridSpan w:val="4"/>
          </w:tcPr>
          <w:p>
            <w:pPr>
              <w:ind w:left="460"/>
              <w:spacing w:after="0"/>
              <w:rPr>
                <w:sz w:val="20"/>
                <w:szCs w:val="20"/>
                <w:color w:val="auto"/>
              </w:rPr>
            </w:pPr>
            <w:r>
              <w:rPr>
                <w:rFonts w:ascii="Arial" w:cs="Arial" w:eastAsia="Arial" w:hAnsi="Arial"/>
                <w:sz w:val="16"/>
                <w:szCs w:val="16"/>
                <w:b w:val="1"/>
                <w:bCs w:val="1"/>
                <w:color w:val="2A2A2A"/>
              </w:rPr>
              <w:t>Health Care</w:t>
            </w:r>
          </w:p>
        </w:tc>
        <w:tc>
          <w:tcPr>
            <w:tcW w:w="60" w:type="dxa"/>
            <w:vAlign w:val="bottom"/>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2020" w:type="dxa"/>
            <w:vAlign w:val="bottom"/>
            <w:tcBorders>
              <w:bottom w:val="single" w:sz="8" w:color="2A2A2A"/>
            </w:tcBorders>
            <w:gridSpan w:val="4"/>
          </w:tcPr>
          <w:p>
            <w:pPr>
              <w:jc w:val="right"/>
              <w:ind w:right="427"/>
              <w:spacing w:after="0"/>
              <w:rPr>
                <w:sz w:val="20"/>
                <w:szCs w:val="20"/>
                <w:color w:val="auto"/>
              </w:rPr>
            </w:pPr>
            <w:r>
              <w:rPr>
                <w:rFonts w:ascii="Arial" w:cs="Arial" w:eastAsia="Arial" w:hAnsi="Arial"/>
                <w:sz w:val="16"/>
                <w:szCs w:val="16"/>
                <w:b w:val="1"/>
                <w:bCs w:val="1"/>
                <w:color w:val="2A2A2A"/>
              </w:rPr>
              <w:t>Defined Benefit</w:t>
            </w:r>
          </w:p>
        </w:tc>
        <w:tc>
          <w:tcPr>
            <w:tcW w:w="60" w:type="dxa"/>
            <w:vAlign w:val="bottom"/>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1140" w:type="dxa"/>
            <w:vAlign w:val="bottom"/>
            <w:tcBorders>
              <w:bottom w:val="single" w:sz="8" w:color="2A2A2A"/>
            </w:tcBorders>
            <w:gridSpan w:val="3"/>
            <w:vMerge w:val="continue"/>
          </w:tcPr>
          <w:p>
            <w:pPr>
              <w:spacing w:after="0"/>
              <w:rPr>
                <w:sz w:val="18"/>
                <w:szCs w:val="18"/>
                <w:color w:val="auto"/>
              </w:rPr>
            </w:pPr>
          </w:p>
        </w:tc>
        <w:tc>
          <w:tcPr>
            <w:tcW w:w="860" w:type="dxa"/>
            <w:vAlign w:val="bottom"/>
            <w:tcBorders>
              <w:bottom w:val="single" w:sz="8" w:color="2A2A2A"/>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Arial" w:cs="Arial" w:eastAsia="Arial" w:hAnsi="Arial"/>
                <w:sz w:val="16"/>
                <w:szCs w:val="16"/>
                <w:b w:val="1"/>
                <w:bCs w:val="1"/>
                <w:color w:val="2A2A2A"/>
                <w:w w:val="92"/>
              </w:rPr>
              <w:t>Net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89"/>
              <w:spacing w:after="0"/>
              <w:rPr>
                <w:sz w:val="20"/>
                <w:szCs w:val="20"/>
                <w:color w:val="auto"/>
              </w:rPr>
            </w:pPr>
            <w:r>
              <w:rPr>
                <w:rFonts w:ascii="Arial" w:cs="Arial" w:eastAsia="Arial" w:hAnsi="Arial"/>
                <w:sz w:val="16"/>
                <w:szCs w:val="16"/>
                <w:b w:val="1"/>
                <w:bCs w:val="1"/>
                <w:color w:val="2A2A2A"/>
              </w:rPr>
              <w:t>Net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07"/>
              <w:spacing w:after="0"/>
              <w:rPr>
                <w:sz w:val="20"/>
                <w:szCs w:val="20"/>
                <w:color w:val="auto"/>
              </w:rPr>
            </w:pPr>
            <w:r>
              <w:rPr>
                <w:rFonts w:ascii="Arial" w:cs="Arial" w:eastAsia="Arial" w:hAnsi="Arial"/>
                <w:sz w:val="16"/>
                <w:szCs w:val="16"/>
                <w:b w:val="1"/>
                <w:bCs w:val="1"/>
                <w:color w:val="2A2A2A"/>
                <w:w w:val="96"/>
              </w:rPr>
              <w:t>Prior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89"/>
              <w:spacing w:after="0"/>
              <w:rPr>
                <w:sz w:val="20"/>
                <w:szCs w:val="20"/>
                <w:color w:val="auto"/>
              </w:rPr>
            </w:pPr>
            <w:r>
              <w:rPr>
                <w:rFonts w:ascii="Arial" w:cs="Arial" w:eastAsia="Arial" w:hAnsi="Arial"/>
                <w:sz w:val="16"/>
                <w:szCs w:val="16"/>
                <w:b w:val="1"/>
                <w:bCs w:val="1"/>
                <w:color w:val="2A2A2A"/>
              </w:rPr>
              <w:t>Net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27"/>
              <w:spacing w:after="0"/>
              <w:rPr>
                <w:sz w:val="20"/>
                <w:szCs w:val="20"/>
                <w:color w:val="auto"/>
              </w:rPr>
            </w:pPr>
            <w:r>
              <w:rPr>
                <w:rFonts w:ascii="Arial" w:cs="Arial" w:eastAsia="Arial" w:hAnsi="Arial"/>
                <w:sz w:val="16"/>
                <w:szCs w:val="16"/>
                <w:b w:val="1"/>
                <w:bCs w:val="1"/>
                <w:color w:val="2A2A2A"/>
                <w:w w:val="96"/>
              </w:rPr>
              <w:t>Prior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Arial" w:cs="Arial" w:eastAsia="Arial" w:hAnsi="Arial"/>
                <w:sz w:val="16"/>
                <w:szCs w:val="16"/>
                <w:b w:val="1"/>
                <w:bCs w:val="1"/>
                <w:color w:val="2A2A2A"/>
                <w:w w:val="92"/>
              </w:rPr>
              <w:t>Net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07"/>
              <w:spacing w:after="0"/>
              <w:rPr>
                <w:sz w:val="20"/>
                <w:szCs w:val="20"/>
                <w:color w:val="auto"/>
              </w:rPr>
            </w:pPr>
            <w:r>
              <w:rPr>
                <w:rFonts w:ascii="Arial" w:cs="Arial" w:eastAsia="Arial" w:hAnsi="Arial"/>
                <w:sz w:val="16"/>
                <w:szCs w:val="16"/>
                <w:b w:val="1"/>
                <w:bCs w:val="1"/>
                <w:color w:val="2A2A2A"/>
              </w:rPr>
              <w:t>Prior</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68"/>
              <w:spacing w:after="0" w:line="160" w:lineRule="exact"/>
              <w:rPr>
                <w:sz w:val="20"/>
                <w:szCs w:val="20"/>
                <w:color w:val="auto"/>
              </w:rPr>
            </w:pPr>
            <w:r>
              <w:rPr>
                <w:rFonts w:ascii="Arial" w:cs="Arial" w:eastAsia="Arial" w:hAnsi="Arial"/>
                <w:sz w:val="16"/>
                <w:szCs w:val="16"/>
                <w:b w:val="1"/>
                <w:bCs w:val="1"/>
                <w:color w:val="2A2A2A"/>
                <w:w w:val="99"/>
              </w:rPr>
              <w:t>Actuarial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89"/>
              <w:spacing w:after="0" w:line="160" w:lineRule="exact"/>
              <w:rPr>
                <w:sz w:val="20"/>
                <w:szCs w:val="20"/>
                <w:color w:val="auto"/>
              </w:rPr>
            </w:pPr>
            <w:r>
              <w:rPr>
                <w:rFonts w:ascii="Arial" w:cs="Arial" w:eastAsia="Arial" w:hAnsi="Arial"/>
                <w:sz w:val="16"/>
                <w:szCs w:val="16"/>
                <w:b w:val="1"/>
                <w:bCs w:val="1"/>
                <w:color w:val="2A2A2A"/>
              </w:rPr>
              <w:t>Actuarial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07"/>
              <w:spacing w:after="0" w:line="160" w:lineRule="exact"/>
              <w:rPr>
                <w:sz w:val="20"/>
                <w:szCs w:val="20"/>
                <w:color w:val="auto"/>
              </w:rPr>
            </w:pPr>
            <w:r>
              <w:rPr>
                <w:rFonts w:ascii="Arial" w:cs="Arial" w:eastAsia="Arial" w:hAnsi="Arial"/>
                <w:sz w:val="16"/>
                <w:szCs w:val="16"/>
                <w:b w:val="1"/>
                <w:bCs w:val="1"/>
                <w:color w:val="2A2A2A"/>
                <w:w w:val="98"/>
              </w:rPr>
              <w:t>Service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69"/>
              <w:spacing w:after="0" w:line="160" w:lineRule="exact"/>
              <w:rPr>
                <w:sz w:val="20"/>
                <w:szCs w:val="20"/>
                <w:color w:val="auto"/>
              </w:rPr>
            </w:pPr>
            <w:r>
              <w:rPr>
                <w:rFonts w:ascii="Arial" w:cs="Arial" w:eastAsia="Arial" w:hAnsi="Arial"/>
                <w:sz w:val="16"/>
                <w:szCs w:val="16"/>
                <w:b w:val="1"/>
                <w:bCs w:val="1"/>
                <w:color w:val="2A2A2A"/>
                <w:w w:val="99"/>
              </w:rPr>
              <w:t>Actuarial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27"/>
              <w:spacing w:after="0" w:line="160" w:lineRule="exact"/>
              <w:rPr>
                <w:sz w:val="20"/>
                <w:szCs w:val="20"/>
                <w:color w:val="auto"/>
              </w:rPr>
            </w:pPr>
            <w:r>
              <w:rPr>
                <w:rFonts w:ascii="Arial" w:cs="Arial" w:eastAsia="Arial" w:hAnsi="Arial"/>
                <w:sz w:val="16"/>
                <w:szCs w:val="16"/>
                <w:b w:val="1"/>
                <w:bCs w:val="1"/>
                <w:color w:val="2A2A2A"/>
                <w:w w:val="98"/>
              </w:rPr>
              <w:t>Service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68"/>
              <w:spacing w:after="0" w:line="160" w:lineRule="exact"/>
              <w:rPr>
                <w:sz w:val="20"/>
                <w:szCs w:val="20"/>
                <w:color w:val="auto"/>
              </w:rPr>
            </w:pPr>
            <w:r>
              <w:rPr>
                <w:rFonts w:ascii="Arial" w:cs="Arial" w:eastAsia="Arial" w:hAnsi="Arial"/>
                <w:sz w:val="16"/>
                <w:szCs w:val="16"/>
                <w:b w:val="1"/>
                <w:bCs w:val="1"/>
                <w:color w:val="2A2A2A"/>
                <w:w w:val="99"/>
              </w:rPr>
              <w:t>Actuarial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07"/>
              <w:spacing w:after="0" w:line="160" w:lineRule="exact"/>
              <w:rPr>
                <w:sz w:val="20"/>
                <w:szCs w:val="20"/>
                <w:color w:val="auto"/>
              </w:rPr>
            </w:pPr>
            <w:r>
              <w:rPr>
                <w:rFonts w:ascii="Arial" w:cs="Arial" w:eastAsia="Arial" w:hAnsi="Arial"/>
                <w:sz w:val="16"/>
                <w:szCs w:val="16"/>
                <w:b w:val="1"/>
                <w:bCs w:val="1"/>
                <w:color w:val="2A2A2A"/>
              </w:rPr>
              <w:t>Service</w:t>
            </w:r>
          </w:p>
        </w:tc>
        <w:tc>
          <w:tcPr>
            <w:tcW w:w="0" w:type="dxa"/>
            <w:vAlign w:val="bottom"/>
          </w:tcPr>
          <w:p>
            <w:pPr>
              <w:spacing w:after="0"/>
              <w:rPr>
                <w:sz w:val="1"/>
                <w:szCs w:val="1"/>
                <w:color w:val="auto"/>
              </w:rPr>
            </w:pPr>
          </w:p>
        </w:tc>
      </w:tr>
      <w:tr>
        <w:trPr>
          <w:trHeight w:val="214"/>
        </w:trPr>
        <w:tc>
          <w:tcPr>
            <w:tcW w:w="2540" w:type="dxa"/>
            <w:vAlign w:val="bottom"/>
            <w:tcBorders>
              <w:bottom w:val="single" w:sz="8" w:color="2A2A2A"/>
            </w:tcBorders>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68"/>
              <w:spacing w:after="0"/>
              <w:rPr>
                <w:sz w:val="20"/>
                <w:szCs w:val="20"/>
                <w:color w:val="auto"/>
              </w:rPr>
            </w:pPr>
            <w:r>
              <w:rPr>
                <w:rFonts w:ascii="Arial" w:cs="Arial" w:eastAsia="Arial" w:hAnsi="Arial"/>
                <w:sz w:val="16"/>
                <w:szCs w:val="16"/>
                <w:b w:val="1"/>
                <w:bCs w:val="1"/>
                <w:color w:val="2A2A2A"/>
                <w:w w:val="96"/>
              </w:rPr>
              <w:t>Loss</w:t>
            </w:r>
          </w:p>
        </w:tc>
        <w:tc>
          <w:tcPr>
            <w:tcW w:w="60" w:type="dxa"/>
            <w:vAlign w:val="bottom"/>
            <w:tcBorders>
              <w:bottom w:val="single" w:sz="8" w:color="2A2A2A"/>
            </w:tcBorders>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89"/>
              <w:spacing w:after="0"/>
              <w:rPr>
                <w:sz w:val="20"/>
                <w:szCs w:val="20"/>
                <w:color w:val="auto"/>
              </w:rPr>
            </w:pPr>
            <w:r>
              <w:rPr>
                <w:rFonts w:ascii="Arial" w:cs="Arial" w:eastAsia="Arial" w:hAnsi="Arial"/>
                <w:sz w:val="16"/>
                <w:szCs w:val="16"/>
                <w:b w:val="1"/>
                <w:bCs w:val="1"/>
                <w:color w:val="2A2A2A"/>
                <w:w w:val="95"/>
              </w:rPr>
              <w:t>Gain</w:t>
            </w:r>
          </w:p>
        </w:tc>
        <w:tc>
          <w:tcPr>
            <w:tcW w:w="6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840" w:type="dxa"/>
            <w:vAlign w:val="bottom"/>
            <w:tcBorders>
              <w:bottom w:val="single" w:sz="8" w:color="2A2A2A"/>
            </w:tcBorders>
          </w:tcPr>
          <w:p>
            <w:pPr>
              <w:jc w:val="center"/>
              <w:ind w:right="107"/>
              <w:spacing w:after="0"/>
              <w:rPr>
                <w:sz w:val="20"/>
                <w:szCs w:val="20"/>
                <w:color w:val="auto"/>
              </w:rPr>
            </w:pPr>
            <w:r>
              <w:rPr>
                <w:rFonts w:ascii="Arial" w:cs="Arial" w:eastAsia="Arial" w:hAnsi="Arial"/>
                <w:sz w:val="16"/>
                <w:szCs w:val="16"/>
                <w:b w:val="1"/>
                <w:bCs w:val="1"/>
                <w:color w:val="2A2A2A"/>
              </w:rPr>
              <w:t>Cost</w:t>
            </w:r>
          </w:p>
        </w:tc>
        <w:tc>
          <w:tcPr>
            <w:tcW w:w="60" w:type="dxa"/>
            <w:vAlign w:val="bottom"/>
            <w:tcBorders>
              <w:bottom w:val="single" w:sz="8" w:color="2A2A2A"/>
            </w:tcBorders>
          </w:tcPr>
          <w:p>
            <w:pPr>
              <w:spacing w:after="0"/>
              <w:rPr>
                <w:sz w:val="18"/>
                <w:szCs w:val="18"/>
                <w:color w:val="auto"/>
              </w:rPr>
            </w:pPr>
          </w:p>
        </w:tc>
        <w:tc>
          <w:tcPr>
            <w:tcW w:w="18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69"/>
              <w:spacing w:after="0"/>
              <w:rPr>
                <w:sz w:val="20"/>
                <w:szCs w:val="20"/>
                <w:color w:val="auto"/>
              </w:rPr>
            </w:pPr>
            <w:r>
              <w:rPr>
                <w:rFonts w:ascii="Arial" w:cs="Arial" w:eastAsia="Arial" w:hAnsi="Arial"/>
                <w:sz w:val="16"/>
                <w:szCs w:val="16"/>
                <w:b w:val="1"/>
                <w:bCs w:val="1"/>
                <w:color w:val="2A2A2A"/>
                <w:w w:val="96"/>
              </w:rPr>
              <w:t>Loss</w:t>
            </w:r>
          </w:p>
        </w:tc>
        <w:tc>
          <w:tcPr>
            <w:tcW w:w="6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jc w:val="center"/>
              <w:ind w:right="127"/>
              <w:spacing w:after="0"/>
              <w:rPr>
                <w:sz w:val="20"/>
                <w:szCs w:val="20"/>
                <w:color w:val="auto"/>
              </w:rPr>
            </w:pPr>
            <w:r>
              <w:rPr>
                <w:rFonts w:ascii="Arial" w:cs="Arial" w:eastAsia="Arial" w:hAnsi="Arial"/>
                <w:sz w:val="16"/>
                <w:szCs w:val="16"/>
                <w:b w:val="1"/>
                <w:bCs w:val="1"/>
                <w:color w:val="2A2A2A"/>
              </w:rPr>
              <w:t>Cost</w:t>
            </w:r>
          </w:p>
        </w:tc>
        <w:tc>
          <w:tcPr>
            <w:tcW w:w="60" w:type="dxa"/>
            <w:vAlign w:val="bottom"/>
            <w:tcBorders>
              <w:bottom w:val="single" w:sz="8" w:color="2A2A2A"/>
            </w:tcBorders>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68"/>
              <w:spacing w:after="0"/>
              <w:rPr>
                <w:sz w:val="20"/>
                <w:szCs w:val="20"/>
                <w:color w:val="auto"/>
              </w:rPr>
            </w:pPr>
            <w:r>
              <w:rPr>
                <w:rFonts w:ascii="Arial" w:cs="Arial" w:eastAsia="Arial" w:hAnsi="Arial"/>
                <w:sz w:val="16"/>
                <w:szCs w:val="16"/>
                <w:b w:val="1"/>
                <w:bCs w:val="1"/>
                <w:color w:val="2A2A2A"/>
                <w:w w:val="96"/>
              </w:rPr>
              <w:t>Loss</w:t>
            </w:r>
          </w:p>
        </w:tc>
        <w:tc>
          <w:tcPr>
            <w:tcW w:w="6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jc w:val="center"/>
              <w:ind w:right="107"/>
              <w:spacing w:after="0"/>
              <w:rPr>
                <w:sz w:val="20"/>
                <w:szCs w:val="20"/>
                <w:color w:val="auto"/>
              </w:rPr>
            </w:pPr>
            <w:r>
              <w:rPr>
                <w:rFonts w:ascii="Arial" w:cs="Arial" w:eastAsia="Arial" w:hAnsi="Arial"/>
                <w:sz w:val="16"/>
                <w:szCs w:val="16"/>
                <w:b w:val="1"/>
                <w:bCs w:val="1"/>
                <w:color w:val="2A2A2A"/>
                <w:w w:val="95"/>
              </w:rPr>
              <w:t>Cost</w:t>
            </w:r>
          </w:p>
        </w:tc>
        <w:tc>
          <w:tcPr>
            <w:tcW w:w="0" w:type="dxa"/>
            <w:vAlign w:val="bottom"/>
          </w:tcPr>
          <w:p>
            <w:pPr>
              <w:spacing w:after="0"/>
              <w:rPr>
                <w:sz w:val="1"/>
                <w:szCs w:val="1"/>
                <w:color w:val="auto"/>
              </w:rPr>
            </w:pPr>
          </w:p>
        </w:tc>
      </w:tr>
      <w:tr>
        <w:trPr>
          <w:trHeight w:val="213"/>
        </w:trPr>
        <w:tc>
          <w:tcPr>
            <w:tcW w:w="2540" w:type="dxa"/>
            <w:vAlign w:val="bottom"/>
            <w:shd w:val="clear" w:color="auto" w:fill="D7D7D7"/>
          </w:tcPr>
          <w:p>
            <w:pPr>
              <w:ind w:left="60"/>
              <w:spacing w:after="0" w:line="213" w:lineRule="exact"/>
              <w:rPr>
                <w:sz w:val="20"/>
                <w:szCs w:val="20"/>
                <w:color w:val="auto"/>
              </w:rPr>
            </w:pPr>
            <w:r>
              <w:rPr>
                <w:rFonts w:ascii="Arial" w:cs="Arial" w:eastAsia="Arial" w:hAnsi="Arial"/>
                <w:sz w:val="20"/>
                <w:szCs w:val="20"/>
                <w:color w:val="2A2A2A"/>
              </w:rPr>
              <w:t>AOCI balance, net of</w:t>
            </w:r>
          </w:p>
        </w:tc>
        <w:tc>
          <w:tcPr>
            <w:tcW w:w="1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90</w:t>
            </w:r>
          </w:p>
        </w:tc>
        <w:tc>
          <w:tcPr>
            <w:tcW w:w="240" w:type="dxa"/>
            <w:vAlign w:val="bottom"/>
            <w:gridSpan w:val="2"/>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(15)</w:t>
            </w:r>
          </w:p>
        </w:tc>
        <w:tc>
          <w:tcPr>
            <w:tcW w:w="26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840" w:type="dxa"/>
            <w:vAlign w:val="bottom"/>
            <w:vMerge w:val="restart"/>
            <w:shd w:val="clear" w:color="auto" w:fill="D7D7D7"/>
          </w:tcPr>
          <w:p>
            <w:pPr>
              <w:ind w:left="560"/>
              <w:spacing w:after="0"/>
              <w:rPr>
                <w:sz w:val="20"/>
                <w:szCs w:val="20"/>
                <w:color w:val="auto"/>
              </w:rPr>
            </w:pPr>
            <w:r>
              <w:rPr>
                <w:rFonts w:ascii="Arial" w:cs="Arial" w:eastAsia="Arial" w:hAnsi="Arial"/>
                <w:sz w:val="20"/>
                <w:szCs w:val="20"/>
                <w:color w:val="2A2A2A"/>
              </w:rPr>
              <w:t>—</w:t>
            </w:r>
          </w:p>
        </w:tc>
        <w:tc>
          <w:tcPr>
            <w:tcW w:w="240" w:type="dxa"/>
            <w:vAlign w:val="bottom"/>
            <w:gridSpan w:val="2"/>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174</w:t>
            </w:r>
          </w:p>
        </w:tc>
        <w:tc>
          <w:tcPr>
            <w:tcW w:w="28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220" w:type="dxa"/>
            <w:vAlign w:val="bottom"/>
            <w:gridSpan w:val="2"/>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249</w:t>
            </w:r>
          </w:p>
        </w:tc>
        <w:tc>
          <w:tcPr>
            <w:tcW w:w="26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0" w:type="dxa"/>
            <w:vAlign w:val="bottom"/>
          </w:tcPr>
          <w:p>
            <w:pPr>
              <w:spacing w:after="0"/>
              <w:rPr>
                <w:sz w:val="1"/>
                <w:szCs w:val="1"/>
                <w:color w:val="auto"/>
              </w:rPr>
            </w:pPr>
          </w:p>
        </w:tc>
      </w:tr>
      <w:tr>
        <w:trPr>
          <w:trHeight w:val="272"/>
        </w:trPr>
        <w:tc>
          <w:tcPr>
            <w:tcW w:w="25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taxes, December 31, 2022</w:t>
            </w:r>
          </w:p>
        </w:tc>
        <w:tc>
          <w:tcPr>
            <w:tcW w:w="160" w:type="dxa"/>
            <w:vAlign w:val="bottom"/>
            <w:vMerge w:val="continue"/>
            <w:shd w:val="clear" w:color="auto" w:fill="D7D7D7"/>
          </w:tcPr>
          <w:p>
            <w:pPr>
              <w:spacing w:after="0"/>
              <w:rPr>
                <w:sz w:val="23"/>
                <w:szCs w:val="23"/>
                <w:color w:val="auto"/>
              </w:rPr>
            </w:pPr>
          </w:p>
        </w:tc>
        <w:tc>
          <w:tcPr>
            <w:tcW w:w="880" w:type="dxa"/>
            <w:vAlign w:val="bottom"/>
            <w:vMerge w:val="continue"/>
            <w:shd w:val="clear" w:color="auto" w:fill="D7D7D7"/>
          </w:tcPr>
          <w:p>
            <w:pPr>
              <w:spacing w:after="0"/>
              <w:rPr>
                <w:sz w:val="23"/>
                <w:szCs w:val="23"/>
                <w:color w:val="auto"/>
              </w:rPr>
            </w:pPr>
          </w:p>
        </w:tc>
        <w:tc>
          <w:tcPr>
            <w:tcW w:w="240" w:type="dxa"/>
            <w:vAlign w:val="bottom"/>
            <w:gridSpan w:val="2"/>
            <w:vMerge w:val="continue"/>
            <w:shd w:val="clear" w:color="auto" w:fill="D7D7D7"/>
          </w:tcPr>
          <w:p>
            <w:pPr>
              <w:spacing w:after="0"/>
              <w:rPr>
                <w:sz w:val="23"/>
                <w:szCs w:val="23"/>
                <w:color w:val="auto"/>
              </w:rPr>
            </w:pPr>
          </w:p>
        </w:tc>
        <w:tc>
          <w:tcPr>
            <w:tcW w:w="880" w:type="dxa"/>
            <w:vAlign w:val="bottom"/>
            <w:vMerge w:val="continue"/>
            <w:shd w:val="clear" w:color="auto" w:fill="D7D7D7"/>
          </w:tcPr>
          <w:p>
            <w:pPr>
              <w:spacing w:after="0"/>
              <w:rPr>
                <w:sz w:val="23"/>
                <w:szCs w:val="23"/>
                <w:color w:val="auto"/>
              </w:rPr>
            </w:pPr>
          </w:p>
        </w:tc>
        <w:tc>
          <w:tcPr>
            <w:tcW w:w="260" w:type="dxa"/>
            <w:vAlign w:val="bottom"/>
            <w:gridSpan w:val="2"/>
            <w:vMerge w:val="continue"/>
            <w:shd w:val="clear" w:color="auto" w:fill="D7D7D7"/>
          </w:tcPr>
          <w:p>
            <w:pPr>
              <w:spacing w:after="0"/>
              <w:rPr>
                <w:sz w:val="23"/>
                <w:szCs w:val="23"/>
                <w:color w:val="auto"/>
              </w:rPr>
            </w:pPr>
          </w:p>
        </w:tc>
        <w:tc>
          <w:tcPr>
            <w:tcW w:w="840" w:type="dxa"/>
            <w:vAlign w:val="bottom"/>
            <w:vMerge w:val="continue"/>
            <w:shd w:val="clear" w:color="auto" w:fill="D7D7D7"/>
          </w:tcPr>
          <w:p>
            <w:pPr>
              <w:spacing w:after="0"/>
              <w:rPr>
                <w:sz w:val="23"/>
                <w:szCs w:val="23"/>
                <w:color w:val="auto"/>
              </w:rPr>
            </w:pPr>
          </w:p>
        </w:tc>
        <w:tc>
          <w:tcPr>
            <w:tcW w:w="240" w:type="dxa"/>
            <w:vAlign w:val="bottom"/>
            <w:gridSpan w:val="2"/>
            <w:vMerge w:val="continue"/>
            <w:shd w:val="clear" w:color="auto" w:fill="D7D7D7"/>
          </w:tcPr>
          <w:p>
            <w:pPr>
              <w:spacing w:after="0"/>
              <w:rPr>
                <w:sz w:val="23"/>
                <w:szCs w:val="23"/>
                <w:color w:val="auto"/>
              </w:rPr>
            </w:pPr>
          </w:p>
        </w:tc>
        <w:tc>
          <w:tcPr>
            <w:tcW w:w="880" w:type="dxa"/>
            <w:vAlign w:val="bottom"/>
            <w:vMerge w:val="continue"/>
            <w:shd w:val="clear" w:color="auto" w:fill="D7D7D7"/>
          </w:tcPr>
          <w:p>
            <w:pPr>
              <w:spacing w:after="0"/>
              <w:rPr>
                <w:sz w:val="23"/>
                <w:szCs w:val="23"/>
                <w:color w:val="auto"/>
              </w:rPr>
            </w:pPr>
          </w:p>
        </w:tc>
        <w:tc>
          <w:tcPr>
            <w:tcW w:w="280" w:type="dxa"/>
            <w:vAlign w:val="bottom"/>
            <w:gridSpan w:val="2"/>
            <w:vMerge w:val="continue"/>
            <w:shd w:val="clear" w:color="auto" w:fill="D7D7D7"/>
          </w:tcPr>
          <w:p>
            <w:pPr>
              <w:spacing w:after="0"/>
              <w:rPr>
                <w:sz w:val="23"/>
                <w:szCs w:val="23"/>
                <w:color w:val="auto"/>
              </w:rPr>
            </w:pPr>
          </w:p>
        </w:tc>
        <w:tc>
          <w:tcPr>
            <w:tcW w:w="860" w:type="dxa"/>
            <w:vAlign w:val="bottom"/>
            <w:vMerge w:val="continue"/>
            <w:shd w:val="clear" w:color="auto" w:fill="D7D7D7"/>
          </w:tcPr>
          <w:p>
            <w:pPr>
              <w:spacing w:after="0"/>
              <w:rPr>
                <w:sz w:val="23"/>
                <w:szCs w:val="23"/>
                <w:color w:val="auto"/>
              </w:rPr>
            </w:pPr>
          </w:p>
        </w:tc>
        <w:tc>
          <w:tcPr>
            <w:tcW w:w="220" w:type="dxa"/>
            <w:vAlign w:val="bottom"/>
            <w:gridSpan w:val="2"/>
            <w:vMerge w:val="continue"/>
            <w:shd w:val="clear" w:color="auto" w:fill="D7D7D7"/>
          </w:tcPr>
          <w:p>
            <w:pPr>
              <w:spacing w:after="0"/>
              <w:rPr>
                <w:sz w:val="23"/>
                <w:szCs w:val="23"/>
                <w:color w:val="auto"/>
              </w:rPr>
            </w:pPr>
          </w:p>
        </w:tc>
        <w:tc>
          <w:tcPr>
            <w:tcW w:w="880" w:type="dxa"/>
            <w:vAlign w:val="bottom"/>
            <w:vMerge w:val="continue"/>
            <w:shd w:val="clear" w:color="auto" w:fill="D7D7D7"/>
          </w:tcPr>
          <w:p>
            <w:pPr>
              <w:spacing w:after="0"/>
              <w:rPr>
                <w:sz w:val="23"/>
                <w:szCs w:val="23"/>
                <w:color w:val="auto"/>
              </w:rPr>
            </w:pPr>
          </w:p>
        </w:tc>
        <w:tc>
          <w:tcPr>
            <w:tcW w:w="260" w:type="dxa"/>
            <w:vAlign w:val="bottom"/>
            <w:gridSpan w:val="2"/>
            <w:vMerge w:val="continue"/>
            <w:shd w:val="clear" w:color="auto" w:fill="D7D7D7"/>
          </w:tcPr>
          <w:p>
            <w:pPr>
              <w:spacing w:after="0"/>
              <w:rPr>
                <w:sz w:val="23"/>
                <w:szCs w:val="23"/>
                <w:color w:val="auto"/>
              </w:rPr>
            </w:pPr>
          </w:p>
        </w:tc>
        <w:tc>
          <w:tcPr>
            <w:tcW w:w="86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60"/>
              <w:spacing w:after="0" w:line="223" w:lineRule="exact"/>
              <w:rPr>
                <w:sz w:val="20"/>
                <w:szCs w:val="20"/>
                <w:color w:val="auto"/>
              </w:rPr>
            </w:pPr>
            <w:r>
              <w:rPr>
                <w:rFonts w:ascii="Arial" w:cs="Arial" w:eastAsia="Arial" w:hAnsi="Arial"/>
                <w:sz w:val="20"/>
                <w:szCs w:val="20"/>
                <w:b w:val="1"/>
                <w:bCs w:val="1"/>
                <w:color w:val="2A2A2A"/>
              </w:rPr>
              <w:t>Changes in AOCI by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540" w:type="dxa"/>
            <w:vAlign w:val="bottom"/>
          </w:tcPr>
          <w:p>
            <w:pPr>
              <w:ind w:left="60"/>
              <w:spacing w:after="0"/>
              <w:rPr>
                <w:sz w:val="20"/>
                <w:szCs w:val="20"/>
                <w:color w:val="auto"/>
              </w:rPr>
            </w:pPr>
            <w:r>
              <w:rPr>
                <w:rFonts w:ascii="Arial" w:cs="Arial" w:eastAsia="Arial" w:hAnsi="Arial"/>
                <w:sz w:val="20"/>
                <w:szCs w:val="20"/>
                <w:b w:val="1"/>
                <w:bCs w:val="1"/>
                <w:color w:val="2A2A2A"/>
              </w:rPr>
              <w:t>category:</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5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Adjustments</w:t>
            </w:r>
          </w:p>
        </w:tc>
        <w:tc>
          <w:tcPr>
            <w:tcW w:w="160" w:type="dxa"/>
            <w:vAlign w:val="bottom"/>
            <w:shd w:val="clear" w:color="auto" w:fill="D7D7D7"/>
          </w:tcPr>
          <w:p>
            <w:pPr>
              <w:spacing w:after="0"/>
              <w:rPr>
                <w:sz w:val="24"/>
                <w:szCs w:val="24"/>
                <w:color w:val="auto"/>
              </w:rPr>
            </w:pP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(23)</w:t>
            </w:r>
          </w:p>
        </w:tc>
        <w:tc>
          <w:tcPr>
            <w:tcW w:w="6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w:t>
            </w:r>
          </w:p>
        </w:tc>
        <w:tc>
          <w:tcPr>
            <w:tcW w:w="6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840" w:type="dxa"/>
            <w:vAlign w:val="bottom"/>
            <w:shd w:val="clear" w:color="auto" w:fill="D7D7D7"/>
          </w:tcPr>
          <w:p>
            <w:pPr>
              <w:ind w:left="560"/>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w:t>
            </w:r>
          </w:p>
        </w:tc>
        <w:tc>
          <w:tcPr>
            <w:tcW w:w="60" w:type="dxa"/>
            <w:vAlign w:val="bottom"/>
            <w:shd w:val="clear" w:color="auto" w:fill="D7D7D7"/>
          </w:tcPr>
          <w:p>
            <w:pPr>
              <w:spacing w:after="0"/>
              <w:rPr>
                <w:sz w:val="24"/>
                <w:szCs w:val="24"/>
                <w:color w:val="auto"/>
              </w:rPr>
            </w:pPr>
          </w:p>
        </w:tc>
        <w:tc>
          <w:tcPr>
            <w:tcW w:w="220" w:type="dxa"/>
            <w:vAlign w:val="bottom"/>
            <w:shd w:val="clear" w:color="auto" w:fill="D7D7D7"/>
          </w:tcPr>
          <w:p>
            <w:pPr>
              <w:spacing w:after="0"/>
              <w:rPr>
                <w:sz w:val="24"/>
                <w:szCs w:val="24"/>
                <w:color w:val="auto"/>
              </w:rPr>
            </w:pPr>
          </w:p>
        </w:tc>
        <w:tc>
          <w:tcPr>
            <w:tcW w:w="8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shd w:val="clear" w:color="auto" w:fill="D7D7D7"/>
          </w:tcPr>
          <w:p>
            <w:pPr>
              <w:spacing w:after="0"/>
              <w:rPr>
                <w:sz w:val="24"/>
                <w:szCs w:val="24"/>
                <w:color w:val="auto"/>
              </w:rPr>
            </w:pPr>
          </w:p>
        </w:tc>
        <w:tc>
          <w:tcPr>
            <w:tcW w:w="160" w:type="dxa"/>
            <w:vAlign w:val="bottom"/>
            <w:shd w:val="clear" w:color="auto" w:fill="D7D7D7"/>
          </w:tcPr>
          <w:p>
            <w:pPr>
              <w:spacing w:after="0"/>
              <w:rPr>
                <w:sz w:val="24"/>
                <w:szCs w:val="24"/>
                <w:color w:val="auto"/>
              </w:rPr>
            </w:pP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(36)</w:t>
            </w:r>
          </w:p>
        </w:tc>
        <w:tc>
          <w:tcPr>
            <w:tcW w:w="6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8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0" w:type="dxa"/>
            <w:vAlign w:val="bottom"/>
          </w:tcPr>
          <w:p>
            <w:pPr>
              <w:spacing w:after="0"/>
              <w:rPr>
                <w:sz w:val="1"/>
                <w:szCs w:val="1"/>
                <w:color w:val="auto"/>
              </w:rPr>
            </w:pPr>
          </w:p>
        </w:tc>
      </w:tr>
      <w:tr>
        <w:trPr>
          <w:trHeight w:val="223"/>
        </w:trPr>
        <w:tc>
          <w:tcPr>
            <w:tcW w:w="2540" w:type="dxa"/>
            <w:vAlign w:val="bottom"/>
          </w:tcPr>
          <w:p>
            <w:pPr>
              <w:ind w:left="180"/>
              <w:spacing w:after="0" w:line="223" w:lineRule="exact"/>
              <w:rPr>
                <w:sz w:val="20"/>
                <w:szCs w:val="20"/>
                <w:color w:val="auto"/>
              </w:rPr>
            </w:pPr>
            <w:r>
              <w:rPr>
                <w:rFonts w:ascii="Arial" w:cs="Arial" w:eastAsia="Arial" w:hAnsi="Arial"/>
                <w:sz w:val="20"/>
                <w:szCs w:val="20"/>
                <w:b w:val="1"/>
                <w:bCs w:val="1"/>
                <w:color w:val="2A2A2A"/>
              </w:rPr>
              <w:t>Recognized within</w:t>
            </w: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restart"/>
          </w:tcPr>
          <w:p>
            <w:pPr>
              <w:ind w:left="560"/>
              <w:spacing w:after="0"/>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w:t>
            </w:r>
          </w:p>
        </w:tc>
        <w:tc>
          <w:tcPr>
            <w:tcW w:w="0" w:type="dxa"/>
            <w:vAlign w:val="bottom"/>
          </w:tcPr>
          <w:p>
            <w:pPr>
              <w:spacing w:after="0"/>
              <w:rPr>
                <w:sz w:val="1"/>
                <w:szCs w:val="1"/>
                <w:color w:val="auto"/>
              </w:rPr>
            </w:pPr>
          </w:p>
        </w:tc>
      </w:tr>
      <w:tr>
        <w:trPr>
          <w:trHeight w:val="272"/>
        </w:trPr>
        <w:tc>
          <w:tcPr>
            <w:tcW w:w="2540" w:type="dxa"/>
            <w:vAlign w:val="bottom"/>
          </w:tcPr>
          <w:p>
            <w:pPr>
              <w:ind w:left="180"/>
              <w:spacing w:after="0"/>
              <w:rPr>
                <w:sz w:val="20"/>
                <w:szCs w:val="20"/>
                <w:color w:val="auto"/>
              </w:rPr>
            </w:pPr>
            <w:r>
              <w:rPr>
                <w:rFonts w:ascii="Arial" w:cs="Arial" w:eastAsia="Arial" w:hAnsi="Arial"/>
                <w:sz w:val="20"/>
                <w:szCs w:val="20"/>
                <w:b w:val="1"/>
                <w:bCs w:val="1"/>
                <w:color w:val="2A2A2A"/>
              </w:rPr>
              <w:t>net income</w:t>
            </w:r>
          </w:p>
        </w:tc>
        <w:tc>
          <w:tcPr>
            <w:tcW w:w="16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25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b w:val="1"/>
                <w:bCs w:val="1"/>
                <w:color w:val="2A2A2A"/>
              </w:rPr>
              <w:t>Tax effect</w:t>
            </w:r>
          </w:p>
        </w:tc>
        <w:tc>
          <w:tcPr>
            <w:tcW w:w="16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8</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w:t>
            </w:r>
          </w:p>
        </w:tc>
        <w:tc>
          <w:tcPr>
            <w:tcW w:w="6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ind w:left="560"/>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16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14</w:t>
            </w:r>
          </w:p>
        </w:tc>
        <w:tc>
          <w:tcPr>
            <w:tcW w:w="6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D7D7D7"/>
            </w:tcBorders>
          </w:tcPr>
          <w:p>
            <w:pPr>
              <w:ind w:left="180"/>
              <w:spacing w:after="0"/>
              <w:rPr>
                <w:sz w:val="20"/>
                <w:szCs w:val="20"/>
                <w:color w:val="auto"/>
              </w:rPr>
            </w:pPr>
            <w:r>
              <w:rPr>
                <w:rFonts w:ascii="Arial" w:cs="Arial" w:eastAsia="Arial" w:hAnsi="Arial"/>
                <w:sz w:val="20"/>
                <w:szCs w:val="20"/>
                <w:b w:val="1"/>
                <w:bCs w:val="1"/>
                <w:color w:val="2A2A2A"/>
              </w:rPr>
              <w:t>Total change to AOCI</w:t>
            </w:r>
          </w:p>
        </w:tc>
        <w:tc>
          <w:tcPr>
            <w:tcW w:w="16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(28)</w:t>
            </w:r>
          </w:p>
        </w:tc>
        <w:tc>
          <w:tcPr>
            <w:tcW w:w="6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(9)</w:t>
            </w:r>
          </w:p>
        </w:tc>
        <w:tc>
          <w:tcPr>
            <w:tcW w:w="60" w:type="dxa"/>
            <w:vAlign w:val="bottom"/>
            <w:tcBorders>
              <w:bottom w:val="single" w:sz="8" w:color="D7D7D7"/>
            </w:tcBorders>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ind w:left="560"/>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w:t>
            </w:r>
          </w:p>
        </w:tc>
        <w:tc>
          <w:tcPr>
            <w:tcW w:w="60" w:type="dxa"/>
            <w:vAlign w:val="bottom"/>
            <w:tcBorders>
              <w:bottom w:val="single" w:sz="8" w:color="D7D7D7"/>
            </w:tcBorders>
          </w:tcPr>
          <w:p>
            <w:pPr>
              <w:spacing w:after="0"/>
              <w:rPr>
                <w:sz w:val="22"/>
                <w:szCs w:val="22"/>
                <w:color w:val="auto"/>
              </w:rPr>
            </w:pPr>
          </w:p>
        </w:tc>
        <w:tc>
          <w:tcPr>
            <w:tcW w:w="220" w:type="dxa"/>
            <w:vAlign w:val="bottom"/>
            <w:tcBorders>
              <w:bottom w:val="single" w:sz="8" w:color="2A2A2A"/>
            </w:tcBorders>
          </w:tcPr>
          <w:p>
            <w:pPr>
              <w:spacing w:after="0"/>
              <w:rPr>
                <w:sz w:val="22"/>
                <w:szCs w:val="22"/>
                <w:color w:val="auto"/>
              </w:rPr>
            </w:pPr>
          </w:p>
        </w:tc>
        <w:tc>
          <w:tcPr>
            <w:tcW w:w="8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w:t>
            </w:r>
          </w:p>
        </w:tc>
        <w:tc>
          <w:tcPr>
            <w:tcW w:w="60" w:type="dxa"/>
            <w:vAlign w:val="bottom"/>
            <w:tcBorders>
              <w:bottom w:val="single" w:sz="8" w:color="D7D7D7"/>
            </w:tcBorders>
          </w:tcPr>
          <w:p>
            <w:pPr>
              <w:spacing w:after="0"/>
              <w:rPr>
                <w:sz w:val="22"/>
                <w:szCs w:val="22"/>
                <w:color w:val="auto"/>
              </w:rPr>
            </w:pPr>
          </w:p>
        </w:tc>
        <w:tc>
          <w:tcPr>
            <w:tcW w:w="16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(42)</w:t>
            </w:r>
          </w:p>
        </w:tc>
        <w:tc>
          <w:tcPr>
            <w:tcW w:w="60" w:type="dxa"/>
            <w:vAlign w:val="bottom"/>
            <w:tcBorders>
              <w:bottom w:val="single" w:sz="8" w:color="D7D7D7"/>
            </w:tcBorders>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8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w:t>
            </w:r>
          </w:p>
        </w:tc>
        <w:tc>
          <w:tcPr>
            <w:tcW w:w="0" w:type="dxa"/>
            <w:vAlign w:val="bottom"/>
          </w:tcPr>
          <w:p>
            <w:pPr>
              <w:spacing w:after="0"/>
              <w:rPr>
                <w:sz w:val="1"/>
                <w:szCs w:val="1"/>
                <w:color w:val="auto"/>
              </w:rPr>
            </w:pPr>
          </w:p>
        </w:tc>
      </w:tr>
      <w:tr>
        <w:trPr>
          <w:trHeight w:val="213"/>
        </w:trPr>
        <w:tc>
          <w:tcPr>
            <w:tcW w:w="2540" w:type="dxa"/>
            <w:vAlign w:val="bottom"/>
            <w:shd w:val="clear" w:color="auto" w:fill="D7D7D7"/>
          </w:tcPr>
          <w:p>
            <w:pPr>
              <w:ind w:left="60"/>
              <w:spacing w:after="0" w:line="213" w:lineRule="exact"/>
              <w:rPr>
                <w:sz w:val="20"/>
                <w:szCs w:val="20"/>
                <w:color w:val="auto"/>
              </w:rPr>
            </w:pPr>
            <w:r>
              <w:rPr>
                <w:rFonts w:ascii="Arial" w:cs="Arial" w:eastAsia="Arial" w:hAnsi="Arial"/>
                <w:sz w:val="20"/>
                <w:szCs w:val="20"/>
                <w:b w:val="1"/>
                <w:bCs w:val="1"/>
                <w:color w:val="2A2A2A"/>
              </w:rPr>
              <w:t>AOCI balance, net of</w:t>
            </w:r>
          </w:p>
        </w:tc>
        <w:tc>
          <w:tcPr>
            <w:tcW w:w="16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62</w:t>
            </w:r>
          </w:p>
        </w:tc>
        <w:tc>
          <w:tcPr>
            <w:tcW w:w="240" w:type="dxa"/>
            <w:vAlign w:val="bottom"/>
            <w:gridSpan w:val="2"/>
            <w:vMerge w:val="restart"/>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(24)</w:t>
            </w:r>
          </w:p>
        </w:tc>
        <w:tc>
          <w:tcPr>
            <w:tcW w:w="26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840" w:type="dxa"/>
            <w:vAlign w:val="bottom"/>
            <w:vMerge w:val="restart"/>
            <w:shd w:val="clear" w:color="auto" w:fill="D7D7D7"/>
          </w:tcPr>
          <w:p>
            <w:pPr>
              <w:ind w:left="560"/>
              <w:spacing w:after="0"/>
              <w:rPr>
                <w:sz w:val="20"/>
                <w:szCs w:val="20"/>
                <w:color w:val="auto"/>
              </w:rPr>
            </w:pPr>
            <w:r>
              <w:rPr>
                <w:rFonts w:ascii="Arial" w:cs="Arial" w:eastAsia="Arial" w:hAnsi="Arial"/>
                <w:sz w:val="20"/>
                <w:szCs w:val="20"/>
                <w:b w:val="1"/>
                <w:bCs w:val="1"/>
                <w:color w:val="2A2A2A"/>
              </w:rPr>
              <w:t>—</w:t>
            </w:r>
          </w:p>
        </w:tc>
        <w:tc>
          <w:tcPr>
            <w:tcW w:w="240" w:type="dxa"/>
            <w:vAlign w:val="bottom"/>
            <w:gridSpan w:val="2"/>
            <w:vMerge w:val="restart"/>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169</w:t>
            </w:r>
          </w:p>
        </w:tc>
        <w:tc>
          <w:tcPr>
            <w:tcW w:w="28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220" w:type="dxa"/>
            <w:vAlign w:val="bottom"/>
            <w:gridSpan w:val="2"/>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207</w:t>
            </w:r>
          </w:p>
        </w:tc>
        <w:tc>
          <w:tcPr>
            <w:tcW w:w="26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b w:val="1"/>
                <w:bCs w:val="1"/>
                <w:color w:val="2A2A2A"/>
              </w:rPr>
              <w:t>$</w:t>
            </w:r>
          </w:p>
        </w:tc>
        <w:tc>
          <w:tcPr>
            <w:tcW w:w="86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0" w:type="dxa"/>
            <w:vAlign w:val="bottom"/>
          </w:tcPr>
          <w:p>
            <w:pPr>
              <w:spacing w:after="0"/>
              <w:rPr>
                <w:sz w:val="1"/>
                <w:szCs w:val="1"/>
                <w:color w:val="auto"/>
              </w:rPr>
            </w:pPr>
          </w:p>
        </w:tc>
      </w:tr>
      <w:tr>
        <w:trPr>
          <w:trHeight w:val="262"/>
        </w:trPr>
        <w:tc>
          <w:tcPr>
            <w:tcW w:w="254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taxes, December 31, 2023</w:t>
            </w:r>
          </w:p>
        </w:tc>
        <w:tc>
          <w:tcPr>
            <w:tcW w:w="160" w:type="dxa"/>
            <w:vAlign w:val="bottom"/>
            <w:vMerge w:val="continue"/>
            <w:shd w:val="clear" w:color="auto" w:fill="D7D7D7"/>
          </w:tcPr>
          <w:p>
            <w:pPr>
              <w:spacing w:after="0"/>
              <w:rPr>
                <w:sz w:val="22"/>
                <w:szCs w:val="22"/>
                <w:color w:val="auto"/>
              </w:rPr>
            </w:pPr>
          </w:p>
        </w:tc>
        <w:tc>
          <w:tcPr>
            <w:tcW w:w="880" w:type="dxa"/>
            <w:vAlign w:val="bottom"/>
            <w:vMerge w:val="continue"/>
            <w:shd w:val="clear" w:color="auto" w:fill="D7D7D7"/>
          </w:tcPr>
          <w:p>
            <w:pPr>
              <w:spacing w:after="0"/>
              <w:rPr>
                <w:sz w:val="22"/>
                <w:szCs w:val="22"/>
                <w:color w:val="auto"/>
              </w:rPr>
            </w:pPr>
          </w:p>
        </w:tc>
        <w:tc>
          <w:tcPr>
            <w:tcW w:w="240" w:type="dxa"/>
            <w:vAlign w:val="bottom"/>
            <w:gridSpan w:val="2"/>
            <w:vMerge w:val="continue"/>
            <w:shd w:val="clear" w:color="auto" w:fill="D7D7D7"/>
          </w:tcPr>
          <w:p>
            <w:pPr>
              <w:spacing w:after="0"/>
              <w:rPr>
                <w:sz w:val="22"/>
                <w:szCs w:val="22"/>
                <w:color w:val="auto"/>
              </w:rPr>
            </w:pPr>
          </w:p>
        </w:tc>
        <w:tc>
          <w:tcPr>
            <w:tcW w:w="880" w:type="dxa"/>
            <w:vAlign w:val="bottom"/>
            <w:vMerge w:val="continue"/>
            <w:shd w:val="clear" w:color="auto" w:fill="D7D7D7"/>
          </w:tcPr>
          <w:p>
            <w:pPr>
              <w:spacing w:after="0"/>
              <w:rPr>
                <w:sz w:val="22"/>
                <w:szCs w:val="22"/>
                <w:color w:val="auto"/>
              </w:rPr>
            </w:pPr>
          </w:p>
        </w:tc>
        <w:tc>
          <w:tcPr>
            <w:tcW w:w="260" w:type="dxa"/>
            <w:vAlign w:val="bottom"/>
            <w:gridSpan w:val="2"/>
            <w:vMerge w:val="continue"/>
            <w:shd w:val="clear" w:color="auto" w:fill="D7D7D7"/>
          </w:tcPr>
          <w:p>
            <w:pPr>
              <w:spacing w:after="0"/>
              <w:rPr>
                <w:sz w:val="22"/>
                <w:szCs w:val="22"/>
                <w:color w:val="auto"/>
              </w:rPr>
            </w:pPr>
          </w:p>
        </w:tc>
        <w:tc>
          <w:tcPr>
            <w:tcW w:w="840" w:type="dxa"/>
            <w:vAlign w:val="bottom"/>
            <w:vMerge w:val="continue"/>
            <w:shd w:val="clear" w:color="auto" w:fill="D7D7D7"/>
          </w:tcPr>
          <w:p>
            <w:pPr>
              <w:spacing w:after="0"/>
              <w:rPr>
                <w:sz w:val="22"/>
                <w:szCs w:val="22"/>
                <w:color w:val="auto"/>
              </w:rPr>
            </w:pPr>
          </w:p>
        </w:tc>
        <w:tc>
          <w:tcPr>
            <w:tcW w:w="240" w:type="dxa"/>
            <w:vAlign w:val="bottom"/>
            <w:gridSpan w:val="2"/>
            <w:vMerge w:val="continue"/>
            <w:shd w:val="clear" w:color="auto" w:fill="D7D7D7"/>
          </w:tcPr>
          <w:p>
            <w:pPr>
              <w:spacing w:after="0"/>
              <w:rPr>
                <w:sz w:val="22"/>
                <w:szCs w:val="22"/>
                <w:color w:val="auto"/>
              </w:rPr>
            </w:pPr>
          </w:p>
        </w:tc>
        <w:tc>
          <w:tcPr>
            <w:tcW w:w="880" w:type="dxa"/>
            <w:vAlign w:val="bottom"/>
            <w:vMerge w:val="continue"/>
            <w:shd w:val="clear" w:color="auto" w:fill="D7D7D7"/>
          </w:tcPr>
          <w:p>
            <w:pPr>
              <w:spacing w:after="0"/>
              <w:rPr>
                <w:sz w:val="22"/>
                <w:szCs w:val="22"/>
                <w:color w:val="auto"/>
              </w:rPr>
            </w:pPr>
          </w:p>
        </w:tc>
        <w:tc>
          <w:tcPr>
            <w:tcW w:w="280" w:type="dxa"/>
            <w:vAlign w:val="bottom"/>
            <w:gridSpan w:val="2"/>
            <w:vMerge w:val="continue"/>
            <w:shd w:val="clear" w:color="auto" w:fill="D7D7D7"/>
          </w:tcPr>
          <w:p>
            <w:pPr>
              <w:spacing w:after="0"/>
              <w:rPr>
                <w:sz w:val="22"/>
                <w:szCs w:val="22"/>
                <w:color w:val="auto"/>
              </w:rPr>
            </w:pPr>
          </w:p>
        </w:tc>
        <w:tc>
          <w:tcPr>
            <w:tcW w:w="860" w:type="dxa"/>
            <w:vAlign w:val="bottom"/>
            <w:vMerge w:val="continue"/>
            <w:shd w:val="clear" w:color="auto" w:fill="D7D7D7"/>
          </w:tcPr>
          <w:p>
            <w:pPr>
              <w:spacing w:after="0"/>
              <w:rPr>
                <w:sz w:val="22"/>
                <w:szCs w:val="22"/>
                <w:color w:val="auto"/>
              </w:rPr>
            </w:pPr>
          </w:p>
        </w:tc>
        <w:tc>
          <w:tcPr>
            <w:tcW w:w="220" w:type="dxa"/>
            <w:vAlign w:val="bottom"/>
            <w:gridSpan w:val="2"/>
            <w:vMerge w:val="continue"/>
            <w:shd w:val="clear" w:color="auto" w:fill="D7D7D7"/>
          </w:tcPr>
          <w:p>
            <w:pPr>
              <w:spacing w:after="0"/>
              <w:rPr>
                <w:sz w:val="22"/>
                <w:szCs w:val="22"/>
                <w:color w:val="auto"/>
              </w:rPr>
            </w:pPr>
          </w:p>
        </w:tc>
        <w:tc>
          <w:tcPr>
            <w:tcW w:w="880" w:type="dxa"/>
            <w:vAlign w:val="bottom"/>
            <w:vMerge w:val="continue"/>
            <w:shd w:val="clear" w:color="auto" w:fill="D7D7D7"/>
          </w:tcPr>
          <w:p>
            <w:pPr>
              <w:spacing w:after="0"/>
              <w:rPr>
                <w:sz w:val="22"/>
                <w:szCs w:val="22"/>
                <w:color w:val="auto"/>
              </w:rPr>
            </w:pPr>
          </w:p>
        </w:tc>
        <w:tc>
          <w:tcPr>
            <w:tcW w:w="260" w:type="dxa"/>
            <w:vAlign w:val="bottom"/>
            <w:gridSpan w:val="2"/>
            <w:vMerge w:val="continue"/>
            <w:shd w:val="clear" w:color="auto" w:fill="D7D7D7"/>
          </w:tcPr>
          <w:p>
            <w:pPr>
              <w:spacing w:after="0"/>
              <w:rPr>
                <w:sz w:val="22"/>
                <w:szCs w:val="22"/>
                <w:color w:val="auto"/>
              </w:rPr>
            </w:pPr>
          </w:p>
        </w:tc>
        <w:tc>
          <w:tcPr>
            <w:tcW w:w="860" w:type="dxa"/>
            <w:vAlign w:val="bottom"/>
            <w:vMerge w:val="continue"/>
            <w:shd w:val="clear" w:color="auto" w:fill="D7D7D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D7D7D7"/>
            </w:tcBorders>
          </w:tcPr>
          <w:p>
            <w:pPr>
              <w:spacing w:after="0" w:line="20" w:lineRule="exact"/>
              <w:rPr>
                <w:sz w:val="1"/>
                <w:szCs w:val="1"/>
                <w:color w:val="auto"/>
              </w:rPr>
            </w:pPr>
          </w:p>
        </w:tc>
        <w:tc>
          <w:tcPr>
            <w:tcW w:w="160" w:type="dxa"/>
            <w:vAlign w:val="bottom"/>
            <w:tcBorders>
              <w:top w:val="single" w:sz="8" w:color="2A2A2A"/>
              <w:bottom w:val="single" w:sz="8" w:color="2A2A2A"/>
            </w:tcBorders>
          </w:tcPr>
          <w:p>
            <w:pPr>
              <w:spacing w:after="0" w:line="20" w:lineRule="exact"/>
              <w:rPr>
                <w:sz w:val="1"/>
                <w:szCs w:val="1"/>
                <w:color w:val="auto"/>
              </w:rPr>
            </w:pPr>
          </w:p>
        </w:tc>
        <w:tc>
          <w:tcPr>
            <w:tcW w:w="88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88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84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2A2A2A"/>
              <w:bottom w:val="single" w:sz="8" w:color="2A2A2A"/>
            </w:tcBorders>
          </w:tcPr>
          <w:p>
            <w:pPr>
              <w:spacing w:after="0" w:line="20" w:lineRule="exact"/>
              <w:rPr>
                <w:sz w:val="1"/>
                <w:szCs w:val="1"/>
                <w:color w:val="auto"/>
              </w:rPr>
            </w:pPr>
          </w:p>
        </w:tc>
        <w:tc>
          <w:tcPr>
            <w:tcW w:w="88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2A2A2A"/>
              <w:bottom w:val="single" w:sz="8" w:color="2A2A2A"/>
            </w:tcBorders>
          </w:tcPr>
          <w:p>
            <w:pPr>
              <w:spacing w:after="0" w:line="20" w:lineRule="exact"/>
              <w:rPr>
                <w:sz w:val="1"/>
                <w:szCs w:val="1"/>
                <w:color w:val="auto"/>
              </w:rPr>
            </w:pPr>
          </w:p>
        </w:tc>
        <w:tc>
          <w:tcPr>
            <w:tcW w:w="86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60" w:type="dxa"/>
            <w:vAlign w:val="bottom"/>
            <w:tcBorders>
              <w:top w:val="single" w:sz="8" w:color="2A2A2A"/>
              <w:bottom w:val="single" w:sz="8" w:color="2A2A2A"/>
            </w:tcBorders>
          </w:tcPr>
          <w:p>
            <w:pPr>
              <w:spacing w:after="0" w:line="20" w:lineRule="exact"/>
              <w:rPr>
                <w:sz w:val="1"/>
                <w:szCs w:val="1"/>
                <w:color w:val="auto"/>
              </w:rPr>
            </w:pPr>
          </w:p>
        </w:tc>
        <w:tc>
          <w:tcPr>
            <w:tcW w:w="88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860" w:type="dxa"/>
            <w:vAlign w:val="bottom"/>
            <w:tcBorders>
              <w:top w:val="single" w:sz="8" w:color="2A2A2A"/>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-1859915</wp:posOffset>
            </wp:positionV>
            <wp:extent cx="655002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-535940</wp:posOffset>
            </wp:positionV>
            <wp:extent cx="494030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40300" cy="2540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-345440</wp:posOffset>
            </wp:positionV>
            <wp:extent cx="49403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40300" cy="2540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-43815</wp:posOffset>
            </wp:positionV>
            <wp:extent cx="49403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40300" cy="25400"/>
                    </a:xfrm>
                    <a:prstGeom prst="rect">
                      <a:avLst/>
                    </a:prstGeom>
                    <a:noFill/>
                  </pic:spPr>
                </pic:pic>
              </a:graphicData>
            </a:graphic>
          </wp:anchor>
        </w:drawing>
      </w:r>
    </w:p>
    <w:p>
      <w:pPr>
        <w:spacing w:after="0" w:line="231"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Information on plan assets</w:t>
      </w:r>
    </w:p>
    <w:p>
      <w:pPr>
        <w:spacing w:after="0" w:line="255" w:lineRule="exact"/>
        <w:rPr>
          <w:sz w:val="20"/>
          <w:szCs w:val="20"/>
          <w:color w:val="auto"/>
        </w:rPr>
      </w:pPr>
    </w:p>
    <w:p>
      <w:pPr>
        <w:jc w:val="both"/>
        <w:ind w:left="1" w:right="180"/>
        <w:spacing w:after="0" w:line="268" w:lineRule="auto"/>
        <w:rPr>
          <w:sz w:val="20"/>
          <w:szCs w:val="20"/>
          <w:color w:val="auto"/>
        </w:rPr>
      </w:pPr>
      <w:r>
        <w:rPr>
          <w:rFonts w:ascii="Arial" w:cs="Arial" w:eastAsia="Arial" w:hAnsi="Arial"/>
          <w:sz w:val="20"/>
          <w:szCs w:val="20"/>
          <w:color w:val="2A2A2A"/>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51"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5840" w:type="dxa"/>
            <w:vAlign w:val="bottom"/>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spacing w:after="0"/>
              <w:rPr>
                <w:sz w:val="18"/>
                <w:szCs w:val="18"/>
                <w:color w:val="auto"/>
              </w:rPr>
            </w:pPr>
          </w:p>
        </w:tc>
        <w:tc>
          <w:tcPr>
            <w:tcW w:w="6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1960" w:type="dxa"/>
            <w:vAlign w:val="bottom"/>
            <w:tcBorders>
              <w:bottom w:val="single" w:sz="8" w:color="2A2A2A"/>
            </w:tcBorders>
            <w:gridSpan w:val="4"/>
          </w:tcPr>
          <w:p>
            <w:pPr>
              <w:jc w:val="right"/>
              <w:ind w:right="262"/>
              <w:spacing w:after="0"/>
              <w:rPr>
                <w:sz w:val="20"/>
                <w:szCs w:val="20"/>
                <w:color w:val="auto"/>
              </w:rPr>
            </w:pPr>
            <w:r>
              <w:rPr>
                <w:rFonts w:ascii="Arial" w:cs="Arial" w:eastAsia="Arial" w:hAnsi="Arial"/>
                <w:sz w:val="16"/>
                <w:szCs w:val="16"/>
                <w:b w:val="1"/>
                <w:bCs w:val="1"/>
                <w:color w:val="2A2A2A"/>
              </w:rPr>
              <w:t>December 31, 2023</w:t>
            </w:r>
          </w:p>
        </w:tc>
        <w:tc>
          <w:tcPr>
            <w:tcW w:w="60" w:type="dxa"/>
            <w:vAlign w:val="bottom"/>
            <w:tcBorders>
              <w:bottom w:val="single" w:sz="8" w:color="2A2A2A"/>
            </w:tcBorders>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spacing w:after="0"/>
              <w:rPr>
                <w:sz w:val="18"/>
                <w:szCs w:val="18"/>
                <w:color w:val="auto"/>
              </w:rPr>
            </w:pPr>
          </w:p>
        </w:tc>
      </w:tr>
      <w:tr>
        <w:trPr>
          <w:trHeight w:val="250"/>
        </w:trPr>
        <w:tc>
          <w:tcPr>
            <w:tcW w:w="5840" w:type="dxa"/>
            <w:vAlign w:val="bottom"/>
            <w:tcBorders>
              <w:bottom w:val="single" w:sz="8" w:color="2A2A2A"/>
            </w:tcBorders>
          </w:tcPr>
          <w:p>
            <w:pPr>
              <w:spacing w:after="0"/>
              <w:rPr>
                <w:sz w:val="21"/>
                <w:szCs w:val="21"/>
                <w:color w:val="auto"/>
              </w:rPr>
            </w:pPr>
          </w:p>
        </w:tc>
        <w:tc>
          <w:tcPr>
            <w:tcW w:w="200" w:type="dxa"/>
            <w:vAlign w:val="bottom"/>
            <w:tcBorders>
              <w:bottom w:val="single" w:sz="8" w:color="2A2A2A"/>
            </w:tcBorders>
          </w:tcPr>
          <w:p>
            <w:pPr>
              <w:spacing w:after="0"/>
              <w:rPr>
                <w:sz w:val="21"/>
                <w:szCs w:val="21"/>
                <w:color w:val="auto"/>
              </w:rPr>
            </w:pPr>
          </w:p>
        </w:tc>
        <w:tc>
          <w:tcPr>
            <w:tcW w:w="860" w:type="dxa"/>
            <w:vAlign w:val="bottom"/>
            <w:tcBorders>
              <w:bottom w:val="single" w:sz="8" w:color="2A2A2A"/>
            </w:tcBorders>
          </w:tcPr>
          <w:p>
            <w:pPr>
              <w:jc w:val="right"/>
              <w:ind w:right="162"/>
              <w:spacing w:after="0"/>
              <w:rPr>
                <w:sz w:val="20"/>
                <w:szCs w:val="20"/>
                <w:color w:val="auto"/>
              </w:rPr>
            </w:pPr>
            <w:r>
              <w:rPr>
                <w:rFonts w:ascii="Arial" w:cs="Arial" w:eastAsia="Arial" w:hAnsi="Arial"/>
                <w:sz w:val="16"/>
                <w:szCs w:val="16"/>
                <w:b w:val="1"/>
                <w:bCs w:val="1"/>
                <w:color w:val="2A2A2A"/>
              </w:rPr>
              <w:t>Level 1</w:t>
            </w:r>
          </w:p>
        </w:tc>
        <w:tc>
          <w:tcPr>
            <w:tcW w:w="6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164"/>
              <w:spacing w:after="0"/>
              <w:rPr>
                <w:sz w:val="20"/>
                <w:szCs w:val="20"/>
                <w:color w:val="auto"/>
              </w:rPr>
            </w:pPr>
            <w:r>
              <w:rPr>
                <w:rFonts w:ascii="Arial" w:cs="Arial" w:eastAsia="Arial" w:hAnsi="Arial"/>
                <w:sz w:val="16"/>
                <w:szCs w:val="16"/>
                <w:b w:val="1"/>
                <w:bCs w:val="1"/>
                <w:color w:val="2A2A2A"/>
              </w:rPr>
              <w:t>Level 2</w:t>
            </w:r>
          </w:p>
        </w:tc>
        <w:tc>
          <w:tcPr>
            <w:tcW w:w="6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880" w:type="dxa"/>
            <w:vAlign w:val="bottom"/>
            <w:tcBorders>
              <w:bottom w:val="single" w:sz="8" w:color="2A2A2A"/>
            </w:tcBorders>
          </w:tcPr>
          <w:p>
            <w:pPr>
              <w:jc w:val="right"/>
              <w:ind w:right="82"/>
              <w:spacing w:after="0"/>
              <w:rPr>
                <w:sz w:val="20"/>
                <w:szCs w:val="20"/>
                <w:color w:val="auto"/>
              </w:rPr>
            </w:pPr>
            <w:r>
              <w:rPr>
                <w:rFonts w:ascii="Arial" w:cs="Arial" w:eastAsia="Arial" w:hAnsi="Arial"/>
                <w:sz w:val="16"/>
                <w:szCs w:val="16"/>
                <w:b w:val="1"/>
                <w:bCs w:val="1"/>
                <w:color w:val="2A2A2A"/>
              </w:rPr>
              <w:t>Other (a)</w:t>
            </w:r>
          </w:p>
        </w:tc>
        <w:tc>
          <w:tcPr>
            <w:tcW w:w="6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42"/>
              <w:spacing w:after="0"/>
              <w:rPr>
                <w:sz w:val="20"/>
                <w:szCs w:val="20"/>
                <w:color w:val="auto"/>
              </w:rPr>
            </w:pPr>
            <w:r>
              <w:rPr>
                <w:rFonts w:ascii="Arial" w:cs="Arial" w:eastAsia="Arial" w:hAnsi="Arial"/>
                <w:sz w:val="16"/>
                <w:szCs w:val="16"/>
                <w:b w:val="1"/>
                <w:bCs w:val="1"/>
                <w:color w:val="2A2A2A"/>
              </w:rPr>
              <w:t>Total</w:t>
            </w:r>
          </w:p>
        </w:tc>
      </w:tr>
      <w:tr>
        <w:trPr>
          <w:trHeight w:val="260"/>
        </w:trPr>
        <w:tc>
          <w:tcPr>
            <w:tcW w:w="584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Assets of U.S. defined benefit plan:</w:t>
            </w:r>
          </w:p>
        </w:tc>
        <w:tc>
          <w:tcPr>
            <w:tcW w:w="200" w:type="dxa"/>
            <w:vAlign w:val="bottom"/>
            <w:shd w:val="clear" w:color="auto" w:fill="D7D7D7"/>
          </w:tcPr>
          <w:p>
            <w:pPr>
              <w:spacing w:after="0"/>
              <w:rPr>
                <w:sz w:val="22"/>
                <w:szCs w:val="22"/>
                <w:color w:val="auto"/>
              </w:rPr>
            </w:pPr>
          </w:p>
        </w:tc>
        <w:tc>
          <w:tcPr>
            <w:tcW w:w="86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88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r>
      <w:tr>
        <w:trPr>
          <w:trHeight w:val="270"/>
        </w:trPr>
        <w:tc>
          <w:tcPr>
            <w:tcW w:w="5840" w:type="dxa"/>
            <w:vAlign w:val="bottom"/>
          </w:tcPr>
          <w:p>
            <w:pPr>
              <w:ind w:left="180"/>
              <w:spacing w:after="0"/>
              <w:rPr>
                <w:sz w:val="20"/>
                <w:szCs w:val="20"/>
                <w:color w:val="auto"/>
              </w:rPr>
            </w:pPr>
            <w:r>
              <w:rPr>
                <w:rFonts w:ascii="Arial" w:cs="Arial" w:eastAsia="Arial" w:hAnsi="Arial"/>
                <w:sz w:val="20"/>
                <w:szCs w:val="20"/>
                <w:b w:val="1"/>
                <w:bCs w:val="1"/>
                <w:color w:val="2A2A2A"/>
              </w:rPr>
              <w:t>Fixed income securities and cash equivalents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2A2A2A"/>
              </w:rPr>
              <w:t>272</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272</w:t>
            </w:r>
          </w:p>
        </w:tc>
      </w:tr>
      <w:tr>
        <w:trPr>
          <w:trHeight w:val="280"/>
        </w:trPr>
        <w:tc>
          <w:tcPr>
            <w:tcW w:w="58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b w:val="1"/>
                <w:bCs w:val="1"/>
                <w:color w:val="2A2A2A"/>
              </w:rPr>
              <w:t>Equity securities</w:t>
            </w:r>
          </w:p>
        </w:tc>
        <w:tc>
          <w:tcPr>
            <w:tcW w:w="20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146</w:t>
            </w:r>
          </w:p>
        </w:tc>
        <w:tc>
          <w:tcPr>
            <w:tcW w:w="6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146</w:t>
            </w:r>
          </w:p>
        </w:tc>
      </w:tr>
      <w:tr>
        <w:trPr>
          <w:trHeight w:val="210"/>
        </w:trPr>
        <w:tc>
          <w:tcPr>
            <w:tcW w:w="5840" w:type="dxa"/>
            <w:vAlign w:val="bottom"/>
          </w:tcPr>
          <w:p>
            <w:pPr>
              <w:ind w:left="60"/>
              <w:spacing w:after="0" w:line="210" w:lineRule="exact"/>
              <w:rPr>
                <w:sz w:val="20"/>
                <w:szCs w:val="20"/>
                <w:color w:val="auto"/>
              </w:rPr>
            </w:pPr>
            <w:r>
              <w:rPr>
                <w:rFonts w:ascii="Arial" w:cs="Arial" w:eastAsia="Arial" w:hAnsi="Arial"/>
                <w:sz w:val="20"/>
                <w:szCs w:val="20"/>
                <w:b w:val="1"/>
                <w:bCs w:val="1"/>
                <w:color w:val="2A2A2A"/>
              </w:rPr>
              <w:t>Total</w:t>
            </w:r>
          </w:p>
        </w:tc>
        <w:tc>
          <w:tcPr>
            <w:tcW w:w="2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60" w:type="dxa"/>
            <w:vAlign w:val="bottom"/>
          </w:tcPr>
          <w:p>
            <w:pPr>
              <w:spacing w:after="0"/>
              <w:rPr>
                <w:sz w:val="18"/>
                <w:szCs w:val="18"/>
                <w:color w:val="auto"/>
              </w:rPr>
            </w:pPr>
          </w:p>
        </w:tc>
        <w:tc>
          <w:tcPr>
            <w:tcW w:w="1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418</w:t>
            </w:r>
          </w:p>
        </w:tc>
        <w:tc>
          <w:tcPr>
            <w:tcW w:w="6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418</w:t>
            </w:r>
          </w:p>
        </w:tc>
      </w:tr>
      <w:tr>
        <w:trPr>
          <w:trHeight w:val="20"/>
        </w:trPr>
        <w:tc>
          <w:tcPr>
            <w:tcW w:w="5840" w:type="dxa"/>
            <w:vAlign w:val="bottom"/>
            <w:tcBorders>
              <w:bottom w:val="single" w:sz="8" w:color="D7D7D7"/>
            </w:tcBorders>
          </w:tcPr>
          <w:p>
            <w:pPr>
              <w:spacing w:after="0" w:line="20" w:lineRule="exact"/>
              <w:rPr>
                <w:sz w:val="1"/>
                <w:szCs w:val="1"/>
                <w:color w:val="auto"/>
              </w:rPr>
            </w:pPr>
          </w:p>
        </w:tc>
        <w:tc>
          <w:tcPr>
            <w:tcW w:w="200" w:type="dxa"/>
            <w:vAlign w:val="bottom"/>
            <w:tcBorders>
              <w:bottom w:val="single" w:sz="8" w:color="2A2A2A"/>
            </w:tcBorders>
          </w:tcPr>
          <w:p>
            <w:pPr>
              <w:spacing w:after="0" w:line="20" w:lineRule="exact"/>
              <w:rPr>
                <w:sz w:val="1"/>
                <w:szCs w:val="1"/>
                <w:color w:val="auto"/>
              </w:rPr>
            </w:pPr>
          </w:p>
        </w:tc>
        <w:tc>
          <w:tcPr>
            <w:tcW w:w="860" w:type="dxa"/>
            <w:vAlign w:val="bottom"/>
            <w:tcBorders>
              <w:bottom w:val="single" w:sz="8" w:color="2A2A2A"/>
            </w:tcBorders>
          </w:tcPr>
          <w:p>
            <w:pPr>
              <w:spacing w:after="0" w:line="20" w:lineRule="exact"/>
              <w:rPr>
                <w:sz w:val="1"/>
                <w:szCs w:val="1"/>
                <w:color w:val="auto"/>
              </w:rPr>
            </w:pPr>
          </w:p>
        </w:tc>
        <w:tc>
          <w:tcPr>
            <w:tcW w:w="60" w:type="dxa"/>
            <w:vAlign w:val="bottom"/>
            <w:tcBorders>
              <w:bottom w:val="single" w:sz="8" w:color="D7D7D7"/>
            </w:tcBorders>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60" w:type="dxa"/>
            <w:vAlign w:val="bottom"/>
            <w:tcBorders>
              <w:bottom w:val="single" w:sz="8" w:color="D7D7D7"/>
            </w:tcBorders>
          </w:tcPr>
          <w:p>
            <w:pPr>
              <w:spacing w:after="0" w:line="20" w:lineRule="exact"/>
              <w:rPr>
                <w:sz w:val="1"/>
                <w:szCs w:val="1"/>
                <w:color w:val="auto"/>
              </w:rPr>
            </w:pPr>
          </w:p>
        </w:tc>
        <w:tc>
          <w:tcPr>
            <w:tcW w:w="180" w:type="dxa"/>
            <w:vAlign w:val="bottom"/>
            <w:tcBorders>
              <w:bottom w:val="single" w:sz="8" w:color="2A2A2A"/>
            </w:tcBorders>
          </w:tcPr>
          <w:p>
            <w:pPr>
              <w:spacing w:after="0" w:line="20" w:lineRule="exact"/>
              <w:rPr>
                <w:sz w:val="1"/>
                <w:szCs w:val="1"/>
                <w:color w:val="auto"/>
              </w:rPr>
            </w:pPr>
          </w:p>
        </w:tc>
        <w:tc>
          <w:tcPr>
            <w:tcW w:w="880" w:type="dxa"/>
            <w:vAlign w:val="bottom"/>
            <w:tcBorders>
              <w:bottom w:val="single" w:sz="8" w:color="2A2A2A"/>
            </w:tcBorders>
          </w:tcPr>
          <w:p>
            <w:pPr>
              <w:spacing w:after="0" w:line="20" w:lineRule="exact"/>
              <w:rPr>
                <w:sz w:val="1"/>
                <w:szCs w:val="1"/>
                <w:color w:val="auto"/>
              </w:rPr>
            </w:pPr>
          </w:p>
        </w:tc>
        <w:tc>
          <w:tcPr>
            <w:tcW w:w="60" w:type="dxa"/>
            <w:vAlign w:val="bottom"/>
            <w:tcBorders>
              <w:bottom w:val="single" w:sz="8" w:color="D7D7D7"/>
            </w:tcBorders>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r>
      <w:tr>
        <w:trPr>
          <w:trHeight w:val="255"/>
        </w:trPr>
        <w:tc>
          <w:tcPr>
            <w:tcW w:w="5840" w:type="dxa"/>
            <w:vAlign w:val="bottom"/>
            <w:shd w:val="clear" w:color="auto" w:fill="D7D7D7"/>
          </w:tcPr>
          <w:p>
            <w:pPr>
              <w:spacing w:after="0"/>
              <w:rPr>
                <w:sz w:val="22"/>
                <w:szCs w:val="22"/>
                <w:color w:val="auto"/>
              </w:rPr>
            </w:pPr>
          </w:p>
        </w:tc>
        <w:tc>
          <w:tcPr>
            <w:tcW w:w="200" w:type="dxa"/>
            <w:vAlign w:val="bottom"/>
            <w:shd w:val="clear" w:color="auto" w:fill="D7D7D7"/>
          </w:tcPr>
          <w:p>
            <w:pPr>
              <w:spacing w:after="0"/>
              <w:rPr>
                <w:sz w:val="22"/>
                <w:szCs w:val="22"/>
                <w:color w:val="auto"/>
              </w:rPr>
            </w:pPr>
          </w:p>
        </w:tc>
        <w:tc>
          <w:tcPr>
            <w:tcW w:w="86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88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20"/>
                <w:szCs w:val="20"/>
                <w:b w:val="1"/>
                <w:bCs w:val="1"/>
                <w:color w:val="2A2A2A"/>
              </w:rPr>
              <w:t>Assets of U.S. retiree health care plan:</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84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Fixed income securities and cash equivalents</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w:t>
            </w:r>
          </w:p>
        </w:tc>
        <w:tc>
          <w:tcPr>
            <w:tcW w:w="28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24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206</w:t>
            </w:r>
          </w:p>
        </w:tc>
        <w:tc>
          <w:tcPr>
            <w:tcW w:w="320" w:type="dxa"/>
            <w:vAlign w:val="bottom"/>
            <w:gridSpan w:val="2"/>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210</w:t>
            </w:r>
          </w:p>
        </w:tc>
      </w:tr>
      <w:tr>
        <w:trPr>
          <w:trHeight w:val="260"/>
        </w:trPr>
        <w:tc>
          <w:tcPr>
            <w:tcW w:w="5840" w:type="dxa"/>
            <w:vAlign w:val="bottom"/>
            <w:tcBorders>
              <w:bottom w:val="single" w:sz="8" w:color="D7D7D7"/>
            </w:tcBorders>
          </w:tcPr>
          <w:p>
            <w:pPr>
              <w:ind w:left="180"/>
              <w:spacing w:after="0"/>
              <w:rPr>
                <w:sz w:val="20"/>
                <w:szCs w:val="20"/>
                <w:color w:val="auto"/>
              </w:rPr>
            </w:pPr>
            <w:r>
              <w:rPr>
                <w:rFonts w:ascii="Arial" w:cs="Arial" w:eastAsia="Arial" w:hAnsi="Arial"/>
                <w:sz w:val="20"/>
                <w:szCs w:val="20"/>
                <w:b w:val="1"/>
                <w:bCs w:val="1"/>
                <w:color w:val="2A2A2A"/>
              </w:rPr>
              <w:t>Equity securities</w:t>
            </w:r>
          </w:p>
        </w:tc>
        <w:tc>
          <w:tcPr>
            <w:tcW w:w="200" w:type="dxa"/>
            <w:vAlign w:val="bottom"/>
            <w:tcBorders>
              <w:bottom w:val="single" w:sz="8" w:color="2A2A2A"/>
            </w:tcBorders>
          </w:tcPr>
          <w:p>
            <w:pPr>
              <w:spacing w:after="0"/>
              <w:rPr>
                <w:sz w:val="22"/>
                <w:szCs w:val="22"/>
                <w:color w:val="auto"/>
              </w:rPr>
            </w:pPr>
          </w:p>
        </w:tc>
        <w:tc>
          <w:tcPr>
            <w:tcW w:w="86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22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54</w:t>
            </w:r>
          </w:p>
        </w:tc>
        <w:tc>
          <w:tcPr>
            <w:tcW w:w="6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54</w:t>
            </w:r>
          </w:p>
        </w:tc>
      </w:tr>
      <w:tr>
        <w:trPr>
          <w:trHeight w:val="255"/>
        </w:trPr>
        <w:tc>
          <w:tcPr>
            <w:tcW w:w="5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b w:val="1"/>
                <w:bCs w:val="1"/>
                <w:color w:val="2A2A2A"/>
              </w:rPr>
              <w:t>Total</w:t>
            </w:r>
          </w:p>
        </w:tc>
        <w:tc>
          <w:tcPr>
            <w:tcW w:w="2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w:t>
            </w:r>
          </w:p>
        </w:tc>
        <w:tc>
          <w:tcPr>
            <w:tcW w:w="60" w:type="dxa"/>
            <w:vAlign w:val="bottom"/>
            <w:tcBorders>
              <w:bottom w:val="single" w:sz="8" w:color="D7D7D7"/>
            </w:tcBorders>
            <w:shd w:val="clear" w:color="auto" w:fill="D7D7D7"/>
          </w:tcPr>
          <w:p>
            <w:pPr>
              <w:spacing w:after="0"/>
              <w:rPr>
                <w:sz w:val="21"/>
                <w:szCs w:val="21"/>
                <w:color w:val="auto"/>
              </w:rPr>
            </w:pPr>
          </w:p>
        </w:tc>
        <w:tc>
          <w:tcPr>
            <w:tcW w:w="2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260</w:t>
            </w:r>
          </w:p>
        </w:tc>
        <w:tc>
          <w:tcPr>
            <w:tcW w:w="6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264</w:t>
            </w:r>
          </w:p>
        </w:tc>
      </w:tr>
      <w:tr>
        <w:trPr>
          <w:trHeight w:val="20"/>
        </w:trPr>
        <w:tc>
          <w:tcPr>
            <w:tcW w:w="5840" w:type="dxa"/>
            <w:vAlign w:val="bottom"/>
            <w:tcBorders>
              <w:top w:val="single" w:sz="8" w:color="D7D7D7"/>
            </w:tcBorders>
          </w:tcPr>
          <w:p>
            <w:pPr>
              <w:spacing w:after="0" w:line="20" w:lineRule="exact"/>
              <w:rPr>
                <w:sz w:val="1"/>
                <w:szCs w:val="1"/>
                <w:color w:val="auto"/>
              </w:rPr>
            </w:pPr>
          </w:p>
        </w:tc>
        <w:tc>
          <w:tcPr>
            <w:tcW w:w="200" w:type="dxa"/>
            <w:vAlign w:val="bottom"/>
            <w:tcBorders>
              <w:top w:val="single" w:sz="8" w:color="D7D7D7"/>
              <w:bottom w:val="single" w:sz="8" w:color="2A2A2A"/>
            </w:tcBorders>
          </w:tcPr>
          <w:p>
            <w:pPr>
              <w:spacing w:after="0" w:line="20" w:lineRule="exact"/>
              <w:rPr>
                <w:sz w:val="1"/>
                <w:szCs w:val="1"/>
                <w:color w:val="auto"/>
              </w:rPr>
            </w:pPr>
          </w:p>
        </w:tc>
        <w:tc>
          <w:tcPr>
            <w:tcW w:w="86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D7D7D7"/>
              <w:bottom w:val="single" w:sz="8" w:color="2A2A2A"/>
            </w:tcBorders>
          </w:tcPr>
          <w:p>
            <w:pPr>
              <w:spacing w:after="0" w:line="20" w:lineRule="exact"/>
              <w:rPr>
                <w:sz w:val="1"/>
                <w:szCs w:val="1"/>
                <w:color w:val="auto"/>
              </w:rPr>
            </w:pPr>
          </w:p>
        </w:tc>
        <w:tc>
          <w:tcPr>
            <w:tcW w:w="8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88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r>
        <w:trPr>
          <w:trHeight w:val="235"/>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584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Assets of non-U.S. defined benefit plans:</w:t>
            </w:r>
          </w:p>
        </w:tc>
        <w:tc>
          <w:tcPr>
            <w:tcW w:w="200" w:type="dxa"/>
            <w:vAlign w:val="bottom"/>
            <w:shd w:val="clear" w:color="auto" w:fill="D7D7D7"/>
          </w:tcPr>
          <w:p>
            <w:pPr>
              <w:spacing w:after="0"/>
              <w:rPr>
                <w:sz w:val="23"/>
                <w:szCs w:val="23"/>
                <w:color w:val="auto"/>
              </w:rPr>
            </w:pPr>
          </w:p>
        </w:tc>
        <w:tc>
          <w:tcPr>
            <w:tcW w:w="86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88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spacing w:after="0"/>
              <w:rPr>
                <w:sz w:val="23"/>
                <w:szCs w:val="23"/>
                <w:color w:val="auto"/>
              </w:rPr>
            </w:pPr>
          </w:p>
        </w:tc>
      </w:tr>
      <w:tr>
        <w:trPr>
          <w:trHeight w:val="270"/>
        </w:trPr>
        <w:tc>
          <w:tcPr>
            <w:tcW w:w="5840" w:type="dxa"/>
            <w:vAlign w:val="bottom"/>
          </w:tcPr>
          <w:p>
            <w:pPr>
              <w:ind w:left="180"/>
              <w:spacing w:after="0"/>
              <w:rPr>
                <w:sz w:val="20"/>
                <w:szCs w:val="20"/>
                <w:color w:val="auto"/>
              </w:rPr>
            </w:pPr>
            <w:r>
              <w:rPr>
                <w:rFonts w:ascii="Arial" w:cs="Arial" w:eastAsia="Arial" w:hAnsi="Arial"/>
                <w:sz w:val="20"/>
                <w:szCs w:val="20"/>
                <w:b w:val="1"/>
                <w:bCs w:val="1"/>
                <w:color w:val="2A2A2A"/>
              </w:rPr>
              <w:t>Fixed income securities and cash equivalents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2A2A2A"/>
              </w:rPr>
              <w:t>49</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2A2A2A"/>
              </w:rPr>
              <w:t>52</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2A2A2A"/>
              </w:rPr>
              <w:t>1,343</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1,444</w:t>
            </w:r>
          </w:p>
        </w:tc>
      </w:tr>
      <w:tr>
        <w:trPr>
          <w:trHeight w:val="280"/>
        </w:trPr>
        <w:tc>
          <w:tcPr>
            <w:tcW w:w="58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b w:val="1"/>
                <w:bCs w:val="1"/>
                <w:color w:val="2A2A2A"/>
              </w:rPr>
              <w:t>Equity securities</w:t>
            </w:r>
          </w:p>
        </w:tc>
        <w:tc>
          <w:tcPr>
            <w:tcW w:w="20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57</w:t>
            </w:r>
          </w:p>
        </w:tc>
        <w:tc>
          <w:tcPr>
            <w:tcW w:w="6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6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364</w:t>
            </w:r>
          </w:p>
        </w:tc>
        <w:tc>
          <w:tcPr>
            <w:tcW w:w="6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422</w:t>
            </w:r>
          </w:p>
        </w:tc>
      </w:tr>
      <w:tr>
        <w:trPr>
          <w:trHeight w:val="210"/>
        </w:trPr>
        <w:tc>
          <w:tcPr>
            <w:tcW w:w="5840" w:type="dxa"/>
            <w:vAlign w:val="bottom"/>
          </w:tcPr>
          <w:p>
            <w:pPr>
              <w:ind w:left="60"/>
              <w:spacing w:after="0" w:line="210" w:lineRule="exact"/>
              <w:rPr>
                <w:sz w:val="20"/>
                <w:szCs w:val="20"/>
                <w:color w:val="auto"/>
              </w:rPr>
            </w:pPr>
            <w:r>
              <w:rPr>
                <w:rFonts w:ascii="Arial" w:cs="Arial" w:eastAsia="Arial" w:hAnsi="Arial"/>
                <w:sz w:val="20"/>
                <w:szCs w:val="20"/>
                <w:b w:val="1"/>
                <w:bCs w:val="1"/>
                <w:color w:val="2A2A2A"/>
              </w:rPr>
              <w:t>Total</w:t>
            </w:r>
          </w:p>
        </w:tc>
        <w:tc>
          <w:tcPr>
            <w:tcW w:w="2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106</w:t>
            </w:r>
          </w:p>
        </w:tc>
        <w:tc>
          <w:tcPr>
            <w:tcW w:w="6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53</w:t>
            </w:r>
          </w:p>
        </w:tc>
        <w:tc>
          <w:tcPr>
            <w:tcW w:w="60" w:type="dxa"/>
            <w:vAlign w:val="bottom"/>
          </w:tcPr>
          <w:p>
            <w:pPr>
              <w:spacing w:after="0"/>
              <w:rPr>
                <w:sz w:val="18"/>
                <w:szCs w:val="18"/>
                <w:color w:val="auto"/>
              </w:rPr>
            </w:pPr>
          </w:p>
        </w:tc>
        <w:tc>
          <w:tcPr>
            <w:tcW w:w="1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1,707</w:t>
            </w:r>
          </w:p>
        </w:tc>
        <w:tc>
          <w:tcPr>
            <w:tcW w:w="6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1,866</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2A2A2A"/>
            </w:tcBorders>
          </w:tcPr>
          <w:p>
            <w:pPr>
              <w:spacing w:after="0" w:line="20" w:lineRule="exact"/>
              <w:rPr>
                <w:sz w:val="1"/>
                <w:szCs w:val="1"/>
                <w:color w:val="auto"/>
              </w:rPr>
            </w:pPr>
          </w:p>
        </w:tc>
        <w:tc>
          <w:tcPr>
            <w:tcW w:w="86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A2A2A"/>
            </w:tcBorders>
          </w:tcPr>
          <w:p>
            <w:pPr>
              <w:spacing w:after="0" w:line="20" w:lineRule="exact"/>
              <w:rPr>
                <w:sz w:val="1"/>
                <w:szCs w:val="1"/>
                <w:color w:val="auto"/>
              </w:rPr>
            </w:pPr>
          </w:p>
        </w:tc>
        <w:tc>
          <w:tcPr>
            <w:tcW w:w="880" w:type="dxa"/>
            <w:vAlign w:val="bottom"/>
            <w:tcBorders>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-2621915</wp:posOffset>
            </wp:positionV>
            <wp:extent cx="14541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4150" cy="2540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-2450465</wp:posOffset>
            </wp:positionV>
            <wp:extent cx="14541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54150" cy="2540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-1936115</wp:posOffset>
            </wp:positionV>
            <wp:extent cx="284480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44800" cy="2540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-1751965</wp:posOffset>
            </wp:positionV>
            <wp:extent cx="28448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44800" cy="2540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-1069340</wp:posOffset>
            </wp:positionV>
            <wp:extent cx="284480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44800" cy="2540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-910590</wp:posOffset>
            </wp:positionV>
            <wp:extent cx="28448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44800" cy="2540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-202565</wp:posOffset>
            </wp:positionV>
            <wp:extent cx="284480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44800" cy="25400"/>
                    </a:xfrm>
                    <a:prstGeom prst="rect">
                      <a:avLst/>
                    </a:prstGeom>
                    <a:noFill/>
                  </pic:spPr>
                </pic:pic>
              </a:graphicData>
            </a:graphic>
          </wp:anchor>
        </w:drawing>
      </w:r>
    </w:p>
    <w:p>
      <w:pPr>
        <w:spacing w:after="0" w:line="235" w:lineRule="exact"/>
        <w:rPr>
          <w:sz w:val="20"/>
          <w:szCs w:val="20"/>
          <w:color w:val="auto"/>
        </w:rPr>
      </w:pPr>
    </w:p>
    <w:p>
      <w:pPr>
        <w:ind w:left="541" w:right="680" w:hanging="541"/>
        <w:spacing w:after="0" w:line="287" w:lineRule="auto"/>
        <w:tabs>
          <w:tab w:leader="none" w:pos="541" w:val="left"/>
        </w:tabs>
        <w:numPr>
          <w:ilvl w:val="0"/>
          <w:numId w:val="28"/>
        </w:numPr>
        <w:rPr>
          <w:rFonts w:ascii="Arial" w:cs="Arial" w:eastAsia="Arial" w:hAnsi="Arial"/>
          <w:sz w:val="20"/>
          <w:szCs w:val="20"/>
          <w:color w:val="2A2A2A"/>
        </w:rPr>
      </w:pPr>
      <w:r>
        <w:rPr>
          <w:rFonts w:ascii="Arial" w:cs="Arial" w:eastAsia="Arial" w:hAnsi="Arial"/>
          <w:sz w:val="20"/>
          <w:szCs w:val="20"/>
          <w:color w:val="2A2A2A"/>
        </w:rPr>
        <w:t>Consists of bond index and equity index funds, measured at net asset value per share, as well as cash equivalents.</w:t>
      </w:r>
    </w:p>
    <w:p>
      <w:pPr>
        <w:sectPr>
          <w:pgSz w:w="12240" w:h="15840" w:orient="portrait"/>
          <w:cols w:equalWidth="0" w:num="1">
            <w:col w:w="10281"/>
          </w:cols>
          <w:pgMar w:left="979"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47</w:t>
      </w:r>
    </w:p>
    <w:p>
      <w:pPr>
        <w:sectPr>
          <w:pgSz w:w="12240" w:h="15840" w:orient="portrait"/>
          <w:cols w:equalWidth="0" w:num="1">
            <w:col w:w="10281"/>
          </w:cols>
          <w:pgMar w:left="979" w:top="664" w:right="980" w:bottom="24" w:gutter="0" w:footer="0" w:header="0"/>
          <w:type w:val="continuous"/>
        </w:sectPr>
      </w:pPr>
    </w:p>
    <w:bookmarkStart w:id="53" w:name="page54"/>
    <w:bookmarkEnd w:id="53"/>
    <w:tbl>
      <w:tblPr>
        <w:tblLayout w:type="fixed"/>
        <w:tblInd w:w="1"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20" w:type="dxa"/>
            <w:vAlign w:val="bottom"/>
            <w:tcBorders>
              <w:bottom w:val="single" w:sz="8" w:color="2A2A2A"/>
            </w:tcBorders>
          </w:tcPr>
          <w:p>
            <w:pPr>
              <w:spacing w:after="0"/>
              <w:rPr>
                <w:sz w:val="18"/>
                <w:szCs w:val="18"/>
                <w:color w:val="auto"/>
              </w:rPr>
            </w:pPr>
          </w:p>
        </w:tc>
        <w:tc>
          <w:tcPr>
            <w:tcW w:w="2040" w:type="dxa"/>
            <w:vAlign w:val="bottom"/>
            <w:tcBorders>
              <w:bottom w:val="single" w:sz="8" w:color="2A2A2A"/>
            </w:tcBorders>
            <w:gridSpan w:val="4"/>
          </w:tcPr>
          <w:p>
            <w:pPr>
              <w:jc w:val="right"/>
              <w:ind w:right="302"/>
              <w:spacing w:after="0"/>
              <w:rPr>
                <w:sz w:val="20"/>
                <w:szCs w:val="20"/>
                <w:color w:val="auto"/>
              </w:rPr>
            </w:pPr>
            <w:r>
              <w:rPr>
                <w:rFonts w:ascii="Arial" w:cs="Arial" w:eastAsia="Arial" w:hAnsi="Arial"/>
                <w:sz w:val="16"/>
                <w:szCs w:val="16"/>
                <w:b w:val="1"/>
                <w:bCs w:val="1"/>
                <w:color w:val="2A2A2A"/>
              </w:rPr>
              <w:t>December 31, 2022</w:t>
            </w:r>
          </w:p>
        </w:tc>
        <w:tc>
          <w:tcPr>
            <w:tcW w:w="80" w:type="dxa"/>
            <w:vAlign w:val="bottom"/>
            <w:tcBorders>
              <w:bottom w:val="single" w:sz="8" w:color="2A2A2A"/>
            </w:tcBorders>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840" w:type="dxa"/>
            <w:vAlign w:val="bottom"/>
            <w:tcBorders>
              <w:bottom w:val="single" w:sz="8" w:color="2A2A2A"/>
            </w:tcBorders>
          </w:tcPr>
          <w:p>
            <w:pPr>
              <w:spacing w:after="0"/>
              <w:rPr>
                <w:sz w:val="18"/>
                <w:szCs w:val="18"/>
                <w:color w:val="auto"/>
              </w:rPr>
            </w:pPr>
          </w:p>
        </w:tc>
      </w:tr>
      <w:tr>
        <w:trPr>
          <w:trHeight w:val="250"/>
        </w:trPr>
        <w:tc>
          <w:tcPr>
            <w:tcW w:w="566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860" w:type="dxa"/>
            <w:vAlign w:val="bottom"/>
            <w:tcBorders>
              <w:bottom w:val="single" w:sz="8" w:color="2A2A2A"/>
            </w:tcBorders>
          </w:tcPr>
          <w:p>
            <w:pPr>
              <w:jc w:val="right"/>
              <w:ind w:right="162"/>
              <w:spacing w:after="0"/>
              <w:rPr>
                <w:sz w:val="20"/>
                <w:szCs w:val="20"/>
                <w:color w:val="auto"/>
              </w:rPr>
            </w:pPr>
            <w:r>
              <w:rPr>
                <w:rFonts w:ascii="Arial" w:cs="Arial" w:eastAsia="Arial" w:hAnsi="Arial"/>
                <w:sz w:val="16"/>
                <w:szCs w:val="16"/>
                <w:b w:val="1"/>
                <w:bCs w:val="1"/>
                <w:color w:val="2A2A2A"/>
              </w:rPr>
              <w:t>Level 1</w:t>
            </w:r>
          </w:p>
        </w:tc>
        <w:tc>
          <w:tcPr>
            <w:tcW w:w="80" w:type="dxa"/>
            <w:vAlign w:val="bottom"/>
            <w:tcBorders>
              <w:bottom w:val="single" w:sz="8" w:color="2A2A2A"/>
            </w:tcBorders>
          </w:tcPr>
          <w:p>
            <w:pPr>
              <w:spacing w:after="0"/>
              <w:rPr>
                <w:sz w:val="21"/>
                <w:szCs w:val="21"/>
                <w:color w:val="auto"/>
              </w:rPr>
            </w:pPr>
          </w:p>
        </w:tc>
        <w:tc>
          <w:tcPr>
            <w:tcW w:w="220" w:type="dxa"/>
            <w:vAlign w:val="bottom"/>
            <w:tcBorders>
              <w:bottom w:val="single" w:sz="8" w:color="2A2A2A"/>
            </w:tcBorders>
          </w:tcPr>
          <w:p>
            <w:pPr>
              <w:spacing w:after="0"/>
              <w:rPr>
                <w:sz w:val="21"/>
                <w:szCs w:val="21"/>
                <w:color w:val="auto"/>
              </w:rPr>
            </w:pPr>
          </w:p>
        </w:tc>
        <w:tc>
          <w:tcPr>
            <w:tcW w:w="880" w:type="dxa"/>
            <w:vAlign w:val="bottom"/>
            <w:tcBorders>
              <w:bottom w:val="single" w:sz="8" w:color="2A2A2A"/>
            </w:tcBorders>
          </w:tcPr>
          <w:p>
            <w:pPr>
              <w:jc w:val="right"/>
              <w:ind w:right="184"/>
              <w:spacing w:after="0"/>
              <w:rPr>
                <w:sz w:val="20"/>
                <w:szCs w:val="20"/>
                <w:color w:val="auto"/>
              </w:rPr>
            </w:pPr>
            <w:r>
              <w:rPr>
                <w:rFonts w:ascii="Arial" w:cs="Arial" w:eastAsia="Arial" w:hAnsi="Arial"/>
                <w:sz w:val="16"/>
                <w:szCs w:val="16"/>
                <w:b w:val="1"/>
                <w:bCs w:val="1"/>
                <w:color w:val="2A2A2A"/>
              </w:rPr>
              <w:t>Level 2</w:t>
            </w:r>
          </w:p>
        </w:tc>
        <w:tc>
          <w:tcPr>
            <w:tcW w:w="80" w:type="dxa"/>
            <w:vAlign w:val="bottom"/>
            <w:tcBorders>
              <w:bottom w:val="single" w:sz="8" w:color="2A2A2A"/>
            </w:tcBorders>
          </w:tcPr>
          <w:p>
            <w:pPr>
              <w:spacing w:after="0"/>
              <w:rPr>
                <w:sz w:val="21"/>
                <w:szCs w:val="21"/>
                <w:color w:val="auto"/>
              </w:rPr>
            </w:pPr>
          </w:p>
        </w:tc>
        <w:tc>
          <w:tcPr>
            <w:tcW w:w="180" w:type="dxa"/>
            <w:vAlign w:val="bottom"/>
            <w:tcBorders>
              <w:bottom w:val="single" w:sz="8" w:color="2A2A2A"/>
            </w:tcBorders>
          </w:tcPr>
          <w:p>
            <w:pPr>
              <w:spacing w:after="0"/>
              <w:rPr>
                <w:sz w:val="21"/>
                <w:szCs w:val="21"/>
                <w:color w:val="auto"/>
              </w:rPr>
            </w:pPr>
          </w:p>
        </w:tc>
        <w:tc>
          <w:tcPr>
            <w:tcW w:w="900" w:type="dxa"/>
            <w:vAlign w:val="bottom"/>
            <w:tcBorders>
              <w:bottom w:val="single" w:sz="8" w:color="2A2A2A"/>
            </w:tcBorders>
          </w:tcPr>
          <w:p>
            <w:pPr>
              <w:jc w:val="right"/>
              <w:ind w:right="102"/>
              <w:spacing w:after="0"/>
              <w:rPr>
                <w:sz w:val="20"/>
                <w:szCs w:val="20"/>
                <w:color w:val="auto"/>
              </w:rPr>
            </w:pPr>
            <w:r>
              <w:rPr>
                <w:rFonts w:ascii="Arial" w:cs="Arial" w:eastAsia="Arial" w:hAnsi="Arial"/>
                <w:sz w:val="16"/>
                <w:szCs w:val="16"/>
                <w:b w:val="1"/>
                <w:bCs w:val="1"/>
                <w:color w:val="2A2A2A"/>
              </w:rPr>
              <w:t>Other (a)</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62"/>
              <w:spacing w:after="0"/>
              <w:rPr>
                <w:sz w:val="20"/>
                <w:szCs w:val="20"/>
                <w:color w:val="auto"/>
              </w:rPr>
            </w:pPr>
            <w:r>
              <w:rPr>
                <w:rFonts w:ascii="Arial" w:cs="Arial" w:eastAsia="Arial" w:hAnsi="Arial"/>
                <w:sz w:val="16"/>
                <w:szCs w:val="16"/>
                <w:b w:val="1"/>
                <w:bCs w:val="1"/>
                <w:color w:val="2A2A2A"/>
              </w:rPr>
              <w:t>Total</w:t>
            </w:r>
          </w:p>
        </w:tc>
      </w:tr>
      <w:tr>
        <w:trPr>
          <w:trHeight w:val="260"/>
        </w:trPr>
        <w:tc>
          <w:tcPr>
            <w:tcW w:w="56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Assets of U.S. defined benefit plan:</w:t>
            </w:r>
          </w:p>
        </w:tc>
        <w:tc>
          <w:tcPr>
            <w:tcW w:w="220" w:type="dxa"/>
            <w:vAlign w:val="bottom"/>
            <w:shd w:val="clear" w:color="auto" w:fill="D7D7D7"/>
          </w:tcPr>
          <w:p>
            <w:pPr>
              <w:spacing w:after="0"/>
              <w:rPr>
                <w:sz w:val="22"/>
                <w:szCs w:val="22"/>
                <w:color w:val="auto"/>
              </w:rPr>
            </w:pPr>
          </w:p>
        </w:tc>
        <w:tc>
          <w:tcPr>
            <w:tcW w:w="86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8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r>
      <w:tr>
        <w:trPr>
          <w:trHeight w:val="268"/>
        </w:trPr>
        <w:tc>
          <w:tcPr>
            <w:tcW w:w="5660" w:type="dxa"/>
            <w:vAlign w:val="bottom"/>
          </w:tcPr>
          <w:p>
            <w:pPr>
              <w:ind w:left="180"/>
              <w:spacing w:after="0"/>
              <w:rPr>
                <w:sz w:val="20"/>
                <w:szCs w:val="20"/>
                <w:color w:val="auto"/>
              </w:rPr>
            </w:pPr>
            <w:r>
              <w:rPr>
                <w:rFonts w:ascii="Arial" w:cs="Arial" w:eastAsia="Arial" w:hAnsi="Arial"/>
                <w:sz w:val="20"/>
                <w:szCs w:val="20"/>
                <w:color w:val="2A2A2A"/>
              </w:rPr>
              <w:t>Fixed income securities and cash equivalents</w:t>
            </w:r>
          </w:p>
        </w:tc>
        <w:tc>
          <w:tcPr>
            <w:tcW w:w="220" w:type="dxa"/>
            <w:vAlign w:val="bottom"/>
          </w:tcPr>
          <w:p>
            <w:pPr>
              <w:jc w:val="right"/>
              <w:spacing w:after="0"/>
              <w:rPr>
                <w:sz w:val="20"/>
                <w:szCs w:val="20"/>
                <w:color w:val="auto"/>
              </w:rPr>
            </w:pPr>
            <w:r>
              <w:rPr>
                <w:rFonts w:ascii="Arial" w:cs="Arial" w:eastAsia="Arial" w:hAnsi="Arial"/>
                <w:sz w:val="20"/>
                <w:szCs w:val="20"/>
                <w:color w:val="2A2A2A"/>
              </w:rPr>
              <w:t>$</w:t>
            </w:r>
          </w:p>
        </w:tc>
        <w:tc>
          <w:tcPr>
            <w:tcW w:w="860" w:type="dxa"/>
            <w:vAlign w:val="bottom"/>
          </w:tcPr>
          <w:p>
            <w:pPr>
              <w:jc w:val="right"/>
              <w:spacing w:after="0"/>
              <w:rPr>
                <w:sz w:val="20"/>
                <w:szCs w:val="20"/>
                <w:color w:val="auto"/>
              </w:rPr>
            </w:pPr>
            <w:r>
              <w:rPr>
                <w:rFonts w:ascii="Arial" w:cs="Arial" w:eastAsia="Arial" w:hAnsi="Arial"/>
                <w:sz w:val="20"/>
                <w:szCs w:val="20"/>
                <w:color w:val="2A2A2A"/>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80" w:type="dxa"/>
            <w:vAlign w:val="bottom"/>
          </w:tcPr>
          <w:p>
            <w:pPr>
              <w:jc w:val="right"/>
              <w:spacing w:after="0"/>
              <w:rPr>
                <w:sz w:val="20"/>
                <w:szCs w:val="20"/>
                <w:color w:val="auto"/>
              </w:rPr>
            </w:pPr>
            <w:r>
              <w:rPr>
                <w:rFonts w:ascii="Arial" w:cs="Arial" w:eastAsia="Arial" w:hAnsi="Arial"/>
                <w:sz w:val="20"/>
                <w:szCs w:val="20"/>
                <w:color w:val="2A2A2A"/>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900" w:type="dxa"/>
            <w:vAlign w:val="bottom"/>
          </w:tcPr>
          <w:p>
            <w:pPr>
              <w:jc w:val="right"/>
              <w:spacing w:after="0"/>
              <w:rPr>
                <w:sz w:val="20"/>
                <w:szCs w:val="20"/>
                <w:color w:val="auto"/>
              </w:rPr>
            </w:pPr>
            <w:r>
              <w:rPr>
                <w:rFonts w:ascii="Arial" w:cs="Arial" w:eastAsia="Arial" w:hAnsi="Arial"/>
                <w:sz w:val="20"/>
                <w:szCs w:val="20"/>
                <w:color w:val="2A2A2A"/>
              </w:rPr>
              <w:t>272</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272</w:t>
            </w:r>
          </w:p>
        </w:tc>
      </w:tr>
      <w:tr>
        <w:trPr>
          <w:trHeight w:val="283"/>
        </w:trPr>
        <w:tc>
          <w:tcPr>
            <w:tcW w:w="566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Equity securities</w:t>
            </w:r>
          </w:p>
        </w:tc>
        <w:tc>
          <w:tcPr>
            <w:tcW w:w="22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149</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149</w:t>
            </w:r>
          </w:p>
        </w:tc>
      </w:tr>
      <w:tr>
        <w:trPr>
          <w:trHeight w:val="210"/>
        </w:trPr>
        <w:tc>
          <w:tcPr>
            <w:tcW w:w="566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0" w:type="dxa"/>
            <w:vAlign w:val="bottom"/>
          </w:tcPr>
          <w:p>
            <w:pPr>
              <w:spacing w:after="0"/>
              <w:rPr>
                <w:sz w:val="18"/>
                <w:szCs w:val="18"/>
                <w:color w:val="auto"/>
              </w:rPr>
            </w:pPr>
          </w:p>
        </w:tc>
        <w:tc>
          <w:tcPr>
            <w:tcW w:w="1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421</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421</w:t>
            </w:r>
          </w:p>
        </w:tc>
      </w:tr>
      <w:tr>
        <w:trPr>
          <w:trHeight w:val="20"/>
        </w:trPr>
        <w:tc>
          <w:tcPr>
            <w:tcW w:w="5660" w:type="dxa"/>
            <w:vAlign w:val="bottom"/>
            <w:tcBorders>
              <w:bottom w:val="single" w:sz="8" w:color="D7D7D7"/>
            </w:tcBorders>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60" w:type="dxa"/>
            <w:vAlign w:val="bottom"/>
            <w:tcBorders>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80" w:type="dxa"/>
            <w:vAlign w:val="bottom"/>
            <w:tcBorders>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180" w:type="dxa"/>
            <w:vAlign w:val="bottom"/>
            <w:tcBorders>
              <w:bottom w:val="single" w:sz="8" w:color="2A2A2A"/>
            </w:tcBorders>
          </w:tcPr>
          <w:p>
            <w:pPr>
              <w:spacing w:after="0" w:line="20" w:lineRule="exact"/>
              <w:rPr>
                <w:sz w:val="1"/>
                <w:szCs w:val="1"/>
                <w:color w:val="auto"/>
              </w:rPr>
            </w:pPr>
          </w:p>
        </w:tc>
        <w:tc>
          <w:tcPr>
            <w:tcW w:w="900" w:type="dxa"/>
            <w:vAlign w:val="bottom"/>
            <w:tcBorders>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r>
        <w:trPr>
          <w:trHeight w:val="255"/>
        </w:trPr>
        <w:tc>
          <w:tcPr>
            <w:tcW w:w="566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86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20" w:type="dxa"/>
            <w:vAlign w:val="bottom"/>
            <w:shd w:val="clear" w:color="auto" w:fill="D7D7D7"/>
          </w:tcPr>
          <w:p>
            <w:pPr>
              <w:spacing w:after="0"/>
              <w:rPr>
                <w:sz w:val="22"/>
                <w:szCs w:val="22"/>
                <w:color w:val="auto"/>
              </w:rPr>
            </w:pPr>
          </w:p>
        </w:tc>
        <w:tc>
          <w:tcPr>
            <w:tcW w:w="8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1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6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r>
      <w:tr>
        <w:trPr>
          <w:trHeight w:val="268"/>
        </w:trPr>
        <w:tc>
          <w:tcPr>
            <w:tcW w:w="5660" w:type="dxa"/>
            <w:vAlign w:val="bottom"/>
          </w:tcPr>
          <w:p>
            <w:pPr>
              <w:ind w:left="60"/>
              <w:spacing w:after="0"/>
              <w:rPr>
                <w:sz w:val="20"/>
                <w:szCs w:val="20"/>
                <w:color w:val="auto"/>
              </w:rPr>
            </w:pPr>
            <w:r>
              <w:rPr>
                <w:rFonts w:ascii="Arial" w:cs="Arial" w:eastAsia="Arial" w:hAnsi="Arial"/>
                <w:sz w:val="20"/>
                <w:szCs w:val="20"/>
                <w:color w:val="2A2A2A"/>
              </w:rPr>
              <w:t>Assets of U.S. retiree health care plan:</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3"/>
        </w:trPr>
        <w:tc>
          <w:tcPr>
            <w:tcW w:w="566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Fixed income securities and cash equivalents</w:t>
            </w:r>
          </w:p>
        </w:tc>
        <w:tc>
          <w:tcPr>
            <w:tcW w:w="2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w:t>
            </w:r>
          </w:p>
        </w:tc>
        <w:tc>
          <w:tcPr>
            <w:tcW w:w="30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26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175</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182</w:t>
            </w:r>
          </w:p>
        </w:tc>
      </w:tr>
      <w:tr>
        <w:trPr>
          <w:trHeight w:val="260"/>
        </w:trPr>
        <w:tc>
          <w:tcPr>
            <w:tcW w:w="5660" w:type="dxa"/>
            <w:vAlign w:val="bottom"/>
            <w:tcBorders>
              <w:bottom w:val="single" w:sz="8" w:color="D7D7D7"/>
            </w:tcBorders>
          </w:tcPr>
          <w:p>
            <w:pPr>
              <w:ind w:left="180"/>
              <w:spacing w:after="0"/>
              <w:rPr>
                <w:sz w:val="20"/>
                <w:szCs w:val="20"/>
                <w:color w:val="auto"/>
              </w:rPr>
            </w:pPr>
            <w:r>
              <w:rPr>
                <w:rFonts w:ascii="Arial" w:cs="Arial" w:eastAsia="Arial" w:hAnsi="Arial"/>
                <w:sz w:val="20"/>
                <w:szCs w:val="20"/>
                <w:color w:val="2A2A2A"/>
              </w:rPr>
              <w:t>Equity securities</w:t>
            </w:r>
          </w:p>
        </w:tc>
        <w:tc>
          <w:tcPr>
            <w:tcW w:w="220" w:type="dxa"/>
            <w:vAlign w:val="bottom"/>
            <w:tcBorders>
              <w:bottom w:val="single" w:sz="8" w:color="2A2A2A"/>
            </w:tcBorders>
          </w:tcPr>
          <w:p>
            <w:pPr>
              <w:spacing w:after="0"/>
              <w:rPr>
                <w:sz w:val="22"/>
                <w:szCs w:val="22"/>
                <w:color w:val="auto"/>
              </w:rPr>
            </w:pPr>
          </w:p>
        </w:tc>
        <w:tc>
          <w:tcPr>
            <w:tcW w:w="86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220" w:type="dxa"/>
            <w:vAlign w:val="bottom"/>
            <w:tcBorders>
              <w:bottom w:val="single" w:sz="8" w:color="2A2A2A"/>
            </w:tcBorders>
          </w:tcPr>
          <w:p>
            <w:pPr>
              <w:spacing w:after="0"/>
              <w:rPr>
                <w:sz w:val="22"/>
                <w:szCs w:val="22"/>
                <w:color w:val="auto"/>
              </w:rPr>
            </w:pPr>
          </w:p>
        </w:tc>
        <w:tc>
          <w:tcPr>
            <w:tcW w:w="88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tcPr>
          <w:p>
            <w:pPr>
              <w:spacing w:after="0"/>
              <w:rPr>
                <w:sz w:val="22"/>
                <w:szCs w:val="22"/>
                <w:color w:val="auto"/>
              </w:rPr>
            </w:pPr>
          </w:p>
        </w:tc>
        <w:tc>
          <w:tcPr>
            <w:tcW w:w="180" w:type="dxa"/>
            <w:vAlign w:val="bottom"/>
            <w:tcBorders>
              <w:bottom w:val="single" w:sz="8" w:color="2A2A2A"/>
            </w:tcBorders>
          </w:tcPr>
          <w:p>
            <w:pPr>
              <w:spacing w:after="0"/>
              <w:rPr>
                <w:sz w:val="22"/>
                <w:szCs w:val="22"/>
                <w:color w:val="auto"/>
              </w:rPr>
            </w:pPr>
          </w:p>
        </w:tc>
        <w:tc>
          <w:tcPr>
            <w:tcW w:w="90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98</w:t>
            </w:r>
          </w:p>
        </w:tc>
        <w:tc>
          <w:tcPr>
            <w:tcW w:w="80" w:type="dxa"/>
            <w:vAlign w:val="bottom"/>
            <w:tcBorders>
              <w:bottom w:val="single" w:sz="8" w:color="D7D7D7"/>
            </w:tcBorders>
          </w:tcPr>
          <w:p>
            <w:pPr>
              <w:spacing w:after="0"/>
              <w:rPr>
                <w:sz w:val="22"/>
                <w:szCs w:val="22"/>
                <w:color w:val="auto"/>
              </w:rPr>
            </w:pPr>
          </w:p>
        </w:tc>
        <w:tc>
          <w:tcPr>
            <w:tcW w:w="260" w:type="dxa"/>
            <w:vAlign w:val="bottom"/>
            <w:tcBorders>
              <w:bottom w:val="single" w:sz="8" w:color="2A2A2A"/>
            </w:tcBorders>
          </w:tcPr>
          <w:p>
            <w:pPr>
              <w:spacing w:after="0"/>
              <w:rPr>
                <w:sz w:val="22"/>
                <w:szCs w:val="22"/>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98</w:t>
            </w:r>
          </w:p>
        </w:tc>
      </w:tr>
      <w:tr>
        <w:trPr>
          <w:trHeight w:val="255"/>
        </w:trPr>
        <w:tc>
          <w:tcPr>
            <w:tcW w:w="566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7</w:t>
            </w:r>
          </w:p>
        </w:tc>
        <w:tc>
          <w:tcPr>
            <w:tcW w:w="80" w:type="dxa"/>
            <w:vAlign w:val="bottom"/>
            <w:tcBorders>
              <w:bottom w:val="single" w:sz="8" w:color="D7D7D7"/>
            </w:tcBorders>
            <w:shd w:val="clear" w:color="auto" w:fill="D7D7D7"/>
          </w:tcPr>
          <w:p>
            <w:pPr>
              <w:spacing w:after="0"/>
              <w:rPr>
                <w:sz w:val="21"/>
                <w:szCs w:val="21"/>
                <w:color w:val="auto"/>
              </w:rPr>
            </w:pPr>
          </w:p>
        </w:tc>
        <w:tc>
          <w:tcPr>
            <w:tcW w:w="2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0" w:type="dxa"/>
            <w:vAlign w:val="bottom"/>
            <w:tcBorders>
              <w:bottom w:val="single" w:sz="8" w:color="D7D7D7"/>
            </w:tcBorders>
            <w:shd w:val="clear" w:color="auto" w:fill="D7D7D7"/>
          </w:tcPr>
          <w:p>
            <w:pPr>
              <w:spacing w:after="0"/>
              <w:rPr>
                <w:sz w:val="21"/>
                <w:szCs w:val="21"/>
                <w:color w:val="auto"/>
              </w:rPr>
            </w:pPr>
          </w:p>
        </w:tc>
        <w:tc>
          <w:tcPr>
            <w:tcW w:w="1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273</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280</w:t>
            </w:r>
          </w:p>
        </w:tc>
      </w:tr>
      <w:tr>
        <w:trPr>
          <w:trHeight w:val="20"/>
        </w:trPr>
        <w:tc>
          <w:tcPr>
            <w:tcW w:w="566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D7D7D7"/>
              <w:bottom w:val="single" w:sz="8" w:color="2A2A2A"/>
            </w:tcBorders>
          </w:tcPr>
          <w:p>
            <w:pPr>
              <w:spacing w:after="0" w:line="20" w:lineRule="exact"/>
              <w:rPr>
                <w:sz w:val="1"/>
                <w:szCs w:val="1"/>
                <w:color w:val="auto"/>
              </w:rPr>
            </w:pPr>
          </w:p>
        </w:tc>
        <w:tc>
          <w:tcPr>
            <w:tcW w:w="86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20" w:type="dxa"/>
            <w:vAlign w:val="bottom"/>
            <w:tcBorders>
              <w:top w:val="single" w:sz="8" w:color="D7D7D7"/>
              <w:bottom w:val="single" w:sz="8" w:color="2A2A2A"/>
            </w:tcBorders>
          </w:tcPr>
          <w:p>
            <w:pPr>
              <w:spacing w:after="0" w:line="20" w:lineRule="exact"/>
              <w:rPr>
                <w:sz w:val="1"/>
                <w:szCs w:val="1"/>
                <w:color w:val="auto"/>
              </w:rPr>
            </w:pPr>
          </w:p>
        </w:tc>
        <w:tc>
          <w:tcPr>
            <w:tcW w:w="88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180" w:type="dxa"/>
            <w:vAlign w:val="bottom"/>
            <w:tcBorders>
              <w:top w:val="single" w:sz="8" w:color="D7D7D7"/>
              <w:bottom w:val="single" w:sz="8" w:color="2A2A2A"/>
            </w:tcBorders>
          </w:tcPr>
          <w:p>
            <w:pPr>
              <w:spacing w:after="0" w:line="20" w:lineRule="exact"/>
              <w:rPr>
                <w:sz w:val="1"/>
                <w:szCs w:val="1"/>
                <w:color w:val="auto"/>
              </w:rPr>
            </w:pPr>
          </w:p>
        </w:tc>
        <w:tc>
          <w:tcPr>
            <w:tcW w:w="90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40" w:type="dxa"/>
            <w:vAlign w:val="bottom"/>
            <w:tcBorders>
              <w:top w:val="single" w:sz="8" w:color="D7D7D7"/>
              <w:bottom w:val="single" w:sz="8" w:color="2A2A2A"/>
            </w:tcBorders>
          </w:tcPr>
          <w:p>
            <w:pPr>
              <w:spacing w:after="0" w:line="20" w:lineRule="exact"/>
              <w:rPr>
                <w:sz w:val="1"/>
                <w:szCs w:val="1"/>
                <w:color w:val="auto"/>
              </w:rPr>
            </w:pPr>
          </w:p>
        </w:tc>
      </w:tr>
      <w:tr>
        <w:trPr>
          <w:trHeight w:val="235"/>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56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Assets of non-U.S. defined benefit plans:</w:t>
            </w:r>
          </w:p>
        </w:tc>
        <w:tc>
          <w:tcPr>
            <w:tcW w:w="220" w:type="dxa"/>
            <w:vAlign w:val="bottom"/>
            <w:shd w:val="clear" w:color="auto" w:fill="D7D7D7"/>
          </w:tcPr>
          <w:p>
            <w:pPr>
              <w:spacing w:after="0"/>
              <w:rPr>
                <w:sz w:val="23"/>
                <w:szCs w:val="23"/>
                <w:color w:val="auto"/>
              </w:rPr>
            </w:pPr>
          </w:p>
        </w:tc>
        <w:tc>
          <w:tcPr>
            <w:tcW w:w="86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20" w:type="dxa"/>
            <w:vAlign w:val="bottom"/>
            <w:shd w:val="clear" w:color="auto" w:fill="D7D7D7"/>
          </w:tcPr>
          <w:p>
            <w:pPr>
              <w:spacing w:after="0"/>
              <w:rPr>
                <w:sz w:val="23"/>
                <w:szCs w:val="23"/>
                <w:color w:val="auto"/>
              </w:rPr>
            </w:pPr>
          </w:p>
        </w:tc>
        <w:tc>
          <w:tcPr>
            <w:tcW w:w="8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90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r>
      <w:tr>
        <w:trPr>
          <w:trHeight w:val="268"/>
        </w:trPr>
        <w:tc>
          <w:tcPr>
            <w:tcW w:w="5660" w:type="dxa"/>
            <w:vAlign w:val="bottom"/>
          </w:tcPr>
          <w:p>
            <w:pPr>
              <w:ind w:left="180"/>
              <w:spacing w:after="0"/>
              <w:rPr>
                <w:sz w:val="20"/>
                <w:szCs w:val="20"/>
                <w:color w:val="auto"/>
              </w:rPr>
            </w:pPr>
            <w:r>
              <w:rPr>
                <w:rFonts w:ascii="Arial" w:cs="Arial" w:eastAsia="Arial" w:hAnsi="Arial"/>
                <w:sz w:val="20"/>
                <w:szCs w:val="20"/>
                <w:color w:val="2A2A2A"/>
              </w:rPr>
              <w:t>Fixed income securities and cash equivalents</w:t>
            </w:r>
          </w:p>
        </w:tc>
        <w:tc>
          <w:tcPr>
            <w:tcW w:w="220" w:type="dxa"/>
            <w:vAlign w:val="bottom"/>
          </w:tcPr>
          <w:p>
            <w:pPr>
              <w:jc w:val="right"/>
              <w:spacing w:after="0"/>
              <w:rPr>
                <w:sz w:val="20"/>
                <w:szCs w:val="20"/>
                <w:color w:val="auto"/>
              </w:rPr>
            </w:pPr>
            <w:r>
              <w:rPr>
                <w:rFonts w:ascii="Arial" w:cs="Arial" w:eastAsia="Arial" w:hAnsi="Arial"/>
                <w:sz w:val="20"/>
                <w:szCs w:val="20"/>
                <w:color w:val="2A2A2A"/>
              </w:rPr>
              <w:t>$</w:t>
            </w:r>
          </w:p>
        </w:tc>
        <w:tc>
          <w:tcPr>
            <w:tcW w:w="860" w:type="dxa"/>
            <w:vAlign w:val="bottom"/>
          </w:tcPr>
          <w:p>
            <w:pPr>
              <w:jc w:val="right"/>
              <w:spacing w:after="0"/>
              <w:rPr>
                <w:sz w:val="20"/>
                <w:szCs w:val="20"/>
                <w:color w:val="auto"/>
              </w:rPr>
            </w:pPr>
            <w:r>
              <w:rPr>
                <w:rFonts w:ascii="Arial" w:cs="Arial" w:eastAsia="Arial" w:hAnsi="Arial"/>
                <w:sz w:val="20"/>
                <w:szCs w:val="20"/>
                <w:color w:val="2A2A2A"/>
              </w:rPr>
              <w:t>40</w:t>
            </w:r>
          </w:p>
        </w:tc>
        <w:tc>
          <w:tcPr>
            <w:tcW w:w="30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80" w:type="dxa"/>
            <w:vAlign w:val="bottom"/>
          </w:tcPr>
          <w:p>
            <w:pPr>
              <w:jc w:val="right"/>
              <w:spacing w:after="0"/>
              <w:rPr>
                <w:sz w:val="20"/>
                <w:szCs w:val="20"/>
                <w:color w:val="auto"/>
              </w:rPr>
            </w:pPr>
            <w:r>
              <w:rPr>
                <w:rFonts w:ascii="Arial" w:cs="Arial" w:eastAsia="Arial" w:hAnsi="Arial"/>
                <w:sz w:val="20"/>
                <w:szCs w:val="20"/>
                <w:color w:val="2A2A2A"/>
              </w:rPr>
              <w:t>60</w:t>
            </w:r>
          </w:p>
        </w:tc>
        <w:tc>
          <w:tcPr>
            <w:tcW w:w="26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900" w:type="dxa"/>
            <w:vAlign w:val="bottom"/>
          </w:tcPr>
          <w:p>
            <w:pPr>
              <w:jc w:val="right"/>
              <w:spacing w:after="0"/>
              <w:rPr>
                <w:sz w:val="20"/>
                <w:szCs w:val="20"/>
                <w:color w:val="auto"/>
              </w:rPr>
            </w:pPr>
            <w:r>
              <w:rPr>
                <w:rFonts w:ascii="Arial" w:cs="Arial" w:eastAsia="Arial" w:hAnsi="Arial"/>
                <w:sz w:val="20"/>
                <w:szCs w:val="20"/>
                <w:color w:val="2A2A2A"/>
              </w:rPr>
              <w:t>1,282</w:t>
            </w:r>
          </w:p>
        </w:tc>
        <w:tc>
          <w:tcPr>
            <w:tcW w:w="340" w:type="dxa"/>
            <w:vAlign w:val="bottom"/>
            <w:gridSpan w:val="2"/>
          </w:tcPr>
          <w:p>
            <w:pPr>
              <w:jc w:val="right"/>
              <w:spacing w:after="0"/>
              <w:rPr>
                <w:sz w:val="20"/>
                <w:szCs w:val="20"/>
                <w:color w:val="auto"/>
              </w:rPr>
            </w:pPr>
            <w:r>
              <w:rPr>
                <w:rFonts w:ascii="Arial" w:cs="Arial" w:eastAsia="Arial" w:hAnsi="Arial"/>
                <w:sz w:val="20"/>
                <w:szCs w:val="20"/>
                <w:color w:val="2A2A2A"/>
              </w:rPr>
              <w:t>$</w:t>
            </w:r>
          </w:p>
        </w:tc>
        <w:tc>
          <w:tcPr>
            <w:tcW w:w="840" w:type="dxa"/>
            <w:vAlign w:val="bottom"/>
          </w:tcPr>
          <w:p>
            <w:pPr>
              <w:jc w:val="right"/>
              <w:spacing w:after="0"/>
              <w:rPr>
                <w:sz w:val="20"/>
                <w:szCs w:val="20"/>
                <w:color w:val="auto"/>
              </w:rPr>
            </w:pPr>
            <w:r>
              <w:rPr>
                <w:rFonts w:ascii="Arial" w:cs="Arial" w:eastAsia="Arial" w:hAnsi="Arial"/>
                <w:sz w:val="20"/>
                <w:szCs w:val="20"/>
                <w:color w:val="2A2A2A"/>
              </w:rPr>
              <w:t>1,382</w:t>
            </w:r>
          </w:p>
        </w:tc>
      </w:tr>
      <w:tr>
        <w:trPr>
          <w:trHeight w:val="283"/>
        </w:trPr>
        <w:tc>
          <w:tcPr>
            <w:tcW w:w="566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Equity securities</w:t>
            </w:r>
          </w:p>
        </w:tc>
        <w:tc>
          <w:tcPr>
            <w:tcW w:w="220" w:type="dxa"/>
            <w:vAlign w:val="bottom"/>
            <w:tcBorders>
              <w:bottom w:val="single" w:sz="8" w:color="2A2A2A"/>
            </w:tcBorders>
            <w:shd w:val="clear" w:color="auto" w:fill="D7D7D7"/>
          </w:tcPr>
          <w:p>
            <w:pPr>
              <w:spacing w:after="0"/>
              <w:rPr>
                <w:sz w:val="24"/>
                <w:szCs w:val="24"/>
                <w:color w:val="auto"/>
              </w:rPr>
            </w:pPr>
          </w:p>
        </w:tc>
        <w:tc>
          <w:tcPr>
            <w:tcW w:w="8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52</w:t>
            </w:r>
          </w:p>
        </w:tc>
        <w:tc>
          <w:tcPr>
            <w:tcW w:w="80" w:type="dxa"/>
            <w:vAlign w:val="bottom"/>
            <w:tcBorders>
              <w:bottom w:val="single" w:sz="8" w:color="D7D7D7"/>
            </w:tcBorders>
            <w:shd w:val="clear" w:color="auto" w:fill="D7D7D7"/>
          </w:tcPr>
          <w:p>
            <w:pPr>
              <w:spacing w:after="0"/>
              <w:rPr>
                <w:sz w:val="24"/>
                <w:szCs w:val="24"/>
                <w:color w:val="auto"/>
              </w:rPr>
            </w:pPr>
          </w:p>
        </w:tc>
        <w:tc>
          <w:tcPr>
            <w:tcW w:w="220" w:type="dxa"/>
            <w:vAlign w:val="bottom"/>
            <w:tcBorders>
              <w:bottom w:val="single" w:sz="8" w:color="2A2A2A"/>
            </w:tcBorders>
            <w:shd w:val="clear" w:color="auto" w:fill="D7D7D7"/>
          </w:tcPr>
          <w:p>
            <w:pPr>
              <w:spacing w:after="0"/>
              <w:rPr>
                <w:sz w:val="24"/>
                <w:szCs w:val="24"/>
                <w:color w:val="auto"/>
              </w:rPr>
            </w:pPr>
          </w:p>
        </w:tc>
        <w:tc>
          <w:tcPr>
            <w:tcW w:w="8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80" w:type="dxa"/>
            <w:vAlign w:val="bottom"/>
            <w:tcBorders>
              <w:bottom w:val="single" w:sz="8" w:color="D7D7D7"/>
            </w:tcBorders>
            <w:shd w:val="clear" w:color="auto" w:fill="D7D7D7"/>
          </w:tcPr>
          <w:p>
            <w:pPr>
              <w:spacing w:after="0"/>
              <w:rPr>
                <w:sz w:val="24"/>
                <w:szCs w:val="24"/>
                <w:color w:val="auto"/>
              </w:rPr>
            </w:pPr>
          </w:p>
        </w:tc>
        <w:tc>
          <w:tcPr>
            <w:tcW w:w="180" w:type="dxa"/>
            <w:vAlign w:val="bottom"/>
            <w:tcBorders>
              <w:bottom w:val="single" w:sz="8" w:color="2A2A2A"/>
            </w:tcBorders>
            <w:shd w:val="clear" w:color="auto" w:fill="D7D7D7"/>
          </w:tcPr>
          <w:p>
            <w:pPr>
              <w:spacing w:after="0"/>
              <w:rPr>
                <w:sz w:val="24"/>
                <w:szCs w:val="24"/>
                <w:color w:val="auto"/>
              </w:rPr>
            </w:pP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387</w:t>
            </w:r>
          </w:p>
        </w:tc>
        <w:tc>
          <w:tcPr>
            <w:tcW w:w="80" w:type="dxa"/>
            <w:vAlign w:val="bottom"/>
            <w:tcBorders>
              <w:bottom w:val="single" w:sz="8" w:color="D7D7D7"/>
            </w:tcBorders>
            <w:shd w:val="clear" w:color="auto" w:fill="D7D7D7"/>
          </w:tcPr>
          <w:p>
            <w:pPr>
              <w:spacing w:after="0"/>
              <w:rPr>
                <w:sz w:val="24"/>
                <w:szCs w:val="24"/>
                <w:color w:val="auto"/>
              </w:rPr>
            </w:pPr>
          </w:p>
        </w:tc>
        <w:tc>
          <w:tcPr>
            <w:tcW w:w="260" w:type="dxa"/>
            <w:vAlign w:val="bottom"/>
            <w:tcBorders>
              <w:bottom w:val="single" w:sz="8" w:color="2A2A2A"/>
            </w:tcBorders>
            <w:shd w:val="clear" w:color="auto" w:fill="D7D7D7"/>
          </w:tcPr>
          <w:p>
            <w:pPr>
              <w:spacing w:after="0"/>
              <w:rPr>
                <w:sz w:val="24"/>
                <w:szCs w:val="24"/>
                <w:color w:val="auto"/>
              </w:rPr>
            </w:pP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440</w:t>
            </w:r>
          </w:p>
        </w:tc>
      </w:tr>
      <w:tr>
        <w:trPr>
          <w:trHeight w:val="210"/>
        </w:trPr>
        <w:tc>
          <w:tcPr>
            <w:tcW w:w="566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92</w:t>
            </w:r>
          </w:p>
        </w:tc>
        <w:tc>
          <w:tcPr>
            <w:tcW w:w="80" w:type="dxa"/>
            <w:vAlign w:val="bottom"/>
          </w:tcPr>
          <w:p>
            <w:pPr>
              <w:spacing w:after="0"/>
              <w:rPr>
                <w:sz w:val="18"/>
                <w:szCs w:val="18"/>
                <w:color w:val="auto"/>
              </w:rPr>
            </w:pPr>
          </w:p>
        </w:tc>
        <w:tc>
          <w:tcPr>
            <w:tcW w:w="2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61</w:t>
            </w:r>
          </w:p>
        </w:tc>
        <w:tc>
          <w:tcPr>
            <w:tcW w:w="80" w:type="dxa"/>
            <w:vAlign w:val="bottom"/>
          </w:tcPr>
          <w:p>
            <w:pPr>
              <w:spacing w:after="0"/>
              <w:rPr>
                <w:sz w:val="18"/>
                <w:szCs w:val="18"/>
                <w:color w:val="auto"/>
              </w:rPr>
            </w:pPr>
          </w:p>
        </w:tc>
        <w:tc>
          <w:tcPr>
            <w:tcW w:w="18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1,669</w:t>
            </w:r>
          </w:p>
        </w:tc>
        <w:tc>
          <w:tcPr>
            <w:tcW w:w="8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1,822</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6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A2A2A"/>
            </w:tcBorders>
          </w:tcPr>
          <w:p>
            <w:pPr>
              <w:spacing w:after="0" w:line="20" w:lineRule="exact"/>
              <w:rPr>
                <w:sz w:val="1"/>
                <w:szCs w:val="1"/>
                <w:color w:val="auto"/>
              </w:rPr>
            </w:pPr>
          </w:p>
        </w:tc>
        <w:tc>
          <w:tcPr>
            <w:tcW w:w="88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A2A2A"/>
            </w:tcBorders>
          </w:tcPr>
          <w:p>
            <w:pPr>
              <w:spacing w:after="0" w:line="20" w:lineRule="exact"/>
              <w:rPr>
                <w:sz w:val="1"/>
                <w:szCs w:val="1"/>
                <w:color w:val="auto"/>
              </w:rPr>
            </w:pPr>
          </w:p>
        </w:tc>
        <w:tc>
          <w:tcPr>
            <w:tcW w:w="90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4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-2621915</wp:posOffset>
            </wp:positionV>
            <wp:extent cx="151130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11300" cy="254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-2450465</wp:posOffset>
            </wp:positionV>
            <wp:extent cx="151130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11300" cy="254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-1936115</wp:posOffset>
            </wp:positionV>
            <wp:extent cx="294957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49575" cy="254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-1751965</wp:posOffset>
            </wp:positionV>
            <wp:extent cx="294957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49575" cy="254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-1069340</wp:posOffset>
            </wp:positionV>
            <wp:extent cx="294957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49575" cy="254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-910590</wp:posOffset>
            </wp:positionV>
            <wp:extent cx="294957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49575" cy="254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-202565</wp:posOffset>
            </wp:positionV>
            <wp:extent cx="294957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49575" cy="25400"/>
                    </a:xfrm>
                    <a:prstGeom prst="rect">
                      <a:avLst/>
                    </a:prstGeom>
                    <a:noFill/>
                  </pic:spPr>
                </pic:pic>
              </a:graphicData>
            </a:graphic>
          </wp:anchor>
        </w:drawing>
      </w:r>
    </w:p>
    <w:p>
      <w:pPr>
        <w:spacing w:after="0" w:line="235" w:lineRule="exact"/>
        <w:rPr>
          <w:sz w:val="20"/>
          <w:szCs w:val="20"/>
          <w:color w:val="auto"/>
        </w:rPr>
      </w:pPr>
    </w:p>
    <w:p>
      <w:pPr>
        <w:ind w:left="541" w:right="660" w:hanging="541"/>
        <w:spacing w:after="0" w:line="287" w:lineRule="auto"/>
        <w:tabs>
          <w:tab w:leader="none" w:pos="541" w:val="left"/>
        </w:tabs>
        <w:numPr>
          <w:ilvl w:val="0"/>
          <w:numId w:val="29"/>
        </w:numPr>
        <w:rPr>
          <w:rFonts w:ascii="Arial" w:cs="Arial" w:eastAsia="Arial" w:hAnsi="Arial"/>
          <w:sz w:val="20"/>
          <w:szCs w:val="20"/>
          <w:color w:val="2A2A2A"/>
        </w:rPr>
      </w:pPr>
      <w:r>
        <w:rPr>
          <w:rFonts w:ascii="Arial" w:cs="Arial" w:eastAsia="Arial" w:hAnsi="Arial"/>
          <w:sz w:val="20"/>
          <w:szCs w:val="20"/>
          <w:color w:val="2A2A2A"/>
        </w:rPr>
        <w:t>Consists of bond index and equity index funds, measured at net asset value per share, as well as cash equivalents.</w:t>
      </w:r>
    </w:p>
    <w:p>
      <w:pPr>
        <w:spacing w:after="0" w:line="170" w:lineRule="exact"/>
        <w:rPr>
          <w:sz w:val="20"/>
          <w:szCs w:val="20"/>
          <w:color w:val="auto"/>
        </w:rPr>
      </w:pPr>
    </w:p>
    <w:p>
      <w:pPr>
        <w:ind w:left="1"/>
        <w:spacing w:after="0" w:line="256" w:lineRule="auto"/>
        <w:rPr>
          <w:sz w:val="20"/>
          <w:szCs w:val="20"/>
          <w:color w:val="auto"/>
        </w:rPr>
      </w:pPr>
      <w:r>
        <w:rPr>
          <w:rFonts w:ascii="Arial" w:cs="Arial" w:eastAsia="Arial" w:hAnsi="Arial"/>
          <w:sz w:val="20"/>
          <w:szCs w:val="20"/>
          <w:color w:val="2A2A2A"/>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Assumptions and investment policies</w:t>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4020" w:type="dxa"/>
            <w:vAlign w:val="bottom"/>
          </w:tcPr>
          <w:p>
            <w:pPr>
              <w:spacing w:after="0"/>
              <w:rPr>
                <w:sz w:val="18"/>
                <w:szCs w:val="18"/>
                <w:color w:val="auto"/>
              </w:rPr>
            </w:pPr>
          </w:p>
        </w:tc>
        <w:tc>
          <w:tcPr>
            <w:tcW w:w="2020" w:type="dxa"/>
            <w:vAlign w:val="bottom"/>
            <w:tcBorders>
              <w:bottom w:val="single" w:sz="8" w:color="2A2A2A"/>
            </w:tcBorders>
            <w:gridSpan w:val="2"/>
          </w:tcPr>
          <w:p>
            <w:pPr>
              <w:ind w:left="240"/>
              <w:spacing w:after="0"/>
              <w:rPr>
                <w:sz w:val="20"/>
                <w:szCs w:val="20"/>
                <w:color w:val="auto"/>
              </w:rPr>
            </w:pPr>
            <w:r>
              <w:rPr>
                <w:rFonts w:ascii="Arial" w:cs="Arial" w:eastAsia="Arial" w:hAnsi="Arial"/>
                <w:sz w:val="16"/>
                <w:szCs w:val="16"/>
                <w:b w:val="1"/>
                <w:bCs w:val="1"/>
                <w:color w:val="2A2A2A"/>
              </w:rPr>
              <w:t>U.S. Defined Benefit</w:t>
            </w:r>
          </w:p>
        </w:tc>
        <w:tc>
          <w:tcPr>
            <w:tcW w:w="80" w:type="dxa"/>
            <w:vAlign w:val="bottom"/>
          </w:tcPr>
          <w:p>
            <w:pPr>
              <w:spacing w:after="0"/>
              <w:rPr>
                <w:sz w:val="18"/>
                <w:szCs w:val="18"/>
                <w:color w:val="auto"/>
              </w:rPr>
            </w:pPr>
          </w:p>
        </w:tc>
        <w:tc>
          <w:tcPr>
            <w:tcW w:w="2020" w:type="dxa"/>
            <w:vAlign w:val="bottom"/>
            <w:tcBorders>
              <w:bottom w:val="single" w:sz="8" w:color="2A2A2A"/>
            </w:tcBorders>
            <w:gridSpan w:val="2"/>
          </w:tcPr>
          <w:p>
            <w:pPr>
              <w:ind w:left="100"/>
              <w:spacing w:after="0"/>
              <w:rPr>
                <w:sz w:val="20"/>
                <w:szCs w:val="20"/>
                <w:color w:val="auto"/>
              </w:rPr>
            </w:pPr>
            <w:r>
              <w:rPr>
                <w:rFonts w:ascii="Arial" w:cs="Arial" w:eastAsia="Arial" w:hAnsi="Arial"/>
                <w:sz w:val="16"/>
                <w:szCs w:val="16"/>
                <w:b w:val="1"/>
                <w:bCs w:val="1"/>
                <w:color w:val="2A2A2A"/>
              </w:rPr>
              <w:t>U.S. Retiree Health Care</w:t>
            </w:r>
          </w:p>
        </w:tc>
        <w:tc>
          <w:tcPr>
            <w:tcW w:w="80" w:type="dxa"/>
            <w:vAlign w:val="bottom"/>
          </w:tcPr>
          <w:p>
            <w:pPr>
              <w:spacing w:after="0"/>
              <w:rPr>
                <w:sz w:val="18"/>
                <w:szCs w:val="18"/>
                <w:color w:val="auto"/>
              </w:rPr>
            </w:pPr>
          </w:p>
        </w:tc>
        <w:tc>
          <w:tcPr>
            <w:tcW w:w="2020" w:type="dxa"/>
            <w:vAlign w:val="bottom"/>
            <w:tcBorders>
              <w:bottom w:val="single" w:sz="8" w:color="2A2A2A"/>
            </w:tcBorders>
            <w:gridSpan w:val="2"/>
          </w:tcPr>
          <w:p>
            <w:pPr>
              <w:ind w:left="60"/>
              <w:spacing w:after="0"/>
              <w:rPr>
                <w:sz w:val="20"/>
                <w:szCs w:val="20"/>
                <w:color w:val="auto"/>
              </w:rPr>
            </w:pPr>
            <w:r>
              <w:rPr>
                <w:rFonts w:ascii="Arial" w:cs="Arial" w:eastAsia="Arial" w:hAnsi="Arial"/>
                <w:sz w:val="16"/>
                <w:szCs w:val="16"/>
                <w:b w:val="1"/>
                <w:bCs w:val="1"/>
                <w:color w:val="2A2A2A"/>
              </w:rPr>
              <w:t>Non-U.S. Defined Benefit</w:t>
            </w:r>
          </w:p>
        </w:tc>
      </w:tr>
      <w:tr>
        <w:trPr>
          <w:trHeight w:val="250"/>
        </w:trPr>
        <w:tc>
          <w:tcPr>
            <w:tcW w:w="4020" w:type="dxa"/>
            <w:vAlign w:val="bottom"/>
            <w:tcBorders>
              <w:bottom w:val="single" w:sz="8" w:color="2A2A2A"/>
            </w:tcBorders>
          </w:tcPr>
          <w:p>
            <w:pPr>
              <w:spacing w:after="0"/>
              <w:rPr>
                <w:sz w:val="21"/>
                <w:szCs w:val="21"/>
                <w:color w:val="auto"/>
              </w:rPr>
            </w:pPr>
          </w:p>
        </w:tc>
        <w:tc>
          <w:tcPr>
            <w:tcW w:w="1040" w:type="dxa"/>
            <w:vAlign w:val="bottom"/>
            <w:tcBorders>
              <w:bottom w:val="single" w:sz="8" w:color="2A2A2A"/>
            </w:tcBorders>
          </w:tcPr>
          <w:p>
            <w:pPr>
              <w:ind w:left="300"/>
              <w:spacing w:after="0"/>
              <w:rPr>
                <w:sz w:val="20"/>
                <w:szCs w:val="20"/>
                <w:color w:val="auto"/>
              </w:rPr>
            </w:pPr>
            <w:r>
              <w:rPr>
                <w:rFonts w:ascii="Arial" w:cs="Arial" w:eastAsia="Arial" w:hAnsi="Arial"/>
                <w:sz w:val="16"/>
                <w:szCs w:val="16"/>
                <w:b w:val="1"/>
                <w:bCs w:val="1"/>
                <w:color w:val="2A2A2A"/>
              </w:rPr>
              <w:t>2023</w:t>
            </w:r>
          </w:p>
        </w:tc>
        <w:tc>
          <w:tcPr>
            <w:tcW w:w="9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2022</w:t>
            </w:r>
          </w:p>
        </w:tc>
        <w:tc>
          <w:tcPr>
            <w:tcW w:w="112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2023</w:t>
            </w:r>
          </w:p>
        </w:tc>
        <w:tc>
          <w:tcPr>
            <w:tcW w:w="9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2022</w:t>
            </w:r>
          </w:p>
        </w:tc>
        <w:tc>
          <w:tcPr>
            <w:tcW w:w="112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2023</w:t>
            </w:r>
          </w:p>
        </w:tc>
        <w:tc>
          <w:tcPr>
            <w:tcW w:w="9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2022</w:t>
            </w:r>
          </w:p>
        </w:tc>
      </w:tr>
      <w:tr>
        <w:trPr>
          <w:trHeight w:val="212"/>
        </w:trPr>
        <w:tc>
          <w:tcPr>
            <w:tcW w:w="4020" w:type="dxa"/>
            <w:vAlign w:val="bottom"/>
            <w:shd w:val="clear" w:color="auto" w:fill="D7D7D7"/>
          </w:tcPr>
          <w:p>
            <w:pPr>
              <w:ind w:left="60"/>
              <w:spacing w:after="0" w:line="212" w:lineRule="exact"/>
              <w:rPr>
                <w:sz w:val="20"/>
                <w:szCs w:val="20"/>
                <w:color w:val="auto"/>
              </w:rPr>
            </w:pPr>
            <w:r>
              <w:rPr>
                <w:rFonts w:ascii="Arial" w:cs="Arial" w:eastAsia="Arial" w:hAnsi="Arial"/>
                <w:sz w:val="20"/>
                <w:szCs w:val="20"/>
                <w:b w:val="1"/>
                <w:bCs w:val="1"/>
                <w:color w:val="2A2A2A"/>
              </w:rPr>
              <w:t>Weighted average assumptions used to</w:t>
            </w:r>
          </w:p>
        </w:tc>
        <w:tc>
          <w:tcPr>
            <w:tcW w:w="1040" w:type="dxa"/>
            <w:vAlign w:val="bottom"/>
            <w:shd w:val="clear" w:color="auto" w:fill="D7D7D7"/>
          </w:tcPr>
          <w:p>
            <w:pPr>
              <w:spacing w:after="0"/>
              <w:rPr>
                <w:sz w:val="18"/>
                <w:szCs w:val="18"/>
                <w:color w:val="auto"/>
              </w:rPr>
            </w:pPr>
          </w:p>
        </w:tc>
        <w:tc>
          <w:tcPr>
            <w:tcW w:w="980" w:type="dxa"/>
            <w:vAlign w:val="bottom"/>
            <w:shd w:val="clear" w:color="auto" w:fill="D7D7D7"/>
          </w:tcPr>
          <w:p>
            <w:pPr>
              <w:spacing w:after="0"/>
              <w:rPr>
                <w:sz w:val="18"/>
                <w:szCs w:val="18"/>
                <w:color w:val="auto"/>
              </w:rPr>
            </w:pPr>
          </w:p>
        </w:tc>
        <w:tc>
          <w:tcPr>
            <w:tcW w:w="80" w:type="dxa"/>
            <w:vAlign w:val="bottom"/>
            <w:shd w:val="clear" w:color="auto" w:fill="D7D7D7"/>
          </w:tcPr>
          <w:p>
            <w:pPr>
              <w:spacing w:after="0"/>
              <w:rPr>
                <w:sz w:val="18"/>
                <w:szCs w:val="18"/>
                <w:color w:val="auto"/>
              </w:rPr>
            </w:pPr>
          </w:p>
        </w:tc>
        <w:tc>
          <w:tcPr>
            <w:tcW w:w="1040" w:type="dxa"/>
            <w:vAlign w:val="bottom"/>
            <w:shd w:val="clear" w:color="auto" w:fill="D7D7D7"/>
          </w:tcPr>
          <w:p>
            <w:pPr>
              <w:spacing w:after="0"/>
              <w:rPr>
                <w:sz w:val="18"/>
                <w:szCs w:val="18"/>
                <w:color w:val="auto"/>
              </w:rPr>
            </w:pPr>
          </w:p>
        </w:tc>
        <w:tc>
          <w:tcPr>
            <w:tcW w:w="980" w:type="dxa"/>
            <w:vAlign w:val="bottom"/>
            <w:shd w:val="clear" w:color="auto" w:fill="D7D7D7"/>
          </w:tcPr>
          <w:p>
            <w:pPr>
              <w:spacing w:after="0"/>
              <w:rPr>
                <w:sz w:val="18"/>
                <w:szCs w:val="18"/>
                <w:color w:val="auto"/>
              </w:rPr>
            </w:pPr>
          </w:p>
        </w:tc>
        <w:tc>
          <w:tcPr>
            <w:tcW w:w="80" w:type="dxa"/>
            <w:vAlign w:val="bottom"/>
            <w:shd w:val="clear" w:color="auto" w:fill="D7D7D7"/>
          </w:tcPr>
          <w:p>
            <w:pPr>
              <w:spacing w:after="0"/>
              <w:rPr>
                <w:sz w:val="18"/>
                <w:szCs w:val="18"/>
                <w:color w:val="auto"/>
              </w:rPr>
            </w:pPr>
          </w:p>
        </w:tc>
        <w:tc>
          <w:tcPr>
            <w:tcW w:w="1040" w:type="dxa"/>
            <w:vAlign w:val="bottom"/>
            <w:shd w:val="clear" w:color="auto" w:fill="D7D7D7"/>
          </w:tcPr>
          <w:p>
            <w:pPr>
              <w:spacing w:after="0"/>
              <w:rPr>
                <w:sz w:val="18"/>
                <w:szCs w:val="18"/>
                <w:color w:val="auto"/>
              </w:rPr>
            </w:pPr>
          </w:p>
        </w:tc>
        <w:tc>
          <w:tcPr>
            <w:tcW w:w="980" w:type="dxa"/>
            <w:vAlign w:val="bottom"/>
            <w:shd w:val="clear" w:color="auto" w:fill="D7D7D7"/>
          </w:tcPr>
          <w:p>
            <w:pPr>
              <w:spacing w:after="0"/>
              <w:rPr>
                <w:sz w:val="18"/>
                <w:szCs w:val="18"/>
                <w:color w:val="auto"/>
              </w:rPr>
            </w:pPr>
          </w:p>
        </w:tc>
      </w:tr>
      <w:tr>
        <w:trPr>
          <w:trHeight w:val="273"/>
        </w:trPr>
        <w:tc>
          <w:tcPr>
            <w:tcW w:w="40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determine benefit obligations:</w:t>
            </w: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r>
      <w:tr>
        <w:trPr>
          <w:trHeight w:val="270"/>
        </w:trPr>
        <w:tc>
          <w:tcPr>
            <w:tcW w:w="4020" w:type="dxa"/>
            <w:vAlign w:val="bottom"/>
          </w:tcPr>
          <w:p>
            <w:pPr>
              <w:ind w:left="180"/>
              <w:spacing w:after="0"/>
              <w:rPr>
                <w:sz w:val="20"/>
                <w:szCs w:val="20"/>
                <w:color w:val="auto"/>
              </w:rPr>
            </w:pPr>
            <w:r>
              <w:rPr>
                <w:rFonts w:ascii="Arial" w:cs="Arial" w:eastAsia="Arial" w:hAnsi="Arial"/>
                <w:sz w:val="20"/>
                <w:szCs w:val="20"/>
                <w:color w:val="2A2A2A"/>
              </w:rPr>
              <w:t>Discount rate</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2A2A2A"/>
              </w:rPr>
              <w:t>5.20%</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5.67%</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2A2A2A"/>
                <w:w w:val="98"/>
              </w:rPr>
              <w:t>5.17%</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5.68%</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2A2A2A"/>
                <w:w w:val="98"/>
              </w:rPr>
              <w:t>3.28%</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3.45%</w:t>
            </w:r>
          </w:p>
        </w:tc>
      </w:tr>
      <w:tr>
        <w:trPr>
          <w:trHeight w:val="270"/>
        </w:trPr>
        <w:tc>
          <w:tcPr>
            <w:tcW w:w="40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Long-term pay progression</w:t>
            </w:r>
          </w:p>
        </w:tc>
        <w:tc>
          <w:tcPr>
            <w:tcW w:w="1040" w:type="dxa"/>
            <w:vAlign w:val="bottom"/>
            <w:shd w:val="clear" w:color="auto" w:fill="D7D7D7"/>
          </w:tcPr>
          <w:p>
            <w:pPr>
              <w:ind w:left="220"/>
              <w:spacing w:after="0"/>
              <w:rPr>
                <w:sz w:val="20"/>
                <w:szCs w:val="20"/>
                <w:color w:val="auto"/>
              </w:rPr>
            </w:pPr>
            <w:r>
              <w:rPr>
                <w:rFonts w:ascii="Arial" w:cs="Arial" w:eastAsia="Arial" w:hAnsi="Arial"/>
                <w:sz w:val="20"/>
                <w:szCs w:val="20"/>
                <w:b w:val="1"/>
                <w:bCs w:val="1"/>
                <w:color w:val="2A2A2A"/>
              </w:rPr>
              <w:t>3.00%</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3.75%</w:t>
            </w:r>
          </w:p>
        </w:tc>
        <w:tc>
          <w:tcPr>
            <w:tcW w:w="80" w:type="dxa"/>
            <w:vAlign w:val="bottom"/>
            <w:shd w:val="clear" w:color="auto" w:fill="D7D7D7"/>
          </w:tcPr>
          <w:p>
            <w:pPr>
              <w:spacing w:after="0"/>
              <w:rPr>
                <w:sz w:val="23"/>
                <w:szCs w:val="23"/>
                <w:color w:val="auto"/>
              </w:rPr>
            </w:pPr>
          </w:p>
        </w:tc>
        <w:tc>
          <w:tcPr>
            <w:tcW w:w="1040" w:type="dxa"/>
            <w:vAlign w:val="bottom"/>
            <w:shd w:val="clear" w:color="auto" w:fill="D7D7D7"/>
          </w:tcPr>
          <w:p>
            <w:pPr>
              <w:jc w:val="center"/>
              <w:spacing w:after="0"/>
              <w:rPr>
                <w:sz w:val="20"/>
                <w:szCs w:val="20"/>
                <w:color w:val="auto"/>
              </w:rPr>
            </w:pPr>
            <w:r>
              <w:rPr>
                <w:rFonts w:ascii="Arial" w:cs="Arial" w:eastAsia="Arial" w:hAnsi="Arial"/>
                <w:sz w:val="20"/>
                <w:szCs w:val="20"/>
                <w:b w:val="1"/>
                <w:bCs w:val="1"/>
                <w:color w:val="2A2A2A"/>
              </w:rPr>
              <w:t>n/a</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n/a</w:t>
            </w:r>
          </w:p>
        </w:tc>
        <w:tc>
          <w:tcPr>
            <w:tcW w:w="1120" w:type="dxa"/>
            <w:vAlign w:val="bottom"/>
            <w:gridSpan w:val="2"/>
            <w:shd w:val="clear" w:color="auto" w:fill="D7D7D7"/>
          </w:tcPr>
          <w:p>
            <w:pPr>
              <w:jc w:val="center"/>
              <w:spacing w:after="0"/>
              <w:rPr>
                <w:sz w:val="20"/>
                <w:szCs w:val="20"/>
                <w:color w:val="auto"/>
              </w:rPr>
            </w:pPr>
            <w:r>
              <w:rPr>
                <w:rFonts w:ascii="Arial" w:cs="Arial" w:eastAsia="Arial" w:hAnsi="Arial"/>
                <w:sz w:val="20"/>
                <w:szCs w:val="20"/>
                <w:b w:val="1"/>
                <w:bCs w:val="1"/>
                <w:color w:val="2A2A2A"/>
                <w:w w:val="98"/>
              </w:rPr>
              <w:t>3.12%</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3.03%</w:t>
            </w:r>
          </w:p>
        </w:tc>
      </w:tr>
      <w:tr>
        <w:trPr>
          <w:trHeight w:val="285"/>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4020" w:type="dxa"/>
            <w:vAlign w:val="bottom"/>
            <w:shd w:val="clear" w:color="auto" w:fill="D7D7D7"/>
          </w:tcPr>
          <w:p>
            <w:pPr>
              <w:ind w:left="60"/>
              <w:spacing w:after="0" w:line="222" w:lineRule="exact"/>
              <w:rPr>
                <w:sz w:val="20"/>
                <w:szCs w:val="20"/>
                <w:color w:val="auto"/>
              </w:rPr>
            </w:pPr>
            <w:r>
              <w:rPr>
                <w:rFonts w:ascii="Arial" w:cs="Arial" w:eastAsia="Arial" w:hAnsi="Arial"/>
                <w:sz w:val="20"/>
                <w:szCs w:val="20"/>
                <w:b w:val="1"/>
                <w:bCs w:val="1"/>
                <w:color w:val="2A2A2A"/>
              </w:rPr>
              <w:t>Weighted average assumptions used to</w:t>
            </w:r>
          </w:p>
        </w:tc>
        <w:tc>
          <w:tcPr>
            <w:tcW w:w="1040" w:type="dxa"/>
            <w:vAlign w:val="bottom"/>
            <w:shd w:val="clear" w:color="auto" w:fill="D7D7D7"/>
          </w:tcPr>
          <w:p>
            <w:pPr>
              <w:spacing w:after="0"/>
              <w:rPr>
                <w:sz w:val="19"/>
                <w:szCs w:val="19"/>
                <w:color w:val="auto"/>
              </w:rPr>
            </w:pPr>
          </w:p>
        </w:tc>
        <w:tc>
          <w:tcPr>
            <w:tcW w:w="980" w:type="dxa"/>
            <w:vAlign w:val="bottom"/>
            <w:shd w:val="clear" w:color="auto" w:fill="D7D7D7"/>
          </w:tcPr>
          <w:p>
            <w:pPr>
              <w:spacing w:after="0"/>
              <w:rPr>
                <w:sz w:val="19"/>
                <w:szCs w:val="19"/>
                <w:color w:val="auto"/>
              </w:rPr>
            </w:pPr>
          </w:p>
        </w:tc>
        <w:tc>
          <w:tcPr>
            <w:tcW w:w="80" w:type="dxa"/>
            <w:vAlign w:val="bottom"/>
            <w:shd w:val="clear" w:color="auto" w:fill="D7D7D7"/>
          </w:tcPr>
          <w:p>
            <w:pPr>
              <w:spacing w:after="0"/>
              <w:rPr>
                <w:sz w:val="19"/>
                <w:szCs w:val="19"/>
                <w:color w:val="auto"/>
              </w:rPr>
            </w:pPr>
          </w:p>
        </w:tc>
        <w:tc>
          <w:tcPr>
            <w:tcW w:w="1040" w:type="dxa"/>
            <w:vAlign w:val="bottom"/>
            <w:shd w:val="clear" w:color="auto" w:fill="D7D7D7"/>
          </w:tcPr>
          <w:p>
            <w:pPr>
              <w:spacing w:after="0"/>
              <w:rPr>
                <w:sz w:val="19"/>
                <w:szCs w:val="19"/>
                <w:color w:val="auto"/>
              </w:rPr>
            </w:pPr>
          </w:p>
        </w:tc>
        <w:tc>
          <w:tcPr>
            <w:tcW w:w="980" w:type="dxa"/>
            <w:vAlign w:val="bottom"/>
            <w:shd w:val="clear" w:color="auto" w:fill="D7D7D7"/>
          </w:tcPr>
          <w:p>
            <w:pPr>
              <w:spacing w:after="0"/>
              <w:rPr>
                <w:sz w:val="19"/>
                <w:szCs w:val="19"/>
                <w:color w:val="auto"/>
              </w:rPr>
            </w:pPr>
          </w:p>
        </w:tc>
        <w:tc>
          <w:tcPr>
            <w:tcW w:w="80" w:type="dxa"/>
            <w:vAlign w:val="bottom"/>
            <w:shd w:val="clear" w:color="auto" w:fill="D7D7D7"/>
          </w:tcPr>
          <w:p>
            <w:pPr>
              <w:spacing w:after="0"/>
              <w:rPr>
                <w:sz w:val="19"/>
                <w:szCs w:val="19"/>
                <w:color w:val="auto"/>
              </w:rPr>
            </w:pPr>
          </w:p>
        </w:tc>
        <w:tc>
          <w:tcPr>
            <w:tcW w:w="1040" w:type="dxa"/>
            <w:vAlign w:val="bottom"/>
            <w:shd w:val="clear" w:color="auto" w:fill="D7D7D7"/>
          </w:tcPr>
          <w:p>
            <w:pPr>
              <w:spacing w:after="0"/>
              <w:rPr>
                <w:sz w:val="19"/>
                <w:szCs w:val="19"/>
                <w:color w:val="auto"/>
              </w:rPr>
            </w:pPr>
          </w:p>
        </w:tc>
        <w:tc>
          <w:tcPr>
            <w:tcW w:w="980" w:type="dxa"/>
            <w:vAlign w:val="bottom"/>
            <w:shd w:val="clear" w:color="auto" w:fill="D7D7D7"/>
          </w:tcPr>
          <w:p>
            <w:pPr>
              <w:spacing w:after="0"/>
              <w:rPr>
                <w:sz w:val="19"/>
                <w:szCs w:val="19"/>
                <w:color w:val="auto"/>
              </w:rPr>
            </w:pPr>
          </w:p>
        </w:tc>
      </w:tr>
      <w:tr>
        <w:trPr>
          <w:trHeight w:val="273"/>
        </w:trPr>
        <w:tc>
          <w:tcPr>
            <w:tcW w:w="40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determine net periodic benefit cost:</w:t>
            </w: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1040" w:type="dxa"/>
            <w:vAlign w:val="bottom"/>
            <w:shd w:val="clear" w:color="auto" w:fill="D7D7D7"/>
          </w:tcPr>
          <w:p>
            <w:pPr>
              <w:spacing w:after="0"/>
              <w:rPr>
                <w:sz w:val="23"/>
                <w:szCs w:val="23"/>
                <w:color w:val="auto"/>
              </w:rPr>
            </w:pPr>
          </w:p>
        </w:tc>
        <w:tc>
          <w:tcPr>
            <w:tcW w:w="980" w:type="dxa"/>
            <w:vAlign w:val="bottom"/>
            <w:shd w:val="clear" w:color="auto" w:fill="D7D7D7"/>
          </w:tcPr>
          <w:p>
            <w:pPr>
              <w:spacing w:after="0"/>
              <w:rPr>
                <w:sz w:val="23"/>
                <w:szCs w:val="23"/>
                <w:color w:val="auto"/>
              </w:rPr>
            </w:pPr>
          </w:p>
        </w:tc>
      </w:tr>
      <w:tr>
        <w:trPr>
          <w:trHeight w:val="270"/>
        </w:trPr>
        <w:tc>
          <w:tcPr>
            <w:tcW w:w="4020" w:type="dxa"/>
            <w:vAlign w:val="bottom"/>
          </w:tcPr>
          <w:p>
            <w:pPr>
              <w:ind w:left="180"/>
              <w:spacing w:after="0"/>
              <w:rPr>
                <w:sz w:val="20"/>
                <w:szCs w:val="20"/>
                <w:color w:val="auto"/>
              </w:rPr>
            </w:pPr>
            <w:r>
              <w:rPr>
                <w:rFonts w:ascii="Arial" w:cs="Arial" w:eastAsia="Arial" w:hAnsi="Arial"/>
                <w:sz w:val="20"/>
                <w:szCs w:val="20"/>
                <w:color w:val="2A2A2A"/>
              </w:rPr>
              <w:t>Discount rate</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2A2A2A"/>
              </w:rPr>
              <w:t>5.67%</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3.82%</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2A2A2A"/>
                <w:w w:val="98"/>
              </w:rPr>
              <w:t>5.68%</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3.05%</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2A2A2A"/>
                <w:w w:val="98"/>
              </w:rPr>
              <w:t>3.45%</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1.57%</w:t>
            </w:r>
          </w:p>
        </w:tc>
      </w:tr>
      <w:tr>
        <w:trPr>
          <w:trHeight w:val="285"/>
        </w:trPr>
        <w:tc>
          <w:tcPr>
            <w:tcW w:w="402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Long-term rate of return on plan assets</w:t>
            </w:r>
          </w:p>
        </w:tc>
        <w:tc>
          <w:tcPr>
            <w:tcW w:w="1040" w:type="dxa"/>
            <w:vAlign w:val="bottom"/>
            <w:shd w:val="clear" w:color="auto" w:fill="D7D7D7"/>
          </w:tcPr>
          <w:p>
            <w:pPr>
              <w:ind w:left="220"/>
              <w:spacing w:after="0"/>
              <w:rPr>
                <w:sz w:val="20"/>
                <w:szCs w:val="20"/>
                <w:color w:val="auto"/>
              </w:rPr>
            </w:pPr>
            <w:r>
              <w:rPr>
                <w:rFonts w:ascii="Arial" w:cs="Arial" w:eastAsia="Arial" w:hAnsi="Arial"/>
                <w:sz w:val="20"/>
                <w:szCs w:val="20"/>
                <w:b w:val="1"/>
                <w:bCs w:val="1"/>
                <w:color w:val="2A2A2A"/>
              </w:rPr>
              <w:t>5.70%</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3.80%</w:t>
            </w:r>
          </w:p>
        </w:tc>
        <w:tc>
          <w:tcPr>
            <w:tcW w:w="1120" w:type="dxa"/>
            <w:vAlign w:val="bottom"/>
            <w:gridSpan w:val="2"/>
            <w:shd w:val="clear" w:color="auto" w:fill="D7D7D7"/>
          </w:tcPr>
          <w:p>
            <w:pPr>
              <w:jc w:val="center"/>
              <w:spacing w:after="0"/>
              <w:rPr>
                <w:sz w:val="20"/>
                <w:szCs w:val="20"/>
                <w:color w:val="auto"/>
              </w:rPr>
            </w:pPr>
            <w:r>
              <w:rPr>
                <w:rFonts w:ascii="Arial" w:cs="Arial" w:eastAsia="Arial" w:hAnsi="Arial"/>
                <w:sz w:val="20"/>
                <w:szCs w:val="20"/>
                <w:b w:val="1"/>
                <w:bCs w:val="1"/>
                <w:color w:val="2A2A2A"/>
                <w:w w:val="98"/>
              </w:rPr>
              <w:t>5.70%</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3.40%</w:t>
            </w:r>
          </w:p>
        </w:tc>
        <w:tc>
          <w:tcPr>
            <w:tcW w:w="1120" w:type="dxa"/>
            <w:vAlign w:val="bottom"/>
            <w:gridSpan w:val="2"/>
            <w:shd w:val="clear" w:color="auto" w:fill="D7D7D7"/>
          </w:tcPr>
          <w:p>
            <w:pPr>
              <w:jc w:val="center"/>
              <w:spacing w:after="0"/>
              <w:rPr>
                <w:sz w:val="20"/>
                <w:szCs w:val="20"/>
                <w:color w:val="auto"/>
              </w:rPr>
            </w:pPr>
            <w:r>
              <w:rPr>
                <w:rFonts w:ascii="Arial" w:cs="Arial" w:eastAsia="Arial" w:hAnsi="Arial"/>
                <w:sz w:val="20"/>
                <w:szCs w:val="20"/>
                <w:b w:val="1"/>
                <w:bCs w:val="1"/>
                <w:color w:val="2A2A2A"/>
                <w:w w:val="98"/>
              </w:rPr>
              <w:t>3.50%</w:t>
            </w:r>
          </w:p>
        </w:tc>
        <w:tc>
          <w:tcPr>
            <w:tcW w:w="98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2.73%</w:t>
            </w:r>
          </w:p>
        </w:tc>
      </w:tr>
      <w:tr>
        <w:trPr>
          <w:trHeight w:val="275"/>
        </w:trPr>
        <w:tc>
          <w:tcPr>
            <w:tcW w:w="4020" w:type="dxa"/>
            <w:vAlign w:val="bottom"/>
          </w:tcPr>
          <w:p>
            <w:pPr>
              <w:ind w:left="180"/>
              <w:spacing w:after="0"/>
              <w:rPr>
                <w:sz w:val="20"/>
                <w:szCs w:val="20"/>
                <w:color w:val="auto"/>
              </w:rPr>
            </w:pPr>
            <w:r>
              <w:rPr>
                <w:rFonts w:ascii="Arial" w:cs="Arial" w:eastAsia="Arial" w:hAnsi="Arial"/>
                <w:sz w:val="20"/>
                <w:szCs w:val="20"/>
                <w:color w:val="2A2A2A"/>
              </w:rPr>
              <w:t>Long-term pay progression</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2A2A2A"/>
              </w:rPr>
              <w:t>3.75%</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3.70%</w:t>
            </w:r>
          </w:p>
        </w:tc>
        <w:tc>
          <w:tcPr>
            <w:tcW w:w="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20"/>
                <w:szCs w:val="20"/>
                <w:b w:val="1"/>
                <w:bCs w:val="1"/>
                <w:color w:val="2A2A2A"/>
              </w:rPr>
              <w:t>n/a</w:t>
            </w:r>
          </w:p>
        </w:tc>
        <w:tc>
          <w:tcPr>
            <w:tcW w:w="980" w:type="dxa"/>
            <w:vAlign w:val="bottom"/>
          </w:tcPr>
          <w:p>
            <w:pPr>
              <w:jc w:val="center"/>
              <w:spacing w:after="0"/>
              <w:rPr>
                <w:sz w:val="20"/>
                <w:szCs w:val="20"/>
                <w:color w:val="auto"/>
              </w:rPr>
            </w:pPr>
            <w:r>
              <w:rPr>
                <w:rFonts w:ascii="Arial" w:cs="Arial" w:eastAsia="Arial" w:hAnsi="Arial"/>
                <w:sz w:val="20"/>
                <w:szCs w:val="20"/>
                <w:color w:val="2A2A2A"/>
              </w:rPr>
              <w:t>n/a</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2A2A2A"/>
                <w:w w:val="98"/>
              </w:rPr>
              <w:t>3.03%</w:t>
            </w:r>
          </w:p>
        </w:tc>
        <w:tc>
          <w:tcPr>
            <w:tcW w:w="980" w:type="dxa"/>
            <w:vAlign w:val="bottom"/>
          </w:tcPr>
          <w:p>
            <w:pPr>
              <w:jc w:val="center"/>
              <w:spacing w:after="0"/>
              <w:rPr>
                <w:sz w:val="20"/>
                <w:szCs w:val="20"/>
                <w:color w:val="auto"/>
              </w:rPr>
            </w:pPr>
            <w:r>
              <w:rPr>
                <w:rFonts w:ascii="Arial" w:cs="Arial" w:eastAsia="Arial" w:hAnsi="Arial"/>
                <w:sz w:val="20"/>
                <w:szCs w:val="20"/>
                <w:color w:val="2A2A2A"/>
                <w:w w:val="98"/>
              </w:rPr>
              <w:t>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-1691640</wp:posOffset>
            </wp:positionV>
            <wp:extent cx="653097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30975" cy="25400"/>
                    </a:xfrm>
                    <a:prstGeom prst="rect">
                      <a:avLst/>
                    </a:prstGeom>
                    <a:noFill/>
                  </pic:spPr>
                </pic:pic>
              </a:graphicData>
            </a:graphic>
          </wp:anchor>
        </w:drawing>
      </w:r>
    </w:p>
    <w:p>
      <w:pPr>
        <w:spacing w:after="0" w:line="260" w:lineRule="exact"/>
        <w:rPr>
          <w:sz w:val="20"/>
          <w:szCs w:val="20"/>
          <w:color w:val="auto"/>
        </w:rPr>
      </w:pPr>
    </w:p>
    <w:p>
      <w:pPr>
        <w:ind w:left="1" w:right="40"/>
        <w:spacing w:after="0" w:line="254" w:lineRule="auto"/>
        <w:rPr>
          <w:sz w:val="20"/>
          <w:szCs w:val="20"/>
          <w:color w:val="auto"/>
        </w:rPr>
      </w:pPr>
      <w:r>
        <w:rPr>
          <w:rFonts w:ascii="Arial" w:cs="Arial" w:eastAsia="Arial" w:hAnsi="Arial"/>
          <w:sz w:val="20"/>
          <w:szCs w:val="20"/>
          <w:color w:val="2A2A2A"/>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simulate a portfolio that would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ectPr>
          <w:pgSz w:w="12240" w:h="15840" w:orient="portrait"/>
          <w:cols w:equalWidth="0" w:num="1">
            <w:col w:w="10261"/>
          </w:cols>
          <w:pgMar w:left="979" w:top="765"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48</w:t>
      </w:r>
    </w:p>
    <w:p>
      <w:pPr>
        <w:sectPr>
          <w:pgSz w:w="12240" w:h="15840" w:orient="portrait"/>
          <w:cols w:equalWidth="0" w:num="1">
            <w:col w:w="10261"/>
          </w:cols>
          <w:pgMar w:left="979" w:top="765" w:right="1000" w:bottom="24" w:gutter="0" w:footer="0" w:header="0"/>
          <w:type w:val="continuous"/>
        </w:sectPr>
      </w:pPr>
    </w:p>
    <w:bookmarkStart w:id="54" w:name="page55"/>
    <w:bookmarkEnd w:id="54"/>
    <w:p>
      <w:pPr>
        <w:ind w:right="200"/>
        <w:spacing w:after="0" w:line="259" w:lineRule="auto"/>
        <w:rPr>
          <w:sz w:val="20"/>
          <w:szCs w:val="20"/>
          <w:color w:val="auto"/>
        </w:rPr>
      </w:pPr>
      <w:r>
        <w:rPr>
          <w:rFonts w:ascii="Arial" w:cs="Arial" w:eastAsia="Arial" w:hAnsi="Arial"/>
          <w:sz w:val="20"/>
          <w:szCs w:val="20"/>
          <w:color w:val="2A2A2A"/>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2A2A2A"/>
        </w:rPr>
        <w:t>The target allocation ranges for the plans that hold a substantial majority of the defined benefit assets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220" w:type="dxa"/>
            <w:vAlign w:val="bottom"/>
          </w:tcPr>
          <w:p>
            <w:pPr>
              <w:jc w:val="center"/>
              <w:ind w:left="550"/>
              <w:spacing w:after="0"/>
              <w:rPr>
                <w:sz w:val="20"/>
                <w:szCs w:val="20"/>
                <w:color w:val="auto"/>
              </w:rPr>
            </w:pPr>
            <w:r>
              <w:rPr>
                <w:rFonts w:ascii="Arial" w:cs="Arial" w:eastAsia="Arial" w:hAnsi="Arial"/>
                <w:sz w:val="16"/>
                <w:szCs w:val="16"/>
                <w:b w:val="1"/>
                <w:bCs w:val="1"/>
                <w:color w:val="2A2A2A"/>
                <w:w w:val="99"/>
              </w:rPr>
              <w:t>U.S. Defined</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A2A2A"/>
              </w:rPr>
              <w:t>U.S. Retiree</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7"/>
              </w:rPr>
              <w:t>Non-U.S.</w:t>
            </w:r>
          </w:p>
        </w:tc>
      </w:tr>
      <w:tr>
        <w:trPr>
          <w:trHeight w:val="214"/>
        </w:trPr>
        <w:tc>
          <w:tcPr>
            <w:tcW w:w="4980" w:type="dxa"/>
            <w:vAlign w:val="bottom"/>
            <w:tcBorders>
              <w:bottom w:val="single" w:sz="8" w:color="2A2A2A"/>
            </w:tcBorders>
          </w:tcPr>
          <w:p>
            <w:pPr>
              <w:spacing w:after="0"/>
              <w:rPr>
                <w:sz w:val="18"/>
                <w:szCs w:val="18"/>
                <w:color w:val="auto"/>
              </w:rPr>
            </w:pPr>
          </w:p>
        </w:tc>
        <w:tc>
          <w:tcPr>
            <w:tcW w:w="2220" w:type="dxa"/>
            <w:vAlign w:val="bottom"/>
            <w:tcBorders>
              <w:bottom w:val="single" w:sz="8" w:color="2A2A2A"/>
            </w:tcBorders>
          </w:tcPr>
          <w:p>
            <w:pPr>
              <w:jc w:val="center"/>
              <w:ind w:left="550"/>
              <w:spacing w:after="0"/>
              <w:rPr>
                <w:sz w:val="20"/>
                <w:szCs w:val="20"/>
                <w:color w:val="auto"/>
              </w:rPr>
            </w:pPr>
            <w:r>
              <w:rPr>
                <w:rFonts w:ascii="Arial" w:cs="Arial" w:eastAsia="Arial" w:hAnsi="Arial"/>
                <w:sz w:val="16"/>
                <w:szCs w:val="16"/>
                <w:b w:val="1"/>
                <w:bCs w:val="1"/>
                <w:color w:val="2A2A2A"/>
                <w:w w:val="99"/>
              </w:rPr>
              <w:t>Benefit</w:t>
            </w:r>
          </w:p>
        </w:tc>
        <w:tc>
          <w:tcPr>
            <w:tcW w:w="15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Health Care</w:t>
            </w:r>
          </w:p>
        </w:tc>
        <w:tc>
          <w:tcPr>
            <w:tcW w:w="156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Defined Benefit</w:t>
            </w:r>
          </w:p>
        </w:tc>
      </w:tr>
      <w:tr>
        <w:trPr>
          <w:trHeight w:val="260"/>
        </w:trPr>
        <w:tc>
          <w:tcPr>
            <w:tcW w:w="4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Fixed income securities and cash equivalents</w:t>
            </w:r>
          </w:p>
        </w:tc>
        <w:tc>
          <w:tcPr>
            <w:tcW w:w="2220" w:type="dxa"/>
            <w:vAlign w:val="bottom"/>
            <w:shd w:val="clear" w:color="auto" w:fill="D7D7D7"/>
          </w:tcPr>
          <w:p>
            <w:pPr>
              <w:jc w:val="center"/>
              <w:ind w:left="550"/>
              <w:spacing w:after="0"/>
              <w:rPr>
                <w:sz w:val="20"/>
                <w:szCs w:val="20"/>
                <w:color w:val="auto"/>
              </w:rPr>
            </w:pPr>
            <w:r>
              <w:rPr>
                <w:rFonts w:ascii="Arial" w:cs="Arial" w:eastAsia="Arial" w:hAnsi="Arial"/>
                <w:sz w:val="20"/>
                <w:szCs w:val="20"/>
                <w:color w:val="2A2A2A"/>
                <w:w w:val="99"/>
              </w:rPr>
              <w:t>65% – 80%</w:t>
            </w:r>
          </w:p>
        </w:tc>
        <w:tc>
          <w:tcPr>
            <w:tcW w:w="15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75% – 85%</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60%</w:t>
            </w:r>
          </w:p>
        </w:tc>
        <w:tc>
          <w:tcPr>
            <w:tcW w:w="880" w:type="dxa"/>
            <w:vAlign w:val="bottom"/>
            <w:shd w:val="clear" w:color="auto" w:fill="D7D7D7"/>
          </w:tcPr>
          <w:p>
            <w:pPr>
              <w:ind w:left="20"/>
              <w:spacing w:after="0"/>
              <w:rPr>
                <w:sz w:val="20"/>
                <w:szCs w:val="20"/>
                <w:color w:val="auto"/>
              </w:rPr>
            </w:pPr>
            <w:r>
              <w:rPr>
                <w:rFonts w:ascii="Arial" w:cs="Arial" w:eastAsia="Arial" w:hAnsi="Arial"/>
                <w:sz w:val="20"/>
                <w:szCs w:val="20"/>
                <w:color w:val="2A2A2A"/>
              </w:rPr>
              <w:t>– 100%</w:t>
            </w:r>
          </w:p>
        </w:tc>
      </w:tr>
      <w:tr>
        <w:trPr>
          <w:trHeight w:val="273"/>
        </w:trPr>
        <w:tc>
          <w:tcPr>
            <w:tcW w:w="4980" w:type="dxa"/>
            <w:vAlign w:val="bottom"/>
          </w:tcPr>
          <w:p>
            <w:pPr>
              <w:ind w:left="60"/>
              <w:spacing w:after="0"/>
              <w:rPr>
                <w:sz w:val="20"/>
                <w:szCs w:val="20"/>
                <w:color w:val="auto"/>
              </w:rPr>
            </w:pPr>
            <w:r>
              <w:rPr>
                <w:rFonts w:ascii="Arial" w:cs="Arial" w:eastAsia="Arial" w:hAnsi="Arial"/>
                <w:sz w:val="20"/>
                <w:szCs w:val="20"/>
                <w:color w:val="2A2A2A"/>
              </w:rPr>
              <w:t>Equity securities</w:t>
            </w:r>
          </w:p>
        </w:tc>
        <w:tc>
          <w:tcPr>
            <w:tcW w:w="2220" w:type="dxa"/>
            <w:vAlign w:val="bottom"/>
          </w:tcPr>
          <w:p>
            <w:pPr>
              <w:jc w:val="center"/>
              <w:ind w:left="550"/>
              <w:spacing w:after="0"/>
              <w:rPr>
                <w:sz w:val="20"/>
                <w:szCs w:val="20"/>
                <w:color w:val="auto"/>
              </w:rPr>
            </w:pPr>
            <w:r>
              <w:rPr>
                <w:rFonts w:ascii="Arial" w:cs="Arial" w:eastAsia="Arial" w:hAnsi="Arial"/>
                <w:sz w:val="20"/>
                <w:szCs w:val="20"/>
                <w:color w:val="2A2A2A"/>
                <w:w w:val="99"/>
              </w:rPr>
              <w:t>20% – 35%</w:t>
            </w:r>
          </w:p>
        </w:tc>
        <w:tc>
          <w:tcPr>
            <w:tcW w:w="1520" w:type="dxa"/>
            <w:vAlign w:val="bottom"/>
          </w:tcPr>
          <w:p>
            <w:pPr>
              <w:jc w:val="center"/>
              <w:spacing w:after="0"/>
              <w:rPr>
                <w:sz w:val="20"/>
                <w:szCs w:val="20"/>
                <w:color w:val="auto"/>
              </w:rPr>
            </w:pPr>
            <w:r>
              <w:rPr>
                <w:rFonts w:ascii="Arial" w:cs="Arial" w:eastAsia="Arial" w:hAnsi="Arial"/>
                <w:sz w:val="20"/>
                <w:szCs w:val="20"/>
                <w:color w:val="2A2A2A"/>
                <w:w w:val="99"/>
              </w:rPr>
              <w:t>15% – 25%</w:t>
            </w:r>
          </w:p>
        </w:tc>
        <w:tc>
          <w:tcPr>
            <w:tcW w:w="680" w:type="dxa"/>
            <w:vAlign w:val="bottom"/>
          </w:tcPr>
          <w:p>
            <w:pPr>
              <w:jc w:val="right"/>
              <w:spacing w:after="0"/>
              <w:rPr>
                <w:sz w:val="20"/>
                <w:szCs w:val="20"/>
                <w:color w:val="auto"/>
              </w:rPr>
            </w:pPr>
            <w:r>
              <w:rPr>
                <w:rFonts w:ascii="Arial" w:cs="Arial" w:eastAsia="Arial" w:hAnsi="Arial"/>
                <w:sz w:val="20"/>
                <w:szCs w:val="20"/>
                <w:color w:val="2A2A2A"/>
              </w:rPr>
              <w:t>0%</w:t>
            </w:r>
          </w:p>
        </w:tc>
        <w:tc>
          <w:tcPr>
            <w:tcW w:w="880" w:type="dxa"/>
            <w:vAlign w:val="bottom"/>
          </w:tcPr>
          <w:p>
            <w:pPr>
              <w:ind w:left="20"/>
              <w:spacing w:after="0"/>
              <w:rPr>
                <w:sz w:val="20"/>
                <w:szCs w:val="20"/>
                <w:color w:val="auto"/>
              </w:rPr>
            </w:pPr>
            <w:r>
              <w:rPr>
                <w:rFonts w:ascii="Arial" w:cs="Arial" w:eastAsia="Arial" w:hAnsi="Arial"/>
                <w:sz w:val="20"/>
                <w:szCs w:val="20"/>
                <w:color w:val="2A2A2A"/>
              </w:rPr>
              <w:t>– 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-356870</wp:posOffset>
            </wp:positionV>
            <wp:extent cx="655002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2A2A2A"/>
        </w:rPr>
        <w:t>We rebalance the plans’ investments when they are outside the target allocation ranges.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Weighted average asset allocations as of December 31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U.S. Defined</w:t>
            </w:r>
          </w:p>
        </w:tc>
        <w:tc>
          <w:tcPr>
            <w:tcW w:w="8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2A2A2A"/>
              </w:rPr>
              <w:t>U.S. Retiree</w:t>
            </w:r>
          </w:p>
        </w:tc>
        <w:tc>
          <w:tcPr>
            <w:tcW w:w="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Non-U.S.</w:t>
            </w:r>
          </w:p>
        </w:tc>
      </w:tr>
      <w:tr>
        <w:trPr>
          <w:trHeight w:val="214"/>
        </w:trPr>
        <w:tc>
          <w:tcPr>
            <w:tcW w:w="5640" w:type="dxa"/>
            <w:vAlign w:val="bottom"/>
          </w:tcPr>
          <w:p>
            <w:pPr>
              <w:spacing w:after="0"/>
              <w:rPr>
                <w:sz w:val="18"/>
                <w:szCs w:val="18"/>
                <w:color w:val="auto"/>
              </w:rPr>
            </w:pPr>
          </w:p>
        </w:tc>
        <w:tc>
          <w:tcPr>
            <w:tcW w:w="148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Benefit</w:t>
            </w:r>
          </w:p>
        </w:tc>
        <w:tc>
          <w:tcPr>
            <w:tcW w:w="80" w:type="dxa"/>
            <w:vAlign w:val="bottom"/>
          </w:tcPr>
          <w:p>
            <w:pPr>
              <w:spacing w:after="0"/>
              <w:rPr>
                <w:sz w:val="18"/>
                <w:szCs w:val="18"/>
                <w:color w:val="auto"/>
              </w:rPr>
            </w:pPr>
          </w:p>
        </w:tc>
        <w:tc>
          <w:tcPr>
            <w:tcW w:w="1480" w:type="dxa"/>
            <w:vAlign w:val="bottom"/>
            <w:tcBorders>
              <w:bottom w:val="single" w:sz="8" w:color="2A2A2A"/>
            </w:tcBorders>
            <w:gridSpan w:val="2"/>
          </w:tcPr>
          <w:p>
            <w:pPr>
              <w:ind w:left="300"/>
              <w:spacing w:after="0"/>
              <w:rPr>
                <w:sz w:val="20"/>
                <w:szCs w:val="20"/>
                <w:color w:val="auto"/>
              </w:rPr>
            </w:pPr>
            <w:r>
              <w:rPr>
                <w:rFonts w:ascii="Arial" w:cs="Arial" w:eastAsia="Arial" w:hAnsi="Arial"/>
                <w:sz w:val="16"/>
                <w:szCs w:val="16"/>
                <w:b w:val="1"/>
                <w:bCs w:val="1"/>
                <w:color w:val="2A2A2A"/>
              </w:rPr>
              <w:t>Health Care</w:t>
            </w:r>
          </w:p>
        </w:tc>
        <w:tc>
          <w:tcPr>
            <w:tcW w:w="80" w:type="dxa"/>
            <w:vAlign w:val="bottom"/>
          </w:tcPr>
          <w:p>
            <w:pPr>
              <w:spacing w:after="0"/>
              <w:rPr>
                <w:sz w:val="18"/>
                <w:szCs w:val="18"/>
                <w:color w:val="auto"/>
              </w:rPr>
            </w:pPr>
          </w:p>
        </w:tc>
        <w:tc>
          <w:tcPr>
            <w:tcW w:w="148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8"/>
              </w:rPr>
              <w:t>Defined Benefit</w:t>
            </w:r>
          </w:p>
        </w:tc>
      </w:tr>
      <w:tr>
        <w:trPr>
          <w:trHeight w:val="250"/>
        </w:trPr>
        <w:tc>
          <w:tcPr>
            <w:tcW w:w="5640" w:type="dxa"/>
            <w:vAlign w:val="bottom"/>
            <w:tcBorders>
              <w:bottom w:val="single" w:sz="8" w:color="2A2A2A"/>
            </w:tcBorders>
          </w:tcPr>
          <w:p>
            <w:pPr>
              <w:spacing w:after="0"/>
              <w:rPr>
                <w:sz w:val="21"/>
                <w:szCs w:val="21"/>
                <w:color w:val="auto"/>
              </w:rPr>
            </w:pPr>
          </w:p>
        </w:tc>
        <w:tc>
          <w:tcPr>
            <w:tcW w:w="760" w:type="dxa"/>
            <w:vAlign w:val="bottom"/>
            <w:tcBorders>
              <w:bottom w:val="single" w:sz="8" w:color="2A2A2A"/>
            </w:tcBorders>
          </w:tcPr>
          <w:p>
            <w:pPr>
              <w:ind w:left="180"/>
              <w:spacing w:after="0"/>
              <w:rPr>
                <w:sz w:val="20"/>
                <w:szCs w:val="20"/>
                <w:color w:val="auto"/>
              </w:rPr>
            </w:pPr>
            <w:r>
              <w:rPr>
                <w:rFonts w:ascii="Arial" w:cs="Arial" w:eastAsia="Arial" w:hAnsi="Arial"/>
                <w:sz w:val="16"/>
                <w:szCs w:val="16"/>
                <w:b w:val="1"/>
                <w:bCs w:val="1"/>
                <w:color w:val="2A2A2A"/>
              </w:rPr>
              <w:t>2023</w:t>
            </w:r>
          </w:p>
        </w:tc>
        <w:tc>
          <w:tcPr>
            <w:tcW w:w="720" w:type="dxa"/>
            <w:vAlign w:val="bottom"/>
            <w:tcBorders>
              <w:bottom w:val="single" w:sz="8" w:color="2A2A2A"/>
            </w:tcBorders>
          </w:tcPr>
          <w:p>
            <w:pPr>
              <w:ind w:left="200"/>
              <w:spacing w:after="0"/>
              <w:rPr>
                <w:sz w:val="20"/>
                <w:szCs w:val="20"/>
                <w:color w:val="auto"/>
              </w:rPr>
            </w:pPr>
            <w:r>
              <w:rPr>
                <w:rFonts w:ascii="Arial" w:cs="Arial" w:eastAsia="Arial" w:hAnsi="Arial"/>
                <w:sz w:val="16"/>
                <w:szCs w:val="16"/>
                <w:b w:val="1"/>
                <w:bCs w:val="1"/>
                <w:color w:val="2A2A2A"/>
              </w:rPr>
              <w:t>2022</w:t>
            </w:r>
          </w:p>
        </w:tc>
        <w:tc>
          <w:tcPr>
            <w:tcW w:w="840" w:type="dxa"/>
            <w:vAlign w:val="bottom"/>
            <w:tcBorders>
              <w:bottom w:val="single" w:sz="8" w:color="2A2A2A"/>
            </w:tcBorders>
            <w:gridSpan w:val="2"/>
          </w:tcPr>
          <w:p>
            <w:pPr>
              <w:ind w:left="260"/>
              <w:spacing w:after="0"/>
              <w:rPr>
                <w:sz w:val="20"/>
                <w:szCs w:val="20"/>
                <w:color w:val="auto"/>
              </w:rPr>
            </w:pPr>
            <w:r>
              <w:rPr>
                <w:rFonts w:ascii="Arial" w:cs="Arial" w:eastAsia="Arial" w:hAnsi="Arial"/>
                <w:sz w:val="16"/>
                <w:szCs w:val="16"/>
                <w:b w:val="1"/>
                <w:bCs w:val="1"/>
                <w:color w:val="2A2A2A"/>
              </w:rPr>
              <w:t>2023</w:t>
            </w:r>
          </w:p>
        </w:tc>
        <w:tc>
          <w:tcPr>
            <w:tcW w:w="720" w:type="dxa"/>
            <w:vAlign w:val="bottom"/>
            <w:tcBorders>
              <w:bottom w:val="single" w:sz="8" w:color="2A2A2A"/>
            </w:tcBorders>
          </w:tcPr>
          <w:p>
            <w:pPr>
              <w:ind w:left="200"/>
              <w:spacing w:after="0"/>
              <w:rPr>
                <w:sz w:val="20"/>
                <w:szCs w:val="20"/>
                <w:color w:val="auto"/>
              </w:rPr>
            </w:pPr>
            <w:r>
              <w:rPr>
                <w:rFonts w:ascii="Arial" w:cs="Arial" w:eastAsia="Arial" w:hAnsi="Arial"/>
                <w:sz w:val="16"/>
                <w:szCs w:val="16"/>
                <w:b w:val="1"/>
                <w:bCs w:val="1"/>
                <w:color w:val="2A2A2A"/>
              </w:rPr>
              <w:t>2022</w:t>
            </w:r>
          </w:p>
        </w:tc>
        <w:tc>
          <w:tcPr>
            <w:tcW w:w="840" w:type="dxa"/>
            <w:vAlign w:val="bottom"/>
            <w:tcBorders>
              <w:bottom w:val="single" w:sz="8" w:color="2A2A2A"/>
            </w:tcBorders>
            <w:gridSpan w:val="2"/>
          </w:tcPr>
          <w:p>
            <w:pPr>
              <w:ind w:left="260"/>
              <w:spacing w:after="0"/>
              <w:rPr>
                <w:sz w:val="20"/>
                <w:szCs w:val="20"/>
                <w:color w:val="auto"/>
              </w:rPr>
            </w:pPr>
            <w:r>
              <w:rPr>
                <w:rFonts w:ascii="Arial" w:cs="Arial" w:eastAsia="Arial" w:hAnsi="Arial"/>
                <w:sz w:val="16"/>
                <w:szCs w:val="16"/>
                <w:b w:val="1"/>
                <w:bCs w:val="1"/>
                <w:color w:val="2A2A2A"/>
              </w:rPr>
              <w:t>2023</w:t>
            </w:r>
          </w:p>
        </w:tc>
        <w:tc>
          <w:tcPr>
            <w:tcW w:w="720" w:type="dxa"/>
            <w:vAlign w:val="bottom"/>
            <w:tcBorders>
              <w:bottom w:val="single" w:sz="8" w:color="2A2A2A"/>
            </w:tcBorders>
          </w:tcPr>
          <w:p>
            <w:pPr>
              <w:ind w:left="200"/>
              <w:spacing w:after="0"/>
              <w:rPr>
                <w:sz w:val="20"/>
                <w:szCs w:val="20"/>
                <w:color w:val="auto"/>
              </w:rPr>
            </w:pPr>
            <w:r>
              <w:rPr>
                <w:rFonts w:ascii="Arial" w:cs="Arial" w:eastAsia="Arial" w:hAnsi="Arial"/>
                <w:sz w:val="16"/>
                <w:szCs w:val="16"/>
                <w:b w:val="1"/>
                <w:bCs w:val="1"/>
                <w:color w:val="2A2A2A"/>
              </w:rPr>
              <w:t>2022</w:t>
            </w:r>
          </w:p>
        </w:tc>
      </w:tr>
      <w:tr>
        <w:trPr>
          <w:trHeight w:val="260"/>
        </w:trPr>
        <w:tc>
          <w:tcPr>
            <w:tcW w:w="5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Fixed income securities and cash equivalents</w:t>
            </w:r>
          </w:p>
        </w:tc>
        <w:tc>
          <w:tcPr>
            <w:tcW w:w="760" w:type="dxa"/>
            <w:vAlign w:val="bottom"/>
            <w:shd w:val="clear" w:color="auto" w:fill="D7D7D7"/>
          </w:tcPr>
          <w:p>
            <w:pPr>
              <w:ind w:left="180"/>
              <w:spacing w:after="0"/>
              <w:rPr>
                <w:sz w:val="20"/>
                <w:szCs w:val="20"/>
                <w:color w:val="auto"/>
              </w:rPr>
            </w:pPr>
            <w:r>
              <w:rPr>
                <w:rFonts w:ascii="Arial" w:cs="Arial" w:eastAsia="Arial" w:hAnsi="Arial"/>
                <w:sz w:val="20"/>
                <w:szCs w:val="20"/>
                <w:b w:val="1"/>
                <w:bCs w:val="1"/>
                <w:color w:val="2A2A2A"/>
              </w:rPr>
              <w:t>65%</w:t>
            </w:r>
          </w:p>
        </w:tc>
        <w:tc>
          <w:tcPr>
            <w:tcW w:w="720" w:type="dxa"/>
            <w:vAlign w:val="bottom"/>
            <w:shd w:val="clear" w:color="auto" w:fill="D7D7D7"/>
          </w:tcPr>
          <w:p>
            <w:pPr>
              <w:ind w:left="200"/>
              <w:spacing w:after="0"/>
              <w:rPr>
                <w:sz w:val="20"/>
                <w:szCs w:val="20"/>
                <w:color w:val="auto"/>
              </w:rPr>
            </w:pPr>
            <w:r>
              <w:rPr>
                <w:rFonts w:ascii="Arial" w:cs="Arial" w:eastAsia="Arial" w:hAnsi="Arial"/>
                <w:sz w:val="20"/>
                <w:szCs w:val="20"/>
                <w:color w:val="2A2A2A"/>
              </w:rPr>
              <w:t>65%</w:t>
            </w:r>
          </w:p>
        </w:tc>
        <w:tc>
          <w:tcPr>
            <w:tcW w:w="840" w:type="dxa"/>
            <w:vAlign w:val="bottom"/>
            <w:gridSpan w:val="2"/>
            <w:shd w:val="clear" w:color="auto" w:fill="D7D7D7"/>
          </w:tcPr>
          <w:p>
            <w:pPr>
              <w:ind w:left="260"/>
              <w:spacing w:after="0"/>
              <w:rPr>
                <w:sz w:val="20"/>
                <w:szCs w:val="20"/>
                <w:color w:val="auto"/>
              </w:rPr>
            </w:pPr>
            <w:r>
              <w:rPr>
                <w:rFonts w:ascii="Arial" w:cs="Arial" w:eastAsia="Arial" w:hAnsi="Arial"/>
                <w:sz w:val="20"/>
                <w:szCs w:val="20"/>
                <w:b w:val="1"/>
                <w:bCs w:val="1"/>
                <w:color w:val="2A2A2A"/>
              </w:rPr>
              <w:t>80%</w:t>
            </w:r>
          </w:p>
        </w:tc>
        <w:tc>
          <w:tcPr>
            <w:tcW w:w="720" w:type="dxa"/>
            <w:vAlign w:val="bottom"/>
            <w:shd w:val="clear" w:color="auto" w:fill="D7D7D7"/>
          </w:tcPr>
          <w:p>
            <w:pPr>
              <w:ind w:left="200"/>
              <w:spacing w:after="0"/>
              <w:rPr>
                <w:sz w:val="20"/>
                <w:szCs w:val="20"/>
                <w:color w:val="auto"/>
              </w:rPr>
            </w:pPr>
            <w:r>
              <w:rPr>
                <w:rFonts w:ascii="Arial" w:cs="Arial" w:eastAsia="Arial" w:hAnsi="Arial"/>
                <w:sz w:val="20"/>
                <w:szCs w:val="20"/>
                <w:color w:val="2A2A2A"/>
              </w:rPr>
              <w:t>65%</w:t>
            </w:r>
          </w:p>
        </w:tc>
        <w:tc>
          <w:tcPr>
            <w:tcW w:w="840" w:type="dxa"/>
            <w:vAlign w:val="bottom"/>
            <w:gridSpan w:val="2"/>
            <w:shd w:val="clear" w:color="auto" w:fill="D7D7D7"/>
          </w:tcPr>
          <w:p>
            <w:pPr>
              <w:ind w:left="260"/>
              <w:spacing w:after="0"/>
              <w:rPr>
                <w:sz w:val="20"/>
                <w:szCs w:val="20"/>
                <w:color w:val="auto"/>
              </w:rPr>
            </w:pPr>
            <w:r>
              <w:rPr>
                <w:rFonts w:ascii="Arial" w:cs="Arial" w:eastAsia="Arial" w:hAnsi="Arial"/>
                <w:sz w:val="20"/>
                <w:szCs w:val="20"/>
                <w:b w:val="1"/>
                <w:bCs w:val="1"/>
                <w:color w:val="2A2A2A"/>
              </w:rPr>
              <w:t>77%</w:t>
            </w:r>
          </w:p>
        </w:tc>
        <w:tc>
          <w:tcPr>
            <w:tcW w:w="720" w:type="dxa"/>
            <w:vAlign w:val="bottom"/>
            <w:shd w:val="clear" w:color="auto" w:fill="D7D7D7"/>
          </w:tcPr>
          <w:p>
            <w:pPr>
              <w:ind w:left="200"/>
              <w:spacing w:after="0"/>
              <w:rPr>
                <w:sz w:val="20"/>
                <w:szCs w:val="20"/>
                <w:color w:val="auto"/>
              </w:rPr>
            </w:pPr>
            <w:r>
              <w:rPr>
                <w:rFonts w:ascii="Arial" w:cs="Arial" w:eastAsia="Arial" w:hAnsi="Arial"/>
                <w:sz w:val="20"/>
                <w:szCs w:val="20"/>
                <w:color w:val="2A2A2A"/>
              </w:rPr>
              <w:t>76%</w:t>
            </w:r>
          </w:p>
        </w:tc>
      </w:tr>
      <w:tr>
        <w:trPr>
          <w:trHeight w:val="275"/>
        </w:trPr>
        <w:tc>
          <w:tcPr>
            <w:tcW w:w="5640" w:type="dxa"/>
            <w:vAlign w:val="bottom"/>
          </w:tcPr>
          <w:p>
            <w:pPr>
              <w:ind w:left="60"/>
              <w:spacing w:after="0"/>
              <w:rPr>
                <w:sz w:val="20"/>
                <w:szCs w:val="20"/>
                <w:color w:val="auto"/>
              </w:rPr>
            </w:pPr>
            <w:r>
              <w:rPr>
                <w:rFonts w:ascii="Arial" w:cs="Arial" w:eastAsia="Arial" w:hAnsi="Arial"/>
                <w:sz w:val="20"/>
                <w:szCs w:val="20"/>
                <w:color w:val="2A2A2A"/>
              </w:rPr>
              <w:t>Equity securities</w:t>
            </w:r>
          </w:p>
        </w:tc>
        <w:tc>
          <w:tcPr>
            <w:tcW w:w="760" w:type="dxa"/>
            <w:vAlign w:val="bottom"/>
          </w:tcPr>
          <w:p>
            <w:pPr>
              <w:ind w:left="180"/>
              <w:spacing w:after="0"/>
              <w:rPr>
                <w:sz w:val="20"/>
                <w:szCs w:val="20"/>
                <w:color w:val="auto"/>
              </w:rPr>
            </w:pPr>
            <w:r>
              <w:rPr>
                <w:rFonts w:ascii="Arial" w:cs="Arial" w:eastAsia="Arial" w:hAnsi="Arial"/>
                <w:sz w:val="20"/>
                <w:szCs w:val="20"/>
                <w:b w:val="1"/>
                <w:bCs w:val="1"/>
                <w:color w:val="2A2A2A"/>
              </w:rPr>
              <w:t>35%</w:t>
            </w:r>
          </w:p>
        </w:tc>
        <w:tc>
          <w:tcPr>
            <w:tcW w:w="720" w:type="dxa"/>
            <w:vAlign w:val="bottom"/>
          </w:tcPr>
          <w:p>
            <w:pPr>
              <w:ind w:left="200"/>
              <w:spacing w:after="0"/>
              <w:rPr>
                <w:sz w:val="20"/>
                <w:szCs w:val="20"/>
                <w:color w:val="auto"/>
              </w:rPr>
            </w:pPr>
            <w:r>
              <w:rPr>
                <w:rFonts w:ascii="Arial" w:cs="Arial" w:eastAsia="Arial" w:hAnsi="Arial"/>
                <w:sz w:val="20"/>
                <w:szCs w:val="20"/>
                <w:color w:val="2A2A2A"/>
              </w:rPr>
              <w:t>35%</w:t>
            </w:r>
          </w:p>
        </w:tc>
        <w:tc>
          <w:tcPr>
            <w:tcW w:w="840" w:type="dxa"/>
            <w:vAlign w:val="bottom"/>
            <w:gridSpan w:val="2"/>
          </w:tcPr>
          <w:p>
            <w:pPr>
              <w:ind w:left="260"/>
              <w:spacing w:after="0"/>
              <w:rPr>
                <w:sz w:val="20"/>
                <w:szCs w:val="20"/>
                <w:color w:val="auto"/>
              </w:rPr>
            </w:pPr>
            <w:r>
              <w:rPr>
                <w:rFonts w:ascii="Arial" w:cs="Arial" w:eastAsia="Arial" w:hAnsi="Arial"/>
                <w:sz w:val="20"/>
                <w:szCs w:val="20"/>
                <w:b w:val="1"/>
                <w:bCs w:val="1"/>
                <w:color w:val="2A2A2A"/>
              </w:rPr>
              <w:t>20%</w:t>
            </w:r>
          </w:p>
        </w:tc>
        <w:tc>
          <w:tcPr>
            <w:tcW w:w="720" w:type="dxa"/>
            <w:vAlign w:val="bottom"/>
          </w:tcPr>
          <w:p>
            <w:pPr>
              <w:ind w:left="200"/>
              <w:spacing w:after="0"/>
              <w:rPr>
                <w:sz w:val="20"/>
                <w:szCs w:val="20"/>
                <w:color w:val="auto"/>
              </w:rPr>
            </w:pPr>
            <w:r>
              <w:rPr>
                <w:rFonts w:ascii="Arial" w:cs="Arial" w:eastAsia="Arial" w:hAnsi="Arial"/>
                <w:sz w:val="20"/>
                <w:szCs w:val="20"/>
                <w:color w:val="2A2A2A"/>
              </w:rPr>
              <w:t>35%</w:t>
            </w:r>
          </w:p>
        </w:tc>
        <w:tc>
          <w:tcPr>
            <w:tcW w:w="840" w:type="dxa"/>
            <w:vAlign w:val="bottom"/>
            <w:gridSpan w:val="2"/>
          </w:tcPr>
          <w:p>
            <w:pPr>
              <w:ind w:left="260"/>
              <w:spacing w:after="0"/>
              <w:rPr>
                <w:sz w:val="20"/>
                <w:szCs w:val="20"/>
                <w:color w:val="auto"/>
              </w:rPr>
            </w:pPr>
            <w:r>
              <w:rPr>
                <w:rFonts w:ascii="Arial" w:cs="Arial" w:eastAsia="Arial" w:hAnsi="Arial"/>
                <w:sz w:val="20"/>
                <w:szCs w:val="20"/>
                <w:b w:val="1"/>
                <w:bCs w:val="1"/>
                <w:color w:val="2A2A2A"/>
              </w:rPr>
              <w:t>23%</w:t>
            </w:r>
          </w:p>
        </w:tc>
        <w:tc>
          <w:tcPr>
            <w:tcW w:w="720" w:type="dxa"/>
            <w:vAlign w:val="bottom"/>
          </w:tcPr>
          <w:p>
            <w:pPr>
              <w:ind w:left="200"/>
              <w:spacing w:after="0"/>
              <w:rPr>
                <w:sz w:val="20"/>
                <w:szCs w:val="20"/>
                <w:color w:val="auto"/>
              </w:rPr>
            </w:pPr>
            <w:r>
              <w:rPr>
                <w:rFonts w:ascii="Arial" w:cs="Arial" w:eastAsia="Arial" w:hAnsi="Arial"/>
                <w:sz w:val="20"/>
                <w:szCs w:val="20"/>
                <w:color w:val="2A2A2A"/>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-358140</wp:posOffset>
            </wp:positionV>
            <wp:extent cx="653097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30975" cy="25400"/>
                    </a:xfrm>
                    <a:prstGeom prst="rect">
                      <a:avLst/>
                    </a:prstGeom>
                    <a:noFill/>
                  </pic:spPr>
                </pic:pic>
              </a:graphicData>
            </a:graphic>
          </wp:anchor>
        </w:drawing>
      </w:r>
    </w:p>
    <w:p>
      <w:pPr>
        <w:spacing w:after="0" w:line="260"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2A2A2A"/>
        </w:rPr>
        <w:t>None of the plan assets related to the defined benefit pension plans and retiree health care benefit plan are directly invested in TI common stock.</w:t>
      </w:r>
    </w:p>
    <w:p>
      <w:pPr>
        <w:spacing w:after="0" w:line="170" w:lineRule="exact"/>
        <w:rPr>
          <w:sz w:val="20"/>
          <w:szCs w:val="20"/>
          <w:color w:val="auto"/>
        </w:rPr>
      </w:pPr>
    </w:p>
    <w:p>
      <w:pPr>
        <w:jc w:val="both"/>
        <w:ind w:right="260"/>
        <w:spacing w:after="0" w:line="268" w:lineRule="auto"/>
        <w:rPr>
          <w:sz w:val="20"/>
          <w:szCs w:val="20"/>
          <w:color w:val="auto"/>
        </w:rPr>
      </w:pPr>
      <w:r>
        <w:rPr>
          <w:rFonts w:ascii="Arial" w:cs="Arial" w:eastAsia="Arial" w:hAnsi="Arial"/>
          <w:sz w:val="20"/>
          <w:szCs w:val="20"/>
          <w:color w:val="2A2A2A"/>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40" w:type="dxa"/>
            <w:vAlign w:val="bottom"/>
            <w:tcBorders>
              <w:bottom w:val="single" w:sz="8" w:color="2A2A2A"/>
            </w:tcBorders>
          </w:tcPr>
          <w:p>
            <w:pPr>
              <w:spacing w:after="0"/>
              <w:rPr>
                <w:sz w:val="18"/>
                <w:szCs w:val="18"/>
                <w:color w:val="auto"/>
              </w:rPr>
            </w:pPr>
          </w:p>
        </w:tc>
        <w:tc>
          <w:tcPr>
            <w:tcW w:w="124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2024</w:t>
            </w:r>
          </w:p>
        </w:tc>
        <w:tc>
          <w:tcPr>
            <w:tcW w:w="36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2025</w:t>
            </w:r>
          </w:p>
        </w:tc>
        <w:tc>
          <w:tcPr>
            <w:tcW w:w="360" w:type="dxa"/>
            <w:vAlign w:val="bottom"/>
            <w:tcBorders>
              <w:bottom w:val="single" w:sz="8" w:color="2A2A2A"/>
            </w:tcBorders>
          </w:tcPr>
          <w:p>
            <w:pPr>
              <w:spacing w:after="0"/>
              <w:rPr>
                <w:sz w:val="18"/>
                <w:szCs w:val="18"/>
                <w:color w:val="auto"/>
              </w:rPr>
            </w:pPr>
          </w:p>
        </w:tc>
        <w:tc>
          <w:tcPr>
            <w:tcW w:w="320" w:type="dxa"/>
            <w:vAlign w:val="bottom"/>
            <w:tcBorders>
              <w:bottom w:val="single" w:sz="8" w:color="2A2A2A"/>
            </w:tcBorders>
          </w:tcPr>
          <w:p>
            <w:pPr>
              <w:spacing w:after="0"/>
              <w:rPr>
                <w:sz w:val="18"/>
                <w:szCs w:val="18"/>
                <w:color w:val="auto"/>
              </w:rPr>
            </w:pPr>
          </w:p>
        </w:tc>
        <w:tc>
          <w:tcPr>
            <w:tcW w:w="84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2026</w:t>
            </w:r>
          </w:p>
        </w:tc>
        <w:tc>
          <w:tcPr>
            <w:tcW w:w="32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jc w:val="right"/>
              <w:ind w:right="305"/>
              <w:spacing w:after="0"/>
              <w:rPr>
                <w:sz w:val="20"/>
                <w:szCs w:val="20"/>
                <w:color w:val="auto"/>
              </w:rPr>
            </w:pPr>
            <w:r>
              <w:rPr>
                <w:rFonts w:ascii="Arial" w:cs="Arial" w:eastAsia="Arial" w:hAnsi="Arial"/>
                <w:sz w:val="16"/>
                <w:szCs w:val="16"/>
                <w:b w:val="1"/>
                <w:bCs w:val="1"/>
                <w:color w:val="2A2A2A"/>
              </w:rPr>
              <w:t>2027</w:t>
            </w:r>
          </w:p>
        </w:tc>
        <w:tc>
          <w:tcPr>
            <w:tcW w:w="320" w:type="dxa"/>
            <w:vAlign w:val="bottom"/>
            <w:tcBorders>
              <w:bottom w:val="single" w:sz="8" w:color="2A2A2A"/>
            </w:tcBorders>
          </w:tcPr>
          <w:p>
            <w:pPr>
              <w:spacing w:after="0"/>
              <w:rPr>
                <w:sz w:val="18"/>
                <w:szCs w:val="18"/>
                <w:color w:val="auto"/>
              </w:rPr>
            </w:pPr>
          </w:p>
        </w:tc>
        <w:tc>
          <w:tcPr>
            <w:tcW w:w="84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2028</w:t>
            </w:r>
          </w:p>
        </w:tc>
        <w:tc>
          <w:tcPr>
            <w:tcW w:w="1160" w:type="dxa"/>
            <w:vAlign w:val="bottom"/>
            <w:tcBorders>
              <w:bottom w:val="single" w:sz="8" w:color="2A2A2A"/>
            </w:tcBorders>
            <w:gridSpan w:val="2"/>
          </w:tcPr>
          <w:p>
            <w:pPr>
              <w:jc w:val="right"/>
              <w:spacing w:after="0"/>
              <w:rPr>
                <w:sz w:val="20"/>
                <w:szCs w:val="20"/>
                <w:color w:val="auto"/>
              </w:rPr>
            </w:pPr>
            <w:r>
              <w:rPr>
                <w:rFonts w:ascii="Arial" w:cs="Arial" w:eastAsia="Arial" w:hAnsi="Arial"/>
                <w:sz w:val="16"/>
                <w:szCs w:val="16"/>
                <w:b w:val="1"/>
                <w:bCs w:val="1"/>
                <w:color w:val="2A2A2A"/>
              </w:rPr>
              <w:t>2029 – 2033</w:t>
            </w:r>
          </w:p>
        </w:tc>
      </w:tr>
      <w:tr>
        <w:trPr>
          <w:trHeight w:val="260"/>
        </w:trPr>
        <w:tc>
          <w:tcPr>
            <w:tcW w:w="28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 Defined Benefit</w:t>
            </w:r>
          </w:p>
        </w:tc>
        <w:tc>
          <w:tcPr>
            <w:tcW w:w="1240" w:type="dxa"/>
            <w:vAlign w:val="bottom"/>
            <w:shd w:val="clear" w:color="auto" w:fill="D7D7D7"/>
          </w:tcPr>
          <w:p>
            <w:pPr>
              <w:jc w:val="right"/>
              <w:ind w:right="490"/>
              <w:spacing w:after="0"/>
              <w:rPr>
                <w:sz w:val="20"/>
                <w:szCs w:val="20"/>
                <w:color w:val="auto"/>
              </w:rPr>
            </w:pPr>
            <w:r>
              <w:rPr>
                <w:rFonts w:ascii="Arial" w:cs="Arial" w:eastAsia="Arial" w:hAnsi="Arial"/>
                <w:sz w:val="20"/>
                <w:szCs w:val="20"/>
                <w:color w:val="2A2A2A"/>
              </w:rPr>
              <w:t>$</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70</w:t>
            </w:r>
          </w:p>
        </w:tc>
        <w:tc>
          <w:tcPr>
            <w:tcW w:w="820" w:type="dxa"/>
            <w:vAlign w:val="bottom"/>
            <w:shd w:val="clear" w:color="auto" w:fill="D7D7D7"/>
          </w:tcPr>
          <w:p>
            <w:pPr>
              <w:jc w:val="right"/>
              <w:ind w:right="510"/>
              <w:spacing w:after="0"/>
              <w:rPr>
                <w:sz w:val="20"/>
                <w:szCs w:val="20"/>
                <w:color w:val="auto"/>
              </w:rPr>
            </w:pPr>
            <w:r>
              <w:rPr>
                <w:rFonts w:ascii="Arial" w:cs="Arial" w:eastAsia="Arial" w:hAnsi="Arial"/>
                <w:sz w:val="20"/>
                <w:szCs w:val="20"/>
                <w:color w:val="2A2A2A"/>
              </w:rPr>
              <w:t>$</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72</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64</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62</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56</w:t>
            </w:r>
          </w:p>
        </w:tc>
        <w:tc>
          <w:tcPr>
            <w:tcW w:w="480" w:type="dxa"/>
            <w:vAlign w:val="bottom"/>
            <w:shd w:val="clear" w:color="auto" w:fill="D7D7D7"/>
          </w:tcPr>
          <w:p>
            <w:pPr>
              <w:jc w:val="right"/>
              <w:ind w:right="170"/>
              <w:spacing w:after="0"/>
              <w:rPr>
                <w:sz w:val="20"/>
                <w:szCs w:val="20"/>
                <w:color w:val="auto"/>
              </w:rPr>
            </w:pPr>
            <w:r>
              <w:rPr>
                <w:rFonts w:ascii="Arial" w:cs="Arial" w:eastAsia="Arial" w:hAnsi="Arial"/>
                <w:sz w:val="20"/>
                <w:szCs w:val="20"/>
                <w:color w:val="2A2A2A"/>
              </w:rPr>
              <w:t>$</w:t>
            </w: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207</w:t>
            </w:r>
          </w:p>
        </w:tc>
      </w:tr>
      <w:tr>
        <w:trPr>
          <w:trHeight w:val="268"/>
        </w:trPr>
        <w:tc>
          <w:tcPr>
            <w:tcW w:w="2840" w:type="dxa"/>
            <w:vAlign w:val="bottom"/>
          </w:tcPr>
          <w:p>
            <w:pPr>
              <w:ind w:left="60"/>
              <w:spacing w:after="0"/>
              <w:rPr>
                <w:sz w:val="20"/>
                <w:szCs w:val="20"/>
                <w:color w:val="auto"/>
              </w:rPr>
            </w:pPr>
            <w:r>
              <w:rPr>
                <w:rFonts w:ascii="Arial" w:cs="Arial" w:eastAsia="Arial" w:hAnsi="Arial"/>
                <w:sz w:val="20"/>
                <w:szCs w:val="20"/>
                <w:color w:val="2A2A2A"/>
              </w:rPr>
              <w:t>U.S. Retiree Health Care</w:t>
            </w:r>
          </w:p>
        </w:tc>
        <w:tc>
          <w:tcPr>
            <w:tcW w:w="1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A2A2A"/>
              </w:rPr>
              <w:t>27</w:t>
            </w:r>
          </w:p>
        </w:tc>
        <w:tc>
          <w:tcPr>
            <w:tcW w:w="8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A2A2A"/>
              </w:rPr>
              <w:t>25</w:t>
            </w:r>
          </w:p>
        </w:tc>
        <w:tc>
          <w:tcPr>
            <w:tcW w:w="320" w:type="dxa"/>
            <w:vAlign w:val="bottom"/>
          </w:tcPr>
          <w:p>
            <w:pPr>
              <w:spacing w:after="0"/>
              <w:rPr>
                <w:sz w:val="23"/>
                <w:szCs w:val="23"/>
                <w:color w:val="auto"/>
              </w:rPr>
            </w:pPr>
          </w:p>
        </w:tc>
        <w:tc>
          <w:tcPr>
            <w:tcW w:w="840" w:type="dxa"/>
            <w:vAlign w:val="bottom"/>
          </w:tcPr>
          <w:p>
            <w:pPr>
              <w:jc w:val="right"/>
              <w:ind w:right="5"/>
              <w:spacing w:after="0"/>
              <w:rPr>
                <w:sz w:val="20"/>
                <w:szCs w:val="20"/>
                <w:color w:val="auto"/>
              </w:rPr>
            </w:pPr>
            <w:r>
              <w:rPr>
                <w:rFonts w:ascii="Arial" w:cs="Arial" w:eastAsia="Arial" w:hAnsi="Arial"/>
                <w:sz w:val="20"/>
                <w:szCs w:val="20"/>
                <w:color w:val="2A2A2A"/>
              </w:rPr>
              <w:t>24</w:t>
            </w:r>
          </w:p>
        </w:tc>
        <w:tc>
          <w:tcPr>
            <w:tcW w:w="320" w:type="dxa"/>
            <w:vAlign w:val="bottom"/>
          </w:tcPr>
          <w:p>
            <w:pPr>
              <w:spacing w:after="0"/>
              <w:rPr>
                <w:sz w:val="23"/>
                <w:szCs w:val="23"/>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2A2A2A"/>
              </w:rPr>
              <w:t>23</w:t>
            </w:r>
          </w:p>
        </w:tc>
        <w:tc>
          <w:tcPr>
            <w:tcW w:w="320" w:type="dxa"/>
            <w:vAlign w:val="bottom"/>
          </w:tcPr>
          <w:p>
            <w:pPr>
              <w:spacing w:after="0"/>
              <w:rPr>
                <w:sz w:val="23"/>
                <w:szCs w:val="23"/>
                <w:color w:val="auto"/>
              </w:rPr>
            </w:pPr>
          </w:p>
        </w:tc>
        <w:tc>
          <w:tcPr>
            <w:tcW w:w="840" w:type="dxa"/>
            <w:vAlign w:val="bottom"/>
          </w:tcPr>
          <w:p>
            <w:pPr>
              <w:jc w:val="right"/>
              <w:ind w:right="5"/>
              <w:spacing w:after="0"/>
              <w:rPr>
                <w:sz w:val="20"/>
                <w:szCs w:val="20"/>
                <w:color w:val="auto"/>
              </w:rPr>
            </w:pPr>
            <w:r>
              <w:rPr>
                <w:rFonts w:ascii="Arial" w:cs="Arial" w:eastAsia="Arial" w:hAnsi="Arial"/>
                <w:sz w:val="20"/>
                <w:szCs w:val="20"/>
                <w:color w:val="2A2A2A"/>
              </w:rPr>
              <w:t>22</w:t>
            </w:r>
          </w:p>
        </w:tc>
        <w:tc>
          <w:tcPr>
            <w:tcW w:w="4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A2A2A"/>
              </w:rPr>
              <w:t>97</w:t>
            </w:r>
          </w:p>
        </w:tc>
      </w:tr>
      <w:tr>
        <w:trPr>
          <w:trHeight w:val="273"/>
        </w:trPr>
        <w:tc>
          <w:tcPr>
            <w:tcW w:w="28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Non-U.S. Defined Benefit</w:t>
            </w:r>
          </w:p>
        </w:tc>
        <w:tc>
          <w:tcPr>
            <w:tcW w:w="1240" w:type="dxa"/>
            <w:vAlign w:val="bottom"/>
            <w:shd w:val="clear" w:color="auto" w:fill="D7D7D7"/>
          </w:tcPr>
          <w:p>
            <w:pPr>
              <w:spacing w:after="0"/>
              <w:rPr>
                <w:sz w:val="23"/>
                <w:szCs w:val="23"/>
                <w:color w:val="auto"/>
              </w:rPr>
            </w:pP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88</w:t>
            </w:r>
          </w:p>
        </w:tc>
        <w:tc>
          <w:tcPr>
            <w:tcW w:w="820" w:type="dxa"/>
            <w:vAlign w:val="bottom"/>
            <w:shd w:val="clear" w:color="auto" w:fill="D7D7D7"/>
          </w:tcPr>
          <w:p>
            <w:pPr>
              <w:spacing w:after="0"/>
              <w:rPr>
                <w:sz w:val="23"/>
                <w:szCs w:val="23"/>
                <w:color w:val="auto"/>
              </w:rPr>
            </w:pP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89</w:t>
            </w:r>
          </w:p>
        </w:tc>
        <w:tc>
          <w:tcPr>
            <w:tcW w:w="320" w:type="dxa"/>
            <w:vAlign w:val="bottom"/>
            <w:shd w:val="clear" w:color="auto" w:fill="D7D7D7"/>
          </w:tcPr>
          <w:p>
            <w:pPr>
              <w:spacing w:after="0"/>
              <w:rPr>
                <w:sz w:val="23"/>
                <w:szCs w:val="23"/>
                <w:color w:val="auto"/>
              </w:rPr>
            </w:pPr>
          </w:p>
        </w:tc>
        <w:tc>
          <w:tcPr>
            <w:tcW w:w="84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92</w:t>
            </w:r>
          </w:p>
        </w:tc>
        <w:tc>
          <w:tcPr>
            <w:tcW w:w="320" w:type="dxa"/>
            <w:vAlign w:val="bottom"/>
            <w:shd w:val="clear" w:color="auto" w:fill="D7D7D7"/>
          </w:tcPr>
          <w:p>
            <w:pPr>
              <w:spacing w:after="0"/>
              <w:rPr>
                <w:sz w:val="23"/>
                <w:szCs w:val="23"/>
                <w:color w:val="auto"/>
              </w:rPr>
            </w:pPr>
          </w:p>
        </w:tc>
        <w:tc>
          <w:tcPr>
            <w:tcW w:w="86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92</w:t>
            </w:r>
          </w:p>
        </w:tc>
        <w:tc>
          <w:tcPr>
            <w:tcW w:w="320" w:type="dxa"/>
            <w:vAlign w:val="bottom"/>
            <w:shd w:val="clear" w:color="auto" w:fill="D7D7D7"/>
          </w:tcPr>
          <w:p>
            <w:pPr>
              <w:spacing w:after="0"/>
              <w:rPr>
                <w:sz w:val="23"/>
                <w:szCs w:val="23"/>
                <w:color w:val="auto"/>
              </w:rPr>
            </w:pPr>
          </w:p>
        </w:tc>
        <w:tc>
          <w:tcPr>
            <w:tcW w:w="840" w:type="dxa"/>
            <w:vAlign w:val="bottom"/>
            <w:shd w:val="clear" w:color="auto" w:fill="D7D7D7"/>
          </w:tcPr>
          <w:p>
            <w:pPr>
              <w:jc w:val="right"/>
              <w:ind w:right="5"/>
              <w:spacing w:after="0"/>
              <w:rPr>
                <w:sz w:val="20"/>
                <w:szCs w:val="20"/>
                <w:color w:val="auto"/>
              </w:rPr>
            </w:pPr>
            <w:r>
              <w:rPr>
                <w:rFonts w:ascii="Arial" w:cs="Arial" w:eastAsia="Arial" w:hAnsi="Arial"/>
                <w:sz w:val="20"/>
                <w:szCs w:val="20"/>
                <w:color w:val="2A2A2A"/>
              </w:rPr>
              <w:t>95</w:t>
            </w:r>
          </w:p>
        </w:tc>
        <w:tc>
          <w:tcPr>
            <w:tcW w:w="480" w:type="dxa"/>
            <w:vAlign w:val="bottom"/>
            <w:shd w:val="clear" w:color="auto" w:fill="D7D7D7"/>
          </w:tcPr>
          <w:p>
            <w:pPr>
              <w:spacing w:after="0"/>
              <w:rPr>
                <w:sz w:val="23"/>
                <w:szCs w:val="23"/>
                <w:color w:val="auto"/>
              </w:rPr>
            </w:pPr>
          </w:p>
        </w:tc>
        <w:tc>
          <w:tcPr>
            <w:tcW w:w="6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-526415</wp:posOffset>
            </wp:positionV>
            <wp:extent cx="655002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2A2A2A"/>
        </w:rPr>
        <w:t>Assumed health care cost trend rates for the U.S. retiree health care benefit plan as of December 31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20" w:type="dxa"/>
            <w:vAlign w:val="bottom"/>
            <w:tcBorders>
              <w:bottom w:val="single" w:sz="8" w:color="2A2A2A"/>
            </w:tcBorders>
          </w:tcPr>
          <w:p>
            <w:pPr>
              <w:spacing w:after="0"/>
              <w:rPr>
                <w:sz w:val="18"/>
                <w:szCs w:val="18"/>
                <w:color w:val="auto"/>
              </w:rPr>
            </w:pPr>
          </w:p>
        </w:tc>
        <w:tc>
          <w:tcPr>
            <w:tcW w:w="2800" w:type="dxa"/>
            <w:vAlign w:val="bottom"/>
            <w:tcBorders>
              <w:bottom w:val="single" w:sz="8" w:color="2A2A2A"/>
            </w:tcBorders>
          </w:tcPr>
          <w:p>
            <w:pPr>
              <w:jc w:val="right"/>
              <w:ind w:right="305"/>
              <w:spacing w:after="0"/>
              <w:rPr>
                <w:sz w:val="20"/>
                <w:szCs w:val="20"/>
                <w:color w:val="auto"/>
              </w:rPr>
            </w:pPr>
            <w:r>
              <w:rPr>
                <w:rFonts w:ascii="Arial" w:cs="Arial" w:eastAsia="Arial" w:hAnsi="Arial"/>
                <w:sz w:val="16"/>
                <w:szCs w:val="16"/>
                <w:b w:val="1"/>
                <w:bCs w:val="1"/>
                <w:color w:val="2A2A2A"/>
              </w:rPr>
              <w:t>2023</w:t>
            </w:r>
          </w:p>
        </w:tc>
        <w:tc>
          <w:tcPr>
            <w:tcW w:w="114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2022</w:t>
            </w:r>
          </w:p>
        </w:tc>
      </w:tr>
      <w:tr>
        <w:trPr>
          <w:trHeight w:val="260"/>
        </w:trPr>
        <w:tc>
          <w:tcPr>
            <w:tcW w:w="63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Assumed health care cost trend rate for next year</w:t>
            </w:r>
          </w:p>
        </w:tc>
        <w:tc>
          <w:tcPr>
            <w:tcW w:w="2800" w:type="dxa"/>
            <w:vAlign w:val="bottom"/>
            <w:shd w:val="clear" w:color="auto" w:fill="D7D7D7"/>
          </w:tcPr>
          <w:p>
            <w:pPr>
              <w:jc w:val="right"/>
              <w:ind w:right="185"/>
              <w:spacing w:after="0"/>
              <w:rPr>
                <w:sz w:val="20"/>
                <w:szCs w:val="20"/>
                <w:color w:val="auto"/>
              </w:rPr>
            </w:pPr>
            <w:r>
              <w:rPr>
                <w:rFonts w:ascii="Arial" w:cs="Arial" w:eastAsia="Arial" w:hAnsi="Arial"/>
                <w:sz w:val="20"/>
                <w:szCs w:val="20"/>
                <w:b w:val="1"/>
                <w:bCs w:val="1"/>
                <w:color w:val="2A2A2A"/>
              </w:rPr>
              <w:t>7.00%</w:t>
            </w:r>
          </w:p>
        </w:tc>
        <w:tc>
          <w:tcPr>
            <w:tcW w:w="1140" w:type="dxa"/>
            <w:vAlign w:val="bottom"/>
            <w:shd w:val="clear" w:color="auto" w:fill="D7D7D7"/>
          </w:tcPr>
          <w:p>
            <w:pPr>
              <w:jc w:val="right"/>
              <w:ind w:right="145"/>
              <w:spacing w:after="0"/>
              <w:rPr>
                <w:sz w:val="20"/>
                <w:szCs w:val="20"/>
                <w:color w:val="auto"/>
              </w:rPr>
            </w:pPr>
            <w:r>
              <w:rPr>
                <w:rFonts w:ascii="Arial" w:cs="Arial" w:eastAsia="Arial" w:hAnsi="Arial"/>
                <w:sz w:val="20"/>
                <w:szCs w:val="20"/>
                <w:color w:val="2A2A2A"/>
              </w:rPr>
              <w:t>7.00%</w:t>
            </w:r>
          </w:p>
        </w:tc>
      </w:tr>
      <w:tr>
        <w:trPr>
          <w:trHeight w:val="270"/>
        </w:trPr>
        <w:tc>
          <w:tcPr>
            <w:tcW w:w="6320" w:type="dxa"/>
            <w:vAlign w:val="bottom"/>
          </w:tcPr>
          <w:p>
            <w:pPr>
              <w:ind w:left="60"/>
              <w:spacing w:after="0"/>
              <w:rPr>
                <w:sz w:val="20"/>
                <w:szCs w:val="20"/>
                <w:color w:val="auto"/>
              </w:rPr>
            </w:pPr>
            <w:r>
              <w:rPr>
                <w:rFonts w:ascii="Arial" w:cs="Arial" w:eastAsia="Arial" w:hAnsi="Arial"/>
                <w:sz w:val="20"/>
                <w:szCs w:val="20"/>
                <w:color w:val="2A2A2A"/>
              </w:rPr>
              <w:t>Ultimate trend rate</w:t>
            </w:r>
          </w:p>
        </w:tc>
        <w:tc>
          <w:tcPr>
            <w:tcW w:w="2800" w:type="dxa"/>
            <w:vAlign w:val="bottom"/>
          </w:tcPr>
          <w:p>
            <w:pPr>
              <w:jc w:val="right"/>
              <w:ind w:right="185"/>
              <w:spacing w:after="0"/>
              <w:rPr>
                <w:sz w:val="20"/>
                <w:szCs w:val="20"/>
                <w:color w:val="auto"/>
              </w:rPr>
            </w:pPr>
            <w:r>
              <w:rPr>
                <w:rFonts w:ascii="Arial" w:cs="Arial" w:eastAsia="Arial" w:hAnsi="Arial"/>
                <w:sz w:val="20"/>
                <w:szCs w:val="20"/>
                <w:b w:val="1"/>
                <w:bCs w:val="1"/>
                <w:color w:val="2A2A2A"/>
              </w:rPr>
              <w:t>5.00%</w:t>
            </w:r>
          </w:p>
        </w:tc>
        <w:tc>
          <w:tcPr>
            <w:tcW w:w="1140" w:type="dxa"/>
            <w:vAlign w:val="bottom"/>
          </w:tcPr>
          <w:p>
            <w:pPr>
              <w:jc w:val="right"/>
              <w:ind w:right="145"/>
              <w:spacing w:after="0"/>
              <w:rPr>
                <w:sz w:val="20"/>
                <w:szCs w:val="20"/>
                <w:color w:val="auto"/>
              </w:rPr>
            </w:pPr>
            <w:r>
              <w:rPr>
                <w:rFonts w:ascii="Arial" w:cs="Arial" w:eastAsia="Arial" w:hAnsi="Arial"/>
                <w:sz w:val="20"/>
                <w:szCs w:val="20"/>
                <w:color w:val="2A2A2A"/>
              </w:rPr>
              <w:t>5.00%</w:t>
            </w:r>
          </w:p>
        </w:tc>
      </w:tr>
      <w:tr>
        <w:trPr>
          <w:trHeight w:val="270"/>
        </w:trPr>
        <w:tc>
          <w:tcPr>
            <w:tcW w:w="63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Year in which ultimate trend rate is reached</w:t>
            </w:r>
          </w:p>
        </w:tc>
        <w:tc>
          <w:tcPr>
            <w:tcW w:w="2800" w:type="dxa"/>
            <w:vAlign w:val="bottom"/>
            <w:shd w:val="clear" w:color="auto" w:fill="D7D7D7"/>
          </w:tcPr>
          <w:p>
            <w:pPr>
              <w:jc w:val="right"/>
              <w:ind w:right="345"/>
              <w:spacing w:after="0"/>
              <w:rPr>
                <w:sz w:val="20"/>
                <w:szCs w:val="20"/>
                <w:color w:val="auto"/>
              </w:rPr>
            </w:pPr>
            <w:r>
              <w:rPr>
                <w:rFonts w:ascii="Arial" w:cs="Arial" w:eastAsia="Arial" w:hAnsi="Arial"/>
                <w:sz w:val="20"/>
                <w:szCs w:val="20"/>
                <w:b w:val="1"/>
                <w:bCs w:val="1"/>
                <w:color w:val="2A2A2A"/>
              </w:rPr>
              <w:t>2032</w:t>
            </w:r>
          </w:p>
        </w:tc>
        <w:tc>
          <w:tcPr>
            <w:tcW w:w="1140" w:type="dxa"/>
            <w:vAlign w:val="bottom"/>
            <w:shd w:val="clear" w:color="auto" w:fill="D7D7D7"/>
          </w:tcPr>
          <w:p>
            <w:pPr>
              <w:jc w:val="right"/>
              <w:ind w:right="325"/>
              <w:spacing w:after="0"/>
              <w:rPr>
                <w:sz w:val="20"/>
                <w:szCs w:val="20"/>
                <w:color w:val="auto"/>
              </w:rPr>
            </w:pPr>
            <w:r>
              <w:rPr>
                <w:rFonts w:ascii="Arial" w:cs="Arial" w:eastAsia="Arial" w:hAnsi="Arial"/>
                <w:sz w:val="20"/>
                <w:szCs w:val="20"/>
                <w:color w:val="2A2A2A"/>
              </w:rPr>
              <w:t>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-526415</wp:posOffset>
            </wp:positionV>
            <wp:extent cx="654050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Deferred compensation plans</w:t>
      </w: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2A2A2A"/>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99"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2A2A2A"/>
        </w:rPr>
        <w:t>As of December 31, 2023, our liability to participants of the deferred compensation plans was $393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2023, we held $12 million in mutual funds related to these plans that are recorded in long-term investments on our Consolidated Balance Sheets.</w:t>
      </w:r>
    </w:p>
    <w:p>
      <w:pPr>
        <w:sectPr>
          <w:pgSz w:w="12240" w:h="15840" w:orient="portrait"/>
          <w:cols w:equalWidth="0" w:num="1">
            <w:col w:w="10280"/>
          </w:cols>
          <w:pgMar w:left="980" w:top="664"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49</w:t>
      </w:r>
    </w:p>
    <w:p>
      <w:pPr>
        <w:sectPr>
          <w:pgSz w:w="12240" w:h="15840" w:orient="portrait"/>
          <w:cols w:equalWidth="0" w:num="1">
            <w:col w:w="10280"/>
          </w:cols>
          <w:pgMar w:left="980" w:top="664" w:right="980" w:bottom="24" w:gutter="0" w:footer="0" w:header="0"/>
          <w:type w:val="continuous"/>
        </w:sectPr>
      </w:pPr>
    </w:p>
    <w:bookmarkStart w:id="55" w:name="page56"/>
    <w:bookmarkEnd w:id="55"/>
    <w:p>
      <w:pPr>
        <w:ind w:left="241" w:hanging="241"/>
        <w:spacing w:after="0"/>
        <w:tabs>
          <w:tab w:leader="none" w:pos="241" w:val="left"/>
        </w:tabs>
        <w:numPr>
          <w:ilvl w:val="0"/>
          <w:numId w:val="30"/>
        </w:numPr>
        <w:rPr>
          <w:rFonts w:ascii="Arial" w:cs="Arial" w:eastAsia="Arial" w:hAnsi="Arial"/>
          <w:sz w:val="22"/>
          <w:szCs w:val="22"/>
          <w:color w:val="2A2A2A"/>
        </w:rPr>
      </w:pPr>
      <w:r>
        <w:rPr>
          <w:rFonts w:ascii="Arial" w:cs="Arial" w:eastAsia="Arial" w:hAnsi="Arial"/>
          <w:sz w:val="22"/>
          <w:szCs w:val="22"/>
          <w:u w:val="single" w:color="auto"/>
          <w:color w:val="2A2A2A"/>
        </w:rPr>
        <w:t>Debt and lines of credit</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Short-term borrowings</w:t>
      </w:r>
    </w:p>
    <w:p>
      <w:pPr>
        <w:spacing w:after="0" w:line="255" w:lineRule="exact"/>
        <w:rPr>
          <w:sz w:val="20"/>
          <w:szCs w:val="20"/>
          <w:color w:val="auto"/>
        </w:rPr>
      </w:pPr>
    </w:p>
    <w:p>
      <w:pPr>
        <w:ind w:left="1"/>
        <w:spacing w:after="0" w:line="257" w:lineRule="auto"/>
        <w:rPr>
          <w:sz w:val="20"/>
          <w:szCs w:val="20"/>
          <w:color w:val="auto"/>
        </w:rPr>
      </w:pPr>
      <w:r>
        <w:rPr>
          <w:rFonts w:ascii="Arial" w:cs="Arial" w:eastAsia="Arial" w:hAnsi="Arial"/>
          <w:sz w:val="20"/>
          <w:szCs w:val="20"/>
          <w:color w:val="2A2A2A"/>
        </w:rPr>
        <w:t>We maintain a line of credit to provide additional liquidity through bank loans and, if necessary, to support commercial paper borrowings. As of December 31, 2023, the aforementioned line of credit was a variable-rate, revolving credit facility from a consortium of investment-grade banks that allows us to borrow up to $1 billion until March 2024. The interest rate on borrowings under this credit facility, if drawn, is indexed to the applicable Term Secured Overnight Financing Rate (Term SOFR). As of December 31, 2023, our credit facility was undrawn, and we had no commercial paper outstanding.</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Long-term debt</w:t>
      </w:r>
    </w:p>
    <w:p>
      <w:pPr>
        <w:spacing w:after="0" w:line="255" w:lineRule="exact"/>
        <w:rPr>
          <w:sz w:val="20"/>
          <w:szCs w:val="20"/>
          <w:color w:val="auto"/>
        </w:rPr>
      </w:pPr>
    </w:p>
    <w:p>
      <w:pPr>
        <w:jc w:val="both"/>
        <w:ind w:left="1" w:right="300"/>
        <w:spacing w:after="0" w:line="262" w:lineRule="auto"/>
        <w:rPr>
          <w:sz w:val="20"/>
          <w:szCs w:val="20"/>
          <w:color w:val="auto"/>
        </w:rPr>
      </w:pPr>
      <w:r>
        <w:rPr>
          <w:rFonts w:ascii="Arial" w:cs="Arial" w:eastAsia="Arial" w:hAnsi="Arial"/>
          <w:sz w:val="20"/>
          <w:szCs w:val="20"/>
          <w:color w:val="2A2A2A"/>
        </w:rPr>
        <w:t>In March 2023, we issued two series of senior unsecured notes for an aggregate principal amount of $1.4 billion, consisting of $750 million of 4.90% notes due in 2033 and $650 million of 5.00% notes due in 2053. We incurred $11 million of issuance and other related costs. The proceeds of the offering were $1.4 billion, net of the original issuance discounts, which will be used for general corporate purposes.</w:t>
      </w:r>
    </w:p>
    <w:p>
      <w:pPr>
        <w:spacing w:after="0" w:line="196" w:lineRule="exact"/>
        <w:rPr>
          <w:sz w:val="20"/>
          <w:szCs w:val="20"/>
          <w:color w:val="auto"/>
        </w:rPr>
      </w:pPr>
    </w:p>
    <w:p>
      <w:pPr>
        <w:ind w:left="1" w:right="160"/>
        <w:spacing w:after="0" w:line="259" w:lineRule="auto"/>
        <w:rPr>
          <w:sz w:val="20"/>
          <w:szCs w:val="20"/>
          <w:color w:val="auto"/>
        </w:rPr>
      </w:pPr>
      <w:r>
        <w:rPr>
          <w:rFonts w:ascii="Arial" w:cs="Arial" w:eastAsia="Arial" w:hAnsi="Arial"/>
          <w:sz w:val="20"/>
          <w:szCs w:val="20"/>
          <w:color w:val="2A2A2A"/>
        </w:rPr>
        <w:t>In May 2023, we issued three series of senior unsecured notes for an aggregate principal amount of $1.6 billion, consisting of $200 million of 4.60% notes due in 2028, $200 million of 4.90% notes due in 2033 and $1.2 billion of 5.05% notes due in 2063. We incurred $7 million of issuance and other related costs. The proceeds of the offering were $1.6 billion, net of the original issuance discounts and premiums, which will be used for general corporate purposes.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May 2023, we retired $500 million of maturing debt.</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April 2022, we retired $500 million of maturing debt.</w:t>
      </w:r>
    </w:p>
    <w:p>
      <w:pPr>
        <w:spacing w:after="0" w:line="250" w:lineRule="exact"/>
        <w:rPr>
          <w:sz w:val="20"/>
          <w:szCs w:val="20"/>
          <w:color w:val="auto"/>
        </w:rPr>
      </w:pPr>
    </w:p>
    <w:p>
      <w:pPr>
        <w:ind w:left="1" w:right="140"/>
        <w:spacing w:after="0" w:line="262" w:lineRule="auto"/>
        <w:rPr>
          <w:sz w:val="20"/>
          <w:szCs w:val="20"/>
          <w:color w:val="auto"/>
        </w:rPr>
      </w:pPr>
      <w:r>
        <w:rPr>
          <w:rFonts w:ascii="Arial" w:cs="Arial" w:eastAsia="Arial" w:hAnsi="Arial"/>
          <w:sz w:val="20"/>
          <w:szCs w:val="20"/>
          <w:color w:val="2A2A2A"/>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November 2022, we issued two series of senior unsecured notes for an aggregate principal amount of</w:t>
      </w:r>
    </w:p>
    <w:p>
      <w:pPr>
        <w:spacing w:after="0" w:line="30" w:lineRule="exact"/>
        <w:rPr>
          <w:sz w:val="20"/>
          <w:szCs w:val="20"/>
          <w:color w:val="auto"/>
        </w:rPr>
      </w:pPr>
    </w:p>
    <w:p>
      <w:pPr>
        <w:jc w:val="both"/>
        <w:ind w:left="1" w:right="260"/>
        <w:spacing w:after="0" w:line="258" w:lineRule="auto"/>
        <w:rPr>
          <w:sz w:val="20"/>
          <w:szCs w:val="20"/>
          <w:color w:val="auto"/>
        </w:rPr>
      </w:pPr>
      <w:r>
        <w:rPr>
          <w:rFonts w:ascii="Arial" w:cs="Arial" w:eastAsia="Arial" w:hAnsi="Arial"/>
          <w:sz w:val="20"/>
          <w:szCs w:val="20"/>
          <w:color w:val="2A2A2A"/>
        </w:rPr>
        <w:t>$800 million, consisting of $300 million of 4.70% notes due in 2024 and $500 million of 4.60% notes due in 2028. We incurred $3 million of issuance and other related costs. The proceeds of the offering were $799 million, net of the original issuance discounts, which will be used for general corporate purposes.</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February 2021, we retired $550 million of maturing debt.</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September 2021, we issued three series of senior unsecured notes for an aggregate principal amount of</w:t>
      </w:r>
    </w:p>
    <w:p>
      <w:pPr>
        <w:spacing w:after="0" w:line="30" w:lineRule="exact"/>
        <w:rPr>
          <w:sz w:val="20"/>
          <w:szCs w:val="20"/>
          <w:color w:val="auto"/>
        </w:rPr>
      </w:pPr>
    </w:p>
    <w:p>
      <w:pPr>
        <w:jc w:val="both"/>
        <w:ind w:left="1" w:right="260"/>
        <w:spacing w:after="0" w:line="278" w:lineRule="auto"/>
        <w:rPr>
          <w:sz w:val="20"/>
          <w:szCs w:val="20"/>
          <w:color w:val="auto"/>
        </w:rPr>
      </w:pPr>
      <w:r>
        <w:rPr>
          <w:rFonts w:ascii="Arial" w:cs="Arial" w:eastAsia="Arial" w:hAnsi="Arial"/>
          <w:sz w:val="19"/>
          <w:szCs w:val="19"/>
          <w:color w:val="2A2A2A"/>
        </w:rPr>
        <w:t>$1.5 billion, consisting of $500 million of 1.125% notes due in 2026, $500 million of 1.90% notes due in 2031 and $500 million of 2.70% notes due in 2051. We incurred $10 million of issuance costs. The proceeds of the offering were $1.5 billion, net of the original issuance discounts, which will be used for general corporate purposes.</w:t>
      </w:r>
    </w:p>
    <w:p>
      <w:pPr>
        <w:sectPr>
          <w:pgSz w:w="12240" w:h="15840" w:orient="portrait"/>
          <w:cols w:equalWidth="0" w:num="1">
            <w:col w:w="10221"/>
          </w:cols>
          <w:pgMar w:left="979" w:top="658" w:right="104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50</w:t>
      </w:r>
    </w:p>
    <w:p>
      <w:pPr>
        <w:sectPr>
          <w:pgSz w:w="12240" w:h="15840" w:orient="portrait"/>
          <w:cols w:equalWidth="0" w:num="1">
            <w:col w:w="10221"/>
          </w:cols>
          <w:pgMar w:left="979" w:top="658" w:right="1040" w:bottom="24"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color w:val="2A2A2A"/>
        </w:rPr>
        <w:t>Long-term debt outstanding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21"/>
              <w:spacing w:after="0"/>
              <w:rPr>
                <w:sz w:val="20"/>
                <w:szCs w:val="20"/>
                <w:color w:val="auto"/>
              </w:rPr>
            </w:pPr>
            <w:r>
              <w:rPr>
                <w:rFonts w:ascii="Arial" w:cs="Arial" w:eastAsia="Arial" w:hAnsi="Arial"/>
                <w:sz w:val="16"/>
                <w:szCs w:val="16"/>
                <w:b w:val="1"/>
                <w:bCs w:val="1"/>
                <w:color w:val="2A2A2A"/>
              </w:rPr>
              <w:t>December 31,</w:t>
            </w:r>
          </w:p>
        </w:tc>
      </w:tr>
      <w:tr>
        <w:trPr>
          <w:trHeight w:val="265"/>
        </w:trPr>
        <w:tc>
          <w:tcPr>
            <w:tcW w:w="8000" w:type="dxa"/>
            <w:vAlign w:val="bottom"/>
            <w:tcBorders>
              <w:bottom w:val="single" w:sz="8" w:color="2A2A2A"/>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ind w:right="262"/>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ind w:right="281"/>
              <w:spacing w:after="0"/>
              <w:rPr>
                <w:sz w:val="20"/>
                <w:szCs w:val="20"/>
                <w:color w:val="auto"/>
              </w:rPr>
            </w:pPr>
            <w:r>
              <w:rPr>
                <w:rFonts w:ascii="Arial" w:cs="Arial" w:eastAsia="Arial" w:hAnsi="Arial"/>
                <w:sz w:val="16"/>
                <w:szCs w:val="16"/>
                <w:b w:val="1"/>
                <w:bCs w:val="1"/>
                <w:color w:val="2A2A2A"/>
              </w:rPr>
              <w:t>2022</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2023 at 2.25%</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2024 at 2.625%</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300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300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2024 at 4.70%</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300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2025 at 1.375%</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750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750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2026 at 1.125%</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500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2027 at 2.90%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500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2028 at 4.60%</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700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2029 at 2.25%</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750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750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2030 at 1.75%</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750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750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2031 at 1.90%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500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2032 at 3.65%</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400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400</w:t>
            </w:r>
          </w:p>
        </w:tc>
      </w:tr>
      <w:tr>
        <w:trPr>
          <w:trHeight w:val="285"/>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2033 at 4.90%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950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w:t>
            </w:r>
          </w:p>
        </w:tc>
      </w:tr>
      <w:tr>
        <w:trPr>
          <w:trHeight w:val="285"/>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2039 at 3.875%</w:t>
            </w:r>
          </w:p>
        </w:tc>
        <w:tc>
          <w:tcPr>
            <w:tcW w:w="260" w:type="dxa"/>
            <w:vAlign w:val="bottom"/>
            <w:shd w:val="clear" w:color="auto" w:fill="D7D7D7"/>
          </w:tcPr>
          <w:p>
            <w:pPr>
              <w:spacing w:after="0"/>
              <w:rPr>
                <w:sz w:val="24"/>
                <w:szCs w:val="24"/>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750</w:t>
            </w:r>
          </w:p>
        </w:tc>
        <w:tc>
          <w:tcPr>
            <w:tcW w:w="80" w:type="dxa"/>
            <w:vAlign w:val="bottom"/>
            <w:shd w:val="clear" w:color="auto" w:fill="D7D7D7"/>
          </w:tcPr>
          <w:p>
            <w:pPr>
              <w:spacing w:after="0"/>
              <w:rPr>
                <w:sz w:val="24"/>
                <w:szCs w:val="24"/>
                <w:color w:val="auto"/>
              </w:rPr>
            </w:pPr>
          </w:p>
        </w:tc>
        <w:tc>
          <w:tcPr>
            <w:tcW w:w="280" w:type="dxa"/>
            <w:vAlign w:val="bottom"/>
            <w:shd w:val="clear" w:color="auto" w:fill="D7D7D7"/>
          </w:tcPr>
          <w:p>
            <w:pPr>
              <w:spacing w:after="0"/>
              <w:rPr>
                <w:sz w:val="24"/>
                <w:szCs w:val="24"/>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750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2048 at 4.15%</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1,500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1,500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2051 at 2.70%</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500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500</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Notes due 2052 at 4.10%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300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300</w:t>
            </w: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Notes due 2053 at 5.00%</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650</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6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Notes due 2063 at 5.05%</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1,200</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debt</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11,300</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8,800</w:t>
            </w:r>
          </w:p>
        </w:tc>
      </w:tr>
      <w:tr>
        <w:trPr>
          <w:trHeight w:val="26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Net unamortized discounts, premiums and issuance costs</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(77)</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(65)</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debt, including net unamortized discounts, premiums and issuance costs</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11,223</w:t>
            </w: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8,735</w:t>
            </w:r>
          </w:p>
        </w:tc>
      </w:tr>
      <w:tr>
        <w:trPr>
          <w:trHeight w:val="260"/>
        </w:trPr>
        <w:tc>
          <w:tcPr>
            <w:tcW w:w="80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Current portion of long-term debt</w:t>
            </w:r>
          </w:p>
        </w:tc>
        <w:tc>
          <w:tcPr>
            <w:tcW w:w="26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(599)</w:t>
            </w:r>
          </w:p>
        </w:tc>
        <w:tc>
          <w:tcPr>
            <w:tcW w:w="80" w:type="dxa"/>
            <w:vAlign w:val="bottom"/>
            <w:tcBorders>
              <w:bottom w:val="single" w:sz="8" w:color="D7D7D7"/>
            </w:tcBorders>
          </w:tcPr>
          <w:p>
            <w:pPr>
              <w:spacing w:after="0"/>
              <w:rPr>
                <w:sz w:val="22"/>
                <w:szCs w:val="22"/>
                <w:color w:val="auto"/>
              </w:rPr>
            </w:pPr>
          </w:p>
        </w:tc>
        <w:tc>
          <w:tcPr>
            <w:tcW w:w="280" w:type="dxa"/>
            <w:vAlign w:val="bottom"/>
            <w:tcBorders>
              <w:bottom w:val="single" w:sz="8" w:color="2A2A2A"/>
            </w:tcBorders>
          </w:tcPr>
          <w:p>
            <w:pPr>
              <w:spacing w:after="0"/>
              <w:rPr>
                <w:sz w:val="22"/>
                <w:szCs w:val="22"/>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(500)</w:t>
            </w:r>
          </w:p>
        </w:tc>
      </w:tr>
      <w:tr>
        <w:trPr>
          <w:trHeight w:val="255"/>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Long-term debt</w:t>
            </w: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10,624</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8,235</w:t>
            </w:r>
          </w:p>
        </w:tc>
      </w:tr>
      <w:tr>
        <w:trPr>
          <w:trHeight w:val="20"/>
        </w:trPr>
        <w:tc>
          <w:tcPr>
            <w:tcW w:w="800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-3993515</wp:posOffset>
            </wp:positionV>
            <wp:extent cx="65405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-888365</wp:posOffset>
            </wp:positionV>
            <wp:extent cx="146367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-545465</wp:posOffset>
            </wp:positionV>
            <wp:extent cx="146367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-43815</wp:posOffset>
            </wp:positionV>
            <wp:extent cx="146367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5"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2A2A2A"/>
        </w:rPr>
        <w:t>Interest and debt expense was $353 million, $214 million and $184 million in 2023, 2022 and 2021, respectively. This was net of the amortized discounts, premiums and issuance and other related costs. Cash payments for interest on long-term debt were $321 million, $198 million and $181 million in 2023, 2022 and 2021, respectively. Capitalized interest was $11 million, $6 million and $8 million in 2023, 2022 and 2021, respectively.</w:t>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51</w:t>
      </w:r>
    </w:p>
    <w:p>
      <w:pPr>
        <w:sectPr>
          <w:pgSz w:w="12240" w:h="15840" w:orient="portrait"/>
          <w:cols w:equalWidth="0" w:num="1">
            <w:col w:w="10260"/>
          </w:cols>
          <w:pgMar w:left="980" w:top="664" w:right="1000" w:bottom="24" w:gutter="0" w:footer="0" w:header="0"/>
          <w:type w:val="continuous"/>
        </w:sectPr>
      </w:pPr>
    </w:p>
    <w:bookmarkStart w:id="57" w:name="page58"/>
    <w:bookmarkEnd w:id="57"/>
    <w:p>
      <w:pPr>
        <w:ind w:left="241" w:hanging="241"/>
        <w:spacing w:after="0"/>
        <w:tabs>
          <w:tab w:leader="none" w:pos="241" w:val="left"/>
        </w:tabs>
        <w:numPr>
          <w:ilvl w:val="0"/>
          <w:numId w:val="31"/>
        </w:numPr>
        <w:rPr>
          <w:rFonts w:ascii="Arial" w:cs="Arial" w:eastAsia="Arial" w:hAnsi="Arial"/>
          <w:sz w:val="22"/>
          <w:szCs w:val="22"/>
          <w:color w:val="2A2A2A"/>
        </w:rPr>
      </w:pPr>
      <w:r>
        <w:rPr>
          <w:rFonts w:ascii="Arial" w:cs="Arial" w:eastAsia="Arial" w:hAnsi="Arial"/>
          <w:sz w:val="22"/>
          <w:szCs w:val="22"/>
          <w:u w:val="single" w:color="auto"/>
          <w:color w:val="2A2A2A"/>
        </w:rPr>
        <w:t>Leases</w:t>
      </w:r>
    </w:p>
    <w:p>
      <w:pPr>
        <w:spacing w:after="0" w:line="257" w:lineRule="exact"/>
        <w:rPr>
          <w:sz w:val="20"/>
          <w:szCs w:val="20"/>
          <w:color w:val="auto"/>
        </w:rPr>
      </w:pPr>
    </w:p>
    <w:p>
      <w:pPr>
        <w:ind w:left="1" w:right="180"/>
        <w:spacing w:after="0" w:line="262" w:lineRule="auto"/>
        <w:rPr>
          <w:sz w:val="20"/>
          <w:szCs w:val="20"/>
          <w:color w:val="auto"/>
        </w:rPr>
      </w:pPr>
      <w:r>
        <w:rPr>
          <w:rFonts w:ascii="Arial" w:cs="Arial" w:eastAsia="Arial" w:hAnsi="Arial"/>
          <w:sz w:val="20"/>
          <w:szCs w:val="20"/>
          <w:color w:val="2A2A2A"/>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Our leases are included as a component of the following balance sheet lines:</w:t>
      </w:r>
    </w:p>
    <w:p>
      <w:pPr>
        <w:spacing w:after="0" w:line="14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8000" w:type="dxa"/>
            <w:vAlign w:val="bottom"/>
          </w:tcPr>
          <w:p>
            <w:pPr>
              <w:spacing w:after="0"/>
              <w:rPr>
                <w:sz w:val="19"/>
                <w:szCs w:val="19"/>
                <w:color w:val="auto"/>
              </w:rPr>
            </w:pPr>
          </w:p>
        </w:tc>
        <w:tc>
          <w:tcPr>
            <w:tcW w:w="260" w:type="dxa"/>
            <w:vAlign w:val="bottom"/>
            <w:tcBorders>
              <w:bottom w:val="single" w:sz="8" w:color="2A2A2A"/>
            </w:tcBorders>
          </w:tcPr>
          <w:p>
            <w:pPr>
              <w:spacing w:after="0"/>
              <w:rPr>
                <w:sz w:val="19"/>
                <w:szCs w:val="19"/>
                <w:color w:val="auto"/>
              </w:rPr>
            </w:pPr>
          </w:p>
        </w:tc>
        <w:tc>
          <w:tcPr>
            <w:tcW w:w="2000" w:type="dxa"/>
            <w:vAlign w:val="bottom"/>
            <w:tcBorders>
              <w:bottom w:val="single" w:sz="8" w:color="2A2A2A"/>
            </w:tcBorders>
            <w:gridSpan w:val="3"/>
          </w:tcPr>
          <w:p>
            <w:pPr>
              <w:jc w:val="right"/>
              <w:ind w:right="525"/>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60" w:type="dxa"/>
            <w:vAlign w:val="bottom"/>
            <w:tcBorders>
              <w:bottom w:val="single" w:sz="8" w:color="2A2A2A"/>
            </w:tcBorders>
          </w:tcPr>
          <w:p>
            <w:pPr>
              <w:jc w:val="right"/>
              <w:ind w:right="308"/>
              <w:spacing w:after="0"/>
              <w:rPr>
                <w:sz w:val="20"/>
                <w:szCs w:val="20"/>
                <w:color w:val="auto"/>
              </w:rPr>
            </w:pPr>
            <w:r>
              <w:rPr>
                <w:rFonts w:ascii="Arial" w:cs="Arial" w:eastAsia="Arial" w:hAnsi="Arial"/>
                <w:sz w:val="16"/>
                <w:szCs w:val="16"/>
                <w:b w:val="1"/>
                <w:bCs w:val="1"/>
                <w:color w:val="2A2A2A"/>
              </w:rPr>
              <w:t>2023</w:t>
            </w:r>
          </w:p>
        </w:tc>
        <w:tc>
          <w:tcPr>
            <w:tcW w:w="32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2022</w:t>
            </w:r>
          </w:p>
        </w:tc>
      </w:tr>
      <w:tr>
        <w:trPr>
          <w:trHeight w:val="256"/>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Other long-term assets</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shd w:val="clear" w:color="auto" w:fill="D7D7D7"/>
          </w:tcPr>
          <w:p>
            <w:pPr>
              <w:jc w:val="right"/>
              <w:ind w:right="28"/>
              <w:spacing w:after="0"/>
              <w:rPr>
                <w:sz w:val="20"/>
                <w:szCs w:val="20"/>
                <w:color w:val="auto"/>
              </w:rPr>
            </w:pPr>
            <w:r>
              <w:rPr>
                <w:rFonts w:ascii="Arial" w:cs="Arial" w:eastAsia="Arial" w:hAnsi="Arial"/>
                <w:sz w:val="20"/>
                <w:szCs w:val="20"/>
                <w:b w:val="1"/>
                <w:bCs w:val="1"/>
                <w:color w:val="2A2A2A"/>
              </w:rPr>
              <w:t>579</w:t>
            </w:r>
          </w:p>
        </w:tc>
        <w:tc>
          <w:tcPr>
            <w:tcW w:w="32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431</w:t>
            </w:r>
          </w:p>
        </w:tc>
      </w:tr>
      <w:tr>
        <w:trPr>
          <w:trHeight w:val="270"/>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Accrued expenses and other liabilities</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60" w:type="dxa"/>
            <w:vAlign w:val="bottom"/>
            <w:shd w:val="clear" w:color="auto" w:fill="D7D7D7"/>
          </w:tcPr>
          <w:p>
            <w:pPr>
              <w:jc w:val="right"/>
              <w:ind w:right="28"/>
              <w:spacing w:after="0"/>
              <w:rPr>
                <w:sz w:val="20"/>
                <w:szCs w:val="20"/>
                <w:color w:val="auto"/>
              </w:rPr>
            </w:pPr>
            <w:r>
              <w:rPr>
                <w:rFonts w:ascii="Arial" w:cs="Arial" w:eastAsia="Arial" w:hAnsi="Arial"/>
                <w:sz w:val="20"/>
                <w:szCs w:val="20"/>
                <w:b w:val="1"/>
                <w:bCs w:val="1"/>
                <w:color w:val="2A2A2A"/>
              </w:rPr>
              <w:t>88</w:t>
            </w:r>
          </w:p>
        </w:tc>
        <w:tc>
          <w:tcPr>
            <w:tcW w:w="32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75</w:t>
            </w:r>
          </w:p>
        </w:tc>
      </w:tr>
      <w:tr>
        <w:trPr>
          <w:trHeight w:val="285"/>
        </w:trPr>
        <w:tc>
          <w:tcPr>
            <w:tcW w:w="8000" w:type="dxa"/>
            <w:vAlign w:val="bottom"/>
          </w:tcPr>
          <w:p>
            <w:pPr>
              <w:ind w:left="60"/>
              <w:spacing w:after="0"/>
              <w:rPr>
                <w:sz w:val="20"/>
                <w:szCs w:val="20"/>
                <w:color w:val="auto"/>
              </w:rPr>
            </w:pPr>
            <w:r>
              <w:rPr>
                <w:rFonts w:ascii="Arial" w:cs="Arial" w:eastAsia="Arial" w:hAnsi="Arial"/>
                <w:sz w:val="20"/>
                <w:szCs w:val="20"/>
                <w:color w:val="2A2A2A"/>
              </w:rPr>
              <w:t>Other long-term liabilities</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20"/>
                <w:szCs w:val="20"/>
                <w:b w:val="1"/>
                <w:bCs w:val="1"/>
                <w:color w:val="2A2A2A"/>
              </w:rPr>
              <w:t>478</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-708660</wp:posOffset>
            </wp:positionV>
            <wp:extent cx="6543040"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43040" cy="27940"/>
                    </a:xfrm>
                    <a:prstGeom prst="rect">
                      <a:avLst/>
                    </a:prstGeom>
                    <a:noFill/>
                  </pic:spPr>
                </pic:pic>
              </a:graphicData>
            </a:graphic>
          </wp:anchor>
        </w:drawing>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Details of our operating leases are as follows:</w:t>
      </w:r>
    </w:p>
    <w:p>
      <w:pPr>
        <w:spacing w:after="0" w:line="123"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2A2A2A"/>
        </w:rPr>
        <w:t>For Years Ended</w:t>
      </w:r>
    </w:p>
    <w:p>
      <w:pPr>
        <w:jc w:val="center"/>
        <w:ind w:left="6780"/>
        <w:spacing w:after="0"/>
        <w:rPr>
          <w:sz w:val="20"/>
          <w:szCs w:val="20"/>
          <w:color w:val="auto"/>
        </w:rPr>
      </w:pPr>
      <w:r>
        <w:rPr>
          <w:rFonts w:ascii="Arial" w:cs="Arial" w:eastAsia="Arial" w:hAnsi="Arial"/>
          <w:sz w:val="16"/>
          <w:szCs w:val="16"/>
          <w:b w:val="1"/>
          <w:bCs w:val="1"/>
          <w:color w:val="2A2A2A"/>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12065</wp:posOffset>
            </wp:positionV>
            <wp:extent cx="21812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81225" cy="6985"/>
                    </a:xfrm>
                    <a:prstGeom prst="rect">
                      <a:avLst/>
                    </a:prstGeom>
                    <a:noFill/>
                  </pic:spPr>
                </pic:pic>
              </a:graphicData>
            </a:graphic>
          </wp:anchor>
        </w:drawing>
      </w:r>
    </w:p>
    <w:p>
      <w:pPr>
        <w:spacing w:after="0" w:line="50"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580" w:type="dxa"/>
            <w:vAlign w:val="bottom"/>
            <w:tcBorders>
              <w:bottom w:val="single" w:sz="8" w:color="2A2A2A"/>
            </w:tcBorders>
          </w:tcPr>
          <w:p>
            <w:pPr>
              <w:spacing w:after="0"/>
              <w:rPr>
                <w:sz w:val="19"/>
                <w:szCs w:val="19"/>
                <w:color w:val="auto"/>
              </w:rPr>
            </w:pPr>
          </w:p>
        </w:tc>
        <w:tc>
          <w:tcPr>
            <w:tcW w:w="50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284"/>
              <w:spacing w:after="0"/>
              <w:rPr>
                <w:sz w:val="20"/>
                <w:szCs w:val="20"/>
                <w:color w:val="auto"/>
              </w:rPr>
            </w:pPr>
            <w:r>
              <w:rPr>
                <w:rFonts w:ascii="Arial" w:cs="Arial" w:eastAsia="Arial" w:hAnsi="Arial"/>
                <w:sz w:val="16"/>
                <w:szCs w:val="16"/>
                <w:b w:val="1"/>
                <w:bCs w:val="1"/>
                <w:color w:val="2A2A2A"/>
              </w:rPr>
              <w:t>2023</w:t>
            </w:r>
          </w:p>
        </w:tc>
        <w:tc>
          <w:tcPr>
            <w:tcW w:w="320" w:type="dxa"/>
            <w:vAlign w:val="bottom"/>
            <w:tcBorders>
              <w:bottom w:val="single" w:sz="8" w:color="2A2A2A"/>
            </w:tcBorders>
          </w:tcPr>
          <w:p>
            <w:pPr>
              <w:spacing w:after="0"/>
              <w:rPr>
                <w:sz w:val="19"/>
                <w:szCs w:val="19"/>
                <w:color w:val="auto"/>
              </w:rPr>
            </w:pPr>
          </w:p>
        </w:tc>
        <w:tc>
          <w:tcPr>
            <w:tcW w:w="860" w:type="dxa"/>
            <w:vAlign w:val="bottom"/>
            <w:tcBorders>
              <w:bottom w:val="single" w:sz="8" w:color="2A2A2A"/>
            </w:tcBorders>
          </w:tcPr>
          <w:p>
            <w:pPr>
              <w:jc w:val="right"/>
              <w:ind w:right="304"/>
              <w:spacing w:after="0"/>
              <w:rPr>
                <w:sz w:val="20"/>
                <w:szCs w:val="20"/>
                <w:color w:val="auto"/>
              </w:rPr>
            </w:pPr>
            <w:r>
              <w:rPr>
                <w:rFonts w:ascii="Arial" w:cs="Arial" w:eastAsia="Arial" w:hAnsi="Arial"/>
                <w:sz w:val="16"/>
                <w:szCs w:val="16"/>
                <w:b w:val="1"/>
                <w:bCs w:val="1"/>
                <w:color w:val="2A2A2A"/>
              </w:rPr>
              <w:t>2022</w:t>
            </w:r>
          </w:p>
        </w:tc>
        <w:tc>
          <w:tcPr>
            <w:tcW w:w="320" w:type="dxa"/>
            <w:vAlign w:val="bottom"/>
            <w:tcBorders>
              <w:bottom w:val="single" w:sz="8" w:color="2A2A2A"/>
            </w:tcBorders>
          </w:tcPr>
          <w:p>
            <w:pPr>
              <w:spacing w:after="0"/>
              <w:rPr>
                <w:sz w:val="19"/>
                <w:szCs w:val="19"/>
                <w:color w:val="auto"/>
              </w:rPr>
            </w:pPr>
          </w:p>
        </w:tc>
        <w:tc>
          <w:tcPr>
            <w:tcW w:w="820" w:type="dxa"/>
            <w:vAlign w:val="bottom"/>
            <w:tcBorders>
              <w:bottom w:val="single" w:sz="8" w:color="2A2A2A"/>
            </w:tcBorders>
          </w:tcPr>
          <w:p>
            <w:pPr>
              <w:jc w:val="right"/>
              <w:ind w:right="264"/>
              <w:spacing w:after="0"/>
              <w:rPr>
                <w:sz w:val="20"/>
                <w:szCs w:val="20"/>
                <w:color w:val="auto"/>
              </w:rPr>
            </w:pPr>
            <w:r>
              <w:rPr>
                <w:rFonts w:ascii="Arial" w:cs="Arial" w:eastAsia="Arial" w:hAnsi="Arial"/>
                <w:sz w:val="16"/>
                <w:szCs w:val="16"/>
                <w:b w:val="1"/>
                <w:bCs w:val="1"/>
                <w:color w:val="2A2A2A"/>
              </w:rPr>
              <w:t>2021</w:t>
            </w:r>
          </w:p>
        </w:tc>
      </w:tr>
      <w:tr>
        <w:trPr>
          <w:trHeight w:val="255"/>
        </w:trPr>
        <w:tc>
          <w:tcPr>
            <w:tcW w:w="65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Lease cost related to lease liabilities</w:t>
            </w:r>
          </w:p>
        </w:tc>
        <w:tc>
          <w:tcPr>
            <w:tcW w:w="5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ind w:right="4"/>
              <w:spacing w:after="0"/>
              <w:rPr>
                <w:sz w:val="20"/>
                <w:szCs w:val="20"/>
                <w:color w:val="auto"/>
              </w:rPr>
            </w:pPr>
            <w:r>
              <w:rPr>
                <w:rFonts w:ascii="Arial" w:cs="Arial" w:eastAsia="Arial" w:hAnsi="Arial"/>
                <w:sz w:val="20"/>
                <w:szCs w:val="20"/>
                <w:b w:val="1"/>
                <w:bCs w:val="1"/>
                <w:color w:val="2A2A2A"/>
              </w:rPr>
              <w:t>73</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ind w:right="4"/>
              <w:spacing w:after="0"/>
              <w:rPr>
                <w:sz w:val="20"/>
                <w:szCs w:val="20"/>
                <w:color w:val="auto"/>
              </w:rPr>
            </w:pPr>
            <w:r>
              <w:rPr>
                <w:rFonts w:ascii="Arial" w:cs="Arial" w:eastAsia="Arial" w:hAnsi="Arial"/>
                <w:sz w:val="20"/>
                <w:szCs w:val="20"/>
                <w:color w:val="2A2A2A"/>
              </w:rPr>
              <w:t>67</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69</w:t>
            </w:r>
          </w:p>
        </w:tc>
      </w:tr>
      <w:tr>
        <w:trPr>
          <w:trHeight w:val="270"/>
        </w:trPr>
        <w:tc>
          <w:tcPr>
            <w:tcW w:w="6580" w:type="dxa"/>
            <w:vAlign w:val="bottom"/>
          </w:tcPr>
          <w:p>
            <w:pPr>
              <w:ind w:left="60"/>
              <w:spacing w:after="0"/>
              <w:rPr>
                <w:sz w:val="20"/>
                <w:szCs w:val="20"/>
                <w:color w:val="auto"/>
              </w:rPr>
            </w:pPr>
            <w:r>
              <w:rPr>
                <w:rFonts w:ascii="Arial" w:cs="Arial" w:eastAsia="Arial" w:hAnsi="Arial"/>
                <w:sz w:val="20"/>
                <w:szCs w:val="20"/>
                <w:color w:val="2A2A2A"/>
              </w:rPr>
              <w:t>Variable lease cost</w:t>
            </w:r>
          </w:p>
        </w:tc>
        <w:tc>
          <w:tcPr>
            <w:tcW w:w="500" w:type="dxa"/>
            <w:vAlign w:val="bottom"/>
          </w:tcPr>
          <w:p>
            <w:pPr>
              <w:spacing w:after="0"/>
              <w:rPr>
                <w:sz w:val="23"/>
                <w:szCs w:val="23"/>
                <w:color w:val="auto"/>
              </w:rPr>
            </w:pPr>
          </w:p>
        </w:tc>
        <w:tc>
          <w:tcPr>
            <w:tcW w:w="840" w:type="dxa"/>
            <w:vAlign w:val="bottom"/>
          </w:tcPr>
          <w:p>
            <w:pPr>
              <w:jc w:val="right"/>
              <w:ind w:right="4"/>
              <w:spacing w:after="0"/>
              <w:rPr>
                <w:sz w:val="20"/>
                <w:szCs w:val="20"/>
                <w:color w:val="auto"/>
              </w:rPr>
            </w:pPr>
            <w:r>
              <w:rPr>
                <w:rFonts w:ascii="Arial" w:cs="Arial" w:eastAsia="Arial" w:hAnsi="Arial"/>
                <w:sz w:val="20"/>
                <w:szCs w:val="20"/>
                <w:b w:val="1"/>
                <w:bCs w:val="1"/>
                <w:color w:val="2A2A2A"/>
              </w:rPr>
              <w:t>54</w:t>
            </w:r>
          </w:p>
        </w:tc>
        <w:tc>
          <w:tcPr>
            <w:tcW w:w="32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Arial" w:cs="Arial" w:eastAsia="Arial" w:hAnsi="Arial"/>
                <w:sz w:val="20"/>
                <w:szCs w:val="20"/>
                <w:color w:val="2A2A2A"/>
              </w:rPr>
              <w:t>46</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56</w:t>
            </w:r>
          </w:p>
        </w:tc>
      </w:tr>
      <w:tr>
        <w:trPr>
          <w:trHeight w:val="315"/>
        </w:trPr>
        <w:tc>
          <w:tcPr>
            <w:tcW w:w="6580" w:type="dxa"/>
            <w:vAlign w:val="bottom"/>
            <w:shd w:val="clear" w:color="auto" w:fill="D7D7D7"/>
          </w:tcPr>
          <w:p>
            <w:pPr>
              <w:spacing w:after="0"/>
              <w:rPr>
                <w:sz w:val="24"/>
                <w:szCs w:val="24"/>
                <w:color w:val="auto"/>
              </w:rPr>
            </w:pPr>
          </w:p>
        </w:tc>
        <w:tc>
          <w:tcPr>
            <w:tcW w:w="500" w:type="dxa"/>
            <w:vAlign w:val="bottom"/>
            <w:shd w:val="clear" w:color="auto" w:fill="D7D7D7"/>
          </w:tcPr>
          <w:p>
            <w:pPr>
              <w:spacing w:after="0"/>
              <w:rPr>
                <w:sz w:val="24"/>
                <w:szCs w:val="24"/>
                <w:color w:val="auto"/>
              </w:rPr>
            </w:pPr>
          </w:p>
        </w:tc>
        <w:tc>
          <w:tcPr>
            <w:tcW w:w="84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86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820" w:type="dxa"/>
            <w:vAlign w:val="bottom"/>
            <w:shd w:val="clear" w:color="auto" w:fill="D7D7D7"/>
          </w:tcPr>
          <w:p>
            <w:pPr>
              <w:spacing w:after="0"/>
              <w:rPr>
                <w:sz w:val="24"/>
                <w:szCs w:val="24"/>
                <w:color w:val="auto"/>
              </w:rPr>
            </w:pPr>
          </w:p>
        </w:tc>
      </w:tr>
      <w:tr>
        <w:trPr>
          <w:trHeight w:val="270"/>
        </w:trPr>
        <w:tc>
          <w:tcPr>
            <w:tcW w:w="6580" w:type="dxa"/>
            <w:vAlign w:val="bottom"/>
          </w:tcPr>
          <w:p>
            <w:pPr>
              <w:ind w:left="60"/>
              <w:spacing w:after="0"/>
              <w:rPr>
                <w:sz w:val="20"/>
                <w:szCs w:val="20"/>
                <w:color w:val="auto"/>
              </w:rPr>
            </w:pPr>
            <w:r>
              <w:rPr>
                <w:rFonts w:ascii="Arial" w:cs="Arial" w:eastAsia="Arial" w:hAnsi="Arial"/>
                <w:sz w:val="20"/>
                <w:szCs w:val="20"/>
                <w:color w:val="2A2A2A"/>
              </w:rPr>
              <w:t>Cash paid for amounts included in the measurement of lease liabilities:</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658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Operating cash flows for lease cost</w:t>
            </w:r>
          </w:p>
        </w:tc>
        <w:tc>
          <w:tcPr>
            <w:tcW w:w="5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ind w:right="4"/>
              <w:spacing w:after="0"/>
              <w:rPr>
                <w:sz w:val="20"/>
                <w:szCs w:val="20"/>
                <w:color w:val="auto"/>
              </w:rPr>
            </w:pPr>
            <w:r>
              <w:rPr>
                <w:rFonts w:ascii="Arial" w:cs="Arial" w:eastAsia="Arial" w:hAnsi="Arial"/>
                <w:sz w:val="20"/>
                <w:szCs w:val="20"/>
                <w:b w:val="1"/>
                <w:bCs w:val="1"/>
                <w:color w:val="2A2A2A"/>
              </w:rPr>
              <w:t>65</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ind w:right="4"/>
              <w:spacing w:after="0"/>
              <w:rPr>
                <w:sz w:val="20"/>
                <w:szCs w:val="20"/>
                <w:color w:val="auto"/>
              </w:rPr>
            </w:pPr>
            <w:r>
              <w:rPr>
                <w:rFonts w:ascii="Arial" w:cs="Arial" w:eastAsia="Arial" w:hAnsi="Arial"/>
                <w:sz w:val="20"/>
                <w:szCs w:val="20"/>
                <w:color w:val="2A2A2A"/>
              </w:rPr>
              <w:t>61</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61</w:t>
            </w:r>
          </w:p>
        </w:tc>
      </w:tr>
      <w:tr>
        <w:trPr>
          <w:trHeight w:val="315"/>
        </w:trPr>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5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Lease assets obtained in exchange for new lease liabilities</w:t>
            </w:r>
          </w:p>
        </w:tc>
        <w:tc>
          <w:tcPr>
            <w:tcW w:w="50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ind w:right="4"/>
              <w:spacing w:after="0"/>
              <w:rPr>
                <w:sz w:val="20"/>
                <w:szCs w:val="20"/>
                <w:color w:val="auto"/>
              </w:rPr>
            </w:pPr>
            <w:r>
              <w:rPr>
                <w:rFonts w:ascii="Arial" w:cs="Arial" w:eastAsia="Arial" w:hAnsi="Arial"/>
                <w:sz w:val="20"/>
                <w:szCs w:val="20"/>
                <w:b w:val="1"/>
                <w:bCs w:val="1"/>
                <w:color w:val="2A2A2A"/>
              </w:rPr>
              <w:t>285</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ind w:right="4"/>
              <w:spacing w:after="0"/>
              <w:rPr>
                <w:sz w:val="20"/>
                <w:szCs w:val="20"/>
                <w:color w:val="auto"/>
              </w:rPr>
            </w:pPr>
            <w:r>
              <w:rPr>
                <w:rFonts w:ascii="Arial" w:cs="Arial" w:eastAsia="Arial" w:hAnsi="Arial"/>
                <w:sz w:val="20"/>
                <w:szCs w:val="20"/>
                <w:color w:val="2A2A2A"/>
              </w:rPr>
              <w:t>37</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-1270635</wp:posOffset>
            </wp:positionV>
            <wp:extent cx="653351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33515" cy="27940"/>
                    </a:xfrm>
                    <a:prstGeom prst="rect">
                      <a:avLst/>
                    </a:prstGeom>
                    <a:noFill/>
                  </pic:spPr>
                </pic:pic>
              </a:graphicData>
            </a:graphic>
          </wp:anchor>
        </w:drawing>
      </w:r>
    </w:p>
    <w:p>
      <w:pPr>
        <w:spacing w:after="0" w:line="265" w:lineRule="exact"/>
        <w:rPr>
          <w:sz w:val="20"/>
          <w:szCs w:val="20"/>
          <w:color w:val="auto"/>
        </w:rPr>
      </w:pPr>
    </w:p>
    <w:p>
      <w:pPr>
        <w:ind w:left="1" w:right="280"/>
        <w:spacing w:after="0" w:line="287" w:lineRule="auto"/>
        <w:rPr>
          <w:sz w:val="20"/>
          <w:szCs w:val="20"/>
          <w:color w:val="auto"/>
        </w:rPr>
      </w:pPr>
      <w:r>
        <w:rPr>
          <w:rFonts w:ascii="Arial" w:cs="Arial" w:eastAsia="Arial" w:hAnsi="Arial"/>
          <w:sz w:val="20"/>
          <w:szCs w:val="20"/>
          <w:color w:val="2A2A2A"/>
        </w:rPr>
        <w:t>As of December 31, 2023, we had committed to make the following minimum payments under our noncancelable operating leases:</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2100" w:type="dxa"/>
            <w:vAlign w:val="bottom"/>
            <w:tcBorders>
              <w:bottom w:val="single" w:sz="8" w:color="2A2A2A"/>
            </w:tcBorders>
          </w:tcPr>
          <w:p>
            <w:pPr>
              <w:spacing w:after="0"/>
              <w:rPr>
                <w:sz w:val="19"/>
                <w:szCs w:val="19"/>
                <w:color w:val="auto"/>
              </w:rPr>
            </w:pPr>
          </w:p>
        </w:tc>
        <w:tc>
          <w:tcPr>
            <w:tcW w:w="80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2024</w:t>
            </w:r>
          </w:p>
        </w:tc>
        <w:tc>
          <w:tcPr>
            <w:tcW w:w="360" w:type="dxa"/>
            <w:vAlign w:val="bottom"/>
            <w:tcBorders>
              <w:bottom w:val="single" w:sz="8" w:color="2A2A2A"/>
            </w:tcBorders>
          </w:tcPr>
          <w:p>
            <w:pPr>
              <w:spacing w:after="0"/>
              <w:rPr>
                <w:sz w:val="19"/>
                <w:szCs w:val="19"/>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2025</w:t>
            </w:r>
          </w:p>
        </w:tc>
        <w:tc>
          <w:tcPr>
            <w:tcW w:w="360" w:type="dxa"/>
            <w:vAlign w:val="bottom"/>
            <w:tcBorders>
              <w:bottom w:val="single" w:sz="8" w:color="2A2A2A"/>
            </w:tcBorders>
          </w:tcPr>
          <w:p>
            <w:pPr>
              <w:spacing w:after="0"/>
              <w:rPr>
                <w:sz w:val="19"/>
                <w:szCs w:val="19"/>
                <w:color w:val="auto"/>
              </w:rPr>
            </w:pPr>
          </w:p>
        </w:tc>
        <w:tc>
          <w:tcPr>
            <w:tcW w:w="32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2026</w:t>
            </w:r>
          </w:p>
        </w:tc>
        <w:tc>
          <w:tcPr>
            <w:tcW w:w="320" w:type="dxa"/>
            <w:vAlign w:val="bottom"/>
            <w:tcBorders>
              <w:bottom w:val="single" w:sz="8" w:color="2A2A2A"/>
            </w:tcBorders>
          </w:tcPr>
          <w:p>
            <w:pPr>
              <w:spacing w:after="0"/>
              <w:rPr>
                <w:sz w:val="19"/>
                <w:szCs w:val="19"/>
                <w:color w:val="auto"/>
              </w:rPr>
            </w:pPr>
          </w:p>
        </w:tc>
        <w:tc>
          <w:tcPr>
            <w:tcW w:w="86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2027</w:t>
            </w:r>
          </w:p>
        </w:tc>
        <w:tc>
          <w:tcPr>
            <w:tcW w:w="32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2028</w:t>
            </w:r>
          </w:p>
        </w:tc>
        <w:tc>
          <w:tcPr>
            <w:tcW w:w="1220" w:type="dxa"/>
            <w:vAlign w:val="bottom"/>
            <w:tcBorders>
              <w:bottom w:val="single" w:sz="8" w:color="2A2A2A"/>
            </w:tcBorders>
            <w:gridSpan w:val="2"/>
          </w:tcPr>
          <w:p>
            <w:pPr>
              <w:jc w:val="right"/>
              <w:ind w:right="120"/>
              <w:spacing w:after="0"/>
              <w:rPr>
                <w:sz w:val="20"/>
                <w:szCs w:val="20"/>
                <w:color w:val="auto"/>
              </w:rPr>
            </w:pPr>
            <w:r>
              <w:rPr>
                <w:rFonts w:ascii="Arial" w:cs="Arial" w:eastAsia="Arial" w:hAnsi="Arial"/>
                <w:sz w:val="16"/>
                <w:szCs w:val="16"/>
                <w:b w:val="1"/>
                <w:bCs w:val="1"/>
                <w:color w:val="2A2A2A"/>
              </w:rPr>
              <w:t>Thereafter</w:t>
            </w:r>
          </w:p>
        </w:tc>
        <w:tc>
          <w:tcPr>
            <w:tcW w:w="26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Total</w:t>
            </w:r>
          </w:p>
        </w:tc>
      </w:tr>
      <w:tr>
        <w:trPr>
          <w:trHeight w:val="255"/>
        </w:trPr>
        <w:tc>
          <w:tcPr>
            <w:tcW w:w="21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Lease payments</w:t>
            </w:r>
          </w:p>
        </w:tc>
        <w:tc>
          <w:tcPr>
            <w:tcW w:w="800" w:type="dxa"/>
            <w:vAlign w:val="bottom"/>
            <w:shd w:val="clear" w:color="auto" w:fill="D7D7D7"/>
          </w:tcPr>
          <w:p>
            <w:pPr>
              <w:jc w:val="right"/>
              <w:ind w:right="510"/>
              <w:spacing w:after="0"/>
              <w:rPr>
                <w:sz w:val="20"/>
                <w:szCs w:val="20"/>
                <w:color w:val="auto"/>
              </w:rPr>
            </w:pPr>
            <w:r>
              <w:rPr>
                <w:rFonts w:ascii="Arial" w:cs="Arial" w:eastAsia="Arial" w:hAnsi="Arial"/>
                <w:sz w:val="20"/>
                <w:szCs w:val="20"/>
                <w:color w:val="2A2A2A"/>
              </w:rPr>
              <w:t>$</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94</w:t>
            </w:r>
          </w:p>
        </w:tc>
        <w:tc>
          <w:tcPr>
            <w:tcW w:w="820" w:type="dxa"/>
            <w:vAlign w:val="bottom"/>
            <w:shd w:val="clear" w:color="auto" w:fill="D7D7D7"/>
          </w:tcPr>
          <w:p>
            <w:pPr>
              <w:jc w:val="right"/>
              <w:ind w:right="510"/>
              <w:spacing w:after="0"/>
              <w:rPr>
                <w:sz w:val="20"/>
                <w:szCs w:val="20"/>
                <w:color w:val="auto"/>
              </w:rPr>
            </w:pPr>
            <w:r>
              <w:rPr>
                <w:rFonts w:ascii="Arial" w:cs="Arial" w:eastAsia="Arial" w:hAnsi="Arial"/>
                <w:sz w:val="20"/>
                <w:szCs w:val="20"/>
                <w:color w:val="2A2A2A"/>
              </w:rPr>
              <w:t>$</w:t>
            </w:r>
          </w:p>
        </w:tc>
        <w:tc>
          <w:tcPr>
            <w:tcW w:w="36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w w:val="98"/>
              </w:rPr>
              <w:t>77</w:t>
            </w:r>
          </w:p>
        </w:tc>
        <w:tc>
          <w:tcPr>
            <w:tcW w:w="32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ind w:right="10"/>
              <w:spacing w:after="0"/>
              <w:rPr>
                <w:sz w:val="20"/>
                <w:szCs w:val="20"/>
                <w:color w:val="auto"/>
              </w:rPr>
            </w:pPr>
            <w:r>
              <w:rPr>
                <w:rFonts w:ascii="Arial" w:cs="Arial" w:eastAsia="Arial" w:hAnsi="Arial"/>
                <w:sz w:val="20"/>
                <w:szCs w:val="20"/>
                <w:color w:val="2A2A2A"/>
              </w:rPr>
              <w:t>69</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shd w:val="clear" w:color="auto" w:fill="D7D7D7"/>
          </w:tcPr>
          <w:p>
            <w:pPr>
              <w:jc w:val="right"/>
              <w:ind w:right="30"/>
              <w:spacing w:after="0"/>
              <w:rPr>
                <w:sz w:val="20"/>
                <w:szCs w:val="20"/>
                <w:color w:val="auto"/>
              </w:rPr>
            </w:pPr>
            <w:r>
              <w:rPr>
                <w:rFonts w:ascii="Arial" w:cs="Arial" w:eastAsia="Arial" w:hAnsi="Arial"/>
                <w:sz w:val="20"/>
                <w:szCs w:val="20"/>
                <w:color w:val="2A2A2A"/>
              </w:rPr>
              <w:t>60</w:t>
            </w:r>
          </w:p>
        </w:tc>
        <w:tc>
          <w:tcPr>
            <w:tcW w:w="320" w:type="dxa"/>
            <w:vAlign w:val="bottom"/>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ind w:right="10"/>
              <w:spacing w:after="0"/>
              <w:rPr>
                <w:sz w:val="20"/>
                <w:szCs w:val="20"/>
                <w:color w:val="auto"/>
              </w:rPr>
            </w:pPr>
            <w:r>
              <w:rPr>
                <w:rFonts w:ascii="Arial" w:cs="Arial" w:eastAsia="Arial" w:hAnsi="Arial"/>
                <w:sz w:val="20"/>
                <w:szCs w:val="20"/>
                <w:color w:val="2A2A2A"/>
              </w:rPr>
              <w:t>52</w:t>
            </w:r>
          </w:p>
        </w:tc>
        <w:tc>
          <w:tcPr>
            <w:tcW w:w="480" w:type="dxa"/>
            <w:vAlign w:val="bottom"/>
            <w:shd w:val="clear" w:color="auto" w:fill="D7D7D7"/>
          </w:tcPr>
          <w:p>
            <w:pPr>
              <w:jc w:val="right"/>
              <w:ind w:right="170"/>
              <w:spacing w:after="0"/>
              <w:rPr>
                <w:sz w:val="20"/>
                <w:szCs w:val="20"/>
                <w:color w:val="auto"/>
              </w:rPr>
            </w:pPr>
            <w:r>
              <w:rPr>
                <w:rFonts w:ascii="Arial" w:cs="Arial" w:eastAsia="Arial" w:hAnsi="Arial"/>
                <w:sz w:val="20"/>
                <w:szCs w:val="20"/>
                <w:color w:val="2A2A2A"/>
              </w:rPr>
              <w:t>$</w:t>
            </w:r>
          </w:p>
        </w:tc>
        <w:tc>
          <w:tcPr>
            <w:tcW w:w="740" w:type="dxa"/>
            <w:vAlign w:val="bottom"/>
            <w:shd w:val="clear" w:color="auto" w:fill="D7D7D7"/>
          </w:tcPr>
          <w:p>
            <w:pPr>
              <w:jc w:val="right"/>
              <w:ind w:right="60"/>
              <w:spacing w:after="0"/>
              <w:rPr>
                <w:sz w:val="20"/>
                <w:szCs w:val="20"/>
                <w:color w:val="auto"/>
              </w:rPr>
            </w:pPr>
            <w:r>
              <w:rPr>
                <w:rFonts w:ascii="Arial" w:cs="Arial" w:eastAsia="Arial" w:hAnsi="Arial"/>
                <w:sz w:val="20"/>
                <w:szCs w:val="20"/>
                <w:color w:val="2A2A2A"/>
              </w:rPr>
              <w:t>378</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730</w:t>
            </w:r>
          </w:p>
        </w:tc>
      </w:tr>
      <w:tr>
        <w:trPr>
          <w:trHeight w:val="265"/>
        </w:trPr>
        <w:tc>
          <w:tcPr>
            <w:tcW w:w="21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Imputed lease interest</w:t>
            </w:r>
          </w:p>
        </w:tc>
        <w:tc>
          <w:tcPr>
            <w:tcW w:w="800" w:type="dxa"/>
            <w:vAlign w:val="bottom"/>
            <w:tcBorders>
              <w:bottom w:val="single" w:sz="8" w:color="D7D7D7"/>
            </w:tcBorders>
          </w:tcPr>
          <w:p>
            <w:pPr>
              <w:spacing w:after="0"/>
              <w:rPr>
                <w:sz w:val="23"/>
                <w:szCs w:val="23"/>
                <w:color w:val="auto"/>
              </w:rPr>
            </w:pPr>
          </w:p>
        </w:tc>
        <w:tc>
          <w:tcPr>
            <w:tcW w:w="360" w:type="dxa"/>
            <w:vAlign w:val="bottom"/>
            <w:tcBorders>
              <w:bottom w:val="single" w:sz="8" w:color="D7D7D7"/>
            </w:tcBorders>
          </w:tcPr>
          <w:p>
            <w:pPr>
              <w:spacing w:after="0"/>
              <w:rPr>
                <w:sz w:val="23"/>
                <w:szCs w:val="23"/>
                <w:color w:val="auto"/>
              </w:rPr>
            </w:pPr>
          </w:p>
        </w:tc>
        <w:tc>
          <w:tcPr>
            <w:tcW w:w="820" w:type="dxa"/>
            <w:vAlign w:val="bottom"/>
            <w:tcBorders>
              <w:bottom w:val="single" w:sz="8" w:color="D7D7D7"/>
            </w:tcBorders>
          </w:tcPr>
          <w:p>
            <w:pPr>
              <w:spacing w:after="0"/>
              <w:rPr>
                <w:sz w:val="23"/>
                <w:szCs w:val="23"/>
                <w:color w:val="auto"/>
              </w:rPr>
            </w:pPr>
          </w:p>
        </w:tc>
        <w:tc>
          <w:tcPr>
            <w:tcW w:w="360" w:type="dxa"/>
            <w:vAlign w:val="bottom"/>
            <w:tcBorders>
              <w:bottom w:val="single" w:sz="8" w:color="D7D7D7"/>
            </w:tcBorders>
          </w:tcPr>
          <w:p>
            <w:pPr>
              <w:spacing w:after="0"/>
              <w:rPr>
                <w:sz w:val="23"/>
                <w:szCs w:val="23"/>
                <w:color w:val="auto"/>
              </w:rPr>
            </w:pPr>
          </w:p>
        </w:tc>
        <w:tc>
          <w:tcPr>
            <w:tcW w:w="320" w:type="dxa"/>
            <w:vAlign w:val="bottom"/>
            <w:tcBorders>
              <w:bottom w:val="single" w:sz="8" w:color="D7D7D7"/>
            </w:tcBorders>
          </w:tcPr>
          <w:p>
            <w:pPr>
              <w:spacing w:after="0"/>
              <w:rPr>
                <w:sz w:val="23"/>
                <w:szCs w:val="23"/>
                <w:color w:val="auto"/>
              </w:rPr>
            </w:pPr>
          </w:p>
        </w:tc>
        <w:tc>
          <w:tcPr>
            <w:tcW w:w="840" w:type="dxa"/>
            <w:vAlign w:val="bottom"/>
            <w:tcBorders>
              <w:bottom w:val="single" w:sz="8" w:color="D7D7D7"/>
            </w:tcBorders>
          </w:tcPr>
          <w:p>
            <w:pPr>
              <w:spacing w:after="0"/>
              <w:rPr>
                <w:sz w:val="23"/>
                <w:szCs w:val="23"/>
                <w:color w:val="auto"/>
              </w:rPr>
            </w:pPr>
          </w:p>
        </w:tc>
        <w:tc>
          <w:tcPr>
            <w:tcW w:w="320" w:type="dxa"/>
            <w:vAlign w:val="bottom"/>
            <w:tcBorders>
              <w:bottom w:val="single" w:sz="8" w:color="D7D7D7"/>
            </w:tcBorders>
          </w:tcPr>
          <w:p>
            <w:pPr>
              <w:spacing w:after="0"/>
              <w:rPr>
                <w:sz w:val="23"/>
                <w:szCs w:val="23"/>
                <w:color w:val="auto"/>
              </w:rPr>
            </w:pPr>
          </w:p>
        </w:tc>
        <w:tc>
          <w:tcPr>
            <w:tcW w:w="860" w:type="dxa"/>
            <w:vAlign w:val="bottom"/>
            <w:tcBorders>
              <w:bottom w:val="single" w:sz="8" w:color="D7D7D7"/>
            </w:tcBorders>
          </w:tcPr>
          <w:p>
            <w:pPr>
              <w:spacing w:after="0"/>
              <w:rPr>
                <w:sz w:val="23"/>
                <w:szCs w:val="23"/>
                <w:color w:val="auto"/>
              </w:rPr>
            </w:pPr>
          </w:p>
        </w:tc>
        <w:tc>
          <w:tcPr>
            <w:tcW w:w="320" w:type="dxa"/>
            <w:vAlign w:val="bottom"/>
            <w:tcBorders>
              <w:bottom w:val="single" w:sz="8" w:color="D7D7D7"/>
            </w:tcBorders>
          </w:tcPr>
          <w:p>
            <w:pPr>
              <w:spacing w:after="0"/>
              <w:rPr>
                <w:sz w:val="23"/>
                <w:szCs w:val="23"/>
                <w:color w:val="auto"/>
              </w:rPr>
            </w:pPr>
          </w:p>
        </w:tc>
        <w:tc>
          <w:tcPr>
            <w:tcW w:w="840" w:type="dxa"/>
            <w:vAlign w:val="bottom"/>
            <w:tcBorders>
              <w:bottom w:val="single" w:sz="8" w:color="D7D7D7"/>
            </w:tcBorders>
          </w:tcPr>
          <w:p>
            <w:pPr>
              <w:spacing w:after="0"/>
              <w:rPr>
                <w:sz w:val="23"/>
                <w:szCs w:val="23"/>
                <w:color w:val="auto"/>
              </w:rPr>
            </w:pPr>
          </w:p>
        </w:tc>
        <w:tc>
          <w:tcPr>
            <w:tcW w:w="480" w:type="dxa"/>
            <w:vAlign w:val="bottom"/>
            <w:tcBorders>
              <w:bottom w:val="single" w:sz="8" w:color="D7D7D7"/>
            </w:tcBorders>
          </w:tcPr>
          <w:p>
            <w:pPr>
              <w:spacing w:after="0"/>
              <w:rPr>
                <w:sz w:val="23"/>
                <w:szCs w:val="23"/>
                <w:color w:val="auto"/>
              </w:rPr>
            </w:pPr>
          </w:p>
        </w:tc>
        <w:tc>
          <w:tcPr>
            <w:tcW w:w="74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(164)</w:t>
            </w:r>
          </w:p>
        </w:tc>
      </w:tr>
      <w:tr>
        <w:trPr>
          <w:trHeight w:val="255"/>
        </w:trPr>
        <w:tc>
          <w:tcPr>
            <w:tcW w:w="21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 lease liabilities</w:t>
            </w:r>
          </w:p>
        </w:tc>
        <w:tc>
          <w:tcPr>
            <w:tcW w:w="800" w:type="dxa"/>
            <w:vAlign w:val="bottom"/>
            <w:tcBorders>
              <w:bottom w:val="single" w:sz="8" w:color="D7D7D7"/>
            </w:tcBorders>
            <w:shd w:val="clear" w:color="auto" w:fill="D7D7D7"/>
          </w:tcPr>
          <w:p>
            <w:pPr>
              <w:spacing w:after="0"/>
              <w:rPr>
                <w:sz w:val="21"/>
                <w:szCs w:val="21"/>
                <w:color w:val="auto"/>
              </w:rPr>
            </w:pPr>
          </w:p>
        </w:tc>
        <w:tc>
          <w:tcPr>
            <w:tcW w:w="360" w:type="dxa"/>
            <w:vAlign w:val="bottom"/>
            <w:tcBorders>
              <w:bottom w:val="single" w:sz="8" w:color="D7D7D7"/>
            </w:tcBorders>
            <w:shd w:val="clear" w:color="auto" w:fill="D7D7D7"/>
          </w:tcPr>
          <w:p>
            <w:pPr>
              <w:spacing w:after="0"/>
              <w:rPr>
                <w:sz w:val="21"/>
                <w:szCs w:val="21"/>
                <w:color w:val="auto"/>
              </w:rPr>
            </w:pPr>
          </w:p>
        </w:tc>
        <w:tc>
          <w:tcPr>
            <w:tcW w:w="820" w:type="dxa"/>
            <w:vAlign w:val="bottom"/>
            <w:tcBorders>
              <w:bottom w:val="single" w:sz="8" w:color="D7D7D7"/>
            </w:tcBorders>
            <w:shd w:val="clear" w:color="auto" w:fill="D7D7D7"/>
          </w:tcPr>
          <w:p>
            <w:pPr>
              <w:spacing w:after="0"/>
              <w:rPr>
                <w:sz w:val="21"/>
                <w:szCs w:val="21"/>
                <w:color w:val="auto"/>
              </w:rPr>
            </w:pPr>
          </w:p>
        </w:tc>
        <w:tc>
          <w:tcPr>
            <w:tcW w:w="360" w:type="dxa"/>
            <w:vAlign w:val="bottom"/>
            <w:tcBorders>
              <w:bottom w:val="single" w:sz="8" w:color="D7D7D7"/>
            </w:tcBorders>
            <w:shd w:val="clear" w:color="auto" w:fill="D7D7D7"/>
          </w:tcPr>
          <w:p>
            <w:pPr>
              <w:spacing w:after="0"/>
              <w:rPr>
                <w:sz w:val="21"/>
                <w:szCs w:val="21"/>
                <w:color w:val="auto"/>
              </w:rPr>
            </w:pPr>
          </w:p>
        </w:tc>
        <w:tc>
          <w:tcPr>
            <w:tcW w:w="320" w:type="dxa"/>
            <w:vAlign w:val="bottom"/>
            <w:tcBorders>
              <w:bottom w:val="single" w:sz="8" w:color="D7D7D7"/>
            </w:tcBorders>
            <w:shd w:val="clear" w:color="auto" w:fill="D7D7D7"/>
          </w:tcPr>
          <w:p>
            <w:pPr>
              <w:spacing w:after="0"/>
              <w:rPr>
                <w:sz w:val="21"/>
                <w:szCs w:val="21"/>
                <w:color w:val="auto"/>
              </w:rPr>
            </w:pPr>
          </w:p>
        </w:tc>
        <w:tc>
          <w:tcPr>
            <w:tcW w:w="840" w:type="dxa"/>
            <w:vAlign w:val="bottom"/>
            <w:tcBorders>
              <w:bottom w:val="single" w:sz="8" w:color="D7D7D7"/>
            </w:tcBorders>
            <w:shd w:val="clear" w:color="auto" w:fill="D7D7D7"/>
          </w:tcPr>
          <w:p>
            <w:pPr>
              <w:spacing w:after="0"/>
              <w:rPr>
                <w:sz w:val="21"/>
                <w:szCs w:val="21"/>
                <w:color w:val="auto"/>
              </w:rPr>
            </w:pPr>
          </w:p>
        </w:tc>
        <w:tc>
          <w:tcPr>
            <w:tcW w:w="320" w:type="dxa"/>
            <w:vAlign w:val="bottom"/>
            <w:tcBorders>
              <w:bottom w:val="single" w:sz="8" w:color="D7D7D7"/>
            </w:tcBorders>
            <w:shd w:val="clear" w:color="auto" w:fill="D7D7D7"/>
          </w:tcPr>
          <w:p>
            <w:pPr>
              <w:spacing w:after="0"/>
              <w:rPr>
                <w:sz w:val="21"/>
                <w:szCs w:val="21"/>
                <w:color w:val="auto"/>
              </w:rPr>
            </w:pPr>
          </w:p>
        </w:tc>
        <w:tc>
          <w:tcPr>
            <w:tcW w:w="860" w:type="dxa"/>
            <w:vAlign w:val="bottom"/>
            <w:tcBorders>
              <w:bottom w:val="single" w:sz="8" w:color="D7D7D7"/>
            </w:tcBorders>
            <w:shd w:val="clear" w:color="auto" w:fill="D7D7D7"/>
          </w:tcPr>
          <w:p>
            <w:pPr>
              <w:spacing w:after="0"/>
              <w:rPr>
                <w:sz w:val="21"/>
                <w:szCs w:val="21"/>
                <w:color w:val="auto"/>
              </w:rPr>
            </w:pPr>
          </w:p>
        </w:tc>
        <w:tc>
          <w:tcPr>
            <w:tcW w:w="320" w:type="dxa"/>
            <w:vAlign w:val="bottom"/>
            <w:tcBorders>
              <w:bottom w:val="single" w:sz="8" w:color="D7D7D7"/>
            </w:tcBorders>
            <w:shd w:val="clear" w:color="auto" w:fill="D7D7D7"/>
          </w:tcPr>
          <w:p>
            <w:pPr>
              <w:spacing w:after="0"/>
              <w:rPr>
                <w:sz w:val="21"/>
                <w:szCs w:val="21"/>
                <w:color w:val="auto"/>
              </w:rPr>
            </w:pPr>
          </w:p>
        </w:tc>
        <w:tc>
          <w:tcPr>
            <w:tcW w:w="840" w:type="dxa"/>
            <w:vAlign w:val="bottom"/>
            <w:tcBorders>
              <w:bottom w:val="single" w:sz="8" w:color="D7D7D7"/>
            </w:tcBorders>
            <w:shd w:val="clear" w:color="auto" w:fill="D7D7D7"/>
          </w:tcPr>
          <w:p>
            <w:pPr>
              <w:spacing w:after="0"/>
              <w:rPr>
                <w:sz w:val="21"/>
                <w:szCs w:val="21"/>
                <w:color w:val="auto"/>
              </w:rPr>
            </w:pPr>
          </w:p>
        </w:tc>
        <w:tc>
          <w:tcPr>
            <w:tcW w:w="480" w:type="dxa"/>
            <w:vAlign w:val="bottom"/>
            <w:tcBorders>
              <w:bottom w:val="single" w:sz="8" w:color="D7D7D7"/>
            </w:tcBorders>
            <w:shd w:val="clear" w:color="auto" w:fill="D7D7D7"/>
          </w:tcPr>
          <w:p>
            <w:pPr>
              <w:spacing w:after="0"/>
              <w:rPr>
                <w:sz w:val="21"/>
                <w:szCs w:val="21"/>
                <w:color w:val="auto"/>
              </w:rPr>
            </w:pPr>
          </w:p>
        </w:tc>
        <w:tc>
          <w:tcPr>
            <w:tcW w:w="74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566</w:t>
            </w:r>
          </w:p>
        </w:tc>
      </w:tr>
      <w:tr>
        <w:trPr>
          <w:trHeight w:val="20"/>
        </w:trPr>
        <w:tc>
          <w:tcPr>
            <w:tcW w:w="2100" w:type="dxa"/>
            <w:vAlign w:val="bottom"/>
            <w:tcBorders>
              <w:top w:val="single" w:sz="8" w:color="D7D7D7"/>
            </w:tcBorders>
          </w:tcPr>
          <w:p>
            <w:pPr>
              <w:spacing w:after="0" w:line="20" w:lineRule="exact"/>
              <w:rPr>
                <w:sz w:val="1"/>
                <w:szCs w:val="1"/>
                <w:color w:val="auto"/>
              </w:rPr>
            </w:pPr>
          </w:p>
        </w:tc>
        <w:tc>
          <w:tcPr>
            <w:tcW w:w="800" w:type="dxa"/>
            <w:vAlign w:val="bottom"/>
            <w:tcBorders>
              <w:top w:val="single" w:sz="8" w:color="D7D7D7"/>
            </w:tcBorders>
          </w:tcPr>
          <w:p>
            <w:pPr>
              <w:spacing w:after="0" w:line="20" w:lineRule="exact"/>
              <w:rPr>
                <w:sz w:val="1"/>
                <w:szCs w:val="1"/>
                <w:color w:val="auto"/>
              </w:rPr>
            </w:pPr>
          </w:p>
        </w:tc>
        <w:tc>
          <w:tcPr>
            <w:tcW w:w="360" w:type="dxa"/>
            <w:vAlign w:val="bottom"/>
            <w:tcBorders>
              <w:top w:val="single" w:sz="8" w:color="D7D7D7"/>
            </w:tcBorders>
          </w:tcPr>
          <w:p>
            <w:pPr>
              <w:spacing w:after="0" w:line="20" w:lineRule="exact"/>
              <w:rPr>
                <w:sz w:val="1"/>
                <w:szCs w:val="1"/>
                <w:color w:val="auto"/>
              </w:rPr>
            </w:pPr>
          </w:p>
        </w:tc>
        <w:tc>
          <w:tcPr>
            <w:tcW w:w="820" w:type="dxa"/>
            <w:vAlign w:val="bottom"/>
            <w:tcBorders>
              <w:top w:val="single" w:sz="8" w:color="D7D7D7"/>
            </w:tcBorders>
          </w:tcPr>
          <w:p>
            <w:pPr>
              <w:spacing w:after="0" w:line="20" w:lineRule="exact"/>
              <w:rPr>
                <w:sz w:val="1"/>
                <w:szCs w:val="1"/>
                <w:color w:val="auto"/>
              </w:rPr>
            </w:pPr>
          </w:p>
        </w:tc>
        <w:tc>
          <w:tcPr>
            <w:tcW w:w="360" w:type="dxa"/>
            <w:vAlign w:val="bottom"/>
            <w:tcBorders>
              <w:top w:val="single" w:sz="8" w:color="D7D7D7"/>
            </w:tcBorders>
          </w:tcPr>
          <w:p>
            <w:pPr>
              <w:spacing w:after="0" w:line="20" w:lineRule="exact"/>
              <w:rPr>
                <w:sz w:val="1"/>
                <w:szCs w:val="1"/>
                <w:color w:val="auto"/>
              </w:rPr>
            </w:pPr>
          </w:p>
        </w:tc>
        <w:tc>
          <w:tcPr>
            <w:tcW w:w="320" w:type="dxa"/>
            <w:vAlign w:val="bottom"/>
            <w:tcBorders>
              <w:top w:val="single" w:sz="8" w:color="D7D7D7"/>
            </w:tcBorders>
          </w:tcPr>
          <w:p>
            <w:pPr>
              <w:spacing w:after="0" w:line="20" w:lineRule="exact"/>
              <w:rPr>
                <w:sz w:val="1"/>
                <w:szCs w:val="1"/>
                <w:color w:val="auto"/>
              </w:rPr>
            </w:pPr>
          </w:p>
        </w:tc>
        <w:tc>
          <w:tcPr>
            <w:tcW w:w="840" w:type="dxa"/>
            <w:vAlign w:val="bottom"/>
            <w:tcBorders>
              <w:top w:val="single" w:sz="8" w:color="D7D7D7"/>
            </w:tcBorders>
          </w:tcPr>
          <w:p>
            <w:pPr>
              <w:spacing w:after="0" w:line="20" w:lineRule="exact"/>
              <w:rPr>
                <w:sz w:val="1"/>
                <w:szCs w:val="1"/>
                <w:color w:val="auto"/>
              </w:rPr>
            </w:pPr>
          </w:p>
        </w:tc>
        <w:tc>
          <w:tcPr>
            <w:tcW w:w="320" w:type="dxa"/>
            <w:vAlign w:val="bottom"/>
            <w:tcBorders>
              <w:top w:val="single" w:sz="8" w:color="D7D7D7"/>
            </w:tcBorders>
          </w:tcPr>
          <w:p>
            <w:pPr>
              <w:spacing w:after="0" w:line="20" w:lineRule="exact"/>
              <w:rPr>
                <w:sz w:val="1"/>
                <w:szCs w:val="1"/>
                <w:color w:val="auto"/>
              </w:rPr>
            </w:pPr>
          </w:p>
        </w:tc>
        <w:tc>
          <w:tcPr>
            <w:tcW w:w="860" w:type="dxa"/>
            <w:vAlign w:val="bottom"/>
            <w:tcBorders>
              <w:top w:val="single" w:sz="8" w:color="D7D7D7"/>
            </w:tcBorders>
          </w:tcPr>
          <w:p>
            <w:pPr>
              <w:spacing w:after="0" w:line="20" w:lineRule="exact"/>
              <w:rPr>
                <w:sz w:val="1"/>
                <w:szCs w:val="1"/>
                <w:color w:val="auto"/>
              </w:rPr>
            </w:pPr>
          </w:p>
        </w:tc>
        <w:tc>
          <w:tcPr>
            <w:tcW w:w="320" w:type="dxa"/>
            <w:vAlign w:val="bottom"/>
            <w:tcBorders>
              <w:top w:val="single" w:sz="8" w:color="D7D7D7"/>
            </w:tcBorders>
          </w:tcPr>
          <w:p>
            <w:pPr>
              <w:spacing w:after="0" w:line="20" w:lineRule="exact"/>
              <w:rPr>
                <w:sz w:val="1"/>
                <w:szCs w:val="1"/>
                <w:color w:val="auto"/>
              </w:rPr>
            </w:pPr>
          </w:p>
        </w:tc>
        <w:tc>
          <w:tcPr>
            <w:tcW w:w="840" w:type="dxa"/>
            <w:vAlign w:val="bottom"/>
            <w:tcBorders>
              <w:top w:val="single" w:sz="8" w:color="D7D7D7"/>
            </w:tcBorders>
          </w:tcPr>
          <w:p>
            <w:pPr>
              <w:spacing w:after="0" w:line="20" w:lineRule="exact"/>
              <w:rPr>
                <w:sz w:val="1"/>
                <w:szCs w:val="1"/>
                <w:color w:val="auto"/>
              </w:rPr>
            </w:pPr>
          </w:p>
        </w:tc>
        <w:tc>
          <w:tcPr>
            <w:tcW w:w="480" w:type="dxa"/>
            <w:vAlign w:val="bottom"/>
            <w:tcBorders>
              <w:top w:val="single" w:sz="8" w:color="D7D7D7"/>
            </w:tcBorders>
          </w:tcPr>
          <w:p>
            <w:pPr>
              <w:spacing w:after="0" w:line="20" w:lineRule="exact"/>
              <w:rPr>
                <w:sz w:val="1"/>
                <w:szCs w:val="1"/>
                <w:color w:val="auto"/>
              </w:rPr>
            </w:pPr>
          </w:p>
        </w:tc>
        <w:tc>
          <w:tcPr>
            <w:tcW w:w="74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4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-543560</wp:posOffset>
            </wp:positionV>
            <wp:extent cx="6543040"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43040" cy="27940"/>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-200660</wp:posOffset>
            </wp:positionV>
            <wp:extent cx="72326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3265" cy="27940"/>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-41910</wp:posOffset>
            </wp:positionV>
            <wp:extent cx="723265" cy="53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3265" cy="53340"/>
                    </a:xfrm>
                    <a:prstGeom prst="rect">
                      <a:avLst/>
                    </a:prstGeom>
                    <a:noFill/>
                  </pic:spPr>
                </pic:pic>
              </a:graphicData>
            </a:graphic>
          </wp:anchor>
        </w:drawing>
      </w:r>
    </w:p>
    <w:p>
      <w:pPr>
        <w:spacing w:after="0" w:line="239" w:lineRule="exact"/>
        <w:rPr>
          <w:sz w:val="20"/>
          <w:szCs w:val="20"/>
          <w:color w:val="auto"/>
        </w:rPr>
      </w:pPr>
    </w:p>
    <w:p>
      <w:pPr>
        <w:ind w:left="1" w:right="460"/>
        <w:spacing w:after="0" w:line="268" w:lineRule="auto"/>
        <w:rPr>
          <w:sz w:val="20"/>
          <w:szCs w:val="20"/>
          <w:color w:val="auto"/>
        </w:rPr>
      </w:pPr>
      <w:r>
        <w:rPr>
          <w:rFonts w:ascii="Arial" w:cs="Arial" w:eastAsia="Arial" w:hAnsi="Arial"/>
          <w:sz w:val="20"/>
          <w:szCs w:val="20"/>
          <w:color w:val="2A2A2A"/>
        </w:rPr>
        <w:t>The weighted average remaining lease term was 11.7 years and 8.8 years as of December 31, 2023 and 2022, respectively. The weighted average discount rate was 4.22% and 2.71% as of December 31, 2023 and 2022, respectively.</w:t>
      </w:r>
    </w:p>
    <w:p>
      <w:pPr>
        <w:spacing w:after="0" w:line="184" w:lineRule="exact"/>
        <w:rPr>
          <w:sz w:val="20"/>
          <w:szCs w:val="20"/>
          <w:color w:val="auto"/>
        </w:rPr>
      </w:pPr>
    </w:p>
    <w:p>
      <w:pPr>
        <w:ind w:left="361" w:hanging="361"/>
        <w:spacing w:after="0"/>
        <w:tabs>
          <w:tab w:leader="none" w:pos="361" w:val="left"/>
        </w:tabs>
        <w:numPr>
          <w:ilvl w:val="0"/>
          <w:numId w:val="32"/>
        </w:numPr>
        <w:rPr>
          <w:rFonts w:ascii="Arial" w:cs="Arial" w:eastAsia="Arial" w:hAnsi="Arial"/>
          <w:sz w:val="22"/>
          <w:szCs w:val="22"/>
          <w:color w:val="2A2A2A"/>
        </w:rPr>
      </w:pPr>
      <w:r>
        <w:rPr>
          <w:rFonts w:ascii="Arial" w:cs="Arial" w:eastAsia="Arial" w:hAnsi="Arial"/>
          <w:sz w:val="22"/>
          <w:szCs w:val="22"/>
          <w:u w:val="single" w:color="auto"/>
          <w:color w:val="2A2A2A"/>
        </w:rPr>
        <w:t>Commitments and contingencies</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Purchase commitments</w:t>
      </w:r>
    </w:p>
    <w:p>
      <w:pPr>
        <w:spacing w:after="0" w:line="255" w:lineRule="exact"/>
        <w:rPr>
          <w:sz w:val="20"/>
          <w:szCs w:val="20"/>
          <w:color w:val="auto"/>
        </w:rPr>
      </w:pPr>
    </w:p>
    <w:p>
      <w:pPr>
        <w:ind w:left="1" w:right="340"/>
        <w:spacing w:after="0" w:line="268" w:lineRule="auto"/>
        <w:rPr>
          <w:sz w:val="20"/>
          <w:szCs w:val="20"/>
          <w:color w:val="auto"/>
        </w:rPr>
      </w:pPr>
      <w:r>
        <w:rPr>
          <w:rFonts w:ascii="Arial" w:cs="Arial" w:eastAsia="Arial" w:hAnsi="Arial"/>
          <w:sz w:val="20"/>
          <w:szCs w:val="20"/>
          <w:color w:val="2A2A2A"/>
        </w:rPr>
        <w:t>Our purchase commitments include payments for software licenses and contractual arrangements with suppliers when there is a fixed, noncancelable payment schedule or when minimum payments are due with a reduced delivery schedule.</w:t>
      </w:r>
    </w:p>
    <w:p>
      <w:pPr>
        <w:spacing w:after="0" w:line="190" w:lineRule="exact"/>
        <w:rPr>
          <w:sz w:val="20"/>
          <w:szCs w:val="20"/>
          <w:color w:val="auto"/>
        </w:rPr>
      </w:pPr>
    </w:p>
    <w:p>
      <w:pPr>
        <w:ind w:left="1" w:right="760"/>
        <w:spacing w:after="0" w:line="287" w:lineRule="auto"/>
        <w:rPr>
          <w:sz w:val="20"/>
          <w:szCs w:val="20"/>
          <w:color w:val="auto"/>
        </w:rPr>
      </w:pPr>
      <w:r>
        <w:rPr>
          <w:rFonts w:ascii="Arial" w:cs="Arial" w:eastAsia="Arial" w:hAnsi="Arial"/>
          <w:sz w:val="20"/>
          <w:szCs w:val="20"/>
          <w:color w:val="2A2A2A"/>
        </w:rPr>
        <w:t>As of December 31, 2023, we had committed to make the following minimum payments under our purchase commitments:</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1720" w:type="dxa"/>
            <w:vAlign w:val="bottom"/>
            <w:tcBorders>
              <w:bottom w:val="single" w:sz="8" w:color="2A2A2A"/>
            </w:tcBorders>
          </w:tcPr>
          <w:p>
            <w:pPr>
              <w:spacing w:after="0"/>
              <w:rPr>
                <w:sz w:val="19"/>
                <w:szCs w:val="19"/>
                <w:color w:val="auto"/>
              </w:rPr>
            </w:pPr>
          </w:p>
        </w:tc>
        <w:tc>
          <w:tcPr>
            <w:tcW w:w="70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2024</w:t>
            </w:r>
          </w:p>
        </w:tc>
        <w:tc>
          <w:tcPr>
            <w:tcW w:w="320" w:type="dxa"/>
            <w:vAlign w:val="bottom"/>
            <w:tcBorders>
              <w:bottom w:val="single" w:sz="8" w:color="2A2A2A"/>
            </w:tcBorders>
          </w:tcPr>
          <w:p>
            <w:pPr>
              <w:spacing w:after="0"/>
              <w:rPr>
                <w:sz w:val="19"/>
                <w:szCs w:val="19"/>
                <w:color w:val="auto"/>
              </w:rPr>
            </w:pPr>
          </w:p>
        </w:tc>
        <w:tc>
          <w:tcPr>
            <w:tcW w:w="86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2025</w:t>
            </w:r>
          </w:p>
        </w:tc>
        <w:tc>
          <w:tcPr>
            <w:tcW w:w="32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2026</w:t>
            </w:r>
          </w:p>
        </w:tc>
        <w:tc>
          <w:tcPr>
            <w:tcW w:w="320" w:type="dxa"/>
            <w:vAlign w:val="bottom"/>
            <w:tcBorders>
              <w:bottom w:val="single" w:sz="8" w:color="2A2A2A"/>
            </w:tcBorders>
          </w:tcPr>
          <w:p>
            <w:pPr>
              <w:spacing w:after="0"/>
              <w:rPr>
                <w:sz w:val="19"/>
                <w:szCs w:val="19"/>
                <w:color w:val="auto"/>
              </w:rPr>
            </w:pPr>
          </w:p>
        </w:tc>
        <w:tc>
          <w:tcPr>
            <w:tcW w:w="86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2027</w:t>
            </w:r>
          </w:p>
        </w:tc>
        <w:tc>
          <w:tcPr>
            <w:tcW w:w="32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310"/>
              <w:spacing w:after="0"/>
              <w:rPr>
                <w:sz w:val="20"/>
                <w:szCs w:val="20"/>
                <w:color w:val="auto"/>
              </w:rPr>
            </w:pPr>
            <w:r>
              <w:rPr>
                <w:rFonts w:ascii="Arial" w:cs="Arial" w:eastAsia="Arial" w:hAnsi="Arial"/>
                <w:sz w:val="16"/>
                <w:szCs w:val="16"/>
                <w:b w:val="1"/>
                <w:bCs w:val="1"/>
                <w:color w:val="2A2A2A"/>
              </w:rPr>
              <w:t>2028</w:t>
            </w:r>
          </w:p>
        </w:tc>
        <w:tc>
          <w:tcPr>
            <w:tcW w:w="1180" w:type="dxa"/>
            <w:vAlign w:val="bottom"/>
            <w:tcBorders>
              <w:bottom w:val="single" w:sz="8" w:color="2A2A2A"/>
            </w:tcBorders>
            <w:gridSpan w:val="2"/>
          </w:tcPr>
          <w:p>
            <w:pPr>
              <w:jc w:val="right"/>
              <w:ind w:right="80"/>
              <w:spacing w:after="0"/>
              <w:rPr>
                <w:sz w:val="20"/>
                <w:szCs w:val="20"/>
                <w:color w:val="auto"/>
              </w:rPr>
            </w:pPr>
            <w:r>
              <w:rPr>
                <w:rFonts w:ascii="Arial" w:cs="Arial" w:eastAsia="Arial" w:hAnsi="Arial"/>
                <w:sz w:val="16"/>
                <w:szCs w:val="16"/>
                <w:b w:val="1"/>
                <w:bCs w:val="1"/>
                <w:color w:val="2A2A2A"/>
              </w:rPr>
              <w:t>Thereafter</w:t>
            </w:r>
          </w:p>
        </w:tc>
        <w:tc>
          <w:tcPr>
            <w:tcW w:w="30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right"/>
              <w:ind w:right="270"/>
              <w:spacing w:after="0"/>
              <w:rPr>
                <w:sz w:val="20"/>
                <w:szCs w:val="20"/>
                <w:color w:val="auto"/>
              </w:rPr>
            </w:pPr>
            <w:r>
              <w:rPr>
                <w:rFonts w:ascii="Arial" w:cs="Arial" w:eastAsia="Arial" w:hAnsi="Arial"/>
                <w:sz w:val="16"/>
                <w:szCs w:val="16"/>
                <w:b w:val="1"/>
                <w:bCs w:val="1"/>
                <w:color w:val="2A2A2A"/>
              </w:rPr>
              <w:t>Total</w:t>
            </w:r>
          </w:p>
        </w:tc>
        <w:tc>
          <w:tcPr>
            <w:tcW w:w="0" w:type="dxa"/>
            <w:vAlign w:val="bottom"/>
          </w:tcPr>
          <w:p>
            <w:pPr>
              <w:spacing w:after="0"/>
              <w:rPr>
                <w:sz w:val="1"/>
                <w:szCs w:val="1"/>
                <w:color w:val="auto"/>
              </w:rPr>
            </w:pPr>
          </w:p>
        </w:tc>
      </w:tr>
      <w:tr>
        <w:trPr>
          <w:trHeight w:val="206"/>
        </w:trPr>
        <w:tc>
          <w:tcPr>
            <w:tcW w:w="1720" w:type="dxa"/>
            <w:vAlign w:val="bottom"/>
            <w:shd w:val="clear" w:color="auto" w:fill="D7D7D7"/>
          </w:tcPr>
          <w:p>
            <w:pPr>
              <w:ind w:left="60"/>
              <w:spacing w:after="0" w:line="207" w:lineRule="exact"/>
              <w:rPr>
                <w:sz w:val="20"/>
                <w:szCs w:val="20"/>
                <w:color w:val="auto"/>
              </w:rPr>
            </w:pPr>
            <w:r>
              <w:rPr>
                <w:rFonts w:ascii="Arial" w:cs="Arial" w:eastAsia="Arial" w:hAnsi="Arial"/>
                <w:sz w:val="20"/>
                <w:szCs w:val="20"/>
                <w:color w:val="2A2A2A"/>
              </w:rPr>
              <w:t>Purchase</w:t>
            </w:r>
          </w:p>
        </w:tc>
        <w:tc>
          <w:tcPr>
            <w:tcW w:w="700" w:type="dxa"/>
            <w:vAlign w:val="bottom"/>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40" w:type="dxa"/>
            <w:vAlign w:val="bottom"/>
            <w:vMerge w:val="restart"/>
            <w:shd w:val="clear" w:color="auto" w:fill="D7D7D7"/>
          </w:tcPr>
          <w:p>
            <w:pPr>
              <w:jc w:val="right"/>
              <w:ind w:right="10"/>
              <w:spacing w:after="0"/>
              <w:rPr>
                <w:sz w:val="20"/>
                <w:szCs w:val="20"/>
                <w:color w:val="auto"/>
              </w:rPr>
            </w:pPr>
            <w:r>
              <w:rPr>
                <w:rFonts w:ascii="Arial" w:cs="Arial" w:eastAsia="Arial" w:hAnsi="Arial"/>
                <w:sz w:val="20"/>
                <w:szCs w:val="20"/>
                <w:color w:val="2A2A2A"/>
              </w:rPr>
              <w:t>626</w:t>
            </w:r>
          </w:p>
        </w:tc>
        <w:tc>
          <w:tcPr>
            <w:tcW w:w="32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vMerge w:val="restart"/>
            <w:shd w:val="clear" w:color="auto" w:fill="D7D7D7"/>
          </w:tcPr>
          <w:p>
            <w:pPr>
              <w:jc w:val="right"/>
              <w:ind w:right="30"/>
              <w:spacing w:after="0"/>
              <w:rPr>
                <w:sz w:val="20"/>
                <w:szCs w:val="20"/>
                <w:color w:val="auto"/>
              </w:rPr>
            </w:pPr>
            <w:r>
              <w:rPr>
                <w:rFonts w:ascii="Arial" w:cs="Arial" w:eastAsia="Arial" w:hAnsi="Arial"/>
                <w:sz w:val="20"/>
                <w:szCs w:val="20"/>
                <w:color w:val="2A2A2A"/>
              </w:rPr>
              <w:t>337</w:t>
            </w:r>
          </w:p>
        </w:tc>
        <w:tc>
          <w:tcPr>
            <w:tcW w:w="320" w:type="dxa"/>
            <w:vAlign w:val="bottom"/>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40" w:type="dxa"/>
            <w:vAlign w:val="bottom"/>
            <w:vMerge w:val="restart"/>
            <w:shd w:val="clear" w:color="auto" w:fill="D7D7D7"/>
          </w:tcPr>
          <w:p>
            <w:pPr>
              <w:jc w:val="right"/>
              <w:ind w:right="10"/>
              <w:spacing w:after="0"/>
              <w:rPr>
                <w:sz w:val="20"/>
                <w:szCs w:val="20"/>
                <w:color w:val="auto"/>
              </w:rPr>
            </w:pPr>
            <w:r>
              <w:rPr>
                <w:rFonts w:ascii="Arial" w:cs="Arial" w:eastAsia="Arial" w:hAnsi="Arial"/>
                <w:sz w:val="20"/>
                <w:szCs w:val="20"/>
                <w:color w:val="2A2A2A"/>
              </w:rPr>
              <w:t>312</w:t>
            </w:r>
          </w:p>
        </w:tc>
        <w:tc>
          <w:tcPr>
            <w:tcW w:w="32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60" w:type="dxa"/>
            <w:vAlign w:val="bottom"/>
            <w:vMerge w:val="restart"/>
            <w:shd w:val="clear" w:color="auto" w:fill="D7D7D7"/>
          </w:tcPr>
          <w:p>
            <w:pPr>
              <w:jc w:val="right"/>
              <w:ind w:right="30"/>
              <w:spacing w:after="0"/>
              <w:rPr>
                <w:sz w:val="20"/>
                <w:szCs w:val="20"/>
                <w:color w:val="auto"/>
              </w:rPr>
            </w:pPr>
            <w:r>
              <w:rPr>
                <w:rFonts w:ascii="Arial" w:cs="Arial" w:eastAsia="Arial" w:hAnsi="Arial"/>
                <w:sz w:val="20"/>
                <w:szCs w:val="20"/>
                <w:color w:val="2A2A2A"/>
              </w:rPr>
              <w:t>247</w:t>
            </w:r>
          </w:p>
        </w:tc>
        <w:tc>
          <w:tcPr>
            <w:tcW w:w="320" w:type="dxa"/>
            <w:vAlign w:val="bottom"/>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40" w:type="dxa"/>
            <w:vAlign w:val="bottom"/>
            <w:vMerge w:val="restart"/>
            <w:shd w:val="clear" w:color="auto" w:fill="D7D7D7"/>
          </w:tcPr>
          <w:p>
            <w:pPr>
              <w:jc w:val="right"/>
              <w:ind w:right="10"/>
              <w:spacing w:after="0"/>
              <w:rPr>
                <w:sz w:val="20"/>
                <w:szCs w:val="20"/>
                <w:color w:val="auto"/>
              </w:rPr>
            </w:pPr>
            <w:r>
              <w:rPr>
                <w:rFonts w:ascii="Arial" w:cs="Arial" w:eastAsia="Arial" w:hAnsi="Arial"/>
                <w:sz w:val="20"/>
                <w:szCs w:val="20"/>
                <w:color w:val="2A2A2A"/>
              </w:rPr>
              <w:t>131</w:t>
            </w:r>
          </w:p>
        </w:tc>
        <w:tc>
          <w:tcPr>
            <w:tcW w:w="480" w:type="dxa"/>
            <w:vAlign w:val="bottom"/>
            <w:vMerge w:val="restart"/>
            <w:shd w:val="clear" w:color="auto" w:fill="D7D7D7"/>
          </w:tcPr>
          <w:p>
            <w:pPr>
              <w:jc w:val="right"/>
              <w:ind w:right="170"/>
              <w:spacing w:after="0"/>
              <w:rPr>
                <w:sz w:val="20"/>
                <w:szCs w:val="20"/>
                <w:color w:val="auto"/>
              </w:rPr>
            </w:pPr>
            <w:r>
              <w:rPr>
                <w:rFonts w:ascii="Arial" w:cs="Arial" w:eastAsia="Arial" w:hAnsi="Arial"/>
                <w:sz w:val="20"/>
                <w:szCs w:val="20"/>
                <w:color w:val="2A2A2A"/>
              </w:rPr>
              <w:t>$</w:t>
            </w:r>
          </w:p>
        </w:tc>
        <w:tc>
          <w:tcPr>
            <w:tcW w:w="700" w:type="dxa"/>
            <w:vAlign w:val="bottom"/>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215</w:t>
            </w:r>
          </w:p>
        </w:tc>
        <w:tc>
          <w:tcPr>
            <w:tcW w:w="30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1,868</w:t>
            </w:r>
          </w:p>
        </w:tc>
        <w:tc>
          <w:tcPr>
            <w:tcW w:w="0" w:type="dxa"/>
            <w:vAlign w:val="bottom"/>
          </w:tcPr>
          <w:p>
            <w:pPr>
              <w:spacing w:after="0"/>
              <w:rPr>
                <w:sz w:val="1"/>
                <w:szCs w:val="1"/>
                <w:color w:val="auto"/>
              </w:rPr>
            </w:pPr>
          </w:p>
        </w:tc>
      </w:tr>
      <w:tr>
        <w:trPr>
          <w:trHeight w:val="274"/>
        </w:trPr>
        <w:tc>
          <w:tcPr>
            <w:tcW w:w="17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commitments</w:t>
            </w:r>
          </w:p>
        </w:tc>
        <w:tc>
          <w:tcPr>
            <w:tcW w:w="700" w:type="dxa"/>
            <w:vAlign w:val="bottom"/>
            <w:vMerge w:val="continue"/>
            <w:shd w:val="clear" w:color="auto" w:fill="D7D7D7"/>
          </w:tcPr>
          <w:p>
            <w:pPr>
              <w:spacing w:after="0"/>
              <w:rPr>
                <w:sz w:val="23"/>
                <w:szCs w:val="23"/>
                <w:color w:val="auto"/>
              </w:rPr>
            </w:pPr>
          </w:p>
        </w:tc>
        <w:tc>
          <w:tcPr>
            <w:tcW w:w="840" w:type="dxa"/>
            <w:vAlign w:val="bottom"/>
            <w:vMerge w:val="continue"/>
            <w:shd w:val="clear" w:color="auto" w:fill="D7D7D7"/>
          </w:tcPr>
          <w:p>
            <w:pPr>
              <w:spacing w:after="0"/>
              <w:rPr>
                <w:sz w:val="23"/>
                <w:szCs w:val="23"/>
                <w:color w:val="auto"/>
              </w:rPr>
            </w:pPr>
          </w:p>
        </w:tc>
        <w:tc>
          <w:tcPr>
            <w:tcW w:w="320" w:type="dxa"/>
            <w:vAlign w:val="bottom"/>
            <w:vMerge w:val="continue"/>
            <w:shd w:val="clear" w:color="auto" w:fill="D7D7D7"/>
          </w:tcPr>
          <w:p>
            <w:pPr>
              <w:spacing w:after="0"/>
              <w:rPr>
                <w:sz w:val="23"/>
                <w:szCs w:val="23"/>
                <w:color w:val="auto"/>
              </w:rPr>
            </w:pPr>
          </w:p>
        </w:tc>
        <w:tc>
          <w:tcPr>
            <w:tcW w:w="860" w:type="dxa"/>
            <w:vAlign w:val="bottom"/>
            <w:vMerge w:val="continue"/>
            <w:shd w:val="clear" w:color="auto" w:fill="D7D7D7"/>
          </w:tcPr>
          <w:p>
            <w:pPr>
              <w:spacing w:after="0"/>
              <w:rPr>
                <w:sz w:val="23"/>
                <w:szCs w:val="23"/>
                <w:color w:val="auto"/>
              </w:rPr>
            </w:pPr>
          </w:p>
        </w:tc>
        <w:tc>
          <w:tcPr>
            <w:tcW w:w="320" w:type="dxa"/>
            <w:vAlign w:val="bottom"/>
            <w:vMerge w:val="continue"/>
            <w:shd w:val="clear" w:color="auto" w:fill="D7D7D7"/>
          </w:tcPr>
          <w:p>
            <w:pPr>
              <w:spacing w:after="0"/>
              <w:rPr>
                <w:sz w:val="23"/>
                <w:szCs w:val="23"/>
                <w:color w:val="auto"/>
              </w:rPr>
            </w:pPr>
          </w:p>
        </w:tc>
        <w:tc>
          <w:tcPr>
            <w:tcW w:w="840" w:type="dxa"/>
            <w:vAlign w:val="bottom"/>
            <w:vMerge w:val="continue"/>
            <w:shd w:val="clear" w:color="auto" w:fill="D7D7D7"/>
          </w:tcPr>
          <w:p>
            <w:pPr>
              <w:spacing w:after="0"/>
              <w:rPr>
                <w:sz w:val="23"/>
                <w:szCs w:val="23"/>
                <w:color w:val="auto"/>
              </w:rPr>
            </w:pPr>
          </w:p>
        </w:tc>
        <w:tc>
          <w:tcPr>
            <w:tcW w:w="320" w:type="dxa"/>
            <w:vAlign w:val="bottom"/>
            <w:vMerge w:val="continue"/>
            <w:shd w:val="clear" w:color="auto" w:fill="D7D7D7"/>
          </w:tcPr>
          <w:p>
            <w:pPr>
              <w:spacing w:after="0"/>
              <w:rPr>
                <w:sz w:val="23"/>
                <w:szCs w:val="23"/>
                <w:color w:val="auto"/>
              </w:rPr>
            </w:pPr>
          </w:p>
        </w:tc>
        <w:tc>
          <w:tcPr>
            <w:tcW w:w="860" w:type="dxa"/>
            <w:vAlign w:val="bottom"/>
            <w:vMerge w:val="continue"/>
            <w:shd w:val="clear" w:color="auto" w:fill="D7D7D7"/>
          </w:tcPr>
          <w:p>
            <w:pPr>
              <w:spacing w:after="0"/>
              <w:rPr>
                <w:sz w:val="23"/>
                <w:szCs w:val="23"/>
                <w:color w:val="auto"/>
              </w:rPr>
            </w:pPr>
          </w:p>
        </w:tc>
        <w:tc>
          <w:tcPr>
            <w:tcW w:w="320" w:type="dxa"/>
            <w:vAlign w:val="bottom"/>
            <w:vMerge w:val="continue"/>
            <w:shd w:val="clear" w:color="auto" w:fill="D7D7D7"/>
          </w:tcPr>
          <w:p>
            <w:pPr>
              <w:spacing w:after="0"/>
              <w:rPr>
                <w:sz w:val="23"/>
                <w:szCs w:val="23"/>
                <w:color w:val="auto"/>
              </w:rPr>
            </w:pPr>
          </w:p>
        </w:tc>
        <w:tc>
          <w:tcPr>
            <w:tcW w:w="840" w:type="dxa"/>
            <w:vAlign w:val="bottom"/>
            <w:vMerge w:val="continue"/>
            <w:shd w:val="clear" w:color="auto" w:fill="D7D7D7"/>
          </w:tcPr>
          <w:p>
            <w:pPr>
              <w:spacing w:after="0"/>
              <w:rPr>
                <w:sz w:val="23"/>
                <w:szCs w:val="23"/>
                <w:color w:val="auto"/>
              </w:rPr>
            </w:pPr>
          </w:p>
        </w:tc>
        <w:tc>
          <w:tcPr>
            <w:tcW w:w="480" w:type="dxa"/>
            <w:vAlign w:val="bottom"/>
            <w:vMerge w:val="continue"/>
            <w:shd w:val="clear" w:color="auto" w:fill="D7D7D7"/>
          </w:tcPr>
          <w:p>
            <w:pPr>
              <w:spacing w:after="0"/>
              <w:rPr>
                <w:sz w:val="23"/>
                <w:szCs w:val="23"/>
                <w:color w:val="auto"/>
              </w:rPr>
            </w:pPr>
          </w:p>
        </w:tc>
        <w:tc>
          <w:tcPr>
            <w:tcW w:w="700" w:type="dxa"/>
            <w:vAlign w:val="bottom"/>
            <w:vMerge w:val="continue"/>
            <w:shd w:val="clear" w:color="auto" w:fill="D7D7D7"/>
          </w:tcPr>
          <w:p>
            <w:pPr>
              <w:spacing w:after="0"/>
              <w:rPr>
                <w:sz w:val="23"/>
                <w:szCs w:val="23"/>
                <w:color w:val="auto"/>
              </w:rPr>
            </w:pPr>
          </w:p>
        </w:tc>
        <w:tc>
          <w:tcPr>
            <w:tcW w:w="300" w:type="dxa"/>
            <w:vAlign w:val="bottom"/>
            <w:vMerge w:val="continue"/>
            <w:shd w:val="clear" w:color="auto" w:fill="D7D7D7"/>
          </w:tcPr>
          <w:p>
            <w:pPr>
              <w:spacing w:after="0"/>
              <w:rPr>
                <w:sz w:val="23"/>
                <w:szCs w:val="23"/>
                <w:color w:val="auto"/>
              </w:rPr>
            </w:pPr>
          </w:p>
        </w:tc>
        <w:tc>
          <w:tcPr>
            <w:tcW w:w="84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-327660</wp:posOffset>
            </wp:positionV>
            <wp:extent cx="6543040"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43040" cy="27940"/>
                    </a:xfrm>
                    <a:prstGeom prst="rect">
                      <a:avLst/>
                    </a:prstGeom>
                    <a:noFill/>
                  </pic:spPr>
                </pic:pic>
              </a:graphicData>
            </a:graphic>
          </wp:anchor>
        </w:drawing>
      </w:r>
    </w:p>
    <w:p>
      <w:pPr>
        <w:sectPr>
          <w:pgSz w:w="12240" w:h="15840" w:orient="portrait"/>
          <w:cols w:equalWidth="0" w:num="1">
            <w:col w:w="10261"/>
          </w:cols>
          <w:pgMar w:left="979" w:top="658"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52</w:t>
      </w:r>
    </w:p>
    <w:p>
      <w:pPr>
        <w:sectPr>
          <w:pgSz w:w="12240" w:h="15840" w:orient="portrait"/>
          <w:cols w:equalWidth="0" w:num="1">
            <w:col w:w="10261"/>
          </w:cols>
          <w:pgMar w:left="979" w:top="658" w:right="1000" w:bottom="24" w:gutter="0" w:footer="0" w:header="0"/>
          <w:type w:val="continuous"/>
        </w:sectPr>
      </w:pPr>
    </w:p>
    <w:bookmarkStart w:id="58" w:name="page59"/>
    <w:bookmarkEnd w:id="58"/>
    <w:p>
      <w:pPr>
        <w:ind w:left="1"/>
        <w:spacing w:after="0"/>
        <w:rPr>
          <w:sz w:val="20"/>
          <w:szCs w:val="20"/>
          <w:color w:val="auto"/>
        </w:rPr>
      </w:pPr>
      <w:r>
        <w:rPr>
          <w:rFonts w:ascii="Arial" w:cs="Arial" w:eastAsia="Arial" w:hAnsi="Arial"/>
          <w:sz w:val="22"/>
          <w:szCs w:val="22"/>
          <w:i w:val="1"/>
          <w:iCs w:val="1"/>
          <w:color w:val="2A2A2A"/>
        </w:rPr>
        <w:t>Indemnification guarantees</w:t>
      </w:r>
    </w:p>
    <w:p>
      <w:pPr>
        <w:spacing w:after="0" w:line="255" w:lineRule="exact"/>
        <w:rPr>
          <w:sz w:val="20"/>
          <w:szCs w:val="20"/>
          <w:color w:val="auto"/>
        </w:rPr>
      </w:pPr>
    </w:p>
    <w:p>
      <w:pPr>
        <w:jc w:val="both"/>
        <w:ind w:left="1" w:right="140"/>
        <w:spacing w:after="0" w:line="268" w:lineRule="auto"/>
        <w:rPr>
          <w:sz w:val="20"/>
          <w:szCs w:val="20"/>
          <w:color w:val="auto"/>
        </w:rPr>
      </w:pPr>
      <w:r>
        <w:rPr>
          <w:rFonts w:ascii="Arial" w:cs="Arial" w:eastAsia="Arial" w:hAnsi="Arial"/>
          <w:sz w:val="20"/>
          <w:szCs w:val="20"/>
          <w:color w:val="2A2A2A"/>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Warranty costs/product liabilities</w:t>
      </w:r>
    </w:p>
    <w:p>
      <w:pPr>
        <w:spacing w:after="0" w:line="255" w:lineRule="exact"/>
        <w:rPr>
          <w:sz w:val="20"/>
          <w:szCs w:val="20"/>
          <w:color w:val="auto"/>
        </w:rPr>
      </w:pPr>
    </w:p>
    <w:p>
      <w:pPr>
        <w:ind w:left="1"/>
        <w:spacing w:after="0" w:line="256" w:lineRule="auto"/>
        <w:rPr>
          <w:sz w:val="20"/>
          <w:szCs w:val="20"/>
          <w:color w:val="auto"/>
        </w:rPr>
      </w:pPr>
      <w:r>
        <w:rPr>
          <w:rFonts w:ascii="Arial" w:cs="Arial" w:eastAsia="Arial" w:hAnsi="Arial"/>
          <w:sz w:val="20"/>
          <w:szCs w:val="20"/>
          <w:color w:val="2A2A2A"/>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General</w:t>
      </w:r>
    </w:p>
    <w:p>
      <w:pPr>
        <w:spacing w:after="0" w:line="255" w:lineRule="exact"/>
        <w:rPr>
          <w:sz w:val="20"/>
          <w:szCs w:val="20"/>
          <w:color w:val="auto"/>
        </w:rPr>
      </w:pPr>
    </w:p>
    <w:p>
      <w:pPr>
        <w:ind w:left="1" w:right="80"/>
        <w:spacing w:after="0" w:line="268" w:lineRule="auto"/>
        <w:rPr>
          <w:sz w:val="20"/>
          <w:szCs w:val="20"/>
          <w:color w:val="auto"/>
        </w:rPr>
      </w:pPr>
      <w:r>
        <w:rPr>
          <w:rFonts w:ascii="Arial" w:cs="Arial" w:eastAsia="Arial" w:hAnsi="Arial"/>
          <w:sz w:val="20"/>
          <w:szCs w:val="20"/>
          <w:color w:val="2A2A2A"/>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84" w:lineRule="exact"/>
        <w:rPr>
          <w:sz w:val="20"/>
          <w:szCs w:val="20"/>
          <w:color w:val="auto"/>
        </w:rPr>
      </w:pPr>
    </w:p>
    <w:p>
      <w:pPr>
        <w:ind w:left="341" w:hanging="341"/>
        <w:spacing w:after="0"/>
        <w:tabs>
          <w:tab w:leader="none" w:pos="341" w:val="left"/>
        </w:tabs>
        <w:numPr>
          <w:ilvl w:val="0"/>
          <w:numId w:val="33"/>
        </w:numPr>
        <w:rPr>
          <w:rFonts w:ascii="Arial" w:cs="Arial" w:eastAsia="Arial" w:hAnsi="Arial"/>
          <w:sz w:val="22"/>
          <w:szCs w:val="22"/>
          <w:color w:val="2A2A2A"/>
        </w:rPr>
      </w:pPr>
      <w:r>
        <w:rPr>
          <w:rFonts w:ascii="Arial" w:cs="Arial" w:eastAsia="Arial" w:hAnsi="Arial"/>
          <w:sz w:val="22"/>
          <w:szCs w:val="22"/>
          <w:u w:val="single" w:color="auto"/>
          <w:color w:val="2A2A2A"/>
        </w:rPr>
        <w:t>Supplemental financial information</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Restructuring charges/other</w:t>
      </w:r>
    </w:p>
    <w:p>
      <w:pPr>
        <w:spacing w:after="0" w:line="255" w:lineRule="exact"/>
        <w:rPr>
          <w:sz w:val="20"/>
          <w:szCs w:val="20"/>
          <w:color w:val="auto"/>
        </w:rPr>
      </w:pPr>
    </w:p>
    <w:p>
      <w:pPr>
        <w:ind w:left="1" w:right="780"/>
        <w:spacing w:after="0" w:line="287" w:lineRule="auto"/>
        <w:rPr>
          <w:sz w:val="20"/>
          <w:szCs w:val="20"/>
          <w:color w:val="auto"/>
        </w:rPr>
      </w:pPr>
      <w:r>
        <w:rPr>
          <w:rFonts w:ascii="Arial" w:cs="Arial" w:eastAsia="Arial" w:hAnsi="Arial"/>
          <w:sz w:val="20"/>
          <w:szCs w:val="20"/>
          <w:color w:val="2A2A2A"/>
        </w:rPr>
        <w:t>Restructuring charges/other are included in Other for segment reporting purposes and are comprised of the following components:</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800" w:type="dxa"/>
            <w:vAlign w:val="bottom"/>
          </w:tcPr>
          <w:p>
            <w:pPr>
              <w:spacing w:after="0"/>
              <w:rPr>
                <w:sz w:val="19"/>
                <w:szCs w:val="19"/>
                <w:color w:val="auto"/>
              </w:rPr>
            </w:pPr>
          </w:p>
        </w:tc>
        <w:tc>
          <w:tcPr>
            <w:tcW w:w="3440" w:type="dxa"/>
            <w:vAlign w:val="bottom"/>
            <w:tcBorders>
              <w:bottom w:val="single" w:sz="8" w:color="2A2A2A"/>
            </w:tcBorders>
            <w:gridSpan w:val="8"/>
          </w:tcPr>
          <w:p>
            <w:pPr>
              <w:jc w:val="right"/>
              <w:ind w:right="445"/>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00" w:type="dxa"/>
            <w:vAlign w:val="bottom"/>
            <w:tcBorders>
              <w:bottom w:val="single" w:sz="8" w:color="2A2A2A"/>
            </w:tcBorders>
          </w:tcPr>
          <w:p>
            <w:pPr>
              <w:spacing w:after="0"/>
              <w:rPr>
                <w:sz w:val="21"/>
                <w:szCs w:val="21"/>
                <w:color w:val="auto"/>
              </w:rPr>
            </w:pPr>
          </w:p>
        </w:tc>
        <w:tc>
          <w:tcPr>
            <w:tcW w:w="78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2023</w:t>
            </w:r>
          </w:p>
        </w:tc>
        <w:tc>
          <w:tcPr>
            <w:tcW w:w="320" w:type="dxa"/>
            <w:vAlign w:val="bottom"/>
            <w:tcBorders>
              <w:bottom w:val="single" w:sz="8" w:color="2A2A2A"/>
            </w:tcBorders>
          </w:tcPr>
          <w:p>
            <w:pPr>
              <w:spacing w:after="0"/>
              <w:rPr>
                <w:sz w:val="21"/>
                <w:szCs w:val="21"/>
                <w:color w:val="auto"/>
              </w:rPr>
            </w:pP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4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2022</w:t>
            </w:r>
          </w:p>
        </w:tc>
        <w:tc>
          <w:tcPr>
            <w:tcW w:w="6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2021</w:t>
            </w:r>
          </w:p>
        </w:tc>
      </w:tr>
      <w:tr>
        <w:trPr>
          <w:trHeight w:val="255"/>
        </w:trPr>
        <w:tc>
          <w:tcPr>
            <w:tcW w:w="68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Integration charges (a)</w:t>
            </w:r>
          </w:p>
        </w:tc>
        <w:tc>
          <w:tcPr>
            <w:tcW w:w="780" w:type="dxa"/>
            <w:vAlign w:val="bottom"/>
            <w:shd w:val="clear" w:color="auto" w:fill="D7D7D7"/>
          </w:tcPr>
          <w:p>
            <w:pPr>
              <w:jc w:val="right"/>
              <w:ind w:right="510"/>
              <w:spacing w:after="0"/>
              <w:rPr>
                <w:sz w:val="20"/>
                <w:szCs w:val="20"/>
                <w:color w:val="auto"/>
              </w:rPr>
            </w:pPr>
            <w:r>
              <w:rPr>
                <w:rFonts w:ascii="Arial" w:cs="Arial" w:eastAsia="Arial" w:hAnsi="Arial"/>
                <w:sz w:val="20"/>
                <w:szCs w:val="20"/>
                <w:b w:val="1"/>
                <w:bCs w:val="1"/>
                <w:color w:val="2A2A2A"/>
              </w:rPr>
              <w:t>$</w:t>
            </w:r>
          </w:p>
        </w:tc>
        <w:tc>
          <w:tcPr>
            <w:tcW w:w="320" w:type="dxa"/>
            <w:vAlign w:val="bottom"/>
            <w:shd w:val="clear" w:color="auto" w:fill="D7D7D7"/>
          </w:tcPr>
          <w:p>
            <w:pPr>
              <w:ind w:left="40"/>
              <w:spacing w:after="0"/>
              <w:rPr>
                <w:sz w:val="20"/>
                <w:szCs w:val="20"/>
                <w:color w:val="auto"/>
              </w:rPr>
            </w:pPr>
            <w:r>
              <w:rPr>
                <w:rFonts w:ascii="Arial" w:cs="Arial" w:eastAsia="Arial" w:hAnsi="Arial"/>
                <w:sz w:val="20"/>
                <w:szCs w:val="20"/>
                <w:b w:val="1"/>
                <w:bCs w:val="1"/>
                <w:color w:val="2A2A2A"/>
              </w:rPr>
              <w:t>—</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257</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104</w:t>
            </w:r>
          </w:p>
        </w:tc>
      </w:tr>
      <w:tr>
        <w:trPr>
          <w:trHeight w:val="265"/>
        </w:trPr>
        <w:tc>
          <w:tcPr>
            <w:tcW w:w="680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Gains on sales of assets (b)</w:t>
            </w:r>
          </w:p>
        </w:tc>
        <w:tc>
          <w:tcPr>
            <w:tcW w:w="780" w:type="dxa"/>
            <w:vAlign w:val="bottom"/>
            <w:tcBorders>
              <w:bottom w:val="single" w:sz="8" w:color="2A2A2A"/>
            </w:tcBorders>
          </w:tcPr>
          <w:p>
            <w:pPr>
              <w:spacing w:after="0"/>
              <w:rPr>
                <w:sz w:val="23"/>
                <w:szCs w:val="23"/>
                <w:color w:val="auto"/>
              </w:rPr>
            </w:pPr>
          </w:p>
        </w:tc>
        <w:tc>
          <w:tcPr>
            <w:tcW w:w="320" w:type="dxa"/>
            <w:vAlign w:val="bottom"/>
            <w:tcBorders>
              <w:bottom w:val="single" w:sz="8" w:color="2A2A2A"/>
            </w:tcBorders>
          </w:tcPr>
          <w:p>
            <w:pPr>
              <w:ind w:left="40"/>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w:t>
            </w:r>
          </w:p>
        </w:tc>
        <w:tc>
          <w:tcPr>
            <w:tcW w:w="6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(50)</w:t>
            </w:r>
          </w:p>
        </w:tc>
      </w:tr>
      <w:tr>
        <w:trPr>
          <w:trHeight w:val="255"/>
        </w:trPr>
        <w:tc>
          <w:tcPr>
            <w:tcW w:w="68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Restructuring charges/other</w:t>
            </w:r>
          </w:p>
        </w:tc>
        <w:tc>
          <w:tcPr>
            <w:tcW w:w="780" w:type="dxa"/>
            <w:vAlign w:val="bottom"/>
            <w:tcBorders>
              <w:bottom w:val="single" w:sz="8" w:color="2A2A2A"/>
            </w:tcBorders>
            <w:shd w:val="clear" w:color="auto" w:fill="D7D7D7"/>
          </w:tcPr>
          <w:p>
            <w:pPr>
              <w:jc w:val="right"/>
              <w:ind w:right="510"/>
              <w:spacing w:after="0"/>
              <w:rPr>
                <w:sz w:val="20"/>
                <w:szCs w:val="20"/>
                <w:color w:val="auto"/>
              </w:rPr>
            </w:pPr>
            <w:r>
              <w:rPr>
                <w:rFonts w:ascii="Arial" w:cs="Arial" w:eastAsia="Arial" w:hAnsi="Arial"/>
                <w:sz w:val="20"/>
                <w:szCs w:val="20"/>
                <w:b w:val="1"/>
                <w:bCs w:val="1"/>
                <w:color w:val="2A2A2A"/>
              </w:rPr>
              <w:t>$</w:t>
            </w:r>
          </w:p>
        </w:tc>
        <w:tc>
          <w:tcPr>
            <w:tcW w:w="320" w:type="dxa"/>
            <w:vAlign w:val="bottom"/>
            <w:tcBorders>
              <w:bottom w:val="single" w:sz="8" w:color="2A2A2A"/>
            </w:tcBorders>
            <w:shd w:val="clear" w:color="auto" w:fill="D7D7D7"/>
          </w:tcPr>
          <w:p>
            <w:pPr>
              <w:ind w:left="40"/>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4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257</w:t>
            </w:r>
          </w:p>
        </w:tc>
        <w:tc>
          <w:tcPr>
            <w:tcW w:w="6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54</w:t>
            </w:r>
          </w:p>
        </w:tc>
      </w:tr>
      <w:tr>
        <w:trPr>
          <w:trHeight w:val="20"/>
        </w:trPr>
        <w:tc>
          <w:tcPr>
            <w:tcW w:w="6800" w:type="dxa"/>
            <w:vAlign w:val="bottom"/>
            <w:tcBorders>
              <w:top w:val="single" w:sz="8" w:color="D7D7D7"/>
            </w:tcBorders>
          </w:tcPr>
          <w:p>
            <w:pPr>
              <w:spacing w:after="0" w:line="20" w:lineRule="exact"/>
              <w:rPr>
                <w:sz w:val="1"/>
                <w:szCs w:val="1"/>
                <w:color w:val="auto"/>
              </w:rPr>
            </w:pPr>
          </w:p>
        </w:tc>
        <w:tc>
          <w:tcPr>
            <w:tcW w:w="780" w:type="dxa"/>
            <w:vAlign w:val="bottom"/>
            <w:tcBorders>
              <w:top w:val="single" w:sz="8" w:color="D7D7D7"/>
              <w:bottom w:val="single" w:sz="8" w:color="2A2A2A"/>
            </w:tcBorders>
          </w:tcPr>
          <w:p>
            <w:pPr>
              <w:spacing w:after="0" w:line="20" w:lineRule="exact"/>
              <w:rPr>
                <w:sz w:val="1"/>
                <w:szCs w:val="1"/>
                <w:color w:val="auto"/>
              </w:rPr>
            </w:pPr>
          </w:p>
        </w:tc>
        <w:tc>
          <w:tcPr>
            <w:tcW w:w="3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40" w:type="dxa"/>
            <w:vAlign w:val="bottom"/>
            <w:tcBorders>
              <w:top w:val="single" w:sz="8" w:color="D7D7D7"/>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-544195</wp:posOffset>
            </wp:positionV>
            <wp:extent cx="653351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33515" cy="2794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-201295</wp:posOffset>
            </wp:positionV>
            <wp:extent cx="220916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09165" cy="2794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-42545</wp:posOffset>
            </wp:positionV>
            <wp:extent cx="2209165" cy="53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09165" cy="53340"/>
                    </a:xfrm>
                    <a:prstGeom prst="rect">
                      <a:avLst/>
                    </a:prstGeom>
                    <a:noFill/>
                  </pic:spPr>
                </pic:pic>
              </a:graphicData>
            </a:graphic>
          </wp:anchor>
        </w:drawing>
      </w:r>
    </w:p>
    <w:p>
      <w:pPr>
        <w:spacing w:after="0" w:line="239" w:lineRule="exact"/>
        <w:rPr>
          <w:sz w:val="20"/>
          <w:szCs w:val="20"/>
          <w:color w:val="auto"/>
        </w:rPr>
      </w:pPr>
    </w:p>
    <w:p>
      <w:pPr>
        <w:ind w:left="541" w:right="60" w:hanging="541"/>
        <w:spacing w:after="0" w:line="287" w:lineRule="auto"/>
        <w:tabs>
          <w:tab w:leader="none" w:pos="541" w:val="left"/>
        </w:tabs>
        <w:numPr>
          <w:ilvl w:val="0"/>
          <w:numId w:val="34"/>
        </w:numPr>
        <w:rPr>
          <w:rFonts w:ascii="Arial" w:cs="Arial" w:eastAsia="Arial" w:hAnsi="Arial"/>
          <w:sz w:val="20"/>
          <w:szCs w:val="20"/>
          <w:color w:val="2A2A2A"/>
        </w:rPr>
      </w:pPr>
      <w:r>
        <w:rPr>
          <w:rFonts w:ascii="Arial" w:cs="Arial" w:eastAsia="Arial" w:hAnsi="Arial"/>
          <w:sz w:val="20"/>
          <w:szCs w:val="20"/>
          <w:color w:val="2A2A2A"/>
        </w:rPr>
        <w:t>Includes costs related to our purchase of the Lehi, Utah, manufacturing facility, as well as preproduction costs before December 2022.</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34"/>
        </w:numPr>
        <w:rPr>
          <w:rFonts w:ascii="Arial" w:cs="Arial" w:eastAsia="Arial" w:hAnsi="Arial"/>
          <w:sz w:val="20"/>
          <w:szCs w:val="20"/>
          <w:color w:val="2A2A2A"/>
        </w:rPr>
      </w:pPr>
      <w:r>
        <w:rPr>
          <w:rFonts w:ascii="Arial" w:cs="Arial" w:eastAsia="Arial" w:hAnsi="Arial"/>
          <w:sz w:val="20"/>
          <w:szCs w:val="20"/>
          <w:color w:val="2A2A2A"/>
        </w:rPr>
        <w:t>Includes a $50 million gain from the sale of property in October 2021.</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Other income (expense), net (OI&amp;E)</w:t>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80" w:type="dxa"/>
            <w:vAlign w:val="bottom"/>
            <w:tcBorders>
              <w:bottom w:val="single" w:sz="8" w:color="2A2A2A"/>
            </w:tcBorders>
          </w:tcPr>
          <w:p>
            <w:pPr>
              <w:spacing w:after="0"/>
              <w:rPr>
                <w:sz w:val="19"/>
                <w:szCs w:val="19"/>
                <w:color w:val="auto"/>
              </w:rPr>
            </w:pPr>
          </w:p>
        </w:tc>
        <w:tc>
          <w:tcPr>
            <w:tcW w:w="3160" w:type="dxa"/>
            <w:vAlign w:val="bottom"/>
            <w:tcBorders>
              <w:bottom w:val="single" w:sz="8" w:color="2A2A2A"/>
            </w:tcBorders>
            <w:gridSpan w:val="7"/>
          </w:tcPr>
          <w:p>
            <w:pPr>
              <w:jc w:val="right"/>
              <w:ind w:right="445"/>
              <w:spacing w:after="0"/>
              <w:rPr>
                <w:sz w:val="20"/>
                <w:szCs w:val="20"/>
                <w:color w:val="auto"/>
              </w:rPr>
            </w:pPr>
            <w:r>
              <w:rPr>
                <w:rFonts w:ascii="Arial" w:cs="Arial" w:eastAsia="Arial" w:hAnsi="Arial"/>
                <w:sz w:val="16"/>
                <w:szCs w:val="16"/>
                <w:b w:val="1"/>
                <w:bCs w:val="1"/>
                <w:color w:val="2A2A2A"/>
              </w:rPr>
              <w:t>For Years Ended December 31,</w:t>
            </w:r>
          </w:p>
        </w:tc>
      </w:tr>
      <w:tr>
        <w:trPr>
          <w:trHeight w:val="250"/>
        </w:trPr>
        <w:tc>
          <w:tcPr>
            <w:tcW w:w="682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8"/>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2022</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2021</w:t>
            </w:r>
          </w:p>
        </w:tc>
      </w:tr>
      <w:tr>
        <w:trPr>
          <w:trHeight w:val="255"/>
        </w:trPr>
        <w:tc>
          <w:tcPr>
            <w:tcW w:w="6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Other income (a)</w:t>
            </w:r>
          </w:p>
        </w:tc>
        <w:tc>
          <w:tcPr>
            <w:tcW w:w="280" w:type="dxa"/>
            <w:vAlign w:val="bottom"/>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483</w:t>
            </w:r>
          </w:p>
        </w:tc>
        <w:tc>
          <w:tcPr>
            <w:tcW w:w="340" w:type="dxa"/>
            <w:vAlign w:val="bottom"/>
            <w:gridSpan w:val="2"/>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169</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145</w:t>
            </w:r>
          </w:p>
        </w:tc>
      </w:tr>
      <w:tr>
        <w:trPr>
          <w:trHeight w:val="265"/>
        </w:trPr>
        <w:tc>
          <w:tcPr>
            <w:tcW w:w="68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Other expense (b)</w:t>
            </w: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(43)</w:t>
            </w:r>
          </w:p>
        </w:tc>
        <w:tc>
          <w:tcPr>
            <w:tcW w:w="80" w:type="dxa"/>
            <w:vAlign w:val="bottom"/>
            <w:tcBorders>
              <w:bottom w:val="single" w:sz="8" w:color="D7D7D7"/>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(63)</w:t>
            </w:r>
          </w:p>
        </w:tc>
        <w:tc>
          <w:tcPr>
            <w:tcW w:w="8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(2)</w:t>
            </w:r>
          </w:p>
        </w:tc>
      </w:tr>
      <w:tr>
        <w:trPr>
          <w:trHeight w:val="255"/>
        </w:trPr>
        <w:tc>
          <w:tcPr>
            <w:tcW w:w="68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440</w:t>
            </w:r>
          </w:p>
        </w:tc>
        <w:tc>
          <w:tcPr>
            <w:tcW w:w="80" w:type="dxa"/>
            <w:vAlign w:val="bottom"/>
            <w:tcBorders>
              <w:bottom w:val="single" w:sz="8" w:color="D7D7D7"/>
            </w:tcBorders>
            <w:shd w:val="clear" w:color="auto" w:fill="D7D7D7"/>
          </w:tcPr>
          <w:p>
            <w:pPr>
              <w:spacing w:after="0"/>
              <w:rPr>
                <w:sz w:val="21"/>
                <w:szCs w:val="21"/>
                <w:color w:val="auto"/>
              </w:rPr>
            </w:pPr>
          </w:p>
        </w:tc>
        <w:tc>
          <w:tcPr>
            <w:tcW w:w="26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106</w:t>
            </w:r>
          </w:p>
        </w:tc>
        <w:tc>
          <w:tcPr>
            <w:tcW w:w="80" w:type="dxa"/>
            <w:vAlign w:val="bottom"/>
            <w:tcBorders>
              <w:bottom w:val="single" w:sz="8" w:color="D7D7D7"/>
            </w:tcBorders>
            <w:shd w:val="clear" w:color="auto" w:fill="D7D7D7"/>
          </w:tcPr>
          <w:p>
            <w:pPr>
              <w:spacing w:after="0"/>
              <w:rPr>
                <w:sz w:val="21"/>
                <w:szCs w:val="21"/>
                <w:color w:val="auto"/>
              </w:rPr>
            </w:pPr>
          </w:p>
        </w:tc>
        <w:tc>
          <w:tcPr>
            <w:tcW w:w="280" w:type="dxa"/>
            <w:vAlign w:val="bottom"/>
            <w:tcBorders>
              <w:bottom w:val="single" w:sz="8" w:color="2A2A2A"/>
            </w:tcBorders>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143</w:t>
            </w:r>
          </w:p>
        </w:tc>
      </w:tr>
      <w:tr>
        <w:trPr>
          <w:trHeight w:val="20"/>
        </w:trPr>
        <w:tc>
          <w:tcPr>
            <w:tcW w:w="682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c>
          <w:tcPr>
            <w:tcW w:w="8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D7D7D7"/>
              <w:bottom w:val="single" w:sz="8" w:color="2A2A2A"/>
            </w:tcBorders>
          </w:tcPr>
          <w:p>
            <w:pPr>
              <w:spacing w:after="0" w:line="20" w:lineRule="exact"/>
              <w:rPr>
                <w:sz w:val="1"/>
                <w:szCs w:val="1"/>
                <w:color w:val="auto"/>
              </w:rPr>
            </w:pPr>
          </w:p>
        </w:tc>
        <w:tc>
          <w:tcPr>
            <w:tcW w:w="820" w:type="dxa"/>
            <w:vAlign w:val="bottom"/>
            <w:tcBorders>
              <w:top w:val="single" w:sz="8" w:color="D7D7D7"/>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-544195</wp:posOffset>
            </wp:positionV>
            <wp:extent cx="6543040"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43040"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-201295</wp:posOffset>
            </wp:positionV>
            <wp:extent cx="220916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09165" cy="2794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-42545</wp:posOffset>
            </wp:positionV>
            <wp:extent cx="2209165" cy="53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09165" cy="53340"/>
                    </a:xfrm>
                    <a:prstGeom prst="rect">
                      <a:avLst/>
                    </a:prstGeom>
                    <a:noFill/>
                  </pic:spPr>
                </pic:pic>
              </a:graphicData>
            </a:graphic>
          </wp:anchor>
        </w:drawing>
      </w:r>
    </w:p>
    <w:p>
      <w:pPr>
        <w:spacing w:after="0" w:line="239" w:lineRule="exact"/>
        <w:rPr>
          <w:sz w:val="20"/>
          <w:szCs w:val="20"/>
          <w:color w:val="auto"/>
        </w:rPr>
      </w:pPr>
    </w:p>
    <w:p>
      <w:pPr>
        <w:ind w:left="541" w:hanging="541"/>
        <w:spacing w:after="0"/>
        <w:tabs>
          <w:tab w:leader="none" w:pos="541" w:val="left"/>
        </w:tabs>
        <w:numPr>
          <w:ilvl w:val="0"/>
          <w:numId w:val="35"/>
        </w:numPr>
        <w:rPr>
          <w:rFonts w:ascii="Arial" w:cs="Arial" w:eastAsia="Arial" w:hAnsi="Arial"/>
          <w:sz w:val="20"/>
          <w:szCs w:val="20"/>
          <w:color w:val="2A2A2A"/>
        </w:rPr>
      </w:pPr>
      <w:r>
        <w:rPr>
          <w:rFonts w:ascii="Arial" w:cs="Arial" w:eastAsia="Arial" w:hAnsi="Arial"/>
          <w:sz w:val="20"/>
          <w:szCs w:val="20"/>
          <w:color w:val="2A2A2A"/>
        </w:rPr>
        <w:t>Other income includes interest, royalty and lease income, as well as investment gains and losses.</w:t>
      </w:r>
    </w:p>
    <w:p>
      <w:pPr>
        <w:spacing w:after="0" w:line="130" w:lineRule="exact"/>
        <w:rPr>
          <w:rFonts w:ascii="Arial" w:cs="Arial" w:eastAsia="Arial" w:hAnsi="Arial"/>
          <w:sz w:val="20"/>
          <w:szCs w:val="20"/>
          <w:color w:val="2A2A2A"/>
        </w:rPr>
      </w:pPr>
    </w:p>
    <w:p>
      <w:pPr>
        <w:ind w:left="541" w:right="560" w:hanging="541"/>
        <w:spacing w:after="0" w:line="287" w:lineRule="auto"/>
        <w:tabs>
          <w:tab w:leader="none" w:pos="541" w:val="left"/>
        </w:tabs>
        <w:numPr>
          <w:ilvl w:val="0"/>
          <w:numId w:val="35"/>
        </w:numPr>
        <w:rPr>
          <w:rFonts w:ascii="Arial" w:cs="Arial" w:eastAsia="Arial" w:hAnsi="Arial"/>
          <w:sz w:val="20"/>
          <w:szCs w:val="20"/>
          <w:color w:val="2A2A2A"/>
        </w:rPr>
      </w:pPr>
      <w:r>
        <w:rPr>
          <w:rFonts w:ascii="Arial" w:cs="Arial" w:eastAsia="Arial" w:hAnsi="Arial"/>
          <w:sz w:val="20"/>
          <w:szCs w:val="20"/>
          <w:color w:val="2A2A2A"/>
        </w:rPr>
        <w:t>Other expense includes a portion of pension and other retiree benefit costs, lease expense, tax interest, currency gains and losses and miscellaneous items.</w:t>
      </w:r>
    </w:p>
    <w:p>
      <w:pPr>
        <w:sectPr>
          <w:pgSz w:w="12240" w:h="15840" w:orient="portrait"/>
          <w:cols w:equalWidth="0" w:num="1">
            <w:col w:w="10261"/>
          </w:cols>
          <w:pgMar w:left="979" w:top="660"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53</w:t>
      </w:r>
    </w:p>
    <w:p>
      <w:pPr>
        <w:sectPr>
          <w:pgSz w:w="12240" w:h="15840" w:orient="portrait"/>
          <w:cols w:equalWidth="0" w:num="1">
            <w:col w:w="10261"/>
          </w:cols>
          <w:pgMar w:left="979" w:top="660" w:right="1000" w:bottom="24" w:gutter="0" w:footer="0" w:header="0"/>
          <w:type w:val="continuous"/>
        </w:sectPr>
      </w:pPr>
    </w:p>
    <w:bookmarkStart w:id="59" w:name="page60"/>
    <w:bookmarkEnd w:id="59"/>
    <w:p>
      <w:pPr>
        <w:spacing w:after="0"/>
        <w:rPr>
          <w:sz w:val="20"/>
          <w:szCs w:val="20"/>
          <w:color w:val="auto"/>
        </w:rPr>
      </w:pPr>
      <w:r>
        <w:rPr>
          <w:rFonts w:ascii="Arial" w:cs="Arial" w:eastAsia="Arial" w:hAnsi="Arial"/>
          <w:sz w:val="22"/>
          <w:szCs w:val="22"/>
          <w:i w:val="1"/>
          <w:iCs w:val="1"/>
          <w:color w:val="2A2A2A"/>
        </w:rPr>
        <w:t>Prepaid expenses and other current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05"/>
              <w:spacing w:after="0"/>
              <w:rPr>
                <w:sz w:val="20"/>
                <w:szCs w:val="20"/>
                <w:color w:val="auto"/>
              </w:rPr>
            </w:pPr>
            <w:r>
              <w:rPr>
                <w:rFonts w:ascii="Arial" w:cs="Arial" w:eastAsia="Arial" w:hAnsi="Arial"/>
                <w:sz w:val="16"/>
                <w:szCs w:val="16"/>
                <w:b w:val="1"/>
                <w:bCs w:val="1"/>
                <w:color w:val="2A2A2A"/>
              </w:rPr>
              <w:t>December 31,</w:t>
            </w:r>
          </w:p>
        </w:tc>
      </w:tr>
      <w:tr>
        <w:trPr>
          <w:trHeight w:val="265"/>
        </w:trPr>
        <w:tc>
          <w:tcPr>
            <w:tcW w:w="7980" w:type="dxa"/>
            <w:vAlign w:val="bottom"/>
            <w:tcBorders>
              <w:bottom w:val="single" w:sz="8" w:color="2A2A2A"/>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ind w:right="288"/>
              <w:spacing w:after="0"/>
              <w:rPr>
                <w:sz w:val="20"/>
                <w:szCs w:val="20"/>
                <w:color w:val="auto"/>
              </w:rPr>
            </w:pPr>
            <w:r>
              <w:rPr>
                <w:rFonts w:ascii="Arial" w:cs="Arial" w:eastAsia="Arial" w:hAnsi="Arial"/>
                <w:sz w:val="16"/>
                <w:szCs w:val="16"/>
                <w:b w:val="1"/>
                <w:bCs w:val="1"/>
                <w:color w:val="2A2A2A"/>
              </w:rPr>
              <w:t>2023</w:t>
            </w:r>
          </w:p>
        </w:tc>
        <w:tc>
          <w:tcPr>
            <w:tcW w:w="60" w:type="dxa"/>
            <w:vAlign w:val="bottom"/>
            <w:tcBorders>
              <w:bottom w:val="single" w:sz="8" w:color="2A2A2A"/>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2022</w:t>
            </w:r>
          </w:p>
        </w:tc>
      </w:tr>
      <w:tr>
        <w:trPr>
          <w:trHeight w:val="27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 CHIPS and Science Act investment tax credit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497</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r>
      <w:tr>
        <w:trPr>
          <w:trHeight w:val="275"/>
        </w:trPr>
        <w:tc>
          <w:tcPr>
            <w:tcW w:w="798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264</w:t>
            </w:r>
          </w:p>
        </w:tc>
        <w:tc>
          <w:tcPr>
            <w:tcW w:w="6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302</w:t>
            </w:r>
          </w:p>
        </w:tc>
      </w:tr>
      <w:tr>
        <w:trPr>
          <w:trHeight w:val="26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761</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302</w:t>
            </w:r>
          </w:p>
        </w:tc>
      </w:tr>
      <w:tr>
        <w:trPr>
          <w:trHeight w:val="20"/>
        </w:trPr>
        <w:tc>
          <w:tcPr>
            <w:tcW w:w="79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2A2A2A"/>
              <w:bottom w:val="single" w:sz="8" w:color="2A2A2A"/>
            </w:tcBorders>
          </w:tcPr>
          <w:p>
            <w:pPr>
              <w:spacing w:after="0" w:line="20" w:lineRule="exact"/>
              <w:rPr>
                <w:sz w:val="1"/>
                <w:szCs w:val="1"/>
                <w:color w:val="auto"/>
              </w:rPr>
            </w:pPr>
          </w:p>
        </w:tc>
        <w:tc>
          <w:tcPr>
            <w:tcW w:w="84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-574040</wp:posOffset>
            </wp:positionV>
            <wp:extent cx="653097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-212090</wp:posOffset>
            </wp:positionV>
            <wp:extent cx="146367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-43815</wp:posOffset>
            </wp:positionV>
            <wp:extent cx="146367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Property, plant and equipment at cost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3260" w:type="dxa"/>
            <w:vAlign w:val="bottom"/>
          </w:tcPr>
          <w:p>
            <w:pPr>
              <w:jc w:val="center"/>
              <w:ind w:left="1913"/>
              <w:spacing w:after="0"/>
              <w:rPr>
                <w:sz w:val="20"/>
                <w:szCs w:val="20"/>
                <w:color w:val="auto"/>
              </w:rPr>
            </w:pPr>
            <w:r>
              <w:rPr>
                <w:rFonts w:ascii="Arial" w:cs="Arial" w:eastAsia="Arial" w:hAnsi="Arial"/>
                <w:sz w:val="16"/>
                <w:szCs w:val="16"/>
                <w:b w:val="1"/>
                <w:bCs w:val="1"/>
                <w:color w:val="2A2A2A"/>
                <w:w w:val="99"/>
              </w:rPr>
              <w:t>Depreciable</w:t>
            </w:r>
          </w:p>
        </w:tc>
        <w:tc>
          <w:tcPr>
            <w:tcW w:w="260" w:type="dxa"/>
            <w:vAlign w:val="bottom"/>
          </w:tcPr>
          <w:p>
            <w:pPr>
              <w:spacing w:after="0"/>
              <w:rPr>
                <w:sz w:val="18"/>
                <w:szCs w:val="18"/>
                <w:color w:val="auto"/>
              </w:rPr>
            </w:pPr>
          </w:p>
        </w:tc>
        <w:tc>
          <w:tcPr>
            <w:tcW w:w="2000" w:type="dxa"/>
            <w:vAlign w:val="bottom"/>
            <w:gridSpan w:val="4"/>
          </w:tcPr>
          <w:p>
            <w:pPr>
              <w:jc w:val="right"/>
              <w:ind w:right="524"/>
              <w:spacing w:after="0"/>
              <w:rPr>
                <w:sz w:val="20"/>
                <w:szCs w:val="20"/>
                <w:color w:val="auto"/>
              </w:rPr>
            </w:pPr>
            <w:r>
              <w:rPr>
                <w:rFonts w:ascii="Arial" w:cs="Arial" w:eastAsia="Arial" w:hAnsi="Arial"/>
                <w:sz w:val="16"/>
                <w:szCs w:val="16"/>
                <w:b w:val="1"/>
                <w:bCs w:val="1"/>
                <w:color w:val="2A2A2A"/>
              </w:rPr>
              <w:t>December 31,</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260" w:type="dxa"/>
            <w:vAlign w:val="bottom"/>
            <w:vMerge w:val="restart"/>
          </w:tcPr>
          <w:p>
            <w:pPr>
              <w:jc w:val="center"/>
              <w:ind w:left="1913"/>
              <w:spacing w:after="0" w:line="110" w:lineRule="exact"/>
              <w:rPr>
                <w:sz w:val="20"/>
                <w:szCs w:val="20"/>
                <w:color w:val="auto"/>
              </w:rPr>
            </w:pPr>
            <w:r>
              <w:rPr>
                <w:rFonts w:ascii="Arial" w:cs="Arial" w:eastAsia="Arial" w:hAnsi="Arial"/>
                <w:sz w:val="12"/>
                <w:szCs w:val="12"/>
                <w:b w:val="1"/>
                <w:bCs w:val="1"/>
                <w:color w:val="2A2A2A"/>
              </w:rPr>
              <w:t>Lives</w:t>
            </w:r>
          </w:p>
        </w:tc>
        <w:tc>
          <w:tcPr>
            <w:tcW w:w="260" w:type="dxa"/>
            <w:vAlign w:val="bottom"/>
            <w:tcBorders>
              <w:bottom w:val="single" w:sz="8" w:color="2A2A2A"/>
            </w:tcBorders>
          </w:tcPr>
          <w:p>
            <w:pPr>
              <w:spacing w:after="0"/>
              <w:rPr>
                <w:sz w:val="4"/>
                <w:szCs w:val="4"/>
                <w:color w:val="auto"/>
              </w:rPr>
            </w:pPr>
          </w:p>
        </w:tc>
        <w:tc>
          <w:tcPr>
            <w:tcW w:w="820" w:type="dxa"/>
            <w:vAlign w:val="bottom"/>
            <w:tcBorders>
              <w:bottom w:val="single" w:sz="8" w:color="2A2A2A"/>
            </w:tcBorders>
          </w:tcPr>
          <w:p>
            <w:pPr>
              <w:spacing w:after="0"/>
              <w:rPr>
                <w:sz w:val="4"/>
                <w:szCs w:val="4"/>
                <w:color w:val="auto"/>
              </w:rPr>
            </w:pPr>
          </w:p>
        </w:tc>
        <w:tc>
          <w:tcPr>
            <w:tcW w:w="80" w:type="dxa"/>
            <w:vAlign w:val="bottom"/>
            <w:tcBorders>
              <w:bottom w:val="single" w:sz="8" w:color="2A2A2A"/>
            </w:tcBorders>
          </w:tcPr>
          <w:p>
            <w:pPr>
              <w:spacing w:after="0"/>
              <w:rPr>
                <w:sz w:val="4"/>
                <w:szCs w:val="4"/>
                <w:color w:val="auto"/>
              </w:rPr>
            </w:pPr>
          </w:p>
        </w:tc>
        <w:tc>
          <w:tcPr>
            <w:tcW w:w="280" w:type="dxa"/>
            <w:vAlign w:val="bottom"/>
            <w:tcBorders>
              <w:bottom w:val="single" w:sz="8" w:color="2A2A2A"/>
            </w:tcBorders>
          </w:tcPr>
          <w:p>
            <w:pPr>
              <w:spacing w:after="0"/>
              <w:rPr>
                <w:sz w:val="4"/>
                <w:szCs w:val="4"/>
                <w:color w:val="auto"/>
              </w:rPr>
            </w:pPr>
          </w:p>
        </w:tc>
        <w:tc>
          <w:tcPr>
            <w:tcW w:w="820" w:type="dxa"/>
            <w:vAlign w:val="bottom"/>
            <w:tcBorders>
              <w:bottom w:val="single" w:sz="8" w:color="2A2A2A"/>
            </w:tcBorders>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474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vMerge w:val="restart"/>
          </w:tcPr>
          <w:p>
            <w:pPr>
              <w:jc w:val="right"/>
              <w:ind w:right="267"/>
              <w:spacing w:after="0"/>
              <w:rPr>
                <w:sz w:val="20"/>
                <w:szCs w:val="20"/>
                <w:color w:val="auto"/>
              </w:rPr>
            </w:pPr>
            <w:r>
              <w:rPr>
                <w:rFonts w:ascii="Arial" w:cs="Arial" w:eastAsia="Arial" w:hAnsi="Arial"/>
                <w:sz w:val="16"/>
                <w:szCs w:val="16"/>
                <w:b w:val="1"/>
                <w:bCs w:val="1"/>
                <w:color w:val="2A2A2A"/>
              </w:rPr>
              <w:t>2023</w:t>
            </w: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vMerge w:val="restart"/>
          </w:tcPr>
          <w:p>
            <w:pPr>
              <w:jc w:val="right"/>
              <w:ind w:right="284"/>
              <w:spacing w:after="0"/>
              <w:rPr>
                <w:sz w:val="20"/>
                <w:szCs w:val="20"/>
                <w:color w:val="auto"/>
              </w:rPr>
            </w:pPr>
            <w:r>
              <w:rPr>
                <w:rFonts w:ascii="Arial" w:cs="Arial" w:eastAsia="Arial" w:hAnsi="Arial"/>
                <w:sz w:val="16"/>
                <w:szCs w:val="16"/>
                <w:b w:val="1"/>
                <w:bCs w:val="1"/>
                <w:color w:val="2A2A2A"/>
              </w:rPr>
              <w:t>2022</w:t>
            </w:r>
          </w:p>
        </w:tc>
        <w:tc>
          <w:tcPr>
            <w:tcW w:w="0" w:type="dxa"/>
            <w:vAlign w:val="bottom"/>
          </w:tcPr>
          <w:p>
            <w:pPr>
              <w:spacing w:after="0" w:line="20" w:lineRule="exact"/>
              <w:rPr>
                <w:sz w:val="1"/>
                <w:szCs w:val="1"/>
                <w:color w:val="auto"/>
              </w:rPr>
            </w:pPr>
          </w:p>
        </w:tc>
      </w:tr>
      <w:tr>
        <w:trPr>
          <w:trHeight w:val="214"/>
        </w:trPr>
        <w:tc>
          <w:tcPr>
            <w:tcW w:w="4740" w:type="dxa"/>
            <w:vAlign w:val="bottom"/>
            <w:tcBorders>
              <w:bottom w:val="single" w:sz="8" w:color="2A2A2A"/>
            </w:tcBorders>
          </w:tcPr>
          <w:p>
            <w:pPr>
              <w:spacing w:after="0"/>
              <w:rPr>
                <w:sz w:val="18"/>
                <w:szCs w:val="18"/>
                <w:color w:val="auto"/>
              </w:rPr>
            </w:pPr>
          </w:p>
        </w:tc>
        <w:tc>
          <w:tcPr>
            <w:tcW w:w="3260" w:type="dxa"/>
            <w:vAlign w:val="bottom"/>
            <w:tcBorders>
              <w:bottom w:val="single" w:sz="8" w:color="2A2A2A"/>
            </w:tcBorders>
          </w:tcPr>
          <w:p>
            <w:pPr>
              <w:jc w:val="center"/>
              <w:ind w:left="1913"/>
              <w:spacing w:after="0"/>
              <w:rPr>
                <w:sz w:val="20"/>
                <w:szCs w:val="20"/>
                <w:color w:val="auto"/>
              </w:rPr>
            </w:pPr>
            <w:r>
              <w:rPr>
                <w:rFonts w:ascii="Arial" w:cs="Arial" w:eastAsia="Arial" w:hAnsi="Arial"/>
                <w:sz w:val="16"/>
                <w:szCs w:val="16"/>
                <w:b w:val="1"/>
                <w:bCs w:val="1"/>
                <w:color w:val="2A2A2A"/>
                <w:w w:val="99"/>
              </w:rPr>
              <w:t>(Years)</w:t>
            </w:r>
          </w:p>
        </w:tc>
        <w:tc>
          <w:tcPr>
            <w:tcW w:w="26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vMerge w:val="continue"/>
          </w:tcPr>
          <w:p>
            <w:pPr>
              <w:spacing w:after="0"/>
              <w:rPr>
                <w:sz w:val="18"/>
                <w:szCs w:val="18"/>
                <w:color w:val="auto"/>
              </w:rPr>
            </w:pPr>
          </w:p>
        </w:tc>
        <w:tc>
          <w:tcPr>
            <w:tcW w:w="80" w:type="dxa"/>
            <w:vAlign w:val="bottom"/>
            <w:tcBorders>
              <w:bottom w:val="single" w:sz="8" w:color="2A2A2A"/>
            </w:tcBorders>
          </w:tcPr>
          <w:p>
            <w:pPr>
              <w:spacing w:after="0"/>
              <w:rPr>
                <w:sz w:val="18"/>
                <w:szCs w:val="18"/>
                <w:color w:val="auto"/>
              </w:rPr>
            </w:pPr>
          </w:p>
        </w:tc>
        <w:tc>
          <w:tcPr>
            <w:tcW w:w="280" w:type="dxa"/>
            <w:vAlign w:val="bottom"/>
            <w:tcBorders>
              <w:bottom w:val="single" w:sz="8" w:color="2A2A2A"/>
            </w:tcBorders>
          </w:tcPr>
          <w:p>
            <w:pPr>
              <w:spacing w:after="0"/>
              <w:rPr>
                <w:sz w:val="18"/>
                <w:szCs w:val="18"/>
                <w:color w:val="auto"/>
              </w:rPr>
            </w:pPr>
          </w:p>
        </w:tc>
        <w:tc>
          <w:tcPr>
            <w:tcW w:w="820" w:type="dxa"/>
            <w:vAlign w:val="bottom"/>
            <w:tcBorders>
              <w:bottom w:val="single" w:sz="8" w:color="2A2A2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7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Land</w:t>
            </w:r>
          </w:p>
        </w:tc>
        <w:tc>
          <w:tcPr>
            <w:tcW w:w="3260" w:type="dxa"/>
            <w:vAlign w:val="bottom"/>
            <w:shd w:val="clear" w:color="auto" w:fill="D7D7D7"/>
          </w:tcPr>
          <w:p>
            <w:pPr>
              <w:jc w:val="center"/>
              <w:ind w:left="1933"/>
              <w:spacing w:after="0"/>
              <w:rPr>
                <w:sz w:val="20"/>
                <w:szCs w:val="20"/>
                <w:color w:val="auto"/>
              </w:rPr>
            </w:pPr>
            <w:r>
              <w:rPr>
                <w:rFonts w:ascii="Arial" w:cs="Arial" w:eastAsia="Arial" w:hAnsi="Arial"/>
                <w:sz w:val="20"/>
                <w:szCs w:val="20"/>
                <w:color w:val="2A2A2A"/>
              </w:rPr>
              <w:t>n/a</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150</w:t>
            </w:r>
          </w:p>
        </w:tc>
        <w:tc>
          <w:tcPr>
            <w:tcW w:w="360" w:type="dxa"/>
            <w:vAlign w:val="bottom"/>
            <w:gridSpan w:val="2"/>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132</w:t>
            </w:r>
          </w:p>
        </w:tc>
        <w:tc>
          <w:tcPr>
            <w:tcW w:w="0" w:type="dxa"/>
            <w:vAlign w:val="bottom"/>
          </w:tcPr>
          <w:p>
            <w:pPr>
              <w:spacing w:after="0"/>
              <w:rPr>
                <w:sz w:val="1"/>
                <w:szCs w:val="1"/>
                <w:color w:val="auto"/>
              </w:rPr>
            </w:pPr>
          </w:p>
        </w:tc>
      </w:tr>
      <w:tr>
        <w:trPr>
          <w:trHeight w:val="300"/>
        </w:trPr>
        <w:tc>
          <w:tcPr>
            <w:tcW w:w="4740" w:type="dxa"/>
            <w:vAlign w:val="bottom"/>
          </w:tcPr>
          <w:p>
            <w:pPr>
              <w:ind w:left="60"/>
              <w:spacing w:after="0"/>
              <w:rPr>
                <w:sz w:val="20"/>
                <w:szCs w:val="20"/>
                <w:color w:val="auto"/>
              </w:rPr>
            </w:pPr>
            <w:r>
              <w:rPr>
                <w:rFonts w:ascii="Arial" w:cs="Arial" w:eastAsia="Arial" w:hAnsi="Arial"/>
                <w:sz w:val="20"/>
                <w:szCs w:val="20"/>
                <w:color w:val="2A2A2A"/>
              </w:rPr>
              <w:t>Buildings and improvements</w:t>
            </w:r>
          </w:p>
        </w:tc>
        <w:tc>
          <w:tcPr>
            <w:tcW w:w="3260" w:type="dxa"/>
            <w:vAlign w:val="bottom"/>
          </w:tcPr>
          <w:p>
            <w:pPr>
              <w:jc w:val="center"/>
              <w:ind w:left="1913"/>
              <w:spacing w:after="0"/>
              <w:rPr>
                <w:sz w:val="20"/>
                <w:szCs w:val="20"/>
                <w:color w:val="auto"/>
              </w:rPr>
            </w:pPr>
            <w:r>
              <w:rPr>
                <w:rFonts w:ascii="Arial" w:cs="Arial" w:eastAsia="Arial" w:hAnsi="Arial"/>
                <w:sz w:val="20"/>
                <w:szCs w:val="20"/>
                <w:color w:val="2A2A2A"/>
                <w:w w:val="97"/>
              </w:rPr>
              <w:t>5 – 40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5,549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4,154</w:t>
            </w:r>
          </w:p>
        </w:tc>
        <w:tc>
          <w:tcPr>
            <w:tcW w:w="0" w:type="dxa"/>
            <w:vAlign w:val="bottom"/>
          </w:tcPr>
          <w:p>
            <w:pPr>
              <w:spacing w:after="0"/>
              <w:rPr>
                <w:sz w:val="1"/>
                <w:szCs w:val="1"/>
                <w:color w:val="auto"/>
              </w:rPr>
            </w:pPr>
          </w:p>
        </w:tc>
      </w:tr>
      <w:tr>
        <w:trPr>
          <w:trHeight w:val="310"/>
        </w:trPr>
        <w:tc>
          <w:tcPr>
            <w:tcW w:w="47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Machinery and equipment</w:t>
            </w:r>
          </w:p>
        </w:tc>
        <w:tc>
          <w:tcPr>
            <w:tcW w:w="3260" w:type="dxa"/>
            <w:vAlign w:val="bottom"/>
            <w:tcBorders>
              <w:bottom w:val="single" w:sz="8" w:color="D7D7D7"/>
            </w:tcBorders>
            <w:shd w:val="clear" w:color="auto" w:fill="D7D7D7"/>
          </w:tcPr>
          <w:p>
            <w:pPr>
              <w:jc w:val="center"/>
              <w:ind w:left="1913"/>
              <w:spacing w:after="0"/>
              <w:rPr>
                <w:sz w:val="20"/>
                <w:szCs w:val="20"/>
                <w:color w:val="auto"/>
              </w:rPr>
            </w:pPr>
            <w:r>
              <w:rPr>
                <w:rFonts w:ascii="Arial" w:cs="Arial" w:eastAsia="Arial" w:hAnsi="Arial"/>
                <w:sz w:val="20"/>
                <w:szCs w:val="20"/>
                <w:color w:val="2A2A2A"/>
                <w:w w:val="97"/>
              </w:rPr>
              <w:t>5 – 10</w:t>
            </w: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7,569</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5,664</w:t>
            </w:r>
          </w:p>
        </w:tc>
        <w:tc>
          <w:tcPr>
            <w:tcW w:w="0" w:type="dxa"/>
            <w:vAlign w:val="bottom"/>
          </w:tcPr>
          <w:p>
            <w:pPr>
              <w:spacing w:after="0"/>
              <w:rPr>
                <w:sz w:val="1"/>
                <w:szCs w:val="1"/>
                <w:color w:val="auto"/>
              </w:rPr>
            </w:pPr>
          </w:p>
        </w:tc>
      </w:tr>
      <w:tr>
        <w:trPr>
          <w:trHeight w:val="210"/>
        </w:trPr>
        <w:tc>
          <w:tcPr>
            <w:tcW w:w="474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3260" w:type="dxa"/>
            <w:vAlign w:val="bottom"/>
          </w:tcPr>
          <w:p>
            <w:pPr>
              <w:spacing w:after="0"/>
              <w:rPr>
                <w:sz w:val="18"/>
                <w:szCs w:val="18"/>
                <w:color w:val="auto"/>
              </w:rPr>
            </w:pP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13,268</w:t>
            </w:r>
          </w:p>
        </w:tc>
        <w:tc>
          <w:tcPr>
            <w:tcW w:w="80" w:type="dxa"/>
            <w:vAlign w:val="bottom"/>
          </w:tcPr>
          <w:p>
            <w:pPr>
              <w:spacing w:after="0"/>
              <w:rPr>
                <w:sz w:val="18"/>
                <w:szCs w:val="18"/>
                <w:color w:val="auto"/>
              </w:rPr>
            </w:pP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9,950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-755015</wp:posOffset>
            </wp:positionV>
            <wp:extent cx="654050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Goodwill</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A2A2A"/>
        </w:rPr>
        <w:t>Goodwill by segment as of December 31, 2023 and 2022,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6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900" w:type="dxa"/>
            <w:vAlign w:val="bottom"/>
            <w:tcBorders>
              <w:bottom w:val="single" w:sz="8" w:color="2A2A2A"/>
            </w:tcBorders>
          </w:tcPr>
          <w:p>
            <w:pPr>
              <w:jc w:val="right"/>
              <w:ind w:right="124"/>
              <w:spacing w:after="0"/>
              <w:rPr>
                <w:sz w:val="20"/>
                <w:szCs w:val="20"/>
                <w:color w:val="auto"/>
              </w:rPr>
            </w:pPr>
            <w:r>
              <w:rPr>
                <w:rFonts w:ascii="Arial" w:cs="Arial" w:eastAsia="Arial" w:hAnsi="Arial"/>
                <w:sz w:val="16"/>
                <w:szCs w:val="16"/>
                <w:b w:val="1"/>
                <w:bCs w:val="1"/>
                <w:color w:val="2A2A2A"/>
                <w:w w:val="97"/>
              </w:rPr>
              <w:t>Goodwill</w:t>
            </w:r>
          </w:p>
        </w:tc>
      </w:tr>
      <w:tr>
        <w:trPr>
          <w:trHeight w:val="260"/>
        </w:trPr>
        <w:tc>
          <w:tcPr>
            <w:tcW w:w="91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Analog</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4,158</w:t>
            </w:r>
          </w:p>
        </w:tc>
      </w:tr>
      <w:tr>
        <w:trPr>
          <w:trHeight w:val="268"/>
        </w:trPr>
        <w:tc>
          <w:tcPr>
            <w:tcW w:w="9160" w:type="dxa"/>
            <w:vAlign w:val="bottom"/>
          </w:tcPr>
          <w:p>
            <w:pPr>
              <w:ind w:left="60"/>
              <w:spacing w:after="0"/>
              <w:rPr>
                <w:sz w:val="20"/>
                <w:szCs w:val="20"/>
                <w:color w:val="auto"/>
              </w:rPr>
            </w:pPr>
            <w:r>
              <w:rPr>
                <w:rFonts w:ascii="Arial" w:cs="Arial" w:eastAsia="Arial" w:hAnsi="Arial"/>
                <w:sz w:val="20"/>
                <w:szCs w:val="20"/>
                <w:color w:val="2A2A2A"/>
              </w:rPr>
              <w:t>Embedded Processing</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A2A2A"/>
              </w:rPr>
              <w:t>172</w:t>
            </w:r>
          </w:p>
        </w:tc>
      </w:tr>
      <w:tr>
        <w:trPr>
          <w:trHeight w:val="283"/>
        </w:trPr>
        <w:tc>
          <w:tcPr>
            <w:tcW w:w="916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Other</w:t>
            </w:r>
          </w:p>
        </w:tc>
        <w:tc>
          <w:tcPr>
            <w:tcW w:w="200" w:type="dxa"/>
            <w:vAlign w:val="bottom"/>
            <w:tcBorders>
              <w:bottom w:val="single" w:sz="8" w:color="2A2A2A"/>
            </w:tcBorders>
            <w:shd w:val="clear" w:color="auto" w:fill="D7D7D7"/>
          </w:tcPr>
          <w:p>
            <w:pPr>
              <w:spacing w:after="0"/>
              <w:rPr>
                <w:sz w:val="24"/>
                <w:szCs w:val="24"/>
                <w:color w:val="auto"/>
              </w:rPr>
            </w:pPr>
          </w:p>
        </w:tc>
        <w:tc>
          <w:tcPr>
            <w:tcW w:w="9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32</w:t>
            </w:r>
          </w:p>
        </w:tc>
      </w:tr>
      <w:tr>
        <w:trPr>
          <w:trHeight w:val="210"/>
        </w:trPr>
        <w:tc>
          <w:tcPr>
            <w:tcW w:w="916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2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w:t>
            </w:r>
          </w:p>
        </w:tc>
        <w:tc>
          <w:tcPr>
            <w:tcW w:w="90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4,362</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2A2A2A"/>
            </w:tcBorders>
          </w:tcPr>
          <w:p>
            <w:pPr>
              <w:spacing w:after="0" w:line="20" w:lineRule="exact"/>
              <w:rPr>
                <w:sz w:val="1"/>
                <w:szCs w:val="1"/>
                <w:color w:val="auto"/>
              </w:rPr>
            </w:pPr>
          </w:p>
        </w:tc>
        <w:tc>
          <w:tcPr>
            <w:tcW w:w="90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-716915</wp:posOffset>
            </wp:positionV>
            <wp:extent cx="654050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-202565</wp:posOffset>
            </wp:positionV>
            <wp:extent cx="72072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725" cy="25400"/>
                    </a:xfrm>
                    <a:prstGeom prst="rect">
                      <a:avLst/>
                    </a:prstGeom>
                    <a:noFill/>
                  </pic:spPr>
                </pic:pic>
              </a:graphicData>
            </a:graphic>
          </wp:anchor>
        </w:drawing>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We perform our annual goodwill impairment test in the fourth quarter and determine whether the fair value of each of our reporting units is in excess of its carrying value. In 2023, 2022 and 2021, we determined no impairment was indicated.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Other long-term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05"/>
              <w:spacing w:after="0"/>
              <w:rPr>
                <w:sz w:val="20"/>
                <w:szCs w:val="20"/>
                <w:color w:val="auto"/>
              </w:rPr>
            </w:pPr>
            <w:r>
              <w:rPr>
                <w:rFonts w:ascii="Arial" w:cs="Arial" w:eastAsia="Arial" w:hAnsi="Arial"/>
                <w:sz w:val="16"/>
                <w:szCs w:val="16"/>
                <w:b w:val="1"/>
                <w:bCs w:val="1"/>
                <w:color w:val="2A2A2A"/>
              </w:rPr>
              <w:t>December 31,</w:t>
            </w:r>
          </w:p>
        </w:tc>
      </w:tr>
      <w:tr>
        <w:trPr>
          <w:trHeight w:val="265"/>
        </w:trPr>
        <w:tc>
          <w:tcPr>
            <w:tcW w:w="7980" w:type="dxa"/>
            <w:vAlign w:val="bottom"/>
            <w:tcBorders>
              <w:bottom w:val="single" w:sz="8" w:color="2A2A2A"/>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ind w:right="288"/>
              <w:spacing w:after="0"/>
              <w:rPr>
                <w:sz w:val="20"/>
                <w:szCs w:val="20"/>
                <w:color w:val="auto"/>
              </w:rPr>
            </w:pPr>
            <w:r>
              <w:rPr>
                <w:rFonts w:ascii="Arial" w:cs="Arial" w:eastAsia="Arial" w:hAnsi="Arial"/>
                <w:sz w:val="16"/>
                <w:szCs w:val="16"/>
                <w:b w:val="1"/>
                <w:bCs w:val="1"/>
                <w:color w:val="2A2A2A"/>
              </w:rPr>
              <w:t>2023</w:t>
            </w:r>
          </w:p>
        </w:tc>
        <w:tc>
          <w:tcPr>
            <w:tcW w:w="60" w:type="dxa"/>
            <w:vAlign w:val="bottom"/>
            <w:tcBorders>
              <w:bottom w:val="single" w:sz="8" w:color="2A2A2A"/>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2022</w:t>
            </w:r>
          </w:p>
        </w:tc>
      </w:tr>
      <w:tr>
        <w:trPr>
          <w:trHeight w:val="27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U.S. CHIPS and Science Act investment tax credit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859</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395</w:t>
            </w:r>
          </w:p>
        </w:tc>
      </w:tr>
      <w:tr>
        <w:trPr>
          <w:trHeight w:val="275"/>
        </w:trPr>
        <w:tc>
          <w:tcPr>
            <w:tcW w:w="798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853</w:t>
            </w:r>
          </w:p>
        </w:tc>
        <w:tc>
          <w:tcPr>
            <w:tcW w:w="6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740</w:t>
            </w:r>
          </w:p>
        </w:tc>
      </w:tr>
      <w:tr>
        <w:trPr>
          <w:trHeight w:val="26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1,712</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1,135</w:t>
            </w:r>
          </w:p>
        </w:tc>
      </w:tr>
      <w:tr>
        <w:trPr>
          <w:trHeight w:val="20"/>
        </w:trPr>
        <w:tc>
          <w:tcPr>
            <w:tcW w:w="79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2A2A2A"/>
              <w:bottom w:val="single" w:sz="8" w:color="2A2A2A"/>
            </w:tcBorders>
          </w:tcPr>
          <w:p>
            <w:pPr>
              <w:spacing w:after="0" w:line="20" w:lineRule="exact"/>
              <w:rPr>
                <w:sz w:val="1"/>
                <w:szCs w:val="1"/>
                <w:color w:val="auto"/>
              </w:rPr>
            </w:pPr>
          </w:p>
        </w:tc>
        <w:tc>
          <w:tcPr>
            <w:tcW w:w="84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-574040</wp:posOffset>
            </wp:positionV>
            <wp:extent cx="653097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-212090</wp:posOffset>
            </wp:positionV>
            <wp:extent cx="146367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-43815</wp:posOffset>
            </wp:positionV>
            <wp:extent cx="146367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Accrued expenses and other liabilities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05"/>
              <w:spacing w:after="0"/>
              <w:rPr>
                <w:sz w:val="20"/>
                <w:szCs w:val="20"/>
                <w:color w:val="auto"/>
              </w:rPr>
            </w:pPr>
            <w:r>
              <w:rPr>
                <w:rFonts w:ascii="Arial" w:cs="Arial" w:eastAsia="Arial" w:hAnsi="Arial"/>
                <w:sz w:val="16"/>
                <w:szCs w:val="16"/>
                <w:b w:val="1"/>
                <w:bCs w:val="1"/>
                <w:color w:val="2A2A2A"/>
              </w:rPr>
              <w:t>December 31,</w:t>
            </w:r>
          </w:p>
        </w:tc>
      </w:tr>
      <w:tr>
        <w:trPr>
          <w:trHeight w:val="265"/>
        </w:trPr>
        <w:tc>
          <w:tcPr>
            <w:tcW w:w="7980" w:type="dxa"/>
            <w:vAlign w:val="bottom"/>
            <w:tcBorders>
              <w:bottom w:val="single" w:sz="8" w:color="2A2A2A"/>
            </w:tcBorders>
          </w:tcPr>
          <w:p>
            <w:pPr>
              <w:spacing w:after="0"/>
              <w:rPr>
                <w:sz w:val="23"/>
                <w:szCs w:val="23"/>
                <w:color w:val="auto"/>
              </w:rPr>
            </w:pP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ind w:right="288"/>
              <w:spacing w:after="0"/>
              <w:rPr>
                <w:sz w:val="20"/>
                <w:szCs w:val="20"/>
                <w:color w:val="auto"/>
              </w:rPr>
            </w:pPr>
            <w:r>
              <w:rPr>
                <w:rFonts w:ascii="Arial" w:cs="Arial" w:eastAsia="Arial" w:hAnsi="Arial"/>
                <w:sz w:val="16"/>
                <w:szCs w:val="16"/>
                <w:b w:val="1"/>
                <w:bCs w:val="1"/>
                <w:color w:val="2A2A2A"/>
              </w:rPr>
              <w:t>2023</w:t>
            </w:r>
          </w:p>
        </w:tc>
        <w:tc>
          <w:tcPr>
            <w:tcW w:w="60" w:type="dxa"/>
            <w:vAlign w:val="bottom"/>
            <w:tcBorders>
              <w:bottom w:val="single" w:sz="8" w:color="2A2A2A"/>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2022</w:t>
            </w:r>
          </w:p>
        </w:tc>
      </w:tr>
      <w:tr>
        <w:trPr>
          <w:trHeight w:val="27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Accrued capital-related expenditures</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341</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191</w:t>
            </w:r>
          </w:p>
        </w:tc>
      </w:tr>
      <w:tr>
        <w:trPr>
          <w:trHeight w:val="275"/>
        </w:trPr>
        <w:tc>
          <w:tcPr>
            <w:tcW w:w="798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Other</w:t>
            </w:r>
          </w:p>
        </w:tc>
        <w:tc>
          <w:tcPr>
            <w:tcW w:w="260" w:type="dxa"/>
            <w:vAlign w:val="bottom"/>
            <w:tcBorders>
              <w:bottom w:val="single" w:sz="8" w:color="2A2A2A"/>
            </w:tcBorders>
          </w:tcPr>
          <w:p>
            <w:pPr>
              <w:spacing w:after="0"/>
              <w:rPr>
                <w:sz w:val="23"/>
                <w:szCs w:val="23"/>
                <w:color w:val="auto"/>
              </w:rPr>
            </w:pPr>
          </w:p>
        </w:tc>
        <w:tc>
          <w:tcPr>
            <w:tcW w:w="840" w:type="dxa"/>
            <w:vAlign w:val="bottom"/>
            <w:tcBorders>
              <w:bottom w:val="single" w:sz="8" w:color="2A2A2A"/>
            </w:tcBorders>
          </w:tcPr>
          <w:p>
            <w:pPr>
              <w:jc w:val="right"/>
              <w:spacing w:after="0"/>
              <w:rPr>
                <w:sz w:val="20"/>
                <w:szCs w:val="20"/>
                <w:color w:val="auto"/>
              </w:rPr>
            </w:pPr>
            <w:r>
              <w:rPr>
                <w:rFonts w:ascii="Arial" w:cs="Arial" w:eastAsia="Arial" w:hAnsi="Arial"/>
                <w:sz w:val="20"/>
                <w:szCs w:val="20"/>
                <w:b w:val="1"/>
                <w:bCs w:val="1"/>
                <w:color w:val="2A2A2A"/>
              </w:rPr>
              <w:t>570</w:t>
            </w:r>
          </w:p>
        </w:tc>
        <w:tc>
          <w:tcPr>
            <w:tcW w:w="60" w:type="dxa"/>
            <w:vAlign w:val="bottom"/>
            <w:tcBorders>
              <w:bottom w:val="single" w:sz="8" w:color="D7D7D7"/>
            </w:tcBorders>
          </w:tcPr>
          <w:p>
            <w:pPr>
              <w:spacing w:after="0"/>
              <w:rPr>
                <w:sz w:val="23"/>
                <w:szCs w:val="23"/>
                <w:color w:val="auto"/>
              </w:rPr>
            </w:pPr>
          </w:p>
        </w:tc>
        <w:tc>
          <w:tcPr>
            <w:tcW w:w="280" w:type="dxa"/>
            <w:vAlign w:val="bottom"/>
            <w:tcBorders>
              <w:bottom w:val="single" w:sz="8" w:color="2A2A2A"/>
            </w:tcBorders>
          </w:tcPr>
          <w:p>
            <w:pPr>
              <w:spacing w:after="0"/>
              <w:rPr>
                <w:sz w:val="23"/>
                <w:szCs w:val="23"/>
                <w:color w:val="auto"/>
              </w:rPr>
            </w:pPr>
          </w:p>
        </w:tc>
        <w:tc>
          <w:tcPr>
            <w:tcW w:w="820" w:type="dxa"/>
            <w:vAlign w:val="bottom"/>
            <w:tcBorders>
              <w:bottom w:val="single" w:sz="8" w:color="2A2A2A"/>
            </w:tcBorders>
          </w:tcPr>
          <w:p>
            <w:pPr>
              <w:jc w:val="right"/>
              <w:spacing w:after="0"/>
              <w:rPr>
                <w:sz w:val="20"/>
                <w:szCs w:val="20"/>
                <w:color w:val="auto"/>
              </w:rPr>
            </w:pPr>
            <w:r>
              <w:rPr>
                <w:rFonts w:ascii="Arial" w:cs="Arial" w:eastAsia="Arial" w:hAnsi="Arial"/>
                <w:sz w:val="20"/>
                <w:szCs w:val="20"/>
                <w:color w:val="2A2A2A"/>
              </w:rPr>
              <w:t>455</w:t>
            </w:r>
          </w:p>
        </w:tc>
      </w:tr>
      <w:tr>
        <w:trPr>
          <w:trHeight w:val="265"/>
        </w:trPr>
        <w:tc>
          <w:tcPr>
            <w:tcW w:w="79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911</w:t>
            </w:r>
          </w:p>
        </w:tc>
        <w:tc>
          <w:tcPr>
            <w:tcW w:w="340" w:type="dxa"/>
            <w:vAlign w:val="bottom"/>
            <w:gridSpan w:val="2"/>
            <w:shd w:val="clear" w:color="auto" w:fill="D7D7D7"/>
          </w:tcPr>
          <w:p>
            <w:pPr>
              <w:jc w:val="right"/>
              <w:ind w:right="100"/>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646</w:t>
            </w:r>
          </w:p>
        </w:tc>
      </w:tr>
      <w:tr>
        <w:trPr>
          <w:trHeight w:val="20"/>
        </w:trPr>
        <w:tc>
          <w:tcPr>
            <w:tcW w:w="7980" w:type="dxa"/>
            <w:vAlign w:val="bottom"/>
            <w:tcBorders>
              <w:top w:val="single" w:sz="8" w:color="D7D7D7"/>
            </w:tcBorders>
          </w:tcPr>
          <w:p>
            <w:pPr>
              <w:spacing w:after="0" w:line="20" w:lineRule="exact"/>
              <w:rPr>
                <w:sz w:val="1"/>
                <w:szCs w:val="1"/>
                <w:color w:val="auto"/>
              </w:rPr>
            </w:pPr>
          </w:p>
        </w:tc>
        <w:tc>
          <w:tcPr>
            <w:tcW w:w="260" w:type="dxa"/>
            <w:vAlign w:val="bottom"/>
            <w:tcBorders>
              <w:top w:val="single" w:sz="8" w:color="2A2A2A"/>
              <w:bottom w:val="single" w:sz="8" w:color="2A2A2A"/>
            </w:tcBorders>
          </w:tcPr>
          <w:p>
            <w:pPr>
              <w:spacing w:after="0" w:line="20" w:lineRule="exact"/>
              <w:rPr>
                <w:sz w:val="1"/>
                <w:szCs w:val="1"/>
                <w:color w:val="auto"/>
              </w:rPr>
            </w:pPr>
          </w:p>
        </w:tc>
        <w:tc>
          <w:tcPr>
            <w:tcW w:w="84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top w:val="single" w:sz="8" w:color="D7D7D7"/>
            </w:tcBorders>
          </w:tcPr>
          <w:p>
            <w:pPr>
              <w:spacing w:after="0" w:line="20" w:lineRule="exact"/>
              <w:rPr>
                <w:sz w:val="1"/>
                <w:szCs w:val="1"/>
                <w:color w:val="auto"/>
              </w:rPr>
            </w:pPr>
          </w:p>
        </w:tc>
        <w:tc>
          <w:tcPr>
            <w:tcW w:w="280" w:type="dxa"/>
            <w:vAlign w:val="bottom"/>
            <w:tcBorders>
              <w:top w:val="single" w:sz="8" w:color="2A2A2A"/>
              <w:bottom w:val="single" w:sz="8" w:color="2A2A2A"/>
            </w:tcBorders>
          </w:tcPr>
          <w:p>
            <w:pPr>
              <w:spacing w:after="0" w:line="20" w:lineRule="exact"/>
              <w:rPr>
                <w:sz w:val="1"/>
                <w:szCs w:val="1"/>
                <w:color w:val="auto"/>
              </w:rPr>
            </w:pPr>
          </w:p>
        </w:tc>
        <w:tc>
          <w:tcPr>
            <w:tcW w:w="820" w:type="dxa"/>
            <w:vAlign w:val="bottom"/>
            <w:tcBorders>
              <w:top w:val="single" w:sz="8" w:color="2A2A2A"/>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-574040</wp:posOffset>
            </wp:positionV>
            <wp:extent cx="653097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-212090</wp:posOffset>
            </wp:positionV>
            <wp:extent cx="146367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3675"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-43815</wp:posOffset>
            </wp:positionV>
            <wp:extent cx="146367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ectPr>
          <w:pgSz w:w="12240" w:h="15840" w:orient="portrait"/>
          <w:cols w:equalWidth="0" w:num="1">
            <w:col w:w="10280"/>
          </w:cols>
          <w:pgMar w:left="980" w:top="660"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54</w:t>
      </w:r>
    </w:p>
    <w:p>
      <w:pPr>
        <w:sectPr>
          <w:pgSz w:w="12240" w:h="15840" w:orient="portrait"/>
          <w:cols w:equalWidth="0" w:num="1">
            <w:col w:w="10280"/>
          </w:cols>
          <w:pgMar w:left="980" w:top="660" w:right="980" w:bottom="24"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i w:val="1"/>
          <w:iCs w:val="1"/>
          <w:color w:val="2A2A2A"/>
        </w:rPr>
        <w:t>Accumulated other comprehensive income (loss), net of taxes (AOCI)</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260" w:type="dxa"/>
            <w:vAlign w:val="bottom"/>
            <w:tcBorders>
              <w:bottom w:val="single" w:sz="8" w:color="2A2A2A"/>
            </w:tcBorders>
          </w:tcPr>
          <w:p>
            <w:pPr>
              <w:spacing w:after="0"/>
              <w:rPr>
                <w:sz w:val="18"/>
                <w:szCs w:val="18"/>
                <w:color w:val="auto"/>
              </w:rPr>
            </w:pPr>
          </w:p>
        </w:tc>
        <w:tc>
          <w:tcPr>
            <w:tcW w:w="2000" w:type="dxa"/>
            <w:vAlign w:val="bottom"/>
            <w:tcBorders>
              <w:bottom w:val="single" w:sz="8" w:color="2A2A2A"/>
            </w:tcBorders>
            <w:gridSpan w:val="4"/>
          </w:tcPr>
          <w:p>
            <w:pPr>
              <w:jc w:val="right"/>
              <w:ind w:right="523"/>
              <w:spacing w:after="0"/>
              <w:rPr>
                <w:sz w:val="20"/>
                <w:szCs w:val="20"/>
                <w:color w:val="auto"/>
              </w:rPr>
            </w:pPr>
            <w:r>
              <w:rPr>
                <w:rFonts w:ascii="Arial" w:cs="Arial" w:eastAsia="Arial" w:hAnsi="Arial"/>
                <w:sz w:val="16"/>
                <w:szCs w:val="16"/>
                <w:b w:val="1"/>
                <w:bCs w:val="1"/>
                <w:color w:val="2A2A2A"/>
              </w:rPr>
              <w:t>December 31,</w:t>
            </w:r>
          </w:p>
        </w:tc>
      </w:tr>
      <w:tr>
        <w:trPr>
          <w:trHeight w:val="250"/>
        </w:trPr>
        <w:tc>
          <w:tcPr>
            <w:tcW w:w="8000" w:type="dxa"/>
            <w:vAlign w:val="bottom"/>
            <w:tcBorders>
              <w:bottom w:val="single" w:sz="8" w:color="2A2A2A"/>
            </w:tcBorders>
          </w:tcPr>
          <w:p>
            <w:pPr>
              <w:spacing w:after="0"/>
              <w:rPr>
                <w:sz w:val="21"/>
                <w:szCs w:val="21"/>
                <w:color w:val="auto"/>
              </w:rPr>
            </w:pPr>
          </w:p>
        </w:tc>
        <w:tc>
          <w:tcPr>
            <w:tcW w:w="26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66"/>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1"/>
                <w:szCs w:val="21"/>
                <w:color w:val="auto"/>
              </w:rPr>
            </w:pPr>
          </w:p>
        </w:tc>
        <w:tc>
          <w:tcPr>
            <w:tcW w:w="280" w:type="dxa"/>
            <w:vAlign w:val="bottom"/>
            <w:tcBorders>
              <w:bottom w:val="single" w:sz="8" w:color="2A2A2A"/>
            </w:tcBorders>
          </w:tcPr>
          <w:p>
            <w:pPr>
              <w:spacing w:after="0"/>
              <w:rPr>
                <w:sz w:val="21"/>
                <w:szCs w:val="21"/>
                <w:color w:val="auto"/>
              </w:rPr>
            </w:pPr>
          </w:p>
        </w:tc>
        <w:tc>
          <w:tcPr>
            <w:tcW w:w="820" w:type="dxa"/>
            <w:vAlign w:val="bottom"/>
            <w:tcBorders>
              <w:bottom w:val="single" w:sz="8" w:color="2A2A2A"/>
            </w:tcBorders>
          </w:tcPr>
          <w:p>
            <w:pPr>
              <w:jc w:val="right"/>
              <w:ind w:right="283"/>
              <w:spacing w:after="0"/>
              <w:rPr>
                <w:sz w:val="20"/>
                <w:szCs w:val="20"/>
                <w:color w:val="auto"/>
              </w:rPr>
            </w:pPr>
            <w:r>
              <w:rPr>
                <w:rFonts w:ascii="Arial" w:cs="Arial" w:eastAsia="Arial" w:hAnsi="Arial"/>
                <w:sz w:val="16"/>
                <w:szCs w:val="16"/>
                <w:b w:val="1"/>
                <w:bCs w:val="1"/>
                <w:color w:val="2A2A2A"/>
              </w:rPr>
              <w:t>2022</w:t>
            </w:r>
          </w:p>
        </w:tc>
      </w:tr>
      <w:tr>
        <w:trPr>
          <w:trHeight w:val="260"/>
        </w:trPr>
        <w:tc>
          <w:tcPr>
            <w:tcW w:w="80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Postretirement benefit plans:</w:t>
            </w:r>
          </w:p>
        </w:tc>
        <w:tc>
          <w:tcPr>
            <w:tcW w:w="26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20" w:type="dxa"/>
            <w:vAlign w:val="bottom"/>
            <w:shd w:val="clear" w:color="auto" w:fill="D7D7D7"/>
          </w:tcPr>
          <w:p>
            <w:pPr>
              <w:spacing w:after="0"/>
              <w:rPr>
                <w:sz w:val="22"/>
                <w:szCs w:val="22"/>
                <w:color w:val="auto"/>
              </w:rPr>
            </w:pPr>
          </w:p>
        </w:tc>
      </w:tr>
      <w:tr>
        <w:trPr>
          <w:trHeight w:val="270"/>
        </w:trPr>
        <w:tc>
          <w:tcPr>
            <w:tcW w:w="8000" w:type="dxa"/>
            <w:vAlign w:val="bottom"/>
          </w:tcPr>
          <w:p>
            <w:pPr>
              <w:ind w:left="180"/>
              <w:spacing w:after="0"/>
              <w:rPr>
                <w:sz w:val="20"/>
                <w:szCs w:val="20"/>
                <w:color w:val="auto"/>
              </w:rPr>
            </w:pPr>
            <w:r>
              <w:rPr>
                <w:rFonts w:ascii="Arial" w:cs="Arial" w:eastAsia="Arial" w:hAnsi="Arial"/>
                <w:sz w:val="20"/>
                <w:szCs w:val="20"/>
                <w:color w:val="2A2A2A"/>
              </w:rPr>
              <w:t>Net actuarial loss</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(207)</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2A2A2A"/>
              </w:rPr>
              <w:t>$</w:t>
            </w:r>
          </w:p>
        </w:tc>
        <w:tc>
          <w:tcPr>
            <w:tcW w:w="820" w:type="dxa"/>
            <w:vAlign w:val="bottom"/>
          </w:tcPr>
          <w:p>
            <w:pPr>
              <w:jc w:val="right"/>
              <w:spacing w:after="0"/>
              <w:rPr>
                <w:sz w:val="20"/>
                <w:szCs w:val="20"/>
                <w:color w:val="auto"/>
              </w:rPr>
            </w:pPr>
            <w:r>
              <w:rPr>
                <w:rFonts w:ascii="Arial" w:cs="Arial" w:eastAsia="Arial" w:hAnsi="Arial"/>
                <w:sz w:val="20"/>
                <w:szCs w:val="20"/>
                <w:color w:val="2A2A2A"/>
              </w:rPr>
              <w:t>(249)</w:t>
            </w:r>
          </w:p>
        </w:tc>
      </w:tr>
      <w:tr>
        <w:trPr>
          <w:trHeight w:val="270"/>
        </w:trPr>
        <w:tc>
          <w:tcPr>
            <w:tcW w:w="800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Prior service cost</w:t>
            </w:r>
          </w:p>
        </w:tc>
        <w:tc>
          <w:tcPr>
            <w:tcW w:w="26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8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w:t>
            </w:r>
          </w:p>
        </w:tc>
      </w:tr>
      <w:tr>
        <w:trPr>
          <w:trHeight w:val="270"/>
        </w:trPr>
        <w:tc>
          <w:tcPr>
            <w:tcW w:w="8000" w:type="dxa"/>
            <w:vAlign w:val="bottom"/>
          </w:tcPr>
          <w:p>
            <w:pPr>
              <w:ind w:left="60"/>
              <w:spacing w:after="0"/>
              <w:rPr>
                <w:sz w:val="20"/>
                <w:szCs w:val="20"/>
                <w:color w:val="auto"/>
              </w:rPr>
            </w:pPr>
            <w:r>
              <w:rPr>
                <w:rFonts w:ascii="Arial" w:cs="Arial" w:eastAsia="Arial" w:hAnsi="Arial"/>
                <w:sz w:val="20"/>
                <w:szCs w:val="20"/>
                <w:color w:val="2A2A2A"/>
              </w:rPr>
              <w:t>Unrealized gains (losses) on available-for-sale investments</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2A2A2A"/>
              </w:rPr>
              <w:t>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A2A2A"/>
              </w:rPr>
              <w:t>(3)</w:t>
            </w:r>
          </w:p>
        </w:tc>
      </w:tr>
      <w:tr>
        <w:trPr>
          <w:trHeight w:val="280"/>
        </w:trPr>
        <w:tc>
          <w:tcPr>
            <w:tcW w:w="80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Cash flow hedge derivative instruments</w:t>
            </w:r>
          </w:p>
        </w:tc>
        <w:tc>
          <w:tcPr>
            <w:tcW w:w="26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Borders>
              <w:bottom w:val="single" w:sz="8" w:color="D7D7D7"/>
            </w:tcBorders>
            <w:shd w:val="clear" w:color="auto" w:fill="D7D7D7"/>
          </w:tcPr>
          <w:p>
            <w:pPr>
              <w:spacing w:after="0"/>
              <w:rPr>
                <w:sz w:val="24"/>
                <w:szCs w:val="24"/>
                <w:color w:val="auto"/>
              </w:rPr>
            </w:pPr>
          </w:p>
        </w:tc>
        <w:tc>
          <w:tcPr>
            <w:tcW w:w="280" w:type="dxa"/>
            <w:vAlign w:val="bottom"/>
            <w:tcBorders>
              <w:bottom w:val="single" w:sz="8" w:color="2A2A2A"/>
            </w:tcBorders>
            <w:shd w:val="clear" w:color="auto" w:fill="D7D7D7"/>
          </w:tcPr>
          <w:p>
            <w:pPr>
              <w:spacing w:after="0"/>
              <w:rPr>
                <w:sz w:val="24"/>
                <w:szCs w:val="24"/>
                <w:color w:val="auto"/>
              </w:rPr>
            </w:pPr>
          </w:p>
        </w:tc>
        <w:tc>
          <w:tcPr>
            <w:tcW w:w="82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w:t>
            </w:r>
          </w:p>
        </w:tc>
      </w:tr>
      <w:tr>
        <w:trPr>
          <w:trHeight w:val="210"/>
        </w:trPr>
        <w:tc>
          <w:tcPr>
            <w:tcW w:w="8000" w:type="dxa"/>
            <w:vAlign w:val="bottom"/>
          </w:tcPr>
          <w:p>
            <w:pPr>
              <w:ind w:left="60"/>
              <w:spacing w:after="0" w:line="210" w:lineRule="exact"/>
              <w:rPr>
                <w:sz w:val="20"/>
                <w:szCs w:val="20"/>
                <w:color w:val="auto"/>
              </w:rPr>
            </w:pPr>
            <w:r>
              <w:rPr>
                <w:rFonts w:ascii="Arial" w:cs="Arial" w:eastAsia="Arial" w:hAnsi="Arial"/>
                <w:sz w:val="20"/>
                <w:szCs w:val="20"/>
                <w:color w:val="2A2A2A"/>
              </w:rPr>
              <w:t>Total</w:t>
            </w:r>
          </w:p>
        </w:tc>
        <w:tc>
          <w:tcPr>
            <w:tcW w:w="26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b w:val="1"/>
                <w:bCs w:val="1"/>
                <w:color w:val="2A2A2A"/>
              </w:rPr>
              <w:t>(205)</w:t>
            </w:r>
          </w:p>
        </w:tc>
        <w:tc>
          <w:tcPr>
            <w:tcW w:w="80" w:type="dxa"/>
            <w:vAlign w:val="bottom"/>
          </w:tcPr>
          <w:p>
            <w:pPr>
              <w:spacing w:after="0"/>
              <w:rPr>
                <w:sz w:val="18"/>
                <w:szCs w:val="18"/>
                <w:color w:val="auto"/>
              </w:rPr>
            </w:pPr>
          </w:p>
        </w:tc>
        <w:tc>
          <w:tcPr>
            <w:tcW w:w="280" w:type="dxa"/>
            <w:vAlign w:val="bottom"/>
            <w:tcBorders>
              <w:bottom w:val="single" w:sz="8" w:color="2A2A2A"/>
            </w:tcBorders>
          </w:tcPr>
          <w:p>
            <w:pPr>
              <w:jc w:val="right"/>
              <w:ind w:right="20"/>
              <w:spacing w:after="0" w:line="210" w:lineRule="exact"/>
              <w:rPr>
                <w:sz w:val="20"/>
                <w:szCs w:val="20"/>
                <w:color w:val="auto"/>
              </w:rPr>
            </w:pPr>
            <w:r>
              <w:rPr>
                <w:rFonts w:ascii="Arial" w:cs="Arial" w:eastAsia="Arial" w:hAnsi="Arial"/>
                <w:sz w:val="20"/>
                <w:szCs w:val="20"/>
                <w:color w:val="2A2A2A"/>
              </w:rPr>
              <w:t>$</w:t>
            </w:r>
          </w:p>
        </w:tc>
        <w:tc>
          <w:tcPr>
            <w:tcW w:w="820" w:type="dxa"/>
            <w:vAlign w:val="bottom"/>
            <w:tcBorders>
              <w:bottom w:val="single" w:sz="8" w:color="2A2A2A"/>
            </w:tcBorders>
          </w:tcPr>
          <w:p>
            <w:pPr>
              <w:jc w:val="right"/>
              <w:spacing w:after="0" w:line="210" w:lineRule="exact"/>
              <w:rPr>
                <w:sz w:val="20"/>
                <w:szCs w:val="20"/>
                <w:color w:val="auto"/>
              </w:rPr>
            </w:pPr>
            <w:r>
              <w:rPr>
                <w:rFonts w:ascii="Arial" w:cs="Arial" w:eastAsia="Arial" w:hAnsi="Arial"/>
                <w:sz w:val="20"/>
                <w:szCs w:val="20"/>
                <w:color w:val="2A2A2A"/>
              </w:rPr>
              <w:t>(254)</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A2A2A"/>
            </w:tcBorders>
          </w:tcPr>
          <w:p>
            <w:pPr>
              <w:spacing w:after="0" w:line="20" w:lineRule="exact"/>
              <w:rPr>
                <w:sz w:val="1"/>
                <w:szCs w:val="1"/>
                <w:color w:val="auto"/>
              </w:rPr>
            </w:pPr>
          </w:p>
        </w:tc>
        <w:tc>
          <w:tcPr>
            <w:tcW w:w="820" w:type="dxa"/>
            <w:vAlign w:val="bottom"/>
            <w:tcBorders>
              <w:bottom w:val="single" w:sz="8" w:color="2A2A2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-1059815</wp:posOffset>
            </wp:positionV>
            <wp:extent cx="65405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-202565</wp:posOffset>
            </wp:positionV>
            <wp:extent cx="146367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3675" cy="25400"/>
                    </a:xfrm>
                    <a:prstGeom prst="rect">
                      <a:avLst/>
                    </a:prstGeom>
                    <a:noFill/>
                  </pic:spPr>
                </pic:pic>
              </a:graphicData>
            </a:graphic>
          </wp:anchor>
        </w:drawing>
      </w:r>
    </w:p>
    <w:p>
      <w:pPr>
        <w:spacing w:after="0" w:line="231" w:lineRule="exact"/>
        <w:rPr>
          <w:sz w:val="20"/>
          <w:szCs w:val="20"/>
          <w:color w:val="auto"/>
        </w:rPr>
      </w:pPr>
    </w:p>
    <w:p>
      <w:pPr>
        <w:ind w:right="260"/>
        <w:spacing w:after="0" w:line="284" w:lineRule="auto"/>
        <w:rPr>
          <w:sz w:val="20"/>
          <w:szCs w:val="20"/>
          <w:color w:val="auto"/>
        </w:rPr>
      </w:pPr>
      <w:r>
        <w:rPr>
          <w:rFonts w:ascii="Arial" w:cs="Arial" w:eastAsia="Arial" w:hAnsi="Arial"/>
          <w:sz w:val="22"/>
          <w:szCs w:val="22"/>
          <w:i w:val="1"/>
          <w:iCs w:val="1"/>
          <w:color w:val="2A2A2A"/>
        </w:rPr>
        <w:t>Details on amounts reclassified out of accumulated other comprehensive income (loss), net of taxes, to net income</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2A2A2A"/>
        </w:rPr>
        <w:t>Our Consolidated Statements of Comprehensive Income include items that have been recognized within net income in 2023, 2022 and 2021. The table below details where these transactions are recorded in our Consolidated Statements of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tcPr>
          <w:p>
            <w:pPr>
              <w:spacing w:after="0"/>
              <w:rPr>
                <w:sz w:val="18"/>
                <w:szCs w:val="18"/>
                <w:color w:val="auto"/>
              </w:rPr>
            </w:pPr>
          </w:p>
        </w:tc>
        <w:tc>
          <w:tcPr>
            <w:tcW w:w="2540" w:type="dxa"/>
            <w:vAlign w:val="bottom"/>
            <w:tcBorders>
              <w:bottom w:val="single" w:sz="8" w:color="2A2A2A"/>
            </w:tcBorders>
            <w:gridSpan w:val="8"/>
          </w:tcPr>
          <w:p>
            <w:pPr>
              <w:jc w:val="right"/>
              <w:spacing w:after="0"/>
              <w:rPr>
                <w:sz w:val="20"/>
                <w:szCs w:val="20"/>
                <w:color w:val="auto"/>
              </w:rPr>
            </w:pPr>
            <w:r>
              <w:rPr>
                <w:rFonts w:ascii="Arial" w:cs="Arial" w:eastAsia="Arial" w:hAnsi="Arial"/>
                <w:sz w:val="16"/>
                <w:szCs w:val="16"/>
                <w:b w:val="1"/>
                <w:bCs w:val="1"/>
                <w:color w:val="2A2A2A"/>
              </w:rPr>
              <w:t>For Years Ended December 31,</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440" w:type="dxa"/>
            <w:vAlign w:val="bottom"/>
            <w:tcBorders>
              <w:bottom w:val="single" w:sz="8" w:color="2A2A2A"/>
            </w:tcBorders>
          </w:tcPr>
          <w:p>
            <w:pPr>
              <w:spacing w:after="0"/>
              <w:rPr>
                <w:sz w:val="23"/>
                <w:szCs w:val="23"/>
                <w:color w:val="auto"/>
              </w:rPr>
            </w:pPr>
          </w:p>
        </w:tc>
        <w:tc>
          <w:tcPr>
            <w:tcW w:w="20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ind w:right="123"/>
              <w:spacing w:after="0"/>
              <w:rPr>
                <w:sz w:val="20"/>
                <w:szCs w:val="20"/>
                <w:color w:val="auto"/>
              </w:rPr>
            </w:pPr>
            <w:r>
              <w:rPr>
                <w:rFonts w:ascii="Arial" w:cs="Arial" w:eastAsia="Arial" w:hAnsi="Arial"/>
                <w:sz w:val="16"/>
                <w:szCs w:val="16"/>
                <w:b w:val="1"/>
                <w:bCs w:val="1"/>
                <w:color w:val="2A2A2A"/>
              </w:rPr>
              <w:t>2023</w:t>
            </w:r>
          </w:p>
        </w:tc>
        <w:tc>
          <w:tcPr>
            <w:tcW w:w="80" w:type="dxa"/>
            <w:vAlign w:val="bottom"/>
            <w:tcBorders>
              <w:bottom w:val="single" w:sz="8" w:color="2A2A2A"/>
            </w:tcBorders>
          </w:tcPr>
          <w:p>
            <w:pPr>
              <w:spacing w:after="0"/>
              <w:rPr>
                <w:sz w:val="23"/>
                <w:szCs w:val="23"/>
                <w:color w:val="auto"/>
              </w:rPr>
            </w:pPr>
          </w:p>
        </w:tc>
        <w:tc>
          <w:tcPr>
            <w:tcW w:w="20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ind w:right="123"/>
              <w:spacing w:after="0"/>
              <w:rPr>
                <w:sz w:val="20"/>
                <w:szCs w:val="20"/>
                <w:color w:val="auto"/>
              </w:rPr>
            </w:pPr>
            <w:r>
              <w:rPr>
                <w:rFonts w:ascii="Arial" w:cs="Arial" w:eastAsia="Arial" w:hAnsi="Arial"/>
                <w:sz w:val="16"/>
                <w:szCs w:val="16"/>
                <w:b w:val="1"/>
                <w:bCs w:val="1"/>
                <w:color w:val="2A2A2A"/>
              </w:rPr>
              <w:t>2022</w:t>
            </w:r>
          </w:p>
        </w:tc>
        <w:tc>
          <w:tcPr>
            <w:tcW w:w="60" w:type="dxa"/>
            <w:vAlign w:val="bottom"/>
            <w:tcBorders>
              <w:bottom w:val="single" w:sz="8" w:color="2A2A2A"/>
            </w:tcBorders>
          </w:tcPr>
          <w:p>
            <w:pPr>
              <w:spacing w:after="0"/>
              <w:rPr>
                <w:sz w:val="23"/>
                <w:szCs w:val="23"/>
                <w:color w:val="auto"/>
              </w:rPr>
            </w:pPr>
          </w:p>
        </w:tc>
        <w:tc>
          <w:tcPr>
            <w:tcW w:w="200" w:type="dxa"/>
            <w:vAlign w:val="bottom"/>
            <w:tcBorders>
              <w:bottom w:val="single" w:sz="8" w:color="2A2A2A"/>
            </w:tcBorders>
          </w:tcPr>
          <w:p>
            <w:pPr>
              <w:spacing w:after="0"/>
              <w:rPr>
                <w:sz w:val="23"/>
                <w:szCs w:val="23"/>
                <w:color w:val="auto"/>
              </w:rPr>
            </w:pPr>
          </w:p>
        </w:tc>
        <w:tc>
          <w:tcPr>
            <w:tcW w:w="600" w:type="dxa"/>
            <w:vAlign w:val="bottom"/>
            <w:tcBorders>
              <w:bottom w:val="single" w:sz="8" w:color="2A2A2A"/>
            </w:tcBorders>
          </w:tcPr>
          <w:p>
            <w:pPr>
              <w:jc w:val="right"/>
              <w:ind w:right="123"/>
              <w:spacing w:after="0"/>
              <w:rPr>
                <w:sz w:val="20"/>
                <w:szCs w:val="20"/>
                <w:color w:val="auto"/>
              </w:rPr>
            </w:pPr>
            <w:r>
              <w:rPr>
                <w:rFonts w:ascii="Arial" w:cs="Arial" w:eastAsia="Arial" w:hAnsi="Arial"/>
                <w:sz w:val="16"/>
                <w:szCs w:val="16"/>
                <w:b w:val="1"/>
                <w:bCs w:val="1"/>
                <w:color w:val="2A2A2A"/>
              </w:rPr>
              <w:t>2021</w:t>
            </w:r>
          </w:p>
        </w:tc>
        <w:tc>
          <w:tcPr>
            <w:tcW w:w="4300" w:type="dxa"/>
            <w:vAlign w:val="bottom"/>
            <w:tcBorders>
              <w:bottom w:val="single" w:sz="8" w:color="2A2A2A"/>
            </w:tcBorders>
          </w:tcPr>
          <w:p>
            <w:pPr>
              <w:ind w:left="580"/>
              <w:spacing w:after="0"/>
              <w:rPr>
                <w:sz w:val="20"/>
                <w:szCs w:val="20"/>
                <w:color w:val="auto"/>
              </w:rPr>
            </w:pPr>
            <w:r>
              <w:rPr>
                <w:rFonts w:ascii="Arial" w:cs="Arial" w:eastAsia="Arial" w:hAnsi="Arial"/>
                <w:sz w:val="16"/>
                <w:szCs w:val="16"/>
                <w:b w:val="1"/>
                <w:bCs w:val="1"/>
                <w:color w:val="2A2A2A"/>
              </w:rPr>
              <w:t>Impact to Related Statement of Income Lines</w:t>
            </w:r>
          </w:p>
        </w:tc>
        <w:tc>
          <w:tcPr>
            <w:tcW w:w="0" w:type="dxa"/>
            <w:vAlign w:val="bottom"/>
          </w:tcPr>
          <w:p>
            <w:pPr>
              <w:spacing w:after="0"/>
              <w:rPr>
                <w:sz w:val="1"/>
                <w:szCs w:val="1"/>
                <w:color w:val="auto"/>
              </w:rPr>
            </w:pPr>
          </w:p>
        </w:tc>
      </w:tr>
      <w:tr>
        <w:trPr>
          <w:trHeight w:val="213"/>
        </w:trPr>
        <w:tc>
          <w:tcPr>
            <w:tcW w:w="3440" w:type="dxa"/>
            <w:vAlign w:val="bottom"/>
            <w:shd w:val="clear" w:color="auto" w:fill="D7D7D7"/>
          </w:tcPr>
          <w:p>
            <w:pPr>
              <w:ind w:left="60"/>
              <w:spacing w:after="0" w:line="213" w:lineRule="exact"/>
              <w:rPr>
                <w:sz w:val="20"/>
                <w:szCs w:val="20"/>
                <w:color w:val="auto"/>
              </w:rPr>
            </w:pPr>
            <w:r>
              <w:rPr>
                <w:rFonts w:ascii="Arial" w:cs="Arial" w:eastAsia="Arial" w:hAnsi="Arial"/>
                <w:sz w:val="20"/>
                <w:szCs w:val="20"/>
                <w:color w:val="2A2A2A"/>
              </w:rPr>
              <w:t>Net actuarial losses of defined</w:t>
            </w:r>
          </w:p>
        </w:tc>
        <w:tc>
          <w:tcPr>
            <w:tcW w:w="200" w:type="dxa"/>
            <w:vAlign w:val="bottom"/>
            <w:shd w:val="clear" w:color="auto" w:fill="D7D7D7"/>
          </w:tcPr>
          <w:p>
            <w:pPr>
              <w:spacing w:after="0"/>
              <w:rPr>
                <w:sz w:val="18"/>
                <w:szCs w:val="18"/>
                <w:color w:val="auto"/>
              </w:rPr>
            </w:pPr>
          </w:p>
        </w:tc>
        <w:tc>
          <w:tcPr>
            <w:tcW w:w="600" w:type="dxa"/>
            <w:vAlign w:val="bottom"/>
            <w:shd w:val="clear" w:color="auto" w:fill="D7D7D7"/>
          </w:tcPr>
          <w:p>
            <w:pPr>
              <w:spacing w:after="0"/>
              <w:rPr>
                <w:sz w:val="18"/>
                <w:szCs w:val="18"/>
                <w:color w:val="auto"/>
              </w:rPr>
            </w:pPr>
          </w:p>
        </w:tc>
        <w:tc>
          <w:tcPr>
            <w:tcW w:w="80" w:type="dxa"/>
            <w:vAlign w:val="bottom"/>
            <w:shd w:val="clear" w:color="auto" w:fill="D7D7D7"/>
          </w:tcPr>
          <w:p>
            <w:pPr>
              <w:spacing w:after="0"/>
              <w:rPr>
                <w:sz w:val="18"/>
                <w:szCs w:val="18"/>
                <w:color w:val="auto"/>
              </w:rPr>
            </w:pPr>
          </w:p>
        </w:tc>
        <w:tc>
          <w:tcPr>
            <w:tcW w:w="200" w:type="dxa"/>
            <w:vAlign w:val="bottom"/>
            <w:shd w:val="clear" w:color="auto" w:fill="D7D7D7"/>
          </w:tcPr>
          <w:p>
            <w:pPr>
              <w:spacing w:after="0"/>
              <w:rPr>
                <w:sz w:val="18"/>
                <w:szCs w:val="18"/>
                <w:color w:val="auto"/>
              </w:rPr>
            </w:pPr>
          </w:p>
        </w:tc>
        <w:tc>
          <w:tcPr>
            <w:tcW w:w="600" w:type="dxa"/>
            <w:vAlign w:val="bottom"/>
            <w:shd w:val="clear" w:color="auto" w:fill="D7D7D7"/>
          </w:tcPr>
          <w:p>
            <w:pPr>
              <w:spacing w:after="0"/>
              <w:rPr>
                <w:sz w:val="18"/>
                <w:szCs w:val="18"/>
                <w:color w:val="auto"/>
              </w:rPr>
            </w:pPr>
          </w:p>
        </w:tc>
        <w:tc>
          <w:tcPr>
            <w:tcW w:w="60" w:type="dxa"/>
            <w:vAlign w:val="bottom"/>
            <w:shd w:val="clear" w:color="auto" w:fill="D7D7D7"/>
          </w:tcPr>
          <w:p>
            <w:pPr>
              <w:spacing w:after="0"/>
              <w:rPr>
                <w:sz w:val="18"/>
                <w:szCs w:val="18"/>
                <w:color w:val="auto"/>
              </w:rPr>
            </w:pPr>
          </w:p>
        </w:tc>
        <w:tc>
          <w:tcPr>
            <w:tcW w:w="200" w:type="dxa"/>
            <w:vAlign w:val="bottom"/>
            <w:shd w:val="clear" w:color="auto" w:fill="D7D7D7"/>
          </w:tcPr>
          <w:p>
            <w:pPr>
              <w:spacing w:after="0"/>
              <w:rPr>
                <w:sz w:val="18"/>
                <w:szCs w:val="18"/>
                <w:color w:val="auto"/>
              </w:rPr>
            </w:pPr>
          </w:p>
        </w:tc>
        <w:tc>
          <w:tcPr>
            <w:tcW w:w="600" w:type="dxa"/>
            <w:vAlign w:val="bottom"/>
            <w:shd w:val="clear" w:color="auto" w:fill="D7D7D7"/>
          </w:tcPr>
          <w:p>
            <w:pPr>
              <w:spacing w:after="0"/>
              <w:rPr>
                <w:sz w:val="18"/>
                <w:szCs w:val="18"/>
                <w:color w:val="auto"/>
              </w:rPr>
            </w:pPr>
          </w:p>
        </w:tc>
        <w:tc>
          <w:tcPr>
            <w:tcW w:w="4300" w:type="dxa"/>
            <w:vAlign w:val="bottom"/>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benefit plans:</w:t>
            </w:r>
          </w:p>
        </w:tc>
        <w:tc>
          <w:tcPr>
            <w:tcW w:w="20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8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6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600" w:type="dxa"/>
            <w:vAlign w:val="bottom"/>
            <w:shd w:val="clear" w:color="auto" w:fill="D7D7D7"/>
          </w:tcPr>
          <w:p>
            <w:pPr>
              <w:spacing w:after="0"/>
              <w:rPr>
                <w:sz w:val="23"/>
                <w:szCs w:val="23"/>
                <w:color w:val="auto"/>
              </w:rPr>
            </w:pPr>
          </w:p>
        </w:tc>
        <w:tc>
          <w:tcPr>
            <w:tcW w:w="430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180"/>
              <w:spacing w:after="0" w:line="223" w:lineRule="exact"/>
              <w:rPr>
                <w:sz w:val="20"/>
                <w:szCs w:val="20"/>
                <w:color w:val="auto"/>
              </w:rPr>
            </w:pPr>
            <w:r>
              <w:rPr>
                <w:rFonts w:ascii="Arial" w:cs="Arial" w:eastAsia="Arial" w:hAnsi="Arial"/>
                <w:sz w:val="20"/>
                <w:szCs w:val="20"/>
                <w:color w:val="2A2A2A"/>
              </w:rPr>
              <w:t>Recognized net actuarial loss</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20</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78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37</w:t>
            </w:r>
          </w:p>
        </w:tc>
        <w:tc>
          <w:tcPr>
            <w:tcW w:w="4300" w:type="dxa"/>
            <w:vAlign w:val="bottom"/>
            <w:vMerge w:val="restart"/>
          </w:tcPr>
          <w:p>
            <w:pPr>
              <w:ind w:left="580"/>
              <w:spacing w:after="0"/>
              <w:rPr>
                <w:sz w:val="20"/>
                <w:szCs w:val="20"/>
                <w:color w:val="auto"/>
              </w:rPr>
            </w:pPr>
            <w:r>
              <w:rPr>
                <w:rFonts w:ascii="Arial" w:cs="Arial" w:eastAsia="Arial" w:hAnsi="Arial"/>
                <w:sz w:val="20"/>
                <w:szCs w:val="20"/>
                <w:color w:val="2A2A2A"/>
              </w:rPr>
              <w:t>Decrease to OI&amp;E</w:t>
            </w:r>
          </w:p>
        </w:tc>
        <w:tc>
          <w:tcPr>
            <w:tcW w:w="0" w:type="dxa"/>
            <w:vAlign w:val="bottom"/>
          </w:tcPr>
          <w:p>
            <w:pPr>
              <w:spacing w:after="0"/>
              <w:rPr>
                <w:sz w:val="1"/>
                <w:szCs w:val="1"/>
                <w:color w:val="auto"/>
              </w:rPr>
            </w:pPr>
          </w:p>
        </w:tc>
      </w:tr>
      <w:tr>
        <w:trPr>
          <w:trHeight w:val="272"/>
        </w:trPr>
        <w:tc>
          <w:tcPr>
            <w:tcW w:w="3440" w:type="dxa"/>
            <w:vAlign w:val="bottom"/>
          </w:tcPr>
          <w:p>
            <w:pPr>
              <w:ind w:left="180"/>
              <w:spacing w:after="0"/>
              <w:rPr>
                <w:sz w:val="20"/>
                <w:szCs w:val="20"/>
                <w:color w:val="auto"/>
              </w:rPr>
            </w:pPr>
            <w:r>
              <w:rPr>
                <w:rFonts w:ascii="Arial" w:cs="Arial" w:eastAsia="Arial" w:hAnsi="Arial"/>
                <w:sz w:val="20"/>
                <w:szCs w:val="20"/>
                <w:color w:val="2A2A2A"/>
              </w:rPr>
              <w:t>and settlement losses (a)</w:t>
            </w:r>
          </w:p>
        </w:tc>
        <w:tc>
          <w:tcPr>
            <w:tcW w:w="200" w:type="dxa"/>
            <w:vAlign w:val="bottom"/>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28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4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3440" w:type="dxa"/>
            <w:vAlign w:val="bottom"/>
            <w:tcBorders>
              <w:bottom w:val="single" w:sz="8" w:color="D7D7D7"/>
            </w:tcBorders>
            <w:shd w:val="clear" w:color="auto" w:fill="D7D7D7"/>
          </w:tcPr>
          <w:p>
            <w:pPr>
              <w:ind w:left="180"/>
              <w:spacing w:after="0"/>
              <w:rPr>
                <w:sz w:val="20"/>
                <w:szCs w:val="20"/>
                <w:color w:val="auto"/>
              </w:rPr>
            </w:pPr>
            <w:r>
              <w:rPr>
                <w:rFonts w:ascii="Arial" w:cs="Arial" w:eastAsia="Arial" w:hAnsi="Arial"/>
                <w:sz w:val="20"/>
                <w:szCs w:val="20"/>
                <w:color w:val="2A2A2A"/>
              </w:rPr>
              <w:t>Tax effect</w:t>
            </w:r>
          </w:p>
        </w:tc>
        <w:tc>
          <w:tcPr>
            <w:tcW w:w="200" w:type="dxa"/>
            <w:vAlign w:val="bottom"/>
            <w:tcBorders>
              <w:bottom w:val="single" w:sz="8" w:color="2A2A2A"/>
            </w:tcBorders>
            <w:shd w:val="clear" w:color="auto" w:fill="D7D7D7"/>
          </w:tcPr>
          <w:p>
            <w:pPr>
              <w:spacing w:after="0"/>
              <w:rPr>
                <w:sz w:val="24"/>
                <w:szCs w:val="24"/>
                <w:color w:val="auto"/>
              </w:rPr>
            </w:pP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b w:val="1"/>
                <w:bCs w:val="1"/>
                <w:color w:val="2A2A2A"/>
              </w:rPr>
              <w:t>(5)</w:t>
            </w:r>
          </w:p>
        </w:tc>
        <w:tc>
          <w:tcPr>
            <w:tcW w:w="8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(17)</w:t>
            </w:r>
          </w:p>
        </w:tc>
        <w:tc>
          <w:tcPr>
            <w:tcW w:w="60" w:type="dxa"/>
            <w:vAlign w:val="bottom"/>
            <w:tcBorders>
              <w:bottom w:val="single" w:sz="8" w:color="D7D7D7"/>
            </w:tcBorders>
            <w:shd w:val="clear" w:color="auto" w:fill="D7D7D7"/>
          </w:tcPr>
          <w:p>
            <w:pPr>
              <w:spacing w:after="0"/>
              <w:rPr>
                <w:sz w:val="24"/>
                <w:szCs w:val="24"/>
                <w:color w:val="auto"/>
              </w:rPr>
            </w:pPr>
          </w:p>
        </w:tc>
        <w:tc>
          <w:tcPr>
            <w:tcW w:w="200" w:type="dxa"/>
            <w:vAlign w:val="bottom"/>
            <w:tcBorders>
              <w:bottom w:val="single" w:sz="8" w:color="2A2A2A"/>
            </w:tcBorders>
            <w:shd w:val="clear" w:color="auto" w:fill="D7D7D7"/>
          </w:tcPr>
          <w:p>
            <w:pPr>
              <w:spacing w:after="0"/>
              <w:rPr>
                <w:sz w:val="24"/>
                <w:szCs w:val="24"/>
                <w:color w:val="auto"/>
              </w:rPr>
            </w:pPr>
          </w:p>
        </w:tc>
        <w:tc>
          <w:tcPr>
            <w:tcW w:w="600" w:type="dxa"/>
            <w:vAlign w:val="bottom"/>
            <w:tcBorders>
              <w:bottom w:val="single" w:sz="8" w:color="2A2A2A"/>
            </w:tcBorders>
            <w:shd w:val="clear" w:color="auto" w:fill="D7D7D7"/>
          </w:tcPr>
          <w:p>
            <w:pPr>
              <w:jc w:val="right"/>
              <w:spacing w:after="0"/>
              <w:rPr>
                <w:sz w:val="20"/>
                <w:szCs w:val="20"/>
                <w:color w:val="auto"/>
              </w:rPr>
            </w:pPr>
            <w:r>
              <w:rPr>
                <w:rFonts w:ascii="Arial" w:cs="Arial" w:eastAsia="Arial" w:hAnsi="Arial"/>
                <w:sz w:val="20"/>
                <w:szCs w:val="20"/>
                <w:color w:val="2A2A2A"/>
              </w:rPr>
              <w:t>(8)</w:t>
            </w:r>
          </w:p>
        </w:tc>
        <w:tc>
          <w:tcPr>
            <w:tcW w:w="4300" w:type="dxa"/>
            <w:vAlign w:val="bottom"/>
            <w:tcBorders>
              <w:bottom w:val="single" w:sz="8" w:color="D7D7D7"/>
            </w:tcBorders>
            <w:shd w:val="clear" w:color="auto" w:fill="D7D7D7"/>
          </w:tcPr>
          <w:p>
            <w:pPr>
              <w:ind w:left="580"/>
              <w:spacing w:after="0"/>
              <w:rPr>
                <w:sz w:val="20"/>
                <w:szCs w:val="20"/>
                <w:color w:val="auto"/>
              </w:rPr>
            </w:pPr>
            <w:r>
              <w:rPr>
                <w:rFonts w:ascii="Arial" w:cs="Arial" w:eastAsia="Arial" w:hAnsi="Arial"/>
                <w:sz w:val="20"/>
                <w:szCs w:val="20"/>
                <w:color w:val="2A2A2A"/>
              </w:rPr>
              <w:t>Decrease to provision for income taxes</w:t>
            </w:r>
          </w:p>
        </w:tc>
        <w:tc>
          <w:tcPr>
            <w:tcW w:w="0" w:type="dxa"/>
            <w:vAlign w:val="bottom"/>
          </w:tcPr>
          <w:p>
            <w:pPr>
              <w:spacing w:after="0"/>
              <w:rPr>
                <w:sz w:val="1"/>
                <w:szCs w:val="1"/>
                <w:color w:val="auto"/>
              </w:rPr>
            </w:pPr>
          </w:p>
        </w:tc>
      </w:tr>
      <w:tr>
        <w:trPr>
          <w:trHeight w:val="193"/>
        </w:trPr>
        <w:tc>
          <w:tcPr>
            <w:tcW w:w="3440" w:type="dxa"/>
            <w:vAlign w:val="bottom"/>
          </w:tcPr>
          <w:p>
            <w:pPr>
              <w:ind w:left="180"/>
              <w:spacing w:after="0" w:line="193" w:lineRule="exact"/>
              <w:rPr>
                <w:sz w:val="20"/>
                <w:szCs w:val="20"/>
                <w:color w:val="auto"/>
              </w:rPr>
            </w:pPr>
            <w:r>
              <w:rPr>
                <w:rFonts w:ascii="Arial" w:cs="Arial" w:eastAsia="Arial" w:hAnsi="Arial"/>
                <w:sz w:val="20"/>
                <w:szCs w:val="20"/>
                <w:color w:val="2A2A2A"/>
              </w:rPr>
              <w:t>Recognized within net</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15</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61</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29</w:t>
            </w:r>
          </w:p>
        </w:tc>
        <w:tc>
          <w:tcPr>
            <w:tcW w:w="4300" w:type="dxa"/>
            <w:vAlign w:val="bottom"/>
            <w:vMerge w:val="restart"/>
          </w:tcPr>
          <w:p>
            <w:pPr>
              <w:ind w:left="580"/>
              <w:spacing w:after="0"/>
              <w:rPr>
                <w:sz w:val="20"/>
                <w:szCs w:val="20"/>
                <w:color w:val="auto"/>
              </w:rPr>
            </w:pPr>
            <w:r>
              <w:rPr>
                <w:rFonts w:ascii="Arial" w:cs="Arial" w:eastAsia="Arial" w:hAnsi="Arial"/>
                <w:sz w:val="20"/>
                <w:szCs w:val="20"/>
                <w:color w:val="2A2A2A"/>
              </w:rPr>
              <w:t>Decrease to net income</w:t>
            </w:r>
          </w:p>
        </w:tc>
        <w:tc>
          <w:tcPr>
            <w:tcW w:w="0" w:type="dxa"/>
            <w:vAlign w:val="bottom"/>
          </w:tcPr>
          <w:p>
            <w:pPr>
              <w:spacing w:after="0"/>
              <w:rPr>
                <w:sz w:val="1"/>
                <w:szCs w:val="1"/>
                <w:color w:val="auto"/>
              </w:rPr>
            </w:pPr>
          </w:p>
        </w:tc>
      </w:tr>
      <w:tr>
        <w:trPr>
          <w:trHeight w:val="242"/>
        </w:trPr>
        <w:tc>
          <w:tcPr>
            <w:tcW w:w="3440" w:type="dxa"/>
            <w:vAlign w:val="bottom"/>
          </w:tcPr>
          <w:p>
            <w:pPr>
              <w:ind w:left="180"/>
              <w:spacing w:after="0"/>
              <w:rPr>
                <w:sz w:val="20"/>
                <w:szCs w:val="20"/>
                <w:color w:val="auto"/>
              </w:rPr>
            </w:pPr>
            <w:r>
              <w:rPr>
                <w:rFonts w:ascii="Arial" w:cs="Arial" w:eastAsia="Arial" w:hAnsi="Arial"/>
                <w:sz w:val="20"/>
                <w:szCs w:val="20"/>
                <w:color w:val="2A2A2A"/>
              </w:rPr>
              <w:t>income, net of taxes</w:t>
            </w:r>
          </w:p>
        </w:tc>
        <w:tc>
          <w:tcPr>
            <w:tcW w:w="20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D7D7D7"/>
            </w:tcBorders>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Borders>
              <w:bottom w:val="single" w:sz="8" w:color="D7D7D7"/>
            </w:tcBorders>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Borders>
              <w:bottom w:val="single" w:sz="8" w:color="D7D7D7"/>
            </w:tcBorders>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4300" w:type="dxa"/>
            <w:vAlign w:val="bottom"/>
            <w:tcBorders>
              <w:bottom w:val="single" w:sz="8" w:color="D7D7D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shd w:val="clear" w:color="auto" w:fill="D7D7D7"/>
          </w:tcPr>
          <w:p>
            <w:pPr>
              <w:spacing w:after="0"/>
              <w:rPr>
                <w:sz w:val="22"/>
                <w:szCs w:val="22"/>
                <w:color w:val="auto"/>
              </w:rPr>
            </w:pPr>
          </w:p>
        </w:tc>
        <w:tc>
          <w:tcPr>
            <w:tcW w:w="200" w:type="dxa"/>
            <w:vAlign w:val="bottom"/>
            <w:shd w:val="clear" w:color="auto" w:fill="D7D7D7"/>
          </w:tcPr>
          <w:p>
            <w:pPr>
              <w:spacing w:after="0"/>
              <w:rPr>
                <w:sz w:val="22"/>
                <w:szCs w:val="22"/>
                <w:color w:val="auto"/>
              </w:rPr>
            </w:pPr>
          </w:p>
        </w:tc>
        <w:tc>
          <w:tcPr>
            <w:tcW w:w="60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200" w:type="dxa"/>
            <w:vAlign w:val="bottom"/>
            <w:shd w:val="clear" w:color="auto" w:fill="D7D7D7"/>
          </w:tcPr>
          <w:p>
            <w:pPr>
              <w:spacing w:after="0"/>
              <w:rPr>
                <w:sz w:val="22"/>
                <w:szCs w:val="22"/>
                <w:color w:val="auto"/>
              </w:rPr>
            </w:pPr>
          </w:p>
        </w:tc>
        <w:tc>
          <w:tcPr>
            <w:tcW w:w="600" w:type="dxa"/>
            <w:vAlign w:val="bottom"/>
            <w:shd w:val="clear" w:color="auto" w:fill="D7D7D7"/>
          </w:tcPr>
          <w:p>
            <w:pPr>
              <w:spacing w:after="0"/>
              <w:rPr>
                <w:sz w:val="22"/>
                <w:szCs w:val="22"/>
                <w:color w:val="auto"/>
              </w:rPr>
            </w:pPr>
          </w:p>
        </w:tc>
        <w:tc>
          <w:tcPr>
            <w:tcW w:w="60" w:type="dxa"/>
            <w:vAlign w:val="bottom"/>
            <w:shd w:val="clear" w:color="auto" w:fill="D7D7D7"/>
          </w:tcPr>
          <w:p>
            <w:pPr>
              <w:spacing w:after="0"/>
              <w:rPr>
                <w:sz w:val="22"/>
                <w:szCs w:val="22"/>
                <w:color w:val="auto"/>
              </w:rPr>
            </w:pPr>
          </w:p>
        </w:tc>
        <w:tc>
          <w:tcPr>
            <w:tcW w:w="200" w:type="dxa"/>
            <w:vAlign w:val="bottom"/>
            <w:shd w:val="clear" w:color="auto" w:fill="D7D7D7"/>
          </w:tcPr>
          <w:p>
            <w:pPr>
              <w:spacing w:after="0"/>
              <w:rPr>
                <w:sz w:val="22"/>
                <w:szCs w:val="22"/>
                <w:color w:val="auto"/>
              </w:rPr>
            </w:pPr>
          </w:p>
        </w:tc>
        <w:tc>
          <w:tcPr>
            <w:tcW w:w="600" w:type="dxa"/>
            <w:vAlign w:val="bottom"/>
            <w:shd w:val="clear" w:color="auto" w:fill="D7D7D7"/>
          </w:tcPr>
          <w:p>
            <w:pPr>
              <w:spacing w:after="0"/>
              <w:rPr>
                <w:sz w:val="22"/>
                <w:szCs w:val="22"/>
                <w:color w:val="auto"/>
              </w:rPr>
            </w:pPr>
          </w:p>
        </w:tc>
        <w:tc>
          <w:tcPr>
            <w:tcW w:w="4300" w:type="dxa"/>
            <w:vAlign w:val="bottom"/>
            <w:shd w:val="clear" w:color="auto" w:fill="D7D7D7"/>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60"/>
              <w:spacing w:after="0" w:line="223" w:lineRule="exact"/>
              <w:rPr>
                <w:sz w:val="20"/>
                <w:szCs w:val="20"/>
                <w:color w:val="auto"/>
              </w:rPr>
            </w:pPr>
            <w:r>
              <w:rPr>
                <w:rFonts w:ascii="Arial" w:cs="Arial" w:eastAsia="Arial" w:hAnsi="Arial"/>
                <w:sz w:val="20"/>
                <w:szCs w:val="20"/>
                <w:color w:val="2A2A2A"/>
              </w:rPr>
              <w:t>Prior service cost (credit) of</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440" w:type="dxa"/>
            <w:vAlign w:val="bottom"/>
          </w:tcPr>
          <w:p>
            <w:pPr>
              <w:ind w:left="60"/>
              <w:spacing w:after="0"/>
              <w:rPr>
                <w:sz w:val="20"/>
                <w:szCs w:val="20"/>
                <w:color w:val="auto"/>
              </w:rPr>
            </w:pPr>
            <w:r>
              <w:rPr>
                <w:rFonts w:ascii="Arial" w:cs="Arial" w:eastAsia="Arial" w:hAnsi="Arial"/>
                <w:sz w:val="20"/>
                <w:szCs w:val="20"/>
                <w:color w:val="2A2A2A"/>
              </w:rPr>
              <w:t>defined benefit plans:</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D7D7D7"/>
          </w:tcPr>
          <w:p>
            <w:pPr>
              <w:ind w:left="180"/>
              <w:spacing w:after="0" w:line="227" w:lineRule="exact"/>
              <w:rPr>
                <w:sz w:val="20"/>
                <w:szCs w:val="20"/>
                <w:color w:val="auto"/>
              </w:rPr>
            </w:pPr>
            <w:r>
              <w:rPr>
                <w:rFonts w:ascii="Arial" w:cs="Arial" w:eastAsia="Arial" w:hAnsi="Arial"/>
                <w:sz w:val="20"/>
                <w:szCs w:val="20"/>
                <w:color w:val="2A2A2A"/>
              </w:rPr>
              <w:t>Amortization of prior</w:t>
            </w:r>
          </w:p>
        </w:tc>
        <w:tc>
          <w:tcPr>
            <w:tcW w:w="20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w:t>
            </w:r>
          </w:p>
        </w:tc>
        <w:tc>
          <w:tcPr>
            <w:tcW w:w="600" w:type="dxa"/>
            <w:vAlign w:val="bottom"/>
            <w:vMerge w:val="restart"/>
            <w:shd w:val="clear" w:color="auto" w:fill="D7D7D7"/>
          </w:tcPr>
          <w:p>
            <w:pPr>
              <w:jc w:val="right"/>
              <w:spacing w:after="0"/>
              <w:rPr>
                <w:sz w:val="20"/>
                <w:szCs w:val="20"/>
                <w:color w:val="auto"/>
              </w:rPr>
            </w:pPr>
            <w:r>
              <w:rPr>
                <w:rFonts w:ascii="Arial" w:cs="Arial" w:eastAsia="Arial" w:hAnsi="Arial"/>
                <w:sz w:val="20"/>
                <w:szCs w:val="20"/>
                <w:b w:val="1"/>
                <w:bCs w:val="1"/>
                <w:color w:val="2A2A2A"/>
              </w:rPr>
              <w:t>1</w:t>
            </w:r>
          </w:p>
        </w:tc>
        <w:tc>
          <w:tcPr>
            <w:tcW w:w="280" w:type="dxa"/>
            <w:vAlign w:val="bottom"/>
            <w:gridSpan w:val="2"/>
            <w:vMerge w:val="restart"/>
            <w:shd w:val="clear" w:color="auto" w:fill="D7D7D7"/>
          </w:tcPr>
          <w:p>
            <w:pPr>
              <w:jc w:val="right"/>
              <w:ind w:right="40"/>
              <w:spacing w:after="0"/>
              <w:rPr>
                <w:sz w:val="20"/>
                <w:szCs w:val="20"/>
                <w:color w:val="auto"/>
              </w:rPr>
            </w:pPr>
            <w:r>
              <w:rPr>
                <w:rFonts w:ascii="Arial" w:cs="Arial" w:eastAsia="Arial" w:hAnsi="Arial"/>
                <w:sz w:val="20"/>
                <w:szCs w:val="20"/>
                <w:color w:val="2A2A2A"/>
              </w:rPr>
              <w:t>$</w:t>
            </w:r>
          </w:p>
        </w:tc>
        <w:tc>
          <w:tcPr>
            <w:tcW w:w="60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260" w:type="dxa"/>
            <w:vAlign w:val="bottom"/>
            <w:gridSpan w:val="2"/>
            <w:vMerge w:val="restart"/>
            <w:shd w:val="clear" w:color="auto" w:fill="D7D7D7"/>
          </w:tcPr>
          <w:p>
            <w:pPr>
              <w:jc w:val="right"/>
              <w:ind w:right="20"/>
              <w:spacing w:after="0"/>
              <w:rPr>
                <w:sz w:val="20"/>
                <w:szCs w:val="20"/>
                <w:color w:val="auto"/>
              </w:rPr>
            </w:pPr>
            <w:r>
              <w:rPr>
                <w:rFonts w:ascii="Arial" w:cs="Arial" w:eastAsia="Arial" w:hAnsi="Arial"/>
                <w:sz w:val="20"/>
                <w:szCs w:val="20"/>
                <w:color w:val="2A2A2A"/>
              </w:rPr>
              <w:t>$</w:t>
            </w:r>
          </w:p>
        </w:tc>
        <w:tc>
          <w:tcPr>
            <w:tcW w:w="600" w:type="dxa"/>
            <w:vAlign w:val="bottom"/>
            <w:vMerge w:val="restart"/>
            <w:shd w:val="clear" w:color="auto" w:fill="D7D7D7"/>
          </w:tcPr>
          <w:p>
            <w:pPr>
              <w:jc w:val="right"/>
              <w:spacing w:after="0"/>
              <w:rPr>
                <w:sz w:val="20"/>
                <w:szCs w:val="20"/>
                <w:color w:val="auto"/>
              </w:rPr>
            </w:pPr>
            <w:r>
              <w:rPr>
                <w:rFonts w:ascii="Arial" w:cs="Arial" w:eastAsia="Arial" w:hAnsi="Arial"/>
                <w:sz w:val="20"/>
                <w:szCs w:val="20"/>
                <w:color w:val="2A2A2A"/>
              </w:rPr>
              <w:t>(1)</w:t>
            </w:r>
          </w:p>
        </w:tc>
        <w:tc>
          <w:tcPr>
            <w:tcW w:w="4300" w:type="dxa"/>
            <w:vAlign w:val="bottom"/>
            <w:vMerge w:val="restart"/>
            <w:shd w:val="clear" w:color="auto" w:fill="D7D7D7"/>
          </w:tcPr>
          <w:p>
            <w:pPr>
              <w:ind w:left="580"/>
              <w:spacing w:after="0"/>
              <w:rPr>
                <w:sz w:val="20"/>
                <w:szCs w:val="20"/>
                <w:color w:val="auto"/>
              </w:rPr>
            </w:pPr>
            <w:r>
              <w:rPr>
                <w:rFonts w:ascii="Arial" w:cs="Arial" w:eastAsia="Arial" w:hAnsi="Arial"/>
                <w:sz w:val="20"/>
                <w:szCs w:val="20"/>
                <w:color w:val="2A2A2A"/>
              </w:rPr>
              <w:t>Decrease (increase) to OI&amp;E</w:t>
            </w:r>
          </w:p>
        </w:tc>
        <w:tc>
          <w:tcPr>
            <w:tcW w:w="0" w:type="dxa"/>
            <w:vAlign w:val="bottom"/>
          </w:tcPr>
          <w:p>
            <w:pPr>
              <w:spacing w:after="0"/>
              <w:rPr>
                <w:sz w:val="1"/>
                <w:szCs w:val="1"/>
                <w:color w:val="auto"/>
              </w:rPr>
            </w:pPr>
          </w:p>
        </w:tc>
      </w:tr>
      <w:tr>
        <w:trPr>
          <w:trHeight w:val="272"/>
        </w:trPr>
        <w:tc>
          <w:tcPr>
            <w:tcW w:w="3440" w:type="dxa"/>
            <w:vAlign w:val="bottom"/>
            <w:shd w:val="clear" w:color="auto" w:fill="D7D7D7"/>
          </w:tcPr>
          <w:p>
            <w:pPr>
              <w:ind w:left="180"/>
              <w:spacing w:after="0"/>
              <w:rPr>
                <w:sz w:val="20"/>
                <w:szCs w:val="20"/>
                <w:color w:val="auto"/>
              </w:rPr>
            </w:pPr>
            <w:r>
              <w:rPr>
                <w:rFonts w:ascii="Arial" w:cs="Arial" w:eastAsia="Arial" w:hAnsi="Arial"/>
                <w:sz w:val="20"/>
                <w:szCs w:val="20"/>
                <w:color w:val="2A2A2A"/>
              </w:rPr>
              <w:t>service cost (credit) (a)</w:t>
            </w:r>
          </w:p>
        </w:tc>
        <w:tc>
          <w:tcPr>
            <w:tcW w:w="200" w:type="dxa"/>
            <w:vAlign w:val="bottom"/>
            <w:vMerge w:val="continue"/>
            <w:shd w:val="clear" w:color="auto" w:fill="D7D7D7"/>
          </w:tcPr>
          <w:p>
            <w:pPr>
              <w:spacing w:after="0"/>
              <w:rPr>
                <w:sz w:val="23"/>
                <w:szCs w:val="23"/>
                <w:color w:val="auto"/>
              </w:rPr>
            </w:pPr>
          </w:p>
        </w:tc>
        <w:tc>
          <w:tcPr>
            <w:tcW w:w="600" w:type="dxa"/>
            <w:vAlign w:val="bottom"/>
            <w:vMerge w:val="continue"/>
            <w:shd w:val="clear" w:color="auto" w:fill="D7D7D7"/>
          </w:tcPr>
          <w:p>
            <w:pPr>
              <w:spacing w:after="0"/>
              <w:rPr>
                <w:sz w:val="23"/>
                <w:szCs w:val="23"/>
                <w:color w:val="auto"/>
              </w:rPr>
            </w:pPr>
          </w:p>
        </w:tc>
        <w:tc>
          <w:tcPr>
            <w:tcW w:w="280" w:type="dxa"/>
            <w:vAlign w:val="bottom"/>
            <w:gridSpan w:val="2"/>
            <w:vMerge w:val="continue"/>
            <w:shd w:val="clear" w:color="auto" w:fill="D7D7D7"/>
          </w:tcPr>
          <w:p>
            <w:pPr>
              <w:spacing w:after="0"/>
              <w:rPr>
                <w:sz w:val="23"/>
                <w:szCs w:val="23"/>
                <w:color w:val="auto"/>
              </w:rPr>
            </w:pPr>
          </w:p>
        </w:tc>
        <w:tc>
          <w:tcPr>
            <w:tcW w:w="600" w:type="dxa"/>
            <w:vAlign w:val="bottom"/>
            <w:vMerge w:val="continue"/>
            <w:shd w:val="clear" w:color="auto" w:fill="D7D7D7"/>
          </w:tcPr>
          <w:p>
            <w:pPr>
              <w:spacing w:after="0"/>
              <w:rPr>
                <w:sz w:val="23"/>
                <w:szCs w:val="23"/>
                <w:color w:val="auto"/>
              </w:rPr>
            </w:pPr>
          </w:p>
        </w:tc>
        <w:tc>
          <w:tcPr>
            <w:tcW w:w="260" w:type="dxa"/>
            <w:vAlign w:val="bottom"/>
            <w:gridSpan w:val="2"/>
            <w:vMerge w:val="continue"/>
            <w:shd w:val="clear" w:color="auto" w:fill="D7D7D7"/>
          </w:tcPr>
          <w:p>
            <w:pPr>
              <w:spacing w:after="0"/>
              <w:rPr>
                <w:sz w:val="23"/>
                <w:szCs w:val="23"/>
                <w:color w:val="auto"/>
              </w:rPr>
            </w:pPr>
          </w:p>
        </w:tc>
        <w:tc>
          <w:tcPr>
            <w:tcW w:w="600" w:type="dxa"/>
            <w:vAlign w:val="bottom"/>
            <w:vMerge w:val="continue"/>
            <w:shd w:val="clear" w:color="auto" w:fill="D7D7D7"/>
          </w:tcPr>
          <w:p>
            <w:pPr>
              <w:spacing w:after="0"/>
              <w:rPr>
                <w:sz w:val="23"/>
                <w:szCs w:val="23"/>
                <w:color w:val="auto"/>
              </w:rPr>
            </w:pPr>
          </w:p>
        </w:tc>
        <w:tc>
          <w:tcPr>
            <w:tcW w:w="4300" w:type="dxa"/>
            <w:vAlign w:val="bottom"/>
            <w:vMerge w:val="continue"/>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440" w:type="dxa"/>
            <w:vAlign w:val="bottom"/>
            <w:vMerge w:val="restart"/>
          </w:tcPr>
          <w:p>
            <w:pPr>
              <w:ind w:left="180"/>
              <w:spacing w:after="0"/>
              <w:rPr>
                <w:sz w:val="20"/>
                <w:szCs w:val="20"/>
                <w:color w:val="auto"/>
              </w:rPr>
            </w:pPr>
            <w:r>
              <w:rPr>
                <w:rFonts w:ascii="Arial" w:cs="Arial" w:eastAsia="Arial" w:hAnsi="Arial"/>
                <w:sz w:val="20"/>
                <w:szCs w:val="20"/>
                <w:color w:val="2A2A2A"/>
              </w:rPr>
              <w:t>Tax effect</w:t>
            </w:r>
          </w:p>
        </w:tc>
        <w:tc>
          <w:tcPr>
            <w:tcW w:w="20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w:t>
            </w:r>
          </w:p>
        </w:tc>
        <w:tc>
          <w:tcPr>
            <w:tcW w:w="4300" w:type="dxa"/>
            <w:vAlign w:val="bottom"/>
          </w:tcPr>
          <w:p>
            <w:pPr>
              <w:ind w:left="580"/>
              <w:spacing w:after="0" w:line="223" w:lineRule="exact"/>
              <w:rPr>
                <w:sz w:val="20"/>
                <w:szCs w:val="20"/>
                <w:color w:val="auto"/>
              </w:rPr>
            </w:pPr>
            <w:r>
              <w:rPr>
                <w:rFonts w:ascii="Arial" w:cs="Arial" w:eastAsia="Arial" w:hAnsi="Arial"/>
                <w:sz w:val="20"/>
                <w:szCs w:val="20"/>
                <w:color w:val="2A2A2A"/>
              </w:rPr>
              <w:t>(Decrease) increase to provision for</w:t>
            </w:r>
          </w:p>
        </w:tc>
        <w:tc>
          <w:tcPr>
            <w:tcW w:w="0" w:type="dxa"/>
            <w:vAlign w:val="bottom"/>
          </w:tcPr>
          <w:p>
            <w:pPr>
              <w:spacing w:after="0"/>
              <w:rPr>
                <w:sz w:val="1"/>
                <w:szCs w:val="1"/>
                <w:color w:val="auto"/>
              </w:rPr>
            </w:pPr>
          </w:p>
        </w:tc>
      </w:tr>
      <w:tr>
        <w:trPr>
          <w:trHeight w:val="262"/>
        </w:trPr>
        <w:tc>
          <w:tcPr>
            <w:tcW w:w="3440" w:type="dxa"/>
            <w:vAlign w:val="bottom"/>
            <w:vMerge w:val="continue"/>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600" w:type="dxa"/>
            <w:vAlign w:val="bottom"/>
            <w:tcBorders>
              <w:bottom w:val="single" w:sz="8" w:color="2A2A2A"/>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600" w:type="dxa"/>
            <w:vAlign w:val="bottom"/>
            <w:tcBorders>
              <w:bottom w:val="single" w:sz="8" w:color="2A2A2A"/>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2A2A2A"/>
            </w:tcBorders>
          </w:tcPr>
          <w:p>
            <w:pPr>
              <w:spacing w:after="0"/>
              <w:rPr>
                <w:sz w:val="22"/>
                <w:szCs w:val="22"/>
                <w:color w:val="auto"/>
              </w:rPr>
            </w:pPr>
          </w:p>
        </w:tc>
        <w:tc>
          <w:tcPr>
            <w:tcW w:w="600" w:type="dxa"/>
            <w:vAlign w:val="bottom"/>
            <w:tcBorders>
              <w:bottom w:val="single" w:sz="8" w:color="2A2A2A"/>
            </w:tcBorders>
            <w:vMerge w:val="continue"/>
          </w:tcPr>
          <w:p>
            <w:pPr>
              <w:spacing w:after="0"/>
              <w:rPr>
                <w:sz w:val="22"/>
                <w:szCs w:val="22"/>
                <w:color w:val="auto"/>
              </w:rPr>
            </w:pPr>
          </w:p>
        </w:tc>
        <w:tc>
          <w:tcPr>
            <w:tcW w:w="4300" w:type="dxa"/>
            <w:vAlign w:val="bottom"/>
          </w:tcPr>
          <w:p>
            <w:pPr>
              <w:ind w:left="580"/>
              <w:spacing w:after="0"/>
              <w:rPr>
                <w:sz w:val="20"/>
                <w:szCs w:val="20"/>
                <w:color w:val="auto"/>
              </w:rPr>
            </w:pPr>
            <w:r>
              <w:rPr>
                <w:rFonts w:ascii="Arial" w:cs="Arial" w:eastAsia="Arial" w:hAnsi="Arial"/>
                <w:sz w:val="20"/>
                <w:szCs w:val="20"/>
                <w:color w:val="2A2A2A"/>
              </w:rPr>
              <w:t>income taxes</w:t>
            </w:r>
          </w:p>
        </w:tc>
        <w:tc>
          <w:tcPr>
            <w:tcW w:w="0" w:type="dxa"/>
            <w:vAlign w:val="bottom"/>
          </w:tcPr>
          <w:p>
            <w:pPr>
              <w:spacing w:after="0"/>
              <w:rPr>
                <w:sz w:val="1"/>
                <w:szCs w:val="1"/>
                <w:color w:val="auto"/>
              </w:rPr>
            </w:pPr>
          </w:p>
        </w:tc>
      </w:tr>
      <w:tr>
        <w:trPr>
          <w:trHeight w:val="213"/>
        </w:trPr>
        <w:tc>
          <w:tcPr>
            <w:tcW w:w="3440" w:type="dxa"/>
            <w:vAlign w:val="bottom"/>
          </w:tcPr>
          <w:p>
            <w:pPr>
              <w:ind w:left="180"/>
              <w:spacing w:after="0" w:line="213" w:lineRule="exact"/>
              <w:rPr>
                <w:sz w:val="20"/>
                <w:szCs w:val="20"/>
                <w:color w:val="auto"/>
              </w:rPr>
            </w:pPr>
            <w:r>
              <w:rPr>
                <w:rFonts w:ascii="Arial" w:cs="Arial" w:eastAsia="Arial" w:hAnsi="Arial"/>
                <w:sz w:val="20"/>
                <w:szCs w:val="20"/>
                <w:color w:val="2A2A2A"/>
              </w:rPr>
              <w:t>Recognized within net</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2A2A2A"/>
              </w:rPr>
              <w:t>1</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(1)</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2A2A2A"/>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2A2A2A"/>
              </w:rPr>
              <w:t>(1)</w:t>
            </w:r>
          </w:p>
        </w:tc>
        <w:tc>
          <w:tcPr>
            <w:tcW w:w="4300" w:type="dxa"/>
            <w:vAlign w:val="bottom"/>
            <w:vMerge w:val="restart"/>
          </w:tcPr>
          <w:p>
            <w:pPr>
              <w:ind w:left="580"/>
              <w:spacing w:after="0"/>
              <w:rPr>
                <w:sz w:val="20"/>
                <w:szCs w:val="20"/>
                <w:color w:val="auto"/>
              </w:rPr>
            </w:pPr>
            <w:r>
              <w:rPr>
                <w:rFonts w:ascii="Arial" w:cs="Arial" w:eastAsia="Arial" w:hAnsi="Arial"/>
                <w:sz w:val="20"/>
                <w:szCs w:val="20"/>
                <w:color w:val="2A2A2A"/>
              </w:rPr>
              <w:t>Decrease (increase) to net income</w:t>
            </w:r>
          </w:p>
        </w:tc>
        <w:tc>
          <w:tcPr>
            <w:tcW w:w="0" w:type="dxa"/>
            <w:vAlign w:val="bottom"/>
          </w:tcPr>
          <w:p>
            <w:pPr>
              <w:spacing w:after="0"/>
              <w:rPr>
                <w:sz w:val="1"/>
                <w:szCs w:val="1"/>
                <w:color w:val="auto"/>
              </w:rPr>
            </w:pPr>
          </w:p>
        </w:tc>
      </w:tr>
      <w:tr>
        <w:trPr>
          <w:trHeight w:val="242"/>
        </w:trPr>
        <w:tc>
          <w:tcPr>
            <w:tcW w:w="3440" w:type="dxa"/>
            <w:vAlign w:val="bottom"/>
          </w:tcPr>
          <w:p>
            <w:pPr>
              <w:ind w:left="180"/>
              <w:spacing w:after="0"/>
              <w:rPr>
                <w:sz w:val="20"/>
                <w:szCs w:val="20"/>
                <w:color w:val="auto"/>
              </w:rPr>
            </w:pPr>
            <w:r>
              <w:rPr>
                <w:rFonts w:ascii="Arial" w:cs="Arial" w:eastAsia="Arial" w:hAnsi="Arial"/>
                <w:sz w:val="20"/>
                <w:szCs w:val="20"/>
                <w:color w:val="2A2A2A"/>
              </w:rPr>
              <w:t>income, net of taxes</w:t>
            </w:r>
          </w:p>
        </w:tc>
        <w:tc>
          <w:tcPr>
            <w:tcW w:w="20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A2A2A"/>
              <w:bottom w:val="single" w:sz="8" w:color="2A2A2A"/>
            </w:tcBorders>
          </w:tcPr>
          <w:p>
            <w:pPr>
              <w:spacing w:after="0" w:line="20" w:lineRule="exact"/>
              <w:rPr>
                <w:sz w:val="1"/>
                <w:szCs w:val="1"/>
                <w:color w:val="auto"/>
              </w:rPr>
            </w:pPr>
          </w:p>
        </w:tc>
        <w:tc>
          <w:tcPr>
            <w:tcW w:w="600" w:type="dxa"/>
            <w:vAlign w:val="bottom"/>
            <w:tcBorders>
              <w:top w:val="single" w:sz="8" w:color="2A2A2A"/>
              <w:bottom w:val="single" w:sz="8" w:color="2A2A2A"/>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-2602865</wp:posOffset>
            </wp:positionV>
            <wp:extent cx="6550025" cy="2609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50025" cy="2609850"/>
                    </a:xfrm>
                    <a:prstGeom prst="rect">
                      <a:avLst/>
                    </a:prstGeom>
                    <a:noFill/>
                  </pic:spPr>
                </pic:pic>
              </a:graphicData>
            </a:graphic>
          </wp:anchor>
        </w:drawing>
      </w: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2A2A2A"/>
        </w:rPr>
        <w:t>(a)</w:t>
        <w:tab/>
        <w:t>Detailed in Note 7</w:t>
      </w:r>
    </w:p>
    <w:p>
      <w:pPr>
        <w:sectPr>
          <w:pgSz w:w="12240" w:h="15840" w:orient="portrait"/>
          <w:cols w:equalWidth="0" w:num="1">
            <w:col w:w="10280"/>
          </w:cols>
          <w:pgMar w:left="980" w:top="660"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55</w:t>
      </w:r>
    </w:p>
    <w:p>
      <w:pPr>
        <w:sectPr>
          <w:pgSz w:w="12240" w:h="15840" w:orient="portrait"/>
          <w:cols w:equalWidth="0" w:num="1">
            <w:col w:w="10280"/>
          </w:cols>
          <w:pgMar w:left="980" w:top="660" w:right="980" w:bottom="24" w:gutter="0" w:footer="0" w:header="0"/>
          <w:type w:val="continuous"/>
        </w:sectPr>
      </w:pPr>
    </w:p>
    <w:bookmarkStart w:id="61" w:name="page62"/>
    <w:bookmarkEnd w:id="61"/>
    <w:p>
      <w:pPr>
        <w:spacing w:after="0"/>
        <w:rPr>
          <w:sz w:val="20"/>
          <w:szCs w:val="20"/>
          <w:color w:val="auto"/>
        </w:rPr>
      </w:pPr>
      <w:r>
        <w:rPr>
          <w:rFonts w:ascii="Arial" w:cs="Arial" w:eastAsia="Arial" w:hAnsi="Arial"/>
          <w:sz w:val="22"/>
          <w:szCs w:val="22"/>
          <w:b w:val="1"/>
          <w:bCs w:val="1"/>
          <w:color w:val="2A2A2A"/>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To the Shareholders and the Board of Directors of Texas Instruments Incorporated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Opinion on the financial statements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2A2A2A"/>
        </w:rPr>
        <w:t>We have audited the accompanying consolidated balance sheets of Texas Instruments Incorporated (the Company) as of December 31, 2023 and 2022, the related consolidated statements of income,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 2024, expressed an unqualified opinion thereon.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Basis for opinion</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2A2A2A"/>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Critical audit matter</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2A2A2A"/>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2240" w:h="15840" w:orient="portrait"/>
          <w:cols w:equalWidth="0" w:num="1">
            <w:col w:w="10240"/>
          </w:cols>
          <w:pgMar w:left="980" w:top="658"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56</w:t>
      </w:r>
    </w:p>
    <w:p>
      <w:pPr>
        <w:sectPr>
          <w:pgSz w:w="12240" w:h="15840" w:orient="portrait"/>
          <w:cols w:equalWidth="0" w:num="1">
            <w:col w:w="10240"/>
          </w:cols>
          <w:pgMar w:left="980" w:top="658" w:right="1020" w:bottom="24"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2A2A2A"/>
        </w:rPr>
        <w:t>Uncertain tax positions</w:t>
      </w:r>
    </w:p>
    <w:p>
      <w:pPr>
        <w:spacing w:after="0" w:line="265"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20"/>
          <w:szCs w:val="20"/>
          <w:i w:val="1"/>
          <w:iCs w:val="1"/>
          <w:color w:val="2A2A2A"/>
        </w:rPr>
        <w:t>Description of the matter</w:t>
      </w:r>
      <w:r>
        <w:rPr>
          <w:sz w:val="20"/>
          <w:szCs w:val="20"/>
          <w:color w:val="auto"/>
        </w:rPr>
        <w:tab/>
      </w:r>
      <w:r>
        <w:rPr>
          <w:rFonts w:ascii="Arial" w:cs="Arial" w:eastAsia="Arial" w:hAnsi="Arial"/>
          <w:sz w:val="19"/>
          <w:szCs w:val="19"/>
          <w:color w:val="2A2A2A"/>
        </w:rPr>
        <w:t>As discussed in Note 4 to the consolidated financial statements, the Company</w:t>
      </w:r>
    </w:p>
    <w:p>
      <w:pPr>
        <w:spacing w:after="0" w:line="30" w:lineRule="exact"/>
        <w:rPr>
          <w:sz w:val="20"/>
          <w:szCs w:val="20"/>
          <w:color w:val="auto"/>
        </w:rPr>
      </w:pPr>
    </w:p>
    <w:p>
      <w:pPr>
        <w:ind w:left="2620" w:right="40"/>
        <w:spacing w:after="0" w:line="252" w:lineRule="auto"/>
        <w:rPr>
          <w:sz w:val="20"/>
          <w:szCs w:val="20"/>
          <w:color w:val="auto"/>
        </w:rPr>
      </w:pPr>
      <w:r>
        <w:rPr>
          <w:rFonts w:ascii="Arial" w:cs="Arial" w:eastAsia="Arial" w:hAnsi="Arial"/>
          <w:sz w:val="20"/>
          <w:szCs w:val="20"/>
          <w:color w:val="2A2A2A"/>
        </w:rPr>
        <w:t>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220"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20"/>
          <w:szCs w:val="20"/>
          <w:i w:val="1"/>
          <w:iCs w:val="1"/>
          <w:color w:val="2A2A2A"/>
        </w:rPr>
        <w:t>How we addressed</w:t>
      </w:r>
      <w:r>
        <w:rPr>
          <w:sz w:val="20"/>
          <w:szCs w:val="20"/>
          <w:color w:val="auto"/>
        </w:rPr>
        <w:tab/>
      </w:r>
      <w:r>
        <w:rPr>
          <w:rFonts w:ascii="Arial" w:cs="Arial" w:eastAsia="Arial" w:hAnsi="Arial"/>
          <w:sz w:val="19"/>
          <w:szCs w:val="19"/>
          <w:color w:val="2A2A2A"/>
        </w:rPr>
        <w:t>We obtained an understanding, evaluated the design, and tested the operating</w:t>
      </w:r>
    </w:p>
    <w:p>
      <w:pPr>
        <w:spacing w:after="0" w:line="30"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20"/>
          <w:szCs w:val="20"/>
          <w:i w:val="1"/>
          <w:iCs w:val="1"/>
          <w:color w:val="2A2A2A"/>
        </w:rPr>
        <w:t>the matter in our audit</w:t>
      </w:r>
      <w:r>
        <w:rPr>
          <w:sz w:val="20"/>
          <w:szCs w:val="20"/>
          <w:color w:val="auto"/>
        </w:rPr>
        <w:tab/>
      </w:r>
      <w:r>
        <w:rPr>
          <w:rFonts w:ascii="Arial" w:cs="Arial" w:eastAsia="Arial" w:hAnsi="Arial"/>
          <w:sz w:val="19"/>
          <w:szCs w:val="19"/>
          <w:color w:val="2A2A2A"/>
        </w:rPr>
        <w:t>effectiveness of controls over the Company’s accounting process for uncertain tax</w:t>
      </w:r>
    </w:p>
    <w:p>
      <w:pPr>
        <w:spacing w:after="0" w:line="10" w:lineRule="exact"/>
        <w:rPr>
          <w:sz w:val="20"/>
          <w:szCs w:val="20"/>
          <w:color w:val="auto"/>
        </w:rPr>
      </w:pPr>
    </w:p>
    <w:p>
      <w:pPr>
        <w:ind w:left="2620"/>
        <w:spacing w:after="0" w:line="251" w:lineRule="auto"/>
        <w:rPr>
          <w:sz w:val="20"/>
          <w:szCs w:val="20"/>
          <w:color w:val="auto"/>
        </w:rPr>
      </w:pPr>
      <w:r>
        <w:rPr>
          <w:rFonts w:ascii="Arial" w:cs="Arial" w:eastAsia="Arial" w:hAnsi="Arial"/>
          <w:sz w:val="20"/>
          <w:szCs w:val="20"/>
          <w:color w:val="2A2A2A"/>
        </w:rPr>
        <w:t>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2A2A2A"/>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We have served as the Company’s auditor since 1952.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Dallas, Texas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February 2, 2024</w:t>
      </w:r>
    </w:p>
    <w:p>
      <w:pPr>
        <w:sectPr>
          <w:pgSz w:w="12240" w:h="15840" w:orient="portrait"/>
          <w:cols w:equalWidth="0" w:num="1">
            <w:col w:w="10180"/>
          </w:cols>
          <w:pgMar w:left="1020" w:top="664" w:right="104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57</w:t>
      </w:r>
    </w:p>
    <w:p>
      <w:pPr>
        <w:sectPr>
          <w:pgSz w:w="12240" w:h="15840" w:orient="portrait"/>
          <w:cols w:equalWidth="0" w:num="1">
            <w:col w:w="10180"/>
          </w:cols>
          <w:pgMar w:left="1020" w:top="664" w:right="1040" w:bottom="24" w:gutter="0" w:footer="0" w:header="0"/>
          <w:type w:val="continuous"/>
        </w:sectPr>
      </w:pPr>
    </w:p>
    <w:bookmarkStart w:id="63" w:name="page64"/>
    <w:bookmarkEnd w:id="63"/>
    <w:p>
      <w:pPr>
        <w:ind w:right="520"/>
        <w:spacing w:after="0" w:line="298" w:lineRule="auto"/>
        <w:rPr>
          <w:sz w:val="20"/>
          <w:szCs w:val="20"/>
          <w:color w:val="auto"/>
        </w:rPr>
      </w:pPr>
      <w:r>
        <w:rPr>
          <w:rFonts w:ascii="Arial" w:cs="Arial" w:eastAsia="Arial" w:hAnsi="Arial"/>
          <w:sz w:val="24"/>
          <w:szCs w:val="24"/>
          <w:b w:val="1"/>
          <w:bCs w:val="1"/>
          <w:color w:val="2A2A2A"/>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2A2A2A"/>
        </w:rPr>
        <w:t>Not applicable.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9A. Controls and procedures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Disclosure controls and procedures</w:t>
      </w:r>
    </w:p>
    <w:p>
      <w:pPr>
        <w:spacing w:after="0" w:line="25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Report by management on internal control over financial reporting</w:t>
      </w: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2023 that has materially affected, or is reasonably likely to materially affect, our internal control over financial reporting.</w:t>
      </w:r>
    </w:p>
    <w:p>
      <w:pPr>
        <w:spacing w:after="0" w:line="203"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2A2A2A"/>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2A2A2A"/>
        </w:rPr>
        <w:t>TI management assessed the effectiveness of internal control over financial reporting as of December 31, 2023. In making this assessment, we used the criteria set forth by the Committee of Sponsoring Organizations of the Treadway Commission (2013 framework) (the COSO criteria) in Internal Control − Integrated Framework. Based on our assessment, we believe that, as of December 31, 2023, our internal control over financial reporting is effective based on the COSO criteria.</w:t>
      </w:r>
    </w:p>
    <w:p>
      <w:pPr>
        <w:spacing w:after="0" w:line="199" w:lineRule="exact"/>
        <w:rPr>
          <w:sz w:val="20"/>
          <w:szCs w:val="20"/>
          <w:color w:val="auto"/>
        </w:rPr>
      </w:pPr>
    </w:p>
    <w:p>
      <w:pPr>
        <w:ind w:right="1060"/>
        <w:spacing w:after="0" w:line="287" w:lineRule="auto"/>
        <w:rPr>
          <w:sz w:val="20"/>
          <w:szCs w:val="20"/>
          <w:color w:val="auto"/>
        </w:rPr>
      </w:pPr>
      <w:r>
        <w:rPr>
          <w:rFonts w:ascii="Arial" w:cs="Arial" w:eastAsia="Arial" w:hAnsi="Arial"/>
          <w:sz w:val="20"/>
          <w:szCs w:val="20"/>
          <w:color w:val="2A2A2A"/>
        </w:rPr>
        <w:t>TI’s independent registered public accounting firm, Ernst &amp; Young LLP, has issued an audit report on the effectiveness of our internal control over financial reporting, which immediately follows this report.</w:t>
      </w:r>
    </w:p>
    <w:p>
      <w:pPr>
        <w:sectPr>
          <w:pgSz w:w="12240" w:h="15840" w:orient="portrait"/>
          <w:cols w:equalWidth="0" w:num="1">
            <w:col w:w="10240"/>
          </w:cols>
          <w:pgMar w:left="980" w:top="653" w:right="102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58</w:t>
      </w:r>
    </w:p>
    <w:p>
      <w:pPr>
        <w:sectPr>
          <w:pgSz w:w="12240" w:h="15840" w:orient="portrait"/>
          <w:cols w:equalWidth="0" w:num="1">
            <w:col w:w="10240"/>
          </w:cols>
          <w:pgMar w:left="980" w:top="653" w:right="1020" w:bottom="24" w:gutter="0" w:footer="0" w:header="0"/>
          <w:type w:val="continuous"/>
        </w:sectPr>
      </w:pPr>
    </w:p>
    <w:bookmarkStart w:id="64" w:name="page65"/>
    <w:bookmarkEnd w:id="64"/>
    <w:p>
      <w:pPr>
        <w:spacing w:after="0"/>
        <w:rPr>
          <w:sz w:val="20"/>
          <w:szCs w:val="20"/>
          <w:color w:val="auto"/>
        </w:rPr>
      </w:pPr>
      <w:r>
        <w:rPr>
          <w:rFonts w:ascii="Arial" w:cs="Arial" w:eastAsia="Arial" w:hAnsi="Arial"/>
          <w:sz w:val="22"/>
          <w:szCs w:val="22"/>
          <w:u w:val="single" w:color="auto"/>
          <w:color w:val="2A2A2A"/>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To the Shareholders and the Board of Directors of Texas Instruments Incorporated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Opinion on internal control over financial reporting</w:t>
      </w:r>
    </w:p>
    <w:p>
      <w:pPr>
        <w:spacing w:after="0" w:line="250" w:lineRule="exact"/>
        <w:rPr>
          <w:sz w:val="20"/>
          <w:szCs w:val="20"/>
          <w:color w:val="auto"/>
        </w:rPr>
      </w:pPr>
    </w:p>
    <w:p>
      <w:pPr>
        <w:ind w:right="300"/>
        <w:spacing w:after="0" w:line="259" w:lineRule="auto"/>
        <w:rPr>
          <w:sz w:val="20"/>
          <w:szCs w:val="20"/>
          <w:color w:val="auto"/>
        </w:rPr>
      </w:pPr>
      <w:r>
        <w:rPr>
          <w:rFonts w:ascii="Arial" w:cs="Arial" w:eastAsia="Arial" w:hAnsi="Arial"/>
          <w:sz w:val="20"/>
          <w:szCs w:val="20"/>
          <w:color w:val="2A2A2A"/>
        </w:rPr>
        <w:t>We have audited Texas Instruments Incorporated’s internal control over financial reporting as of December 31, 2023,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2023, based on the COSO criteria.</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equity and cash flows for each of the three years in the period ended December 31, 2023, and the related notes, and our report dated February 2, 2024, expressed an unqualified opinion thereon.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Basis for opinion</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2A2A2A"/>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2A2A2A"/>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2A2A2A"/>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Definition and limitations of internal control over financial reporting</w:t>
      </w:r>
    </w:p>
    <w:p>
      <w:pPr>
        <w:spacing w:after="0" w:line="25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A2A2A"/>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2A2A2A"/>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2A2A2A"/>
        </w:rPr>
        <w:t>/s/ Ernst &amp; Young LLP</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2A2A2A"/>
        </w:rPr>
        <w:t>Dallas, Texas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February 2, 2024</w:t>
      </w:r>
    </w:p>
    <w:p>
      <w:pPr>
        <w:sectPr>
          <w:pgSz w:w="12240" w:h="15840" w:orient="portrait"/>
          <w:cols w:equalWidth="0" w:num="1">
            <w:col w:w="10280"/>
          </w:cols>
          <w:pgMar w:left="980" w:top="658" w:right="980" w:bottom="24"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59</w:t>
      </w:r>
    </w:p>
    <w:p>
      <w:pPr>
        <w:sectPr>
          <w:pgSz w:w="12240" w:h="15840" w:orient="portrait"/>
          <w:cols w:equalWidth="0" w:num="1">
            <w:col w:w="10280"/>
          </w:cols>
          <w:pgMar w:left="980" w:top="658" w:right="980" w:bottom="24" w:gutter="0" w:footer="0" w:header="0"/>
          <w:type w:val="continuous"/>
        </w:sectPr>
      </w:pPr>
    </w:p>
    <w:bookmarkStart w:id="65" w:name="page66"/>
    <w:bookmarkEnd w:id="65"/>
    <w:p>
      <w:pPr>
        <w:spacing w:after="0"/>
        <w:rPr>
          <w:sz w:val="20"/>
          <w:szCs w:val="20"/>
          <w:color w:val="auto"/>
        </w:rPr>
      </w:pPr>
      <w:r>
        <w:rPr>
          <w:rFonts w:ascii="Arial" w:cs="Arial" w:eastAsia="Arial" w:hAnsi="Arial"/>
          <w:sz w:val="24"/>
          <w:szCs w:val="24"/>
          <w:b w:val="1"/>
          <w:bCs w:val="1"/>
          <w:color w:val="2A2A2A"/>
        </w:rPr>
        <w:t>ITEM 9B.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2A2A2A"/>
        </w:rPr>
        <w:t>Not applicable.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9C. Disclosure regarding foreign jurisdictions that prevent inspections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2A2A2A"/>
        </w:rPr>
        <w:t>Not applicable.</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2A2A2A"/>
        </w:rPr>
        <w:t>PART III</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10. Directors, executive officers and corporate governance</w:t>
      </w:r>
    </w:p>
    <w:p>
      <w:pPr>
        <w:spacing w:after="0" w:line="263"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2A2A2A"/>
        </w:rPr>
        <w:t>The information with respect to directors’ names, ages, positions, term of office, periods of service and business experience, which is contained under the caption “Election of directors” in our proxy statement for the 2024 annual meeting of stockholders, is incorporated herein by reference to such proxy statement.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A list of our executive officers and their biographical information appears in Part I, Item 1 of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Code of ethics</w:t>
      </w:r>
    </w:p>
    <w:p>
      <w:pPr>
        <w:spacing w:after="0" w:line="257" w:lineRule="exact"/>
        <w:rPr>
          <w:sz w:val="20"/>
          <w:szCs w:val="20"/>
          <w:color w:val="auto"/>
        </w:rPr>
      </w:pPr>
    </w:p>
    <w:p>
      <w:pPr>
        <w:jc w:val="both"/>
        <w:ind w:right="40"/>
        <w:spacing w:after="0" w:line="289" w:lineRule="auto"/>
        <w:rPr>
          <w:sz w:val="20"/>
          <w:szCs w:val="20"/>
          <w:color w:val="auto"/>
        </w:rPr>
      </w:pPr>
      <w:r>
        <w:rPr>
          <w:rFonts w:ascii="Arial" w:cs="Arial" w:eastAsia="Arial" w:hAnsi="Arial"/>
          <w:sz w:val="19"/>
          <w:szCs w:val="19"/>
          <w:color w:val="2A2A2A"/>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Audit committee</w:t>
      </w:r>
    </w:p>
    <w:p>
      <w:pPr>
        <w:spacing w:after="0" w:line="257" w:lineRule="exact"/>
        <w:rPr>
          <w:sz w:val="20"/>
          <w:szCs w:val="20"/>
          <w:color w:val="auto"/>
        </w:rPr>
      </w:pPr>
    </w:p>
    <w:p>
      <w:pPr>
        <w:jc w:val="both"/>
        <w:ind w:right="40"/>
        <w:spacing w:after="0" w:line="268" w:lineRule="auto"/>
        <w:rPr>
          <w:sz w:val="20"/>
          <w:szCs w:val="20"/>
          <w:color w:val="auto"/>
        </w:rPr>
      </w:pPr>
      <w:r>
        <w:rPr>
          <w:rFonts w:ascii="Arial" w:cs="Arial" w:eastAsia="Arial" w:hAnsi="Arial"/>
          <w:sz w:val="20"/>
          <w:szCs w:val="20"/>
          <w:color w:val="2A2A2A"/>
        </w:rPr>
        <w:t>The information contained under the caption “Committees of the board” with respect to the audit committee and the audit committee financial expert in our proxy statement for the 2024 annual meeting of stockholders is incorporated herein by reference to such proxy 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ITEM 11. Executive compensation</w:t>
      </w:r>
    </w:p>
    <w:p>
      <w:pPr>
        <w:spacing w:after="0" w:line="263"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The information contained under the captions “Director compensation” and “Executive compensation” in our proxy statement for the 2024 annual meeting of stockholders is incorporated herein by reference to such proxy statement, provided that the Compensation Committee report shall not be deemed filed with this Form 10-K.</w:t>
      </w:r>
    </w:p>
    <w:p>
      <w:pPr>
        <w:spacing w:after="0" w:line="190"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color w:val="2A2A2A"/>
        </w:rPr>
        <w:t>The information contained under the caption “Compensation committee interlocks and insider participation” in our proxy statement for the 2024 annual meeting of stockholders is incorporated herein by reference to such proxy statement.</w:t>
      </w:r>
    </w:p>
    <w:p>
      <w:pPr>
        <w:sectPr>
          <w:pgSz w:w="12240" w:h="15840" w:orient="portrait"/>
          <w:cols w:equalWidth="0" w:num="1">
            <w:col w:w="10200"/>
          </w:cols>
          <w:pgMar w:left="980" w:top="653" w:right="106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60</w:t>
      </w:r>
    </w:p>
    <w:p>
      <w:pPr>
        <w:sectPr>
          <w:pgSz w:w="12240" w:h="15840" w:orient="portrait"/>
          <w:cols w:equalWidth="0" w:num="1">
            <w:col w:w="10200"/>
          </w:cols>
          <w:pgMar w:left="980" w:top="653" w:right="1060" w:bottom="24" w:gutter="0" w:footer="0" w:header="0"/>
          <w:type w:val="continuous"/>
        </w:sectPr>
      </w:pPr>
    </w:p>
    <w:bookmarkStart w:id="66" w:name="page67"/>
    <w:bookmarkEnd w:id="66"/>
    <w:p>
      <w:pPr>
        <w:ind w:left="1" w:right="420"/>
        <w:spacing w:after="0" w:line="298" w:lineRule="auto"/>
        <w:rPr>
          <w:sz w:val="20"/>
          <w:szCs w:val="20"/>
          <w:color w:val="auto"/>
        </w:rPr>
      </w:pPr>
      <w:r>
        <w:rPr>
          <w:rFonts w:ascii="Arial" w:cs="Arial" w:eastAsia="Arial" w:hAnsi="Arial"/>
          <w:sz w:val="24"/>
          <w:szCs w:val="24"/>
          <w:b w:val="1"/>
          <w:bCs w:val="1"/>
          <w:color w:val="2A2A2A"/>
        </w:rPr>
        <w:t>ITEM 12. Security ownership of certain beneficial owners and management and related stockholder matters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Equity compensation plan information</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following table sets forth information about the company’s equity compensation plans as of December 31, 2023.</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w w:val="99"/>
              </w:rPr>
              <w:t>Securities</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Remaining</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0" w:type="dxa"/>
            <w:vAlign w:val="bottom"/>
            <w:vMerge w:val="restart"/>
          </w:tcPr>
          <w:p>
            <w:pPr>
              <w:jc w:val="center"/>
              <w:ind w:left="234"/>
              <w:spacing w:after="0"/>
              <w:rPr>
                <w:sz w:val="20"/>
                <w:szCs w:val="20"/>
                <w:color w:val="auto"/>
              </w:rPr>
            </w:pPr>
            <w:r>
              <w:rPr>
                <w:rFonts w:ascii="Arial" w:cs="Arial" w:eastAsia="Arial" w:hAnsi="Arial"/>
                <w:sz w:val="16"/>
                <w:szCs w:val="16"/>
                <w:b w:val="1"/>
                <w:bCs w:val="1"/>
                <w:color w:val="2A2A2A"/>
                <w:w w:val="99"/>
              </w:rPr>
              <w:t>Number of</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w w:val="99"/>
              </w:rPr>
              <w:t>Available for</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restart"/>
          </w:tcPr>
          <w:p>
            <w:pPr>
              <w:jc w:val="center"/>
              <w:ind w:right="173"/>
              <w:spacing w:after="0"/>
              <w:rPr>
                <w:sz w:val="20"/>
                <w:szCs w:val="20"/>
                <w:color w:val="auto"/>
              </w:rPr>
            </w:pPr>
            <w:r>
              <w:rPr>
                <w:rFonts w:ascii="Arial" w:cs="Arial" w:eastAsia="Arial" w:hAnsi="Arial"/>
                <w:sz w:val="16"/>
                <w:szCs w:val="16"/>
                <w:b w:val="1"/>
                <w:bCs w:val="1"/>
                <w:color w:val="2A2A2A"/>
                <w:w w:val="99"/>
              </w:rPr>
              <w:t>Weighted</w:t>
            </w: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w w:val="99"/>
              </w:rPr>
              <w:t>Future Issuance</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5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rPr>
              <w:t>Securities to be</w:t>
            </w:r>
          </w:p>
        </w:tc>
        <w:tc>
          <w:tcPr>
            <w:tcW w:w="2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under Equity</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5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w w:val="99"/>
              </w:rPr>
              <w:t>Issued Upon</w:t>
            </w:r>
          </w:p>
        </w:tc>
        <w:tc>
          <w:tcPr>
            <w:tcW w:w="240" w:type="dxa"/>
            <w:vAlign w:val="bottom"/>
          </w:tcPr>
          <w:p>
            <w:pPr>
              <w:spacing w:after="0"/>
              <w:rPr>
                <w:sz w:val="13"/>
                <w:szCs w:val="13"/>
                <w:color w:val="auto"/>
              </w:rPr>
            </w:pPr>
          </w:p>
        </w:tc>
        <w:tc>
          <w:tcPr>
            <w:tcW w:w="1420" w:type="dxa"/>
            <w:vAlign w:val="bottom"/>
          </w:tcPr>
          <w:p>
            <w:pPr>
              <w:jc w:val="center"/>
              <w:ind w:right="153"/>
              <w:spacing w:after="0" w:line="160" w:lineRule="exact"/>
              <w:rPr>
                <w:sz w:val="20"/>
                <w:szCs w:val="20"/>
                <w:color w:val="auto"/>
              </w:rPr>
            </w:pPr>
            <w:r>
              <w:rPr>
                <w:rFonts w:ascii="Arial" w:cs="Arial" w:eastAsia="Arial" w:hAnsi="Arial"/>
                <w:sz w:val="16"/>
                <w:szCs w:val="16"/>
                <w:b w:val="1"/>
                <w:bCs w:val="1"/>
                <w:color w:val="2A2A2A"/>
                <w:w w:val="98"/>
              </w:rPr>
              <w:t>Average</w:t>
            </w: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Compensation</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0" w:type="dxa"/>
            <w:vAlign w:val="bottom"/>
          </w:tcPr>
          <w:p>
            <w:pPr>
              <w:jc w:val="center"/>
              <w:ind w:left="234"/>
              <w:spacing w:after="0" w:line="160" w:lineRule="exact"/>
              <w:rPr>
                <w:sz w:val="20"/>
                <w:szCs w:val="20"/>
                <w:color w:val="auto"/>
              </w:rPr>
            </w:pPr>
            <w:r>
              <w:rPr>
                <w:rFonts w:ascii="Arial" w:cs="Arial" w:eastAsia="Arial" w:hAnsi="Arial"/>
                <w:sz w:val="16"/>
                <w:szCs w:val="16"/>
                <w:b w:val="1"/>
                <w:bCs w:val="1"/>
                <w:color w:val="2A2A2A"/>
                <w:w w:val="98"/>
              </w:rPr>
              <w:t>Exercise of</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153"/>
              <w:spacing w:after="0" w:line="160" w:lineRule="exact"/>
              <w:rPr>
                <w:sz w:val="20"/>
                <w:szCs w:val="20"/>
                <w:color w:val="auto"/>
              </w:rPr>
            </w:pPr>
            <w:r>
              <w:rPr>
                <w:rFonts w:ascii="Arial" w:cs="Arial" w:eastAsia="Arial" w:hAnsi="Arial"/>
                <w:sz w:val="16"/>
                <w:szCs w:val="16"/>
                <w:b w:val="1"/>
                <w:bCs w:val="1"/>
                <w:color w:val="2A2A2A"/>
              </w:rPr>
              <w:t>Exercise Price</w:t>
            </w: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Plans (excluding</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5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w w:val="99"/>
              </w:rPr>
              <w:t>Outstanding</w:t>
            </w:r>
          </w:p>
        </w:tc>
        <w:tc>
          <w:tcPr>
            <w:tcW w:w="240" w:type="dxa"/>
            <w:vAlign w:val="bottom"/>
          </w:tcPr>
          <w:p>
            <w:pPr>
              <w:spacing w:after="0"/>
              <w:rPr>
                <w:sz w:val="13"/>
                <w:szCs w:val="13"/>
                <w:color w:val="auto"/>
              </w:rPr>
            </w:pPr>
          </w:p>
        </w:tc>
        <w:tc>
          <w:tcPr>
            <w:tcW w:w="1420" w:type="dxa"/>
            <w:vAlign w:val="bottom"/>
          </w:tcPr>
          <w:p>
            <w:pPr>
              <w:jc w:val="center"/>
              <w:ind w:right="153"/>
              <w:spacing w:after="0" w:line="160" w:lineRule="exact"/>
              <w:rPr>
                <w:sz w:val="20"/>
                <w:szCs w:val="20"/>
                <w:color w:val="auto"/>
              </w:rPr>
            </w:pPr>
            <w:r>
              <w:rPr>
                <w:rFonts w:ascii="Arial" w:cs="Arial" w:eastAsia="Arial" w:hAnsi="Arial"/>
                <w:sz w:val="16"/>
                <w:szCs w:val="16"/>
                <w:b w:val="1"/>
                <w:bCs w:val="1"/>
                <w:color w:val="2A2A2A"/>
              </w:rPr>
              <w:t>of Outstanding</w:t>
            </w: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rPr>
              <w:t>securities</w:t>
            </w:r>
          </w:p>
        </w:tc>
        <w:tc>
          <w:tcPr>
            <w:tcW w:w="0" w:type="dxa"/>
            <w:vAlign w:val="bottom"/>
          </w:tcPr>
          <w:p>
            <w:pPr>
              <w:spacing w:after="0"/>
              <w:rPr>
                <w:sz w:val="1"/>
                <w:szCs w:val="1"/>
                <w:color w:val="auto"/>
              </w:rPr>
            </w:pPr>
          </w:p>
        </w:tc>
      </w:tr>
      <w:tr>
        <w:trPr>
          <w:trHeight w:val="160"/>
        </w:trPr>
        <w:tc>
          <w:tcPr>
            <w:tcW w:w="5520" w:type="dxa"/>
            <w:vAlign w:val="bottom"/>
            <w:vMerge w:val="restart"/>
          </w:tcPr>
          <w:p>
            <w:pPr>
              <w:ind w:left="60"/>
              <w:spacing w:after="0"/>
              <w:rPr>
                <w:sz w:val="20"/>
                <w:szCs w:val="20"/>
                <w:color w:val="auto"/>
              </w:rPr>
            </w:pPr>
            <w:r>
              <w:rPr>
                <w:rFonts w:ascii="Arial" w:cs="Arial" w:eastAsia="Arial" w:hAnsi="Arial"/>
                <w:sz w:val="16"/>
                <w:szCs w:val="16"/>
                <w:b w:val="1"/>
                <w:bCs w:val="1"/>
                <w:color w:val="2A2A2A"/>
              </w:rPr>
              <w:t>Plan Category</w:t>
            </w:r>
          </w:p>
        </w:tc>
        <w:tc>
          <w:tcPr>
            <w:tcW w:w="15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rPr>
              <w:t>Options, Warrants</w:t>
            </w:r>
          </w:p>
        </w:tc>
        <w:tc>
          <w:tcPr>
            <w:tcW w:w="166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2A2A2A"/>
                <w:w w:val="99"/>
              </w:rPr>
              <w:t>Options, Warrants</w:t>
            </w: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2A2A2A"/>
                <w:w w:val="98"/>
              </w:rPr>
              <w:t>reflected in</w:t>
            </w:r>
          </w:p>
        </w:tc>
        <w:tc>
          <w:tcPr>
            <w:tcW w:w="0" w:type="dxa"/>
            <w:vAlign w:val="bottom"/>
          </w:tcPr>
          <w:p>
            <w:pPr>
              <w:spacing w:after="0"/>
              <w:rPr>
                <w:sz w:val="1"/>
                <w:szCs w:val="1"/>
                <w:color w:val="auto"/>
              </w:rPr>
            </w:pPr>
          </w:p>
        </w:tc>
      </w:tr>
      <w:tr>
        <w:trPr>
          <w:trHeight w:val="214"/>
        </w:trPr>
        <w:tc>
          <w:tcPr>
            <w:tcW w:w="5520" w:type="dxa"/>
            <w:vAlign w:val="bottom"/>
            <w:tcBorders>
              <w:bottom w:val="single" w:sz="8" w:color="2A2A2A"/>
            </w:tcBorders>
            <w:vMerge w:val="continue"/>
          </w:tcPr>
          <w:p>
            <w:pPr>
              <w:spacing w:after="0"/>
              <w:rPr>
                <w:sz w:val="18"/>
                <w:szCs w:val="18"/>
                <w:color w:val="auto"/>
              </w:rPr>
            </w:pPr>
          </w:p>
        </w:tc>
        <w:tc>
          <w:tcPr>
            <w:tcW w:w="152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and Rights (1)</w:t>
            </w:r>
          </w:p>
        </w:tc>
        <w:tc>
          <w:tcPr>
            <w:tcW w:w="240" w:type="dxa"/>
            <w:vAlign w:val="bottom"/>
            <w:tcBorders>
              <w:bottom w:val="single" w:sz="8" w:color="2A2A2A"/>
            </w:tcBorders>
          </w:tcPr>
          <w:p>
            <w:pPr>
              <w:spacing w:after="0"/>
              <w:rPr>
                <w:sz w:val="18"/>
                <w:szCs w:val="18"/>
                <w:color w:val="auto"/>
              </w:rPr>
            </w:pPr>
          </w:p>
        </w:tc>
        <w:tc>
          <w:tcPr>
            <w:tcW w:w="1420" w:type="dxa"/>
            <w:vAlign w:val="bottom"/>
            <w:tcBorders>
              <w:bottom w:val="single" w:sz="8" w:color="2A2A2A"/>
            </w:tcBorders>
          </w:tcPr>
          <w:p>
            <w:pPr>
              <w:jc w:val="center"/>
              <w:ind w:right="153"/>
              <w:spacing w:after="0"/>
              <w:rPr>
                <w:sz w:val="20"/>
                <w:szCs w:val="20"/>
                <w:color w:val="auto"/>
              </w:rPr>
            </w:pPr>
            <w:r>
              <w:rPr>
                <w:rFonts w:ascii="Arial" w:cs="Arial" w:eastAsia="Arial" w:hAnsi="Arial"/>
                <w:sz w:val="16"/>
                <w:szCs w:val="16"/>
                <w:b w:val="1"/>
                <w:bCs w:val="1"/>
                <w:color w:val="2A2A2A"/>
                <w:w w:val="99"/>
              </w:rPr>
              <w:t>and Rights (2)</w:t>
            </w:r>
          </w:p>
        </w:tc>
        <w:tc>
          <w:tcPr>
            <w:tcW w:w="15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column (1)) (3)</w:t>
            </w:r>
          </w:p>
        </w:tc>
        <w:tc>
          <w:tcPr>
            <w:tcW w:w="0" w:type="dxa"/>
            <w:vAlign w:val="bottom"/>
          </w:tcPr>
          <w:p>
            <w:pPr>
              <w:spacing w:after="0"/>
              <w:rPr>
                <w:sz w:val="1"/>
                <w:szCs w:val="1"/>
                <w:color w:val="auto"/>
              </w:rPr>
            </w:pPr>
          </w:p>
        </w:tc>
      </w:tr>
      <w:tr>
        <w:trPr>
          <w:trHeight w:val="260"/>
        </w:trPr>
        <w:tc>
          <w:tcPr>
            <w:tcW w:w="5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Equity compensation plans approved by security holders</w:t>
            </w:r>
          </w:p>
        </w:tc>
        <w:tc>
          <w:tcPr>
            <w:tcW w:w="1200" w:type="dxa"/>
            <w:vAlign w:val="bottom"/>
            <w:shd w:val="clear" w:color="auto" w:fill="D7D7D7"/>
          </w:tcPr>
          <w:p>
            <w:pPr>
              <w:jc w:val="right"/>
              <w:ind w:right="34"/>
              <w:spacing w:after="0"/>
              <w:rPr>
                <w:sz w:val="20"/>
                <w:szCs w:val="20"/>
                <w:color w:val="auto"/>
              </w:rPr>
            </w:pPr>
            <w:r>
              <w:rPr>
                <w:rFonts w:ascii="Arial" w:cs="Arial" w:eastAsia="Arial" w:hAnsi="Arial"/>
                <w:sz w:val="20"/>
                <w:szCs w:val="20"/>
                <w:color w:val="2A2A2A"/>
              </w:rPr>
              <w:t>31,257,621</w:t>
            </w:r>
          </w:p>
        </w:tc>
        <w:tc>
          <w:tcPr>
            <w:tcW w:w="320" w:type="dxa"/>
            <w:vAlign w:val="bottom"/>
            <w:shd w:val="clear" w:color="auto" w:fill="D7D7D7"/>
          </w:tcPr>
          <w:p>
            <w:pPr>
              <w:spacing w:after="0"/>
              <w:rPr>
                <w:sz w:val="20"/>
                <w:szCs w:val="20"/>
                <w:color w:val="auto"/>
              </w:rPr>
            </w:pPr>
            <w:r>
              <w:rPr>
                <w:rFonts w:ascii="Arial" w:cs="Arial" w:eastAsia="Arial" w:hAnsi="Arial"/>
                <w:sz w:val="20"/>
                <w:szCs w:val="20"/>
                <w:color w:val="2A2A2A"/>
              </w:rPr>
              <w:t>(a)</w:t>
            </w:r>
          </w:p>
        </w:tc>
        <w:tc>
          <w:tcPr>
            <w:tcW w:w="2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420" w:type="dxa"/>
            <w:vAlign w:val="bottom"/>
            <w:shd w:val="clear" w:color="auto" w:fill="D7D7D7"/>
          </w:tcPr>
          <w:p>
            <w:pPr>
              <w:jc w:val="right"/>
              <w:ind w:right="53"/>
              <w:spacing w:after="0"/>
              <w:rPr>
                <w:sz w:val="20"/>
                <w:szCs w:val="20"/>
                <w:color w:val="auto"/>
              </w:rPr>
            </w:pPr>
            <w:r>
              <w:rPr>
                <w:rFonts w:ascii="Arial" w:cs="Arial" w:eastAsia="Arial" w:hAnsi="Arial"/>
                <w:sz w:val="20"/>
                <w:szCs w:val="20"/>
                <w:color w:val="2A2A2A"/>
              </w:rPr>
              <w:t>119.76 (b)</w:t>
            </w:r>
          </w:p>
        </w:tc>
        <w:tc>
          <w:tcPr>
            <w:tcW w:w="15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58,452,628 (c)</w:t>
            </w:r>
          </w:p>
        </w:tc>
        <w:tc>
          <w:tcPr>
            <w:tcW w:w="0" w:type="dxa"/>
            <w:vAlign w:val="bottom"/>
          </w:tcPr>
          <w:p>
            <w:pPr>
              <w:spacing w:after="0"/>
              <w:rPr>
                <w:sz w:val="1"/>
                <w:szCs w:val="1"/>
                <w:color w:val="auto"/>
              </w:rPr>
            </w:pPr>
          </w:p>
        </w:tc>
      </w:tr>
      <w:tr>
        <w:trPr>
          <w:trHeight w:val="260"/>
        </w:trPr>
        <w:tc>
          <w:tcPr>
            <w:tcW w:w="5520" w:type="dxa"/>
            <w:vAlign w:val="bottom"/>
            <w:tcBorders>
              <w:bottom w:val="single" w:sz="8" w:color="D7D7D7"/>
            </w:tcBorders>
          </w:tcPr>
          <w:p>
            <w:pPr>
              <w:ind w:left="60"/>
              <w:spacing w:after="0"/>
              <w:rPr>
                <w:sz w:val="20"/>
                <w:szCs w:val="20"/>
                <w:color w:val="auto"/>
              </w:rPr>
            </w:pPr>
            <w:r>
              <w:rPr>
                <w:rFonts w:ascii="Arial" w:cs="Arial" w:eastAsia="Arial" w:hAnsi="Arial"/>
                <w:sz w:val="20"/>
                <w:szCs w:val="20"/>
                <w:color w:val="2A2A2A"/>
              </w:rPr>
              <w:t>Equity compensation plans not approved by security holders</w:t>
            </w:r>
          </w:p>
        </w:tc>
        <w:tc>
          <w:tcPr>
            <w:tcW w:w="1200" w:type="dxa"/>
            <w:vAlign w:val="bottom"/>
            <w:tcBorders>
              <w:bottom w:val="single" w:sz="8" w:color="2A2A2A"/>
            </w:tcBorders>
          </w:tcPr>
          <w:p>
            <w:pPr>
              <w:jc w:val="right"/>
              <w:ind w:right="34"/>
              <w:spacing w:after="0"/>
              <w:rPr>
                <w:sz w:val="20"/>
                <w:szCs w:val="20"/>
                <w:color w:val="auto"/>
              </w:rPr>
            </w:pPr>
            <w:r>
              <w:rPr>
                <w:rFonts w:ascii="Arial" w:cs="Arial" w:eastAsia="Arial" w:hAnsi="Arial"/>
                <w:sz w:val="20"/>
                <w:szCs w:val="20"/>
                <w:color w:val="2A2A2A"/>
              </w:rPr>
              <w:t>—</w:t>
            </w:r>
          </w:p>
        </w:tc>
        <w:tc>
          <w:tcPr>
            <w:tcW w:w="320" w:type="dxa"/>
            <w:vAlign w:val="bottom"/>
            <w:tcBorders>
              <w:bottom w:val="single" w:sz="8" w:color="2A2A2A"/>
            </w:tcBorders>
          </w:tcPr>
          <w:p>
            <w:pPr>
              <w:spacing w:after="0"/>
              <w:rPr>
                <w:sz w:val="22"/>
                <w:szCs w:val="22"/>
                <w:color w:val="auto"/>
              </w:rPr>
            </w:pPr>
          </w:p>
        </w:tc>
        <w:tc>
          <w:tcPr>
            <w:tcW w:w="240" w:type="dxa"/>
            <w:vAlign w:val="bottom"/>
            <w:tcBorders>
              <w:bottom w:val="single" w:sz="8" w:color="D7D7D7"/>
            </w:tcBorders>
          </w:tcPr>
          <w:p>
            <w:pPr>
              <w:spacing w:after="0"/>
              <w:rPr>
                <w:sz w:val="22"/>
                <w:szCs w:val="22"/>
                <w:color w:val="auto"/>
              </w:rPr>
            </w:pPr>
          </w:p>
        </w:tc>
        <w:tc>
          <w:tcPr>
            <w:tcW w:w="1420" w:type="dxa"/>
            <w:vAlign w:val="bottom"/>
            <w:tcBorders>
              <w:bottom w:val="single" w:sz="8" w:color="D7D7D7"/>
            </w:tcBorders>
          </w:tcPr>
          <w:p>
            <w:pPr>
              <w:jc w:val="right"/>
              <w:ind w:right="433"/>
              <w:spacing w:after="0"/>
              <w:rPr>
                <w:sz w:val="20"/>
                <w:szCs w:val="20"/>
                <w:color w:val="auto"/>
              </w:rPr>
            </w:pPr>
            <w:r>
              <w:rPr>
                <w:rFonts w:ascii="Arial" w:cs="Arial" w:eastAsia="Arial" w:hAnsi="Arial"/>
                <w:sz w:val="20"/>
                <w:szCs w:val="20"/>
                <w:color w:val="2A2A2A"/>
              </w:rPr>
              <w:t>—</w:t>
            </w:r>
          </w:p>
        </w:tc>
        <w:tc>
          <w:tcPr>
            <w:tcW w:w="1520" w:type="dxa"/>
            <w:vAlign w:val="bottom"/>
            <w:tcBorders>
              <w:bottom w:val="single" w:sz="8" w:color="2A2A2A"/>
            </w:tcBorders>
          </w:tcPr>
          <w:p>
            <w:pPr>
              <w:jc w:val="right"/>
              <w:ind w:right="356"/>
              <w:spacing w:after="0"/>
              <w:rPr>
                <w:sz w:val="20"/>
                <w:szCs w:val="20"/>
                <w:color w:val="auto"/>
              </w:rPr>
            </w:pPr>
            <w:r>
              <w:rPr>
                <w:rFonts w:ascii="Arial" w:cs="Arial" w:eastAsia="Arial" w:hAnsi="Arial"/>
                <w:sz w:val="20"/>
                <w:szCs w:val="20"/>
                <w:color w:val="2A2A2A"/>
              </w:rPr>
              <w:t>—</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Total</w:t>
            </w:r>
          </w:p>
        </w:tc>
        <w:tc>
          <w:tcPr>
            <w:tcW w:w="1200" w:type="dxa"/>
            <w:vAlign w:val="bottom"/>
            <w:tcBorders>
              <w:bottom w:val="single" w:sz="8" w:color="2A2A2A"/>
            </w:tcBorders>
            <w:shd w:val="clear" w:color="auto" w:fill="D7D7D7"/>
          </w:tcPr>
          <w:p>
            <w:pPr>
              <w:jc w:val="right"/>
              <w:ind w:right="34"/>
              <w:spacing w:after="0"/>
              <w:rPr>
                <w:sz w:val="20"/>
                <w:szCs w:val="20"/>
                <w:color w:val="auto"/>
              </w:rPr>
            </w:pPr>
            <w:r>
              <w:rPr>
                <w:rFonts w:ascii="Arial" w:cs="Arial" w:eastAsia="Arial" w:hAnsi="Arial"/>
                <w:sz w:val="20"/>
                <w:szCs w:val="20"/>
                <w:color w:val="2A2A2A"/>
              </w:rPr>
              <w:t>31,257,621</w:t>
            </w:r>
          </w:p>
        </w:tc>
        <w:tc>
          <w:tcPr>
            <w:tcW w:w="320" w:type="dxa"/>
            <w:vAlign w:val="bottom"/>
            <w:tcBorders>
              <w:bottom w:val="single" w:sz="8" w:color="2A2A2A"/>
            </w:tcBorders>
            <w:shd w:val="clear" w:color="auto" w:fill="D7D7D7"/>
          </w:tcPr>
          <w:p>
            <w:pPr>
              <w:spacing w:after="0"/>
              <w:rPr>
                <w:sz w:val="20"/>
                <w:szCs w:val="20"/>
                <w:color w:val="auto"/>
              </w:rPr>
            </w:pPr>
            <w:r>
              <w:rPr>
                <w:rFonts w:ascii="Arial" w:cs="Arial" w:eastAsia="Arial" w:hAnsi="Arial"/>
                <w:sz w:val="20"/>
                <w:szCs w:val="20"/>
                <w:color w:val="2A2A2A"/>
              </w:rPr>
              <w:t>(d)</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420" w:type="dxa"/>
            <w:vAlign w:val="bottom"/>
            <w:tcBorders>
              <w:bottom w:val="single" w:sz="8" w:color="D7D7D7"/>
            </w:tcBorders>
            <w:shd w:val="clear" w:color="auto" w:fill="D7D7D7"/>
          </w:tcPr>
          <w:p>
            <w:pPr>
              <w:jc w:val="right"/>
              <w:ind w:right="433"/>
              <w:spacing w:after="0"/>
              <w:rPr>
                <w:sz w:val="20"/>
                <w:szCs w:val="20"/>
                <w:color w:val="auto"/>
              </w:rPr>
            </w:pPr>
            <w:r>
              <w:rPr>
                <w:rFonts w:ascii="Arial" w:cs="Arial" w:eastAsia="Arial" w:hAnsi="Arial"/>
                <w:sz w:val="20"/>
                <w:szCs w:val="20"/>
                <w:color w:val="2A2A2A"/>
              </w:rPr>
              <w:t>119.76</w:t>
            </w:r>
          </w:p>
        </w:tc>
        <w:tc>
          <w:tcPr>
            <w:tcW w:w="1520" w:type="dxa"/>
            <w:vAlign w:val="bottom"/>
            <w:tcBorders>
              <w:bottom w:val="single" w:sz="8" w:color="2A2A2A"/>
            </w:tcBorders>
            <w:shd w:val="clear" w:color="auto" w:fill="D7D7D7"/>
          </w:tcPr>
          <w:p>
            <w:pPr>
              <w:jc w:val="right"/>
              <w:ind w:right="356"/>
              <w:spacing w:after="0"/>
              <w:rPr>
                <w:sz w:val="20"/>
                <w:szCs w:val="20"/>
                <w:color w:val="auto"/>
              </w:rPr>
            </w:pPr>
            <w:r>
              <w:rPr>
                <w:rFonts w:ascii="Arial" w:cs="Arial" w:eastAsia="Arial" w:hAnsi="Arial"/>
                <w:sz w:val="20"/>
                <w:szCs w:val="20"/>
                <w:color w:val="2A2A2A"/>
              </w:rPr>
              <w:t>58,452,628</w:t>
            </w:r>
          </w:p>
        </w:tc>
        <w:tc>
          <w:tcPr>
            <w:tcW w:w="0" w:type="dxa"/>
            <w:vAlign w:val="bottom"/>
          </w:tcPr>
          <w:p>
            <w:pPr>
              <w:spacing w:after="0"/>
              <w:rPr>
                <w:sz w:val="1"/>
                <w:szCs w:val="1"/>
                <w:color w:val="auto"/>
              </w:rPr>
            </w:pPr>
          </w:p>
        </w:tc>
      </w:tr>
      <w:tr>
        <w:trPr>
          <w:trHeight w:val="20"/>
        </w:trPr>
        <w:tc>
          <w:tcPr>
            <w:tcW w:w="5520" w:type="dxa"/>
            <w:vAlign w:val="bottom"/>
            <w:tcBorders>
              <w:top w:val="single" w:sz="8" w:color="D7D7D7"/>
            </w:tcBorders>
          </w:tcPr>
          <w:p>
            <w:pPr>
              <w:spacing w:after="0" w:line="20" w:lineRule="exact"/>
              <w:rPr>
                <w:sz w:val="1"/>
                <w:szCs w:val="1"/>
                <w:color w:val="auto"/>
              </w:rPr>
            </w:pPr>
          </w:p>
        </w:tc>
        <w:tc>
          <w:tcPr>
            <w:tcW w:w="1200" w:type="dxa"/>
            <w:vAlign w:val="bottom"/>
            <w:tcBorders>
              <w:top w:val="single" w:sz="8" w:color="D7D7D7"/>
              <w:bottom w:val="single" w:sz="8" w:color="2A2A2A"/>
            </w:tcBorders>
          </w:tcPr>
          <w:p>
            <w:pPr>
              <w:spacing w:after="0" w:line="20" w:lineRule="exact"/>
              <w:rPr>
                <w:sz w:val="1"/>
                <w:szCs w:val="1"/>
                <w:color w:val="auto"/>
              </w:rPr>
            </w:pPr>
          </w:p>
        </w:tc>
        <w:tc>
          <w:tcPr>
            <w:tcW w:w="320" w:type="dxa"/>
            <w:vAlign w:val="bottom"/>
            <w:tcBorders>
              <w:top w:val="single" w:sz="8" w:color="D7D7D7"/>
              <w:bottom w:val="single" w:sz="8" w:color="2A2A2A"/>
            </w:tcBorders>
          </w:tcPr>
          <w:p>
            <w:pPr>
              <w:spacing w:after="0" w:line="20" w:lineRule="exact"/>
              <w:rPr>
                <w:sz w:val="1"/>
                <w:szCs w:val="1"/>
                <w:color w:val="auto"/>
              </w:rPr>
            </w:pPr>
          </w:p>
        </w:tc>
        <w:tc>
          <w:tcPr>
            <w:tcW w:w="240" w:type="dxa"/>
            <w:vAlign w:val="bottom"/>
            <w:tcBorders>
              <w:top w:val="single" w:sz="8" w:color="D7D7D7"/>
            </w:tcBorders>
          </w:tcPr>
          <w:p>
            <w:pPr>
              <w:spacing w:after="0" w:line="20" w:lineRule="exact"/>
              <w:rPr>
                <w:sz w:val="1"/>
                <w:szCs w:val="1"/>
                <w:color w:val="auto"/>
              </w:rPr>
            </w:pPr>
          </w:p>
        </w:tc>
        <w:tc>
          <w:tcPr>
            <w:tcW w:w="1420" w:type="dxa"/>
            <w:vAlign w:val="bottom"/>
            <w:tcBorders>
              <w:top w:val="single" w:sz="8" w:color="D7D7D7"/>
            </w:tcBorders>
          </w:tcPr>
          <w:p>
            <w:pPr>
              <w:spacing w:after="0" w:line="20" w:lineRule="exact"/>
              <w:rPr>
                <w:sz w:val="1"/>
                <w:szCs w:val="1"/>
                <w:color w:val="auto"/>
              </w:rPr>
            </w:pPr>
          </w:p>
        </w:tc>
        <w:tc>
          <w:tcPr>
            <w:tcW w:w="1520" w:type="dxa"/>
            <w:vAlign w:val="bottom"/>
            <w:tcBorders>
              <w:top w:val="single" w:sz="8" w:color="D7D7D7"/>
              <w:bottom w:val="single" w:sz="8" w:color="2A2A2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-545465</wp:posOffset>
            </wp:positionV>
            <wp:extent cx="651192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11925" cy="2540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-202565</wp:posOffset>
            </wp:positionV>
            <wp:extent cx="98742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87425" cy="2540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-202565</wp:posOffset>
            </wp:positionV>
            <wp:extent cx="98742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87425" cy="2540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-43815</wp:posOffset>
            </wp:positionV>
            <wp:extent cx="98742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87425" cy="2540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-43815</wp:posOffset>
            </wp:positionV>
            <wp:extent cx="98742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87425" cy="25400"/>
                    </a:xfrm>
                    <a:prstGeom prst="rect">
                      <a:avLst/>
                    </a:prstGeom>
                    <a:noFill/>
                  </pic:spPr>
                </pic:pic>
              </a:graphicData>
            </a:graphic>
          </wp:anchor>
        </w:drawing>
      </w:r>
    </w:p>
    <w:p>
      <w:pPr>
        <w:spacing w:after="0" w:line="235" w:lineRule="exact"/>
        <w:rPr>
          <w:sz w:val="20"/>
          <w:szCs w:val="20"/>
          <w:color w:val="auto"/>
        </w:rPr>
      </w:pPr>
    </w:p>
    <w:p>
      <w:pPr>
        <w:ind w:left="541" w:hanging="541"/>
        <w:spacing w:after="0" w:line="259" w:lineRule="auto"/>
        <w:tabs>
          <w:tab w:leader="none" w:pos="541" w:val="left"/>
        </w:tabs>
        <w:numPr>
          <w:ilvl w:val="0"/>
          <w:numId w:val="36"/>
        </w:numPr>
        <w:rPr>
          <w:rFonts w:ascii="Arial" w:cs="Arial" w:eastAsia="Arial" w:hAnsi="Arial"/>
          <w:sz w:val="20"/>
          <w:szCs w:val="20"/>
          <w:color w:val="2A2A2A"/>
        </w:rPr>
      </w:pPr>
      <w:r>
        <w:rPr>
          <w:rFonts w:ascii="Arial" w:cs="Arial" w:eastAsia="Arial" w:hAnsi="Arial"/>
          <w:sz w:val="20"/>
          <w:szCs w:val="20"/>
          <w:color w:val="2A2A2A"/>
        </w:rPr>
        <w:t>Includes shares of TI common stock to be issued under the Texas Instruments 2003 Director Compensation Plan, the Texas Instruments 2009 Long-Term Incentive Plan (the “2009 LTIP”) and its predecessor stockholder-approved plans, the Texas Instruments 2009 Director Compensation Plan, the TI Employees 2014 Stock Purchase Plan (the “2014 ESPP”) and the Texas Instruments 2018 Director Compensation Plan (the “2018 Director Plan”).</w:t>
      </w:r>
    </w:p>
    <w:p>
      <w:pPr>
        <w:spacing w:after="0" w:line="79" w:lineRule="exact"/>
        <w:rPr>
          <w:rFonts w:ascii="Arial" w:cs="Arial" w:eastAsia="Arial" w:hAnsi="Arial"/>
          <w:sz w:val="20"/>
          <w:szCs w:val="20"/>
          <w:color w:val="2A2A2A"/>
        </w:rPr>
      </w:pPr>
    </w:p>
    <w:p>
      <w:pPr>
        <w:ind w:left="541" w:right="160" w:hanging="541"/>
        <w:spacing w:after="0" w:line="268" w:lineRule="auto"/>
        <w:tabs>
          <w:tab w:leader="none" w:pos="541" w:val="left"/>
        </w:tabs>
        <w:numPr>
          <w:ilvl w:val="0"/>
          <w:numId w:val="36"/>
        </w:numPr>
        <w:rPr>
          <w:rFonts w:ascii="Arial" w:cs="Arial" w:eastAsia="Arial" w:hAnsi="Arial"/>
          <w:sz w:val="20"/>
          <w:szCs w:val="20"/>
          <w:color w:val="2A2A2A"/>
        </w:rPr>
      </w:pPr>
      <w:r>
        <w:rPr>
          <w:rFonts w:ascii="Arial" w:cs="Arial" w:eastAsia="Arial" w:hAnsi="Arial"/>
          <w:sz w:val="20"/>
          <w:szCs w:val="20"/>
          <w:color w:val="2A2A2A"/>
        </w:rPr>
        <w:t>Restricted stock units and stock units credited to directors’ deferred compensation accounts are settled in shares of TI common stock on a one-for-one basis. Accordingly, such units have been excluded for purposes of computing the weighted average exercise price.</w:t>
      </w:r>
    </w:p>
    <w:p>
      <w:pPr>
        <w:spacing w:after="0" w:line="69" w:lineRule="exact"/>
        <w:rPr>
          <w:rFonts w:ascii="Arial" w:cs="Arial" w:eastAsia="Arial" w:hAnsi="Arial"/>
          <w:sz w:val="20"/>
          <w:szCs w:val="20"/>
          <w:color w:val="2A2A2A"/>
        </w:rPr>
      </w:pPr>
    </w:p>
    <w:p>
      <w:pPr>
        <w:ind w:left="541" w:right="160" w:hanging="541"/>
        <w:spacing w:after="0" w:line="259" w:lineRule="auto"/>
        <w:tabs>
          <w:tab w:leader="none" w:pos="541" w:val="left"/>
        </w:tabs>
        <w:numPr>
          <w:ilvl w:val="0"/>
          <w:numId w:val="36"/>
        </w:numPr>
        <w:rPr>
          <w:rFonts w:ascii="Arial" w:cs="Arial" w:eastAsia="Arial" w:hAnsi="Arial"/>
          <w:sz w:val="20"/>
          <w:szCs w:val="20"/>
          <w:color w:val="2A2A2A"/>
        </w:rPr>
      </w:pPr>
      <w:r>
        <w:rPr>
          <w:rFonts w:ascii="Arial" w:cs="Arial" w:eastAsia="Arial" w:hAnsi="Arial"/>
          <w:sz w:val="20"/>
          <w:szCs w:val="20"/>
          <w:color w:val="2A2A2A"/>
        </w:rPr>
        <w:t>Shares of TI common stock available for future issuance under the 2009 LTIP, the 2014 ESPP and the 2018 Director Plan. 25,296,767 shares remain available for future issuance under the 2009 LTIP and 1,786,785 shares remain available for future issuance under the 2018 Director Plan. Under the 2009 LTIP and the 2018 Director Plan, awards may be granted in the form of restricted stock units, options or other stock-based awards such as restricted stock.</w:t>
      </w:r>
    </w:p>
    <w:p>
      <w:pPr>
        <w:spacing w:after="0" w:line="79" w:lineRule="exact"/>
        <w:rPr>
          <w:rFonts w:ascii="Arial" w:cs="Arial" w:eastAsia="Arial" w:hAnsi="Arial"/>
          <w:sz w:val="20"/>
          <w:szCs w:val="20"/>
          <w:color w:val="2A2A2A"/>
        </w:rPr>
      </w:pPr>
    </w:p>
    <w:p>
      <w:pPr>
        <w:ind w:left="541" w:right="60" w:hanging="541"/>
        <w:spacing w:after="0" w:line="268" w:lineRule="auto"/>
        <w:tabs>
          <w:tab w:leader="none" w:pos="541" w:val="left"/>
        </w:tabs>
        <w:numPr>
          <w:ilvl w:val="0"/>
          <w:numId w:val="36"/>
        </w:numPr>
        <w:rPr>
          <w:rFonts w:ascii="Arial" w:cs="Arial" w:eastAsia="Arial" w:hAnsi="Arial"/>
          <w:sz w:val="20"/>
          <w:szCs w:val="20"/>
          <w:color w:val="2A2A2A"/>
        </w:rPr>
      </w:pPr>
      <w:r>
        <w:rPr>
          <w:rFonts w:ascii="Arial" w:cs="Arial" w:eastAsia="Arial" w:hAnsi="Arial"/>
          <w:sz w:val="20"/>
          <w:szCs w:val="20"/>
          <w:color w:val="2A2A2A"/>
        </w:rPr>
        <w:t>Includes 25,771,272 shares for issuance upon exercise of outstanding grants of options, 5,220,883 shares for issuance upon vesting of outstanding grants of restricted stock units, 166,526 shares for issuance under the 2014 ESPP and 98,940 shares for issuance in settlement of directors’ deferred compensation accounts.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Security ownership of certain beneficial owners and management</w:t>
      </w:r>
    </w:p>
    <w:p>
      <w:pPr>
        <w:spacing w:after="0" w:line="257" w:lineRule="exact"/>
        <w:rPr>
          <w:sz w:val="20"/>
          <w:szCs w:val="20"/>
          <w:color w:val="auto"/>
        </w:rPr>
      </w:pPr>
    </w:p>
    <w:p>
      <w:pPr>
        <w:ind w:left="1" w:right="100"/>
        <w:spacing w:after="0" w:line="268" w:lineRule="auto"/>
        <w:rPr>
          <w:sz w:val="20"/>
          <w:szCs w:val="20"/>
          <w:color w:val="auto"/>
        </w:rPr>
      </w:pPr>
      <w:r>
        <w:rPr>
          <w:rFonts w:ascii="Arial" w:cs="Arial" w:eastAsia="Arial" w:hAnsi="Arial"/>
          <w:sz w:val="20"/>
          <w:szCs w:val="20"/>
          <w:color w:val="2A2A2A"/>
        </w:rPr>
        <w:t>The information that is contained under the captions “Security ownership of certain beneficial owners” and “Security ownership of directors and management” in our proxy statement for the 2024 annual meeting of stockholders is incorporated herein by reference to such proxy statement.</w:t>
      </w:r>
    </w:p>
    <w:p>
      <w:pPr>
        <w:spacing w:after="0" w:line="200" w:lineRule="exact"/>
        <w:rPr>
          <w:sz w:val="20"/>
          <w:szCs w:val="20"/>
          <w:color w:val="auto"/>
        </w:rPr>
      </w:pPr>
    </w:p>
    <w:p>
      <w:pPr>
        <w:spacing w:after="0" w:line="218"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ITEM 13. Certain relationships and related transactions, and director independence</w:t>
      </w:r>
    </w:p>
    <w:p>
      <w:pPr>
        <w:spacing w:after="0" w:line="263" w:lineRule="exact"/>
        <w:rPr>
          <w:sz w:val="20"/>
          <w:szCs w:val="20"/>
          <w:color w:val="auto"/>
        </w:rPr>
      </w:pPr>
    </w:p>
    <w:p>
      <w:pPr>
        <w:jc w:val="both"/>
        <w:ind w:left="1" w:right="440"/>
        <w:spacing w:after="0" w:line="268" w:lineRule="auto"/>
        <w:rPr>
          <w:sz w:val="20"/>
          <w:szCs w:val="20"/>
          <w:color w:val="auto"/>
        </w:rPr>
      </w:pPr>
      <w:r>
        <w:rPr>
          <w:rFonts w:ascii="Arial" w:cs="Arial" w:eastAsia="Arial" w:hAnsi="Arial"/>
          <w:sz w:val="20"/>
          <w:szCs w:val="20"/>
          <w:color w:val="2A2A2A"/>
        </w:rPr>
        <w:t>The information contained under the captions “Related person transactions” and “Director independence” in our proxy statement for the 2024 annual meeting of stockholders is incorporated herein by reference to such proxy statement.</w:t>
      </w:r>
    </w:p>
    <w:p>
      <w:pPr>
        <w:spacing w:after="0" w:line="200" w:lineRule="exact"/>
        <w:rPr>
          <w:sz w:val="20"/>
          <w:szCs w:val="20"/>
          <w:color w:val="auto"/>
        </w:rPr>
      </w:pPr>
    </w:p>
    <w:p>
      <w:pPr>
        <w:spacing w:after="0" w:line="218"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ITEM 14. Principal accountant fees and services</w:t>
      </w:r>
    </w:p>
    <w:p>
      <w:pPr>
        <w:spacing w:after="0" w:line="263" w:lineRule="exact"/>
        <w:rPr>
          <w:sz w:val="20"/>
          <w:szCs w:val="20"/>
          <w:color w:val="auto"/>
        </w:rPr>
      </w:pPr>
    </w:p>
    <w:p>
      <w:pPr>
        <w:jc w:val="both"/>
        <w:ind w:left="1" w:right="440"/>
        <w:spacing w:after="0" w:line="268" w:lineRule="auto"/>
        <w:rPr>
          <w:sz w:val="20"/>
          <w:szCs w:val="20"/>
          <w:color w:val="auto"/>
        </w:rPr>
      </w:pPr>
      <w:r>
        <w:rPr>
          <w:rFonts w:ascii="Arial" w:cs="Arial" w:eastAsia="Arial" w:hAnsi="Arial"/>
          <w:sz w:val="20"/>
          <w:szCs w:val="20"/>
          <w:color w:val="2A2A2A"/>
        </w:rPr>
        <w:t>The information with respect to principal accountant fees and services contained under the caption “Proposal to ratify appointment of independent registered public accounting firm” in our proxy statement for the 2024 annual meeting of stockholders is incorporated herein by reference to such proxy statement.</w:t>
      </w:r>
    </w:p>
    <w:p>
      <w:pPr>
        <w:sectPr>
          <w:pgSz w:w="12240" w:h="15840" w:orient="portrait"/>
          <w:cols w:equalWidth="0" w:num="1">
            <w:col w:w="10281"/>
          </w:cols>
          <w:pgMar w:left="979" w:top="653" w:right="98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61</w:t>
      </w:r>
    </w:p>
    <w:p>
      <w:pPr>
        <w:sectPr>
          <w:pgSz w:w="12240" w:h="15840" w:orient="portrait"/>
          <w:cols w:equalWidth="0" w:num="1">
            <w:col w:w="10281"/>
          </w:cols>
          <w:pgMar w:left="979" w:top="653" w:right="980" w:bottom="24"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24"/>
          <w:szCs w:val="24"/>
          <w:b w:val="1"/>
          <w:bCs w:val="1"/>
          <w:color w:val="2A2A2A"/>
        </w:rPr>
        <w:t>PART IV</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2A2A2A"/>
        </w:rPr>
        <w:t>ITEM 15. Exhibits, financial statement schedules</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20"/>
          <w:szCs w:val="20"/>
          <w:color w:val="2A2A2A"/>
        </w:rPr>
        <w:t>The financial statements are listed in the index included in 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142875</wp:posOffset>
            </wp:positionV>
            <wp:extent cx="392112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21125" cy="25400"/>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040" w:type="dxa"/>
            <w:vAlign w:val="bottom"/>
            <w:tcBorders>
              <w:top w:val="single" w:sz="8" w:color="2A2A2A"/>
              <w:left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w w:val="98"/>
              </w:rPr>
              <w:t>Designation</w:t>
            </w:r>
          </w:p>
        </w:tc>
        <w:tc>
          <w:tcPr>
            <w:tcW w:w="3120" w:type="dxa"/>
            <w:vAlign w:val="bottom"/>
            <w:tcBorders>
              <w:top w:val="single" w:sz="8" w:color="2A2A2A"/>
              <w:right w:val="single" w:sz="8" w:color="2A2A2A"/>
            </w:tcBorders>
          </w:tcPr>
          <w:p>
            <w:pPr>
              <w:spacing w:after="0"/>
              <w:rPr>
                <w:sz w:val="21"/>
                <w:szCs w:val="21"/>
                <w:color w:val="auto"/>
              </w:rPr>
            </w:pPr>
          </w:p>
        </w:tc>
        <w:tc>
          <w:tcPr>
            <w:tcW w:w="780" w:type="dxa"/>
            <w:vAlign w:val="bottom"/>
            <w:tcBorders>
              <w:top w:val="single" w:sz="8" w:color="2A2A2A"/>
            </w:tcBorders>
          </w:tcPr>
          <w:p>
            <w:pPr>
              <w:spacing w:after="0"/>
              <w:rPr>
                <w:sz w:val="21"/>
                <w:szCs w:val="21"/>
                <w:color w:val="auto"/>
              </w:rPr>
            </w:pPr>
          </w:p>
        </w:tc>
        <w:tc>
          <w:tcPr>
            <w:tcW w:w="3120" w:type="dxa"/>
            <w:vAlign w:val="bottom"/>
            <w:tcBorders>
              <w:top w:val="single" w:sz="8" w:color="2A2A2A"/>
            </w:tcBorders>
            <w:gridSpan w:val="2"/>
          </w:tcPr>
          <w:p>
            <w:pPr>
              <w:ind w:left="840"/>
              <w:spacing w:after="0"/>
              <w:rPr>
                <w:sz w:val="20"/>
                <w:szCs w:val="20"/>
                <w:color w:val="auto"/>
              </w:rPr>
            </w:pPr>
            <w:r>
              <w:rPr>
                <w:rFonts w:ascii="Arial" w:cs="Arial" w:eastAsia="Arial" w:hAnsi="Arial"/>
                <w:sz w:val="16"/>
                <w:szCs w:val="16"/>
                <w:b w:val="1"/>
                <w:bCs w:val="1"/>
                <w:color w:val="2A2A2A"/>
              </w:rPr>
              <w:t>Incorporated by Reference</w:t>
            </w:r>
          </w:p>
        </w:tc>
        <w:tc>
          <w:tcPr>
            <w:tcW w:w="1360" w:type="dxa"/>
            <w:vAlign w:val="bottom"/>
            <w:tcBorders>
              <w:top w:val="single" w:sz="8" w:color="2A2A2A"/>
              <w:right w:val="single" w:sz="8" w:color="2A2A2A"/>
            </w:tcBorders>
          </w:tcPr>
          <w:p>
            <w:pPr>
              <w:spacing w:after="0"/>
              <w:rPr>
                <w:sz w:val="21"/>
                <w:szCs w:val="21"/>
                <w:color w:val="auto"/>
              </w:rPr>
            </w:pPr>
          </w:p>
        </w:tc>
        <w:tc>
          <w:tcPr>
            <w:tcW w:w="880" w:type="dxa"/>
            <w:vAlign w:val="bottom"/>
            <w:tcBorders>
              <w:top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rPr>
              <w:t>Filed or</w:t>
            </w:r>
          </w:p>
        </w:tc>
        <w:tc>
          <w:tcPr>
            <w:tcW w:w="0" w:type="dxa"/>
            <w:vAlign w:val="bottom"/>
          </w:tcPr>
          <w:p>
            <w:pPr>
              <w:spacing w:after="0"/>
              <w:rPr>
                <w:sz w:val="1"/>
                <w:szCs w:val="1"/>
                <w:color w:val="auto"/>
              </w:rPr>
            </w:pPr>
          </w:p>
        </w:tc>
      </w:tr>
      <w:tr>
        <w:trPr>
          <w:trHeight w:val="54"/>
        </w:trPr>
        <w:tc>
          <w:tcPr>
            <w:tcW w:w="1040" w:type="dxa"/>
            <w:vAlign w:val="bottom"/>
            <w:tcBorders>
              <w:left w:val="single" w:sz="8" w:color="2A2A2A"/>
              <w:right w:val="single" w:sz="8" w:color="2A2A2A"/>
            </w:tcBorders>
            <w:vMerge w:val="restart"/>
          </w:tcPr>
          <w:p>
            <w:pPr>
              <w:jc w:val="center"/>
              <w:spacing w:after="0" w:line="125" w:lineRule="exact"/>
              <w:rPr>
                <w:sz w:val="20"/>
                <w:szCs w:val="20"/>
                <w:color w:val="auto"/>
              </w:rPr>
            </w:pPr>
            <w:r>
              <w:rPr>
                <w:rFonts w:ascii="Arial" w:cs="Arial" w:eastAsia="Arial" w:hAnsi="Arial"/>
                <w:sz w:val="14"/>
                <w:szCs w:val="14"/>
                <w:b w:val="1"/>
                <w:bCs w:val="1"/>
                <w:color w:val="2A2A2A"/>
              </w:rPr>
              <w:t>of</w:t>
            </w:r>
          </w:p>
        </w:tc>
        <w:tc>
          <w:tcPr>
            <w:tcW w:w="3120" w:type="dxa"/>
            <w:vAlign w:val="bottom"/>
            <w:tcBorders>
              <w:right w:val="single" w:sz="8" w:color="2A2A2A"/>
            </w:tcBorders>
          </w:tcPr>
          <w:p>
            <w:pPr>
              <w:spacing w:after="0"/>
              <w:rPr>
                <w:sz w:val="4"/>
                <w:szCs w:val="4"/>
                <w:color w:val="auto"/>
              </w:rPr>
            </w:pPr>
          </w:p>
        </w:tc>
        <w:tc>
          <w:tcPr>
            <w:tcW w:w="780" w:type="dxa"/>
            <w:vAlign w:val="bottom"/>
            <w:tcBorders>
              <w:bottom w:val="single" w:sz="8" w:color="2A2A2A"/>
            </w:tcBorders>
          </w:tcPr>
          <w:p>
            <w:pPr>
              <w:spacing w:after="0"/>
              <w:rPr>
                <w:sz w:val="4"/>
                <w:szCs w:val="4"/>
                <w:color w:val="auto"/>
              </w:rPr>
            </w:pPr>
          </w:p>
        </w:tc>
        <w:tc>
          <w:tcPr>
            <w:tcW w:w="1140" w:type="dxa"/>
            <w:vAlign w:val="bottom"/>
            <w:tcBorders>
              <w:bottom w:val="single" w:sz="8" w:color="2A2A2A"/>
            </w:tcBorders>
          </w:tcPr>
          <w:p>
            <w:pPr>
              <w:spacing w:after="0"/>
              <w:rPr>
                <w:sz w:val="4"/>
                <w:szCs w:val="4"/>
                <w:color w:val="auto"/>
              </w:rPr>
            </w:pPr>
          </w:p>
        </w:tc>
        <w:tc>
          <w:tcPr>
            <w:tcW w:w="1980" w:type="dxa"/>
            <w:vAlign w:val="bottom"/>
            <w:tcBorders>
              <w:bottom w:val="single" w:sz="8" w:color="2A2A2A"/>
            </w:tcBorders>
          </w:tcPr>
          <w:p>
            <w:pPr>
              <w:spacing w:after="0"/>
              <w:rPr>
                <w:sz w:val="4"/>
                <w:szCs w:val="4"/>
                <w:color w:val="auto"/>
              </w:rPr>
            </w:pPr>
          </w:p>
        </w:tc>
        <w:tc>
          <w:tcPr>
            <w:tcW w:w="1360" w:type="dxa"/>
            <w:vAlign w:val="bottom"/>
            <w:tcBorders>
              <w:bottom w:val="single" w:sz="8" w:color="2A2A2A"/>
              <w:right w:val="single" w:sz="8" w:color="2A2A2A"/>
            </w:tcBorders>
          </w:tcPr>
          <w:p>
            <w:pPr>
              <w:spacing w:after="0"/>
              <w:rPr>
                <w:sz w:val="4"/>
                <w:szCs w:val="4"/>
                <w:color w:val="auto"/>
              </w:rPr>
            </w:pPr>
          </w:p>
        </w:tc>
        <w:tc>
          <w:tcPr>
            <w:tcW w:w="880" w:type="dxa"/>
            <w:vAlign w:val="bottom"/>
            <w:tcBorders>
              <w:right w:val="single" w:sz="8" w:color="2A2A2A"/>
            </w:tcBorders>
            <w:vMerge w:val="restart"/>
          </w:tcPr>
          <w:p>
            <w:pPr>
              <w:jc w:val="center"/>
              <w:spacing w:after="0" w:line="125" w:lineRule="exact"/>
              <w:rPr>
                <w:sz w:val="20"/>
                <w:szCs w:val="20"/>
                <w:color w:val="auto"/>
              </w:rPr>
            </w:pPr>
            <w:r>
              <w:rPr>
                <w:rFonts w:ascii="Arial" w:cs="Arial" w:eastAsia="Arial" w:hAnsi="Arial"/>
                <w:sz w:val="14"/>
                <w:szCs w:val="14"/>
                <w:b w:val="1"/>
                <w:bCs w:val="1"/>
                <w:color w:val="2A2A2A"/>
              </w:rPr>
              <w:t>Furnished</w:t>
            </w:r>
          </w:p>
        </w:tc>
        <w:tc>
          <w:tcPr>
            <w:tcW w:w="0" w:type="dxa"/>
            <w:vAlign w:val="bottom"/>
          </w:tcPr>
          <w:p>
            <w:pPr>
              <w:spacing w:after="0"/>
              <w:rPr>
                <w:sz w:val="1"/>
                <w:szCs w:val="1"/>
                <w:color w:val="auto"/>
              </w:rPr>
            </w:pPr>
          </w:p>
        </w:tc>
      </w:tr>
      <w:tr>
        <w:trPr>
          <w:trHeight w:val="51"/>
        </w:trPr>
        <w:tc>
          <w:tcPr>
            <w:tcW w:w="1040" w:type="dxa"/>
            <w:vAlign w:val="bottom"/>
            <w:tcBorders>
              <w:left w:val="single" w:sz="8" w:color="2A2A2A"/>
              <w:right w:val="single" w:sz="8" w:color="2A2A2A"/>
            </w:tcBorders>
            <w:vMerge w:val="continue"/>
          </w:tcPr>
          <w:p>
            <w:pPr>
              <w:spacing w:after="0"/>
              <w:rPr>
                <w:sz w:val="4"/>
                <w:szCs w:val="4"/>
                <w:color w:val="auto"/>
              </w:rPr>
            </w:pPr>
          </w:p>
        </w:tc>
        <w:tc>
          <w:tcPr>
            <w:tcW w:w="3120" w:type="dxa"/>
            <w:vAlign w:val="bottom"/>
            <w:tcBorders>
              <w:right w:val="single" w:sz="8" w:color="2A2A2A"/>
            </w:tcBorders>
            <w:vMerge w:val="restart"/>
          </w:tcPr>
          <w:p>
            <w:pPr>
              <w:ind w:left="740"/>
              <w:spacing w:after="0"/>
              <w:rPr>
                <w:sz w:val="20"/>
                <w:szCs w:val="20"/>
                <w:color w:val="auto"/>
              </w:rPr>
            </w:pPr>
            <w:r>
              <w:rPr>
                <w:rFonts w:ascii="Arial" w:cs="Arial" w:eastAsia="Arial" w:hAnsi="Arial"/>
                <w:sz w:val="16"/>
                <w:szCs w:val="16"/>
                <w:b w:val="1"/>
                <w:bCs w:val="1"/>
                <w:color w:val="2A2A2A"/>
              </w:rPr>
              <w:t>Description of Exhibit</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2A2A2A"/>
                <w:w w:val="99"/>
              </w:rPr>
              <w:t>Form</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2A2A2A"/>
                <w:w w:val="99"/>
              </w:rPr>
              <w:t>File Number</w:t>
            </w:r>
          </w:p>
        </w:tc>
        <w:tc>
          <w:tcPr>
            <w:tcW w:w="1980" w:type="dxa"/>
            <w:vAlign w:val="bottom"/>
            <w:vMerge w:val="restart"/>
          </w:tcPr>
          <w:p>
            <w:pPr>
              <w:ind w:left="520"/>
              <w:spacing w:after="0"/>
              <w:rPr>
                <w:sz w:val="20"/>
                <w:szCs w:val="20"/>
                <w:color w:val="auto"/>
              </w:rPr>
            </w:pPr>
            <w:r>
              <w:rPr>
                <w:rFonts w:ascii="Arial" w:cs="Arial" w:eastAsia="Arial" w:hAnsi="Arial"/>
                <w:sz w:val="16"/>
                <w:szCs w:val="16"/>
                <w:b w:val="1"/>
                <w:bCs w:val="1"/>
                <w:color w:val="2A2A2A"/>
              </w:rPr>
              <w:t>Date of Filing</w:t>
            </w:r>
          </w:p>
        </w:tc>
        <w:tc>
          <w:tcPr>
            <w:tcW w:w="1360" w:type="dxa"/>
            <w:vAlign w:val="bottom"/>
            <w:tcBorders>
              <w:right w:val="single" w:sz="8" w:color="2A2A2A"/>
            </w:tcBorders>
            <w:vMerge w:val="restart"/>
          </w:tcPr>
          <w:p>
            <w:pPr>
              <w:jc w:val="center"/>
              <w:spacing w:after="0"/>
              <w:rPr>
                <w:sz w:val="20"/>
                <w:szCs w:val="20"/>
                <w:color w:val="auto"/>
              </w:rPr>
            </w:pPr>
            <w:r>
              <w:rPr>
                <w:rFonts w:ascii="Arial" w:cs="Arial" w:eastAsia="Arial" w:hAnsi="Arial"/>
                <w:sz w:val="16"/>
                <w:szCs w:val="16"/>
                <w:b w:val="1"/>
                <w:bCs w:val="1"/>
                <w:color w:val="2A2A2A"/>
                <w:w w:val="99"/>
              </w:rPr>
              <w:t>Exhibit Number</w:t>
            </w:r>
          </w:p>
        </w:tc>
        <w:tc>
          <w:tcPr>
            <w:tcW w:w="880" w:type="dxa"/>
            <w:vAlign w:val="bottom"/>
            <w:tcBorders>
              <w:right w:val="single" w:sz="8" w:color="2A2A2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rPr>
              <w:t>Exhibit</w:t>
            </w:r>
          </w:p>
        </w:tc>
        <w:tc>
          <w:tcPr>
            <w:tcW w:w="3120" w:type="dxa"/>
            <w:vAlign w:val="bottom"/>
            <w:tcBorders>
              <w:bottom w:val="single" w:sz="8" w:color="2A2A2A"/>
              <w:right w:val="single" w:sz="8" w:color="2A2A2A"/>
            </w:tcBorders>
            <w:vMerge w:val="continue"/>
          </w:tcPr>
          <w:p>
            <w:pPr>
              <w:spacing w:after="0"/>
              <w:rPr>
                <w:sz w:val="18"/>
                <w:szCs w:val="18"/>
                <w:color w:val="auto"/>
              </w:rPr>
            </w:pPr>
          </w:p>
        </w:tc>
        <w:tc>
          <w:tcPr>
            <w:tcW w:w="780" w:type="dxa"/>
            <w:vAlign w:val="bottom"/>
            <w:tcBorders>
              <w:bottom w:val="single" w:sz="8" w:color="2A2A2A"/>
            </w:tcBorders>
            <w:vMerge w:val="continue"/>
          </w:tcPr>
          <w:p>
            <w:pPr>
              <w:spacing w:after="0"/>
              <w:rPr>
                <w:sz w:val="18"/>
                <w:szCs w:val="18"/>
                <w:color w:val="auto"/>
              </w:rPr>
            </w:pPr>
          </w:p>
        </w:tc>
        <w:tc>
          <w:tcPr>
            <w:tcW w:w="1140" w:type="dxa"/>
            <w:vAlign w:val="bottom"/>
            <w:tcBorders>
              <w:bottom w:val="single" w:sz="8" w:color="2A2A2A"/>
            </w:tcBorders>
            <w:vMerge w:val="continue"/>
          </w:tcPr>
          <w:p>
            <w:pPr>
              <w:spacing w:after="0"/>
              <w:rPr>
                <w:sz w:val="18"/>
                <w:szCs w:val="18"/>
                <w:color w:val="auto"/>
              </w:rPr>
            </w:pPr>
          </w:p>
        </w:tc>
        <w:tc>
          <w:tcPr>
            <w:tcW w:w="1980" w:type="dxa"/>
            <w:vAlign w:val="bottom"/>
            <w:tcBorders>
              <w:bottom w:val="single" w:sz="8" w:color="2A2A2A"/>
            </w:tcBorders>
            <w:vMerge w:val="continue"/>
          </w:tcPr>
          <w:p>
            <w:pPr>
              <w:spacing w:after="0"/>
              <w:rPr>
                <w:sz w:val="18"/>
                <w:szCs w:val="18"/>
                <w:color w:val="auto"/>
              </w:rPr>
            </w:pPr>
          </w:p>
        </w:tc>
        <w:tc>
          <w:tcPr>
            <w:tcW w:w="1360" w:type="dxa"/>
            <w:vAlign w:val="bottom"/>
            <w:tcBorders>
              <w:bottom w:val="single" w:sz="8" w:color="2A2A2A"/>
              <w:right w:val="single" w:sz="8" w:color="2A2A2A"/>
            </w:tcBorders>
            <w:vMerge w:val="continue"/>
          </w:tcPr>
          <w:p>
            <w:pPr>
              <w:spacing w:after="0"/>
              <w:rPr>
                <w:sz w:val="18"/>
                <w:szCs w:val="18"/>
                <w:color w:val="auto"/>
              </w:rPr>
            </w:pPr>
          </w:p>
        </w:tc>
        <w:tc>
          <w:tcPr>
            <w:tcW w:w="88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w w:val="97"/>
              </w:rPr>
              <w:t>Herewith</w:t>
            </w: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5"/>
              </w:rPr>
              <w:t>3(a)</w:t>
            </w:r>
          </w:p>
        </w:tc>
        <w:tc>
          <w:tcPr>
            <w:tcW w:w="3120" w:type="dxa"/>
            <w:vAlign w:val="bottom"/>
            <w:tcBorders>
              <w:right w:val="single" w:sz="8" w:color="2A2A2A"/>
            </w:tcBorders>
            <w:shd w:val="clear" w:color="auto" w:fill="D7D7D7"/>
          </w:tcPr>
          <w:p>
            <w:pPr>
              <w:ind w:left="60"/>
              <w:spacing w:after="0" w:line="210" w:lineRule="exact"/>
              <w:rPr>
                <w:sz w:val="20"/>
                <w:szCs w:val="20"/>
                <w:color w:val="auto"/>
              </w:rPr>
            </w:pPr>
            <w:r>
              <w:rPr>
                <w:rFonts w:ascii="Arial" w:cs="Arial" w:eastAsia="Arial" w:hAnsi="Arial"/>
                <w:sz w:val="20"/>
                <w:szCs w:val="20"/>
                <w:color w:val="2A2A2A"/>
              </w:rPr>
              <w:t>Restated Certificate of</w:t>
            </w:r>
          </w:p>
        </w:tc>
        <w:tc>
          <w:tcPr>
            <w:tcW w:w="7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shd w:val="clear" w:color="auto" w:fill="D7D7D7"/>
          </w:tcPr>
          <w:p>
            <w:pPr>
              <w:ind w:left="80"/>
              <w:spacing w:after="0" w:line="210" w:lineRule="exact"/>
              <w:rPr>
                <w:sz w:val="20"/>
                <w:szCs w:val="20"/>
                <w:color w:val="auto"/>
              </w:rPr>
            </w:pPr>
            <w:r>
              <w:rPr>
                <w:rFonts w:ascii="Arial" w:cs="Arial" w:eastAsia="Arial" w:hAnsi="Arial"/>
                <w:sz w:val="20"/>
                <w:szCs w:val="20"/>
                <w:color w:val="2A2A2A"/>
              </w:rPr>
              <w:t>February 24, 2015</w:t>
            </w:r>
          </w:p>
        </w:tc>
        <w:tc>
          <w:tcPr>
            <w:tcW w:w="1360" w:type="dxa"/>
            <w:vAlign w:val="bottom"/>
            <w:tcBorders>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color w:val="2A2A2A"/>
                <w:w w:val="95"/>
              </w:rPr>
              <w:t>3(a)</w:t>
            </w:r>
          </w:p>
        </w:tc>
        <w:tc>
          <w:tcPr>
            <w:tcW w:w="880" w:type="dxa"/>
            <w:vAlign w:val="bottom"/>
            <w:tcBorders>
              <w:right w:val="single" w:sz="8" w:color="2A2A2A"/>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Incorporation of the Registrant,</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40" w:type="dxa"/>
            <w:vAlign w:val="bottom"/>
            <w:tcBorders>
              <w:left w:val="single" w:sz="8" w:color="2A2A2A"/>
              <w:bottom w:val="single" w:sz="8" w:color="2A2A2A"/>
              <w:right w:val="single" w:sz="8" w:color="2A2A2A"/>
            </w:tcBorders>
            <w:shd w:val="clear" w:color="auto" w:fill="D7D7D7"/>
          </w:tcPr>
          <w:p>
            <w:pPr>
              <w:spacing w:after="0"/>
              <w:rPr>
                <w:sz w:val="23"/>
                <w:szCs w:val="23"/>
                <w:color w:val="auto"/>
              </w:rPr>
            </w:pP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dated April 18, 1985, as amended</w:t>
            </w:r>
          </w:p>
        </w:tc>
        <w:tc>
          <w:tcPr>
            <w:tcW w:w="780" w:type="dxa"/>
            <w:vAlign w:val="bottom"/>
            <w:tcBorders>
              <w:bottom w:val="single" w:sz="8" w:color="2A2A2A"/>
            </w:tcBorders>
            <w:shd w:val="clear" w:color="auto" w:fill="D7D7D7"/>
          </w:tcPr>
          <w:p>
            <w:pPr>
              <w:spacing w:after="0"/>
              <w:rPr>
                <w:sz w:val="23"/>
                <w:szCs w:val="23"/>
                <w:color w:val="auto"/>
              </w:rPr>
            </w:pPr>
          </w:p>
        </w:tc>
        <w:tc>
          <w:tcPr>
            <w:tcW w:w="1140" w:type="dxa"/>
            <w:vAlign w:val="bottom"/>
            <w:tcBorders>
              <w:bottom w:val="single" w:sz="8" w:color="2A2A2A"/>
            </w:tcBorders>
            <w:shd w:val="clear" w:color="auto" w:fill="D7D7D7"/>
          </w:tcPr>
          <w:p>
            <w:pPr>
              <w:spacing w:after="0"/>
              <w:rPr>
                <w:sz w:val="23"/>
                <w:szCs w:val="23"/>
                <w:color w:val="auto"/>
              </w:rPr>
            </w:pPr>
          </w:p>
        </w:tc>
        <w:tc>
          <w:tcPr>
            <w:tcW w:w="1980" w:type="dxa"/>
            <w:vAlign w:val="bottom"/>
            <w:tcBorders>
              <w:bottom w:val="single" w:sz="8" w:color="2A2A2A"/>
            </w:tcBorders>
            <w:shd w:val="clear" w:color="auto" w:fill="D7D7D7"/>
          </w:tcPr>
          <w:p>
            <w:pPr>
              <w:spacing w:after="0"/>
              <w:rPr>
                <w:sz w:val="23"/>
                <w:szCs w:val="23"/>
                <w:color w:val="auto"/>
              </w:rPr>
            </w:pPr>
          </w:p>
        </w:tc>
        <w:tc>
          <w:tcPr>
            <w:tcW w:w="1360" w:type="dxa"/>
            <w:vAlign w:val="bottom"/>
            <w:tcBorders>
              <w:bottom w:val="single" w:sz="8" w:color="2A2A2A"/>
              <w:right w:val="single" w:sz="8" w:color="2A2A2A"/>
            </w:tcBorders>
            <w:shd w:val="clear" w:color="auto" w:fill="D7D7D7"/>
          </w:tcPr>
          <w:p>
            <w:pPr>
              <w:spacing w:after="0"/>
              <w:rPr>
                <w:sz w:val="23"/>
                <w:szCs w:val="23"/>
                <w:color w:val="auto"/>
              </w:rPr>
            </w:pPr>
          </w:p>
        </w:tc>
        <w:tc>
          <w:tcPr>
            <w:tcW w:w="880" w:type="dxa"/>
            <w:vAlign w:val="bottom"/>
            <w:tcBorders>
              <w:bottom w:val="single" w:sz="8" w:color="2A2A2A"/>
              <w:right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rPr>
              <w:t>3(b)</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By-Laws of the Registrant</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January 26, 2022</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w w:val="89"/>
              </w:rPr>
              <w:t>3</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5"/>
              </w:rPr>
              <w:t>4(a)</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Indenture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May 23, 2011</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4.2</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rPr>
              <w:t>4(b)</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May 4, 2017</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5"/>
              </w:rPr>
              <w:t>4(c)</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November 3, 2017</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rPr>
              <w:t>4(d)</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May 7, 2018</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5"/>
              </w:rPr>
              <w:t>4(e)</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June 8, 2018</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w w:val="96"/>
              </w:rPr>
              <w:t>4(f)</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March 11, 2019</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rPr>
              <w:t>4(g)</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September 4, 2019</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rPr>
              <w:t>4(h)</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March 12, 2020</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9"/>
              </w:rPr>
              <w:t>4(i)</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May 4, 2020</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w w:val="99"/>
              </w:rPr>
              <w:t>4(j)</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September 15, 2021</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5"/>
              </w:rPr>
              <w:t>4(k)</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August 16, 2022</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w w:val="99"/>
              </w:rPr>
              <w:t>4(l)</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November 18, 2022</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w w:val="99"/>
              </w:rPr>
              <w:t>4(m)</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March 14, 2023</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20"/>
                <w:szCs w:val="20"/>
                <w:b w:val="1"/>
                <w:bCs w:val="1"/>
                <w:color w:val="2A2A2A"/>
              </w:rPr>
              <w:t>4(n)</w:t>
            </w: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Officers’ Certificate</w:t>
            </w:r>
          </w:p>
        </w:tc>
        <w:tc>
          <w:tcPr>
            <w:tcW w:w="78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8-K</w:t>
            </w:r>
          </w:p>
        </w:tc>
        <w:tc>
          <w:tcPr>
            <w:tcW w:w="1140" w:type="dxa"/>
            <w:vAlign w:val="bottom"/>
            <w:tcBorders>
              <w:bottom w:val="single" w:sz="8" w:color="2A2A2A"/>
            </w:tcBorders>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tcPr>
          <w:p>
            <w:pPr>
              <w:ind w:left="80"/>
              <w:spacing w:after="0"/>
              <w:rPr>
                <w:sz w:val="20"/>
                <w:szCs w:val="20"/>
                <w:color w:val="auto"/>
              </w:rPr>
            </w:pPr>
            <w:r>
              <w:rPr>
                <w:rFonts w:ascii="Arial" w:cs="Arial" w:eastAsia="Arial" w:hAnsi="Arial"/>
                <w:sz w:val="20"/>
                <w:szCs w:val="20"/>
                <w:color w:val="2A2A2A"/>
              </w:rPr>
              <w:t>May 18, 2023</w:t>
            </w:r>
          </w:p>
        </w:tc>
        <w:tc>
          <w:tcPr>
            <w:tcW w:w="1360" w:type="dxa"/>
            <w:vAlign w:val="bottom"/>
            <w:tcBorders>
              <w:bottom w:val="single" w:sz="8" w:color="2A2A2A"/>
              <w:right w:val="single" w:sz="8" w:color="2A2A2A"/>
            </w:tcBorders>
          </w:tcPr>
          <w:p>
            <w:pPr>
              <w:jc w:val="center"/>
              <w:spacing w:after="0"/>
              <w:rPr>
                <w:sz w:val="20"/>
                <w:szCs w:val="20"/>
                <w:color w:val="auto"/>
              </w:rPr>
            </w:pPr>
            <w:r>
              <w:rPr>
                <w:rFonts w:ascii="Arial" w:cs="Arial" w:eastAsia="Arial" w:hAnsi="Arial"/>
                <w:sz w:val="20"/>
                <w:szCs w:val="20"/>
                <w:color w:val="2A2A2A"/>
              </w:rPr>
              <w:t>4.1</w:t>
            </w:r>
          </w:p>
        </w:tc>
        <w:tc>
          <w:tcPr>
            <w:tcW w:w="880" w:type="dxa"/>
            <w:vAlign w:val="bottom"/>
            <w:tcBorders>
              <w:bottom w:val="single" w:sz="8" w:color="2A2A2A"/>
              <w:right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left w:val="single" w:sz="8" w:color="2A2A2A"/>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b w:val="1"/>
                <w:bCs w:val="1"/>
                <w:color w:val="2A2A2A"/>
              </w:rPr>
              <w:t>4(o)</w:t>
            </w: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Description of Securities</w:t>
            </w:r>
          </w:p>
        </w:tc>
        <w:tc>
          <w:tcPr>
            <w:tcW w:w="78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w w:val="99"/>
              </w:rPr>
              <w:t>10-K</w:t>
            </w:r>
          </w:p>
        </w:tc>
        <w:tc>
          <w:tcPr>
            <w:tcW w:w="1140" w:type="dxa"/>
            <w:vAlign w:val="bottom"/>
            <w:tcBorders>
              <w:bottom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001-3761</w:t>
            </w:r>
          </w:p>
        </w:tc>
        <w:tc>
          <w:tcPr>
            <w:tcW w:w="1980" w:type="dxa"/>
            <w:vAlign w:val="bottom"/>
            <w:tcBorders>
              <w:bottom w:val="single" w:sz="8" w:color="2A2A2A"/>
            </w:tcBorders>
            <w:shd w:val="clear" w:color="auto" w:fill="D7D7D7"/>
          </w:tcPr>
          <w:p>
            <w:pPr>
              <w:ind w:left="80"/>
              <w:spacing w:after="0"/>
              <w:rPr>
                <w:sz w:val="20"/>
                <w:szCs w:val="20"/>
                <w:color w:val="auto"/>
              </w:rPr>
            </w:pPr>
            <w:r>
              <w:rPr>
                <w:rFonts w:ascii="Arial" w:cs="Arial" w:eastAsia="Arial" w:hAnsi="Arial"/>
                <w:sz w:val="20"/>
                <w:szCs w:val="20"/>
                <w:color w:val="2A2A2A"/>
              </w:rPr>
              <w:t>February 20, 2020</w:t>
            </w:r>
          </w:p>
        </w:tc>
        <w:tc>
          <w:tcPr>
            <w:tcW w:w="1360" w:type="dxa"/>
            <w:vAlign w:val="bottom"/>
            <w:tcBorders>
              <w:bottom w:val="single" w:sz="8" w:color="2A2A2A"/>
              <w:right w:val="single" w:sz="8" w:color="2A2A2A"/>
            </w:tcBorders>
            <w:shd w:val="clear" w:color="auto" w:fill="D7D7D7"/>
          </w:tcPr>
          <w:p>
            <w:pPr>
              <w:jc w:val="center"/>
              <w:spacing w:after="0"/>
              <w:rPr>
                <w:sz w:val="20"/>
                <w:szCs w:val="20"/>
                <w:color w:val="auto"/>
              </w:rPr>
            </w:pPr>
            <w:r>
              <w:rPr>
                <w:rFonts w:ascii="Arial" w:cs="Arial" w:eastAsia="Arial" w:hAnsi="Arial"/>
                <w:sz w:val="20"/>
                <w:szCs w:val="20"/>
                <w:color w:val="2A2A2A"/>
              </w:rPr>
              <w:t>4(l)</w:t>
            </w:r>
          </w:p>
        </w:tc>
        <w:tc>
          <w:tcPr>
            <w:tcW w:w="880" w:type="dxa"/>
            <w:vAlign w:val="bottom"/>
            <w:tcBorders>
              <w:bottom w:val="single" w:sz="8" w:color="2A2A2A"/>
              <w:right w:val="single" w:sz="8" w:color="2A2A2A"/>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tcPr>
          <w:p>
            <w:pPr>
              <w:jc w:val="center"/>
              <w:spacing w:after="0" w:line="210" w:lineRule="exact"/>
              <w:rPr>
                <w:sz w:val="20"/>
                <w:szCs w:val="20"/>
                <w:color w:val="auto"/>
              </w:rPr>
            </w:pPr>
            <w:r>
              <w:rPr>
                <w:rFonts w:ascii="Arial" w:cs="Arial" w:eastAsia="Arial" w:hAnsi="Arial"/>
                <w:sz w:val="20"/>
                <w:szCs w:val="20"/>
                <w:b w:val="1"/>
                <w:bCs w:val="1"/>
                <w:color w:val="2A2A2A"/>
                <w:w w:val="98"/>
              </w:rPr>
              <w:t>10(a)</w:t>
            </w:r>
          </w:p>
        </w:tc>
        <w:tc>
          <w:tcPr>
            <w:tcW w:w="3120" w:type="dxa"/>
            <w:vAlign w:val="bottom"/>
            <w:tcBorders>
              <w:right w:val="single" w:sz="8" w:color="2A2A2A"/>
            </w:tcBorders>
          </w:tcPr>
          <w:p>
            <w:pPr>
              <w:ind w:left="60"/>
              <w:spacing w:after="0" w:line="210" w:lineRule="exact"/>
              <w:rPr>
                <w:sz w:val="20"/>
                <w:szCs w:val="20"/>
                <w:color w:val="auto"/>
              </w:rPr>
            </w:pPr>
            <w:r>
              <w:rPr>
                <w:rFonts w:ascii="Arial" w:cs="Arial" w:eastAsia="Arial" w:hAnsi="Arial"/>
                <w:sz w:val="20"/>
                <w:szCs w:val="20"/>
                <w:color w:val="2A2A2A"/>
              </w:rPr>
              <w:t>TI Deferred Compensation Plan,</w:t>
            </w:r>
          </w:p>
        </w:tc>
        <w:tc>
          <w:tcPr>
            <w:tcW w:w="780" w:type="dxa"/>
            <w:vAlign w:val="bottom"/>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tcPr>
          <w:p>
            <w:pPr>
              <w:ind w:left="80"/>
              <w:spacing w:after="0" w:line="210" w:lineRule="exact"/>
              <w:rPr>
                <w:sz w:val="20"/>
                <w:szCs w:val="20"/>
                <w:color w:val="auto"/>
              </w:rPr>
            </w:pPr>
            <w:r>
              <w:rPr>
                <w:rFonts w:ascii="Arial" w:cs="Arial" w:eastAsia="Arial" w:hAnsi="Arial"/>
                <w:sz w:val="20"/>
                <w:szCs w:val="20"/>
                <w:color w:val="2A2A2A"/>
              </w:rPr>
              <w:t>February 24, 2016</w:t>
            </w:r>
          </w:p>
        </w:tc>
        <w:tc>
          <w:tcPr>
            <w:tcW w:w="1360" w:type="dxa"/>
            <w:vAlign w:val="bottom"/>
            <w:tcBorders>
              <w:right w:val="single" w:sz="8" w:color="2A2A2A"/>
            </w:tcBorders>
          </w:tcPr>
          <w:p>
            <w:pPr>
              <w:jc w:val="center"/>
              <w:spacing w:after="0" w:line="210" w:lineRule="exact"/>
              <w:rPr>
                <w:sz w:val="20"/>
                <w:szCs w:val="20"/>
                <w:color w:val="auto"/>
              </w:rPr>
            </w:pPr>
            <w:r>
              <w:rPr>
                <w:rFonts w:ascii="Arial" w:cs="Arial" w:eastAsia="Arial" w:hAnsi="Arial"/>
                <w:sz w:val="20"/>
                <w:szCs w:val="20"/>
                <w:color w:val="2A2A2A"/>
                <w:w w:val="98"/>
              </w:rPr>
              <w:t>10(a)</w:t>
            </w:r>
          </w:p>
        </w:tc>
        <w:tc>
          <w:tcPr>
            <w:tcW w:w="880" w:type="dxa"/>
            <w:vAlign w:val="bottom"/>
            <w:tcBorders>
              <w:right w:val="single" w:sz="8" w:color="2A2A2A"/>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2A2A2A"/>
              <w:bottom w:val="single" w:sz="8" w:color="2A2A2A"/>
              <w:right w:val="single" w:sz="8" w:color="2A2A2A"/>
            </w:tcBorders>
          </w:tcPr>
          <w:p>
            <w:pPr>
              <w:spacing w:after="0"/>
              <w:rPr>
                <w:sz w:val="22"/>
                <w:szCs w:val="22"/>
                <w:color w:val="auto"/>
              </w:rPr>
            </w:pP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as amended *</w:t>
            </w:r>
          </w:p>
        </w:tc>
        <w:tc>
          <w:tcPr>
            <w:tcW w:w="780" w:type="dxa"/>
            <w:vAlign w:val="bottom"/>
            <w:tcBorders>
              <w:bottom w:val="single" w:sz="8" w:color="2A2A2A"/>
            </w:tcBorders>
          </w:tcPr>
          <w:p>
            <w:pPr>
              <w:spacing w:after="0"/>
              <w:rPr>
                <w:sz w:val="22"/>
                <w:szCs w:val="22"/>
                <w:color w:val="auto"/>
              </w:rPr>
            </w:pPr>
          </w:p>
        </w:tc>
        <w:tc>
          <w:tcPr>
            <w:tcW w:w="1140" w:type="dxa"/>
            <w:vAlign w:val="bottom"/>
            <w:tcBorders>
              <w:bottom w:val="single" w:sz="8" w:color="2A2A2A"/>
            </w:tcBorders>
          </w:tcPr>
          <w:p>
            <w:pPr>
              <w:spacing w:after="0"/>
              <w:rPr>
                <w:sz w:val="22"/>
                <w:szCs w:val="22"/>
                <w:color w:val="auto"/>
              </w:rPr>
            </w:pPr>
          </w:p>
        </w:tc>
        <w:tc>
          <w:tcPr>
            <w:tcW w:w="1980" w:type="dxa"/>
            <w:vAlign w:val="bottom"/>
            <w:tcBorders>
              <w:bottom w:val="single" w:sz="8" w:color="2A2A2A"/>
            </w:tcBorders>
          </w:tcPr>
          <w:p>
            <w:pPr>
              <w:spacing w:after="0"/>
              <w:rPr>
                <w:sz w:val="22"/>
                <w:szCs w:val="22"/>
                <w:color w:val="auto"/>
              </w:rPr>
            </w:pPr>
          </w:p>
        </w:tc>
        <w:tc>
          <w:tcPr>
            <w:tcW w:w="1360" w:type="dxa"/>
            <w:vAlign w:val="bottom"/>
            <w:tcBorders>
              <w:bottom w:val="single" w:sz="8" w:color="2A2A2A"/>
              <w:right w:val="single" w:sz="8" w:color="2A2A2A"/>
            </w:tcBorders>
          </w:tcPr>
          <w:p>
            <w:pPr>
              <w:spacing w:after="0"/>
              <w:rPr>
                <w:sz w:val="22"/>
                <w:szCs w:val="22"/>
                <w:color w:val="auto"/>
              </w:rPr>
            </w:pPr>
          </w:p>
        </w:tc>
        <w:tc>
          <w:tcPr>
            <w:tcW w:w="880" w:type="dxa"/>
            <w:vAlign w:val="bottom"/>
            <w:tcBorders>
              <w:bottom w:val="single" w:sz="8" w:color="2A2A2A"/>
              <w:right w:val="single" w:sz="8" w:color="2A2A2A"/>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6"/>
              </w:rPr>
              <w:t>10(b)</w:t>
            </w:r>
          </w:p>
        </w:tc>
        <w:tc>
          <w:tcPr>
            <w:tcW w:w="3120" w:type="dxa"/>
            <w:vAlign w:val="bottom"/>
            <w:tcBorders>
              <w:right w:val="single" w:sz="8" w:color="2A2A2A"/>
            </w:tcBorders>
            <w:shd w:val="clear" w:color="auto" w:fill="D7D7D7"/>
          </w:tcPr>
          <w:p>
            <w:pPr>
              <w:ind w:left="60"/>
              <w:spacing w:after="0" w:line="210" w:lineRule="exact"/>
              <w:rPr>
                <w:sz w:val="20"/>
                <w:szCs w:val="20"/>
                <w:color w:val="auto"/>
              </w:rPr>
            </w:pPr>
            <w:r>
              <w:rPr>
                <w:rFonts w:ascii="Arial" w:cs="Arial" w:eastAsia="Arial" w:hAnsi="Arial"/>
                <w:sz w:val="20"/>
                <w:szCs w:val="20"/>
                <w:color w:val="2A2A2A"/>
              </w:rPr>
              <w:t>TI Employees Non-Qualified</w:t>
            </w:r>
          </w:p>
        </w:tc>
        <w:tc>
          <w:tcPr>
            <w:tcW w:w="7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shd w:val="clear" w:color="auto" w:fill="D7D7D7"/>
          </w:tcPr>
          <w:p>
            <w:pPr>
              <w:ind w:left="80"/>
              <w:spacing w:after="0" w:line="210" w:lineRule="exact"/>
              <w:rPr>
                <w:sz w:val="20"/>
                <w:szCs w:val="20"/>
                <w:color w:val="auto"/>
              </w:rPr>
            </w:pPr>
            <w:r>
              <w:rPr>
                <w:rFonts w:ascii="Arial" w:cs="Arial" w:eastAsia="Arial" w:hAnsi="Arial"/>
                <w:sz w:val="20"/>
                <w:szCs w:val="20"/>
                <w:color w:val="2A2A2A"/>
              </w:rPr>
              <w:t>February 24, 2016</w:t>
            </w:r>
          </w:p>
        </w:tc>
        <w:tc>
          <w:tcPr>
            <w:tcW w:w="1360" w:type="dxa"/>
            <w:vAlign w:val="bottom"/>
            <w:tcBorders>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color w:val="2A2A2A"/>
                <w:w w:val="98"/>
              </w:rPr>
              <w:t>10(b)</w:t>
            </w:r>
          </w:p>
        </w:tc>
        <w:tc>
          <w:tcPr>
            <w:tcW w:w="880" w:type="dxa"/>
            <w:vAlign w:val="bottom"/>
            <w:tcBorders>
              <w:right w:val="single" w:sz="8" w:color="2A2A2A"/>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Pension Plan, effective</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40" w:type="dxa"/>
            <w:vAlign w:val="bottom"/>
            <w:tcBorders>
              <w:left w:val="single" w:sz="8" w:color="2A2A2A"/>
              <w:bottom w:val="single" w:sz="8" w:color="2A2A2A"/>
              <w:right w:val="single" w:sz="8" w:color="2A2A2A"/>
            </w:tcBorders>
            <w:shd w:val="clear" w:color="auto" w:fill="D7D7D7"/>
          </w:tcPr>
          <w:p>
            <w:pPr>
              <w:spacing w:after="0"/>
              <w:rPr>
                <w:sz w:val="23"/>
                <w:szCs w:val="23"/>
                <w:color w:val="auto"/>
              </w:rPr>
            </w:pP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January 1, 2009, as amended *</w:t>
            </w:r>
          </w:p>
        </w:tc>
        <w:tc>
          <w:tcPr>
            <w:tcW w:w="780" w:type="dxa"/>
            <w:vAlign w:val="bottom"/>
            <w:tcBorders>
              <w:bottom w:val="single" w:sz="8" w:color="2A2A2A"/>
            </w:tcBorders>
            <w:shd w:val="clear" w:color="auto" w:fill="D7D7D7"/>
          </w:tcPr>
          <w:p>
            <w:pPr>
              <w:spacing w:after="0"/>
              <w:rPr>
                <w:sz w:val="23"/>
                <w:szCs w:val="23"/>
                <w:color w:val="auto"/>
              </w:rPr>
            </w:pPr>
          </w:p>
        </w:tc>
        <w:tc>
          <w:tcPr>
            <w:tcW w:w="1140" w:type="dxa"/>
            <w:vAlign w:val="bottom"/>
            <w:tcBorders>
              <w:bottom w:val="single" w:sz="8" w:color="2A2A2A"/>
            </w:tcBorders>
            <w:shd w:val="clear" w:color="auto" w:fill="D7D7D7"/>
          </w:tcPr>
          <w:p>
            <w:pPr>
              <w:spacing w:after="0"/>
              <w:rPr>
                <w:sz w:val="23"/>
                <w:szCs w:val="23"/>
                <w:color w:val="auto"/>
              </w:rPr>
            </w:pPr>
          </w:p>
        </w:tc>
        <w:tc>
          <w:tcPr>
            <w:tcW w:w="1980" w:type="dxa"/>
            <w:vAlign w:val="bottom"/>
            <w:tcBorders>
              <w:bottom w:val="single" w:sz="8" w:color="2A2A2A"/>
            </w:tcBorders>
            <w:shd w:val="clear" w:color="auto" w:fill="D7D7D7"/>
          </w:tcPr>
          <w:p>
            <w:pPr>
              <w:spacing w:after="0"/>
              <w:rPr>
                <w:sz w:val="23"/>
                <w:szCs w:val="23"/>
                <w:color w:val="auto"/>
              </w:rPr>
            </w:pPr>
          </w:p>
        </w:tc>
        <w:tc>
          <w:tcPr>
            <w:tcW w:w="1360" w:type="dxa"/>
            <w:vAlign w:val="bottom"/>
            <w:tcBorders>
              <w:bottom w:val="single" w:sz="8" w:color="2A2A2A"/>
              <w:right w:val="single" w:sz="8" w:color="2A2A2A"/>
            </w:tcBorders>
            <w:shd w:val="clear" w:color="auto" w:fill="D7D7D7"/>
          </w:tcPr>
          <w:p>
            <w:pPr>
              <w:spacing w:after="0"/>
              <w:rPr>
                <w:sz w:val="23"/>
                <w:szCs w:val="23"/>
                <w:color w:val="auto"/>
              </w:rPr>
            </w:pPr>
          </w:p>
        </w:tc>
        <w:tc>
          <w:tcPr>
            <w:tcW w:w="880" w:type="dxa"/>
            <w:vAlign w:val="bottom"/>
            <w:tcBorders>
              <w:bottom w:val="single" w:sz="8" w:color="2A2A2A"/>
              <w:right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tcPr>
          <w:p>
            <w:pPr>
              <w:jc w:val="center"/>
              <w:spacing w:after="0" w:line="210" w:lineRule="exact"/>
              <w:rPr>
                <w:sz w:val="20"/>
                <w:szCs w:val="20"/>
                <w:color w:val="auto"/>
              </w:rPr>
            </w:pPr>
            <w:r>
              <w:rPr>
                <w:rFonts w:ascii="Arial" w:cs="Arial" w:eastAsia="Arial" w:hAnsi="Arial"/>
                <w:sz w:val="20"/>
                <w:szCs w:val="20"/>
                <w:b w:val="1"/>
                <w:bCs w:val="1"/>
                <w:color w:val="2A2A2A"/>
                <w:w w:val="98"/>
              </w:rPr>
              <w:t>10(c)</w:t>
            </w:r>
          </w:p>
        </w:tc>
        <w:tc>
          <w:tcPr>
            <w:tcW w:w="3120" w:type="dxa"/>
            <w:vAlign w:val="bottom"/>
            <w:tcBorders>
              <w:right w:val="single" w:sz="8" w:color="2A2A2A"/>
            </w:tcBorders>
          </w:tcPr>
          <w:p>
            <w:pPr>
              <w:ind w:left="60"/>
              <w:spacing w:after="0" w:line="210" w:lineRule="exact"/>
              <w:rPr>
                <w:sz w:val="20"/>
                <w:szCs w:val="20"/>
                <w:color w:val="auto"/>
              </w:rPr>
            </w:pPr>
            <w:r>
              <w:rPr>
                <w:rFonts w:ascii="Arial" w:cs="Arial" w:eastAsia="Arial" w:hAnsi="Arial"/>
                <w:sz w:val="20"/>
                <w:szCs w:val="20"/>
                <w:color w:val="2A2A2A"/>
              </w:rPr>
              <w:t>TI Employees Non-Qualified</w:t>
            </w:r>
          </w:p>
        </w:tc>
        <w:tc>
          <w:tcPr>
            <w:tcW w:w="780" w:type="dxa"/>
            <w:vAlign w:val="bottom"/>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tcPr>
          <w:p>
            <w:pPr>
              <w:ind w:left="80"/>
              <w:spacing w:after="0" w:line="210" w:lineRule="exact"/>
              <w:rPr>
                <w:sz w:val="20"/>
                <w:szCs w:val="20"/>
                <w:color w:val="auto"/>
              </w:rPr>
            </w:pPr>
            <w:r>
              <w:rPr>
                <w:rFonts w:ascii="Arial" w:cs="Arial" w:eastAsia="Arial" w:hAnsi="Arial"/>
                <w:sz w:val="20"/>
                <w:szCs w:val="20"/>
                <w:color w:val="2A2A2A"/>
              </w:rPr>
              <w:t>February 24, 2016</w:t>
            </w:r>
          </w:p>
        </w:tc>
        <w:tc>
          <w:tcPr>
            <w:tcW w:w="1360" w:type="dxa"/>
            <w:vAlign w:val="bottom"/>
            <w:tcBorders>
              <w:right w:val="single" w:sz="8" w:color="2A2A2A"/>
            </w:tcBorders>
          </w:tcPr>
          <w:p>
            <w:pPr>
              <w:jc w:val="center"/>
              <w:spacing w:after="0" w:line="210" w:lineRule="exact"/>
              <w:rPr>
                <w:sz w:val="20"/>
                <w:szCs w:val="20"/>
                <w:color w:val="auto"/>
              </w:rPr>
            </w:pPr>
            <w:r>
              <w:rPr>
                <w:rFonts w:ascii="Arial" w:cs="Arial" w:eastAsia="Arial" w:hAnsi="Arial"/>
                <w:sz w:val="20"/>
                <w:szCs w:val="20"/>
                <w:color w:val="2A2A2A"/>
              </w:rPr>
              <w:t>10(c)</w:t>
            </w:r>
          </w:p>
        </w:tc>
        <w:tc>
          <w:tcPr>
            <w:tcW w:w="880" w:type="dxa"/>
            <w:vAlign w:val="bottom"/>
            <w:tcBorders>
              <w:right w:val="single" w:sz="8" w:color="2A2A2A"/>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2A2A2A"/>
              <w:bottom w:val="single" w:sz="8" w:color="2A2A2A"/>
              <w:right w:val="single" w:sz="8" w:color="2A2A2A"/>
            </w:tcBorders>
          </w:tcPr>
          <w:p>
            <w:pPr>
              <w:spacing w:after="0"/>
              <w:rPr>
                <w:sz w:val="22"/>
                <w:szCs w:val="22"/>
                <w:color w:val="auto"/>
              </w:rPr>
            </w:pP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Pension Plan II *</w:t>
            </w:r>
          </w:p>
        </w:tc>
        <w:tc>
          <w:tcPr>
            <w:tcW w:w="780" w:type="dxa"/>
            <w:vAlign w:val="bottom"/>
            <w:tcBorders>
              <w:bottom w:val="single" w:sz="8" w:color="2A2A2A"/>
            </w:tcBorders>
          </w:tcPr>
          <w:p>
            <w:pPr>
              <w:spacing w:after="0"/>
              <w:rPr>
                <w:sz w:val="22"/>
                <w:szCs w:val="22"/>
                <w:color w:val="auto"/>
              </w:rPr>
            </w:pPr>
          </w:p>
        </w:tc>
        <w:tc>
          <w:tcPr>
            <w:tcW w:w="1140" w:type="dxa"/>
            <w:vAlign w:val="bottom"/>
            <w:tcBorders>
              <w:bottom w:val="single" w:sz="8" w:color="2A2A2A"/>
            </w:tcBorders>
          </w:tcPr>
          <w:p>
            <w:pPr>
              <w:spacing w:after="0"/>
              <w:rPr>
                <w:sz w:val="22"/>
                <w:szCs w:val="22"/>
                <w:color w:val="auto"/>
              </w:rPr>
            </w:pPr>
          </w:p>
        </w:tc>
        <w:tc>
          <w:tcPr>
            <w:tcW w:w="1980" w:type="dxa"/>
            <w:vAlign w:val="bottom"/>
            <w:tcBorders>
              <w:bottom w:val="single" w:sz="8" w:color="2A2A2A"/>
            </w:tcBorders>
          </w:tcPr>
          <w:p>
            <w:pPr>
              <w:spacing w:after="0"/>
              <w:rPr>
                <w:sz w:val="22"/>
                <w:szCs w:val="22"/>
                <w:color w:val="auto"/>
              </w:rPr>
            </w:pPr>
          </w:p>
        </w:tc>
        <w:tc>
          <w:tcPr>
            <w:tcW w:w="1360" w:type="dxa"/>
            <w:vAlign w:val="bottom"/>
            <w:tcBorders>
              <w:bottom w:val="single" w:sz="8" w:color="2A2A2A"/>
              <w:right w:val="single" w:sz="8" w:color="2A2A2A"/>
            </w:tcBorders>
          </w:tcPr>
          <w:p>
            <w:pPr>
              <w:spacing w:after="0"/>
              <w:rPr>
                <w:sz w:val="22"/>
                <w:szCs w:val="22"/>
                <w:color w:val="auto"/>
              </w:rPr>
            </w:pPr>
          </w:p>
        </w:tc>
        <w:tc>
          <w:tcPr>
            <w:tcW w:w="880" w:type="dxa"/>
            <w:vAlign w:val="bottom"/>
            <w:tcBorders>
              <w:bottom w:val="single" w:sz="8" w:color="2A2A2A"/>
              <w:right w:val="single" w:sz="8" w:color="2A2A2A"/>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6"/>
              </w:rPr>
              <w:t>10(d)</w:t>
            </w:r>
          </w:p>
        </w:tc>
        <w:tc>
          <w:tcPr>
            <w:tcW w:w="3120" w:type="dxa"/>
            <w:vAlign w:val="bottom"/>
            <w:tcBorders>
              <w:right w:val="single" w:sz="8" w:color="2A2A2A"/>
            </w:tcBorders>
            <w:shd w:val="clear" w:color="auto" w:fill="D7D7D7"/>
          </w:tcPr>
          <w:p>
            <w:pPr>
              <w:ind w:left="60"/>
              <w:spacing w:after="0" w:line="210" w:lineRule="exact"/>
              <w:rPr>
                <w:sz w:val="20"/>
                <w:szCs w:val="20"/>
                <w:color w:val="auto"/>
              </w:rPr>
            </w:pPr>
            <w:r>
              <w:rPr>
                <w:rFonts w:ascii="Arial" w:cs="Arial" w:eastAsia="Arial" w:hAnsi="Arial"/>
                <w:sz w:val="20"/>
                <w:szCs w:val="20"/>
                <w:color w:val="2A2A2A"/>
              </w:rPr>
              <w:t>Texas Instruments Long-Term</w:t>
            </w:r>
          </w:p>
        </w:tc>
        <w:tc>
          <w:tcPr>
            <w:tcW w:w="7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shd w:val="clear" w:color="auto" w:fill="D7D7D7"/>
          </w:tcPr>
          <w:p>
            <w:pPr>
              <w:ind w:left="80"/>
              <w:spacing w:after="0" w:line="210" w:lineRule="exact"/>
              <w:rPr>
                <w:sz w:val="20"/>
                <w:szCs w:val="20"/>
                <w:color w:val="auto"/>
              </w:rPr>
            </w:pPr>
            <w:r>
              <w:rPr>
                <w:rFonts w:ascii="Arial" w:cs="Arial" w:eastAsia="Arial" w:hAnsi="Arial"/>
                <w:sz w:val="20"/>
                <w:szCs w:val="20"/>
                <w:color w:val="2A2A2A"/>
              </w:rPr>
              <w:t>February 24, 2012</w:t>
            </w:r>
          </w:p>
        </w:tc>
        <w:tc>
          <w:tcPr>
            <w:tcW w:w="1360" w:type="dxa"/>
            <w:vAlign w:val="bottom"/>
            <w:tcBorders>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color w:val="2A2A2A"/>
              </w:rPr>
              <w:t>10(c)</w:t>
            </w:r>
          </w:p>
        </w:tc>
        <w:tc>
          <w:tcPr>
            <w:tcW w:w="880" w:type="dxa"/>
            <w:vAlign w:val="bottom"/>
            <w:tcBorders>
              <w:right w:val="single" w:sz="8" w:color="2A2A2A"/>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Incentive Plan, adopted</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40" w:type="dxa"/>
            <w:vAlign w:val="bottom"/>
            <w:tcBorders>
              <w:left w:val="single" w:sz="8" w:color="2A2A2A"/>
              <w:bottom w:val="single" w:sz="8" w:color="2A2A2A"/>
              <w:right w:val="single" w:sz="8" w:color="2A2A2A"/>
            </w:tcBorders>
            <w:shd w:val="clear" w:color="auto" w:fill="D7D7D7"/>
          </w:tcPr>
          <w:p>
            <w:pPr>
              <w:spacing w:after="0"/>
              <w:rPr>
                <w:sz w:val="23"/>
                <w:szCs w:val="23"/>
                <w:color w:val="auto"/>
              </w:rPr>
            </w:pP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April 15, 1993 *</w:t>
            </w:r>
          </w:p>
        </w:tc>
        <w:tc>
          <w:tcPr>
            <w:tcW w:w="780" w:type="dxa"/>
            <w:vAlign w:val="bottom"/>
            <w:tcBorders>
              <w:bottom w:val="single" w:sz="8" w:color="2A2A2A"/>
            </w:tcBorders>
            <w:shd w:val="clear" w:color="auto" w:fill="D7D7D7"/>
          </w:tcPr>
          <w:p>
            <w:pPr>
              <w:spacing w:after="0"/>
              <w:rPr>
                <w:sz w:val="23"/>
                <w:szCs w:val="23"/>
                <w:color w:val="auto"/>
              </w:rPr>
            </w:pPr>
          </w:p>
        </w:tc>
        <w:tc>
          <w:tcPr>
            <w:tcW w:w="1140" w:type="dxa"/>
            <w:vAlign w:val="bottom"/>
            <w:tcBorders>
              <w:bottom w:val="single" w:sz="8" w:color="2A2A2A"/>
            </w:tcBorders>
            <w:shd w:val="clear" w:color="auto" w:fill="D7D7D7"/>
          </w:tcPr>
          <w:p>
            <w:pPr>
              <w:spacing w:after="0"/>
              <w:rPr>
                <w:sz w:val="23"/>
                <w:szCs w:val="23"/>
                <w:color w:val="auto"/>
              </w:rPr>
            </w:pPr>
          </w:p>
        </w:tc>
        <w:tc>
          <w:tcPr>
            <w:tcW w:w="1980" w:type="dxa"/>
            <w:vAlign w:val="bottom"/>
            <w:tcBorders>
              <w:bottom w:val="single" w:sz="8" w:color="2A2A2A"/>
            </w:tcBorders>
            <w:shd w:val="clear" w:color="auto" w:fill="D7D7D7"/>
          </w:tcPr>
          <w:p>
            <w:pPr>
              <w:spacing w:after="0"/>
              <w:rPr>
                <w:sz w:val="23"/>
                <w:szCs w:val="23"/>
                <w:color w:val="auto"/>
              </w:rPr>
            </w:pPr>
          </w:p>
        </w:tc>
        <w:tc>
          <w:tcPr>
            <w:tcW w:w="1360" w:type="dxa"/>
            <w:vAlign w:val="bottom"/>
            <w:tcBorders>
              <w:bottom w:val="single" w:sz="8" w:color="2A2A2A"/>
              <w:right w:val="single" w:sz="8" w:color="2A2A2A"/>
            </w:tcBorders>
            <w:shd w:val="clear" w:color="auto" w:fill="D7D7D7"/>
          </w:tcPr>
          <w:p>
            <w:pPr>
              <w:spacing w:after="0"/>
              <w:rPr>
                <w:sz w:val="23"/>
                <w:szCs w:val="23"/>
                <w:color w:val="auto"/>
              </w:rPr>
            </w:pPr>
          </w:p>
        </w:tc>
        <w:tc>
          <w:tcPr>
            <w:tcW w:w="880" w:type="dxa"/>
            <w:vAlign w:val="bottom"/>
            <w:tcBorders>
              <w:bottom w:val="single" w:sz="8" w:color="2A2A2A"/>
              <w:right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tcPr>
          <w:p>
            <w:pPr>
              <w:jc w:val="center"/>
              <w:spacing w:after="0" w:line="210" w:lineRule="exact"/>
              <w:rPr>
                <w:sz w:val="20"/>
                <w:szCs w:val="20"/>
                <w:color w:val="auto"/>
              </w:rPr>
            </w:pPr>
            <w:r>
              <w:rPr>
                <w:rFonts w:ascii="Arial" w:cs="Arial" w:eastAsia="Arial" w:hAnsi="Arial"/>
                <w:sz w:val="20"/>
                <w:szCs w:val="20"/>
                <w:b w:val="1"/>
                <w:bCs w:val="1"/>
                <w:color w:val="2A2A2A"/>
                <w:w w:val="98"/>
              </w:rPr>
              <w:t>10(e)</w:t>
            </w:r>
          </w:p>
        </w:tc>
        <w:tc>
          <w:tcPr>
            <w:tcW w:w="3120" w:type="dxa"/>
            <w:vAlign w:val="bottom"/>
            <w:tcBorders>
              <w:right w:val="single" w:sz="8" w:color="2A2A2A"/>
            </w:tcBorders>
          </w:tcPr>
          <w:p>
            <w:pPr>
              <w:ind w:left="60"/>
              <w:spacing w:after="0" w:line="210" w:lineRule="exact"/>
              <w:rPr>
                <w:sz w:val="20"/>
                <w:szCs w:val="20"/>
                <w:color w:val="auto"/>
              </w:rPr>
            </w:pPr>
            <w:r>
              <w:rPr>
                <w:rFonts w:ascii="Arial" w:cs="Arial" w:eastAsia="Arial" w:hAnsi="Arial"/>
                <w:sz w:val="20"/>
                <w:szCs w:val="20"/>
                <w:color w:val="2A2A2A"/>
              </w:rPr>
              <w:t>Texas Instruments 2003 Director</w:t>
            </w:r>
          </w:p>
        </w:tc>
        <w:tc>
          <w:tcPr>
            <w:tcW w:w="780" w:type="dxa"/>
            <w:vAlign w:val="bottom"/>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tcPr>
          <w:p>
            <w:pPr>
              <w:ind w:left="80"/>
              <w:spacing w:after="0" w:line="210" w:lineRule="exact"/>
              <w:rPr>
                <w:sz w:val="20"/>
                <w:szCs w:val="20"/>
                <w:color w:val="auto"/>
              </w:rPr>
            </w:pPr>
            <w:r>
              <w:rPr>
                <w:rFonts w:ascii="Arial" w:cs="Arial" w:eastAsia="Arial" w:hAnsi="Arial"/>
                <w:sz w:val="20"/>
                <w:szCs w:val="20"/>
                <w:color w:val="2A2A2A"/>
              </w:rPr>
              <w:t>February 24, 2015</w:t>
            </w:r>
          </w:p>
        </w:tc>
        <w:tc>
          <w:tcPr>
            <w:tcW w:w="1360" w:type="dxa"/>
            <w:vAlign w:val="bottom"/>
            <w:tcBorders>
              <w:right w:val="single" w:sz="8" w:color="2A2A2A"/>
            </w:tcBorders>
          </w:tcPr>
          <w:p>
            <w:pPr>
              <w:jc w:val="center"/>
              <w:spacing w:after="0" w:line="210" w:lineRule="exact"/>
              <w:rPr>
                <w:sz w:val="20"/>
                <w:szCs w:val="20"/>
                <w:color w:val="auto"/>
              </w:rPr>
            </w:pPr>
            <w:r>
              <w:rPr>
                <w:rFonts w:ascii="Arial" w:cs="Arial" w:eastAsia="Arial" w:hAnsi="Arial"/>
                <w:sz w:val="20"/>
                <w:szCs w:val="20"/>
                <w:color w:val="2A2A2A"/>
                <w:w w:val="99"/>
              </w:rPr>
              <w:t>10(j)</w:t>
            </w:r>
          </w:p>
        </w:tc>
        <w:tc>
          <w:tcPr>
            <w:tcW w:w="880" w:type="dxa"/>
            <w:vAlign w:val="bottom"/>
            <w:tcBorders>
              <w:right w:val="single" w:sz="8" w:color="2A2A2A"/>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tcPr>
          <w:p>
            <w:pPr>
              <w:spacing w:after="0"/>
              <w:rPr>
                <w:sz w:val="17"/>
                <w:szCs w:val="17"/>
                <w:color w:val="auto"/>
              </w:rPr>
            </w:pPr>
          </w:p>
        </w:tc>
        <w:tc>
          <w:tcPr>
            <w:tcW w:w="3120" w:type="dxa"/>
            <w:vAlign w:val="bottom"/>
            <w:tcBorders>
              <w:right w:val="single" w:sz="8" w:color="2A2A2A"/>
            </w:tcBorders>
          </w:tcPr>
          <w:p>
            <w:pPr>
              <w:ind w:left="60"/>
              <w:spacing w:after="0" w:line="200" w:lineRule="exact"/>
              <w:rPr>
                <w:sz w:val="20"/>
                <w:szCs w:val="20"/>
                <w:color w:val="auto"/>
              </w:rPr>
            </w:pPr>
            <w:r>
              <w:rPr>
                <w:rFonts w:ascii="Arial" w:cs="Arial" w:eastAsia="Arial" w:hAnsi="Arial"/>
                <w:sz w:val="20"/>
                <w:szCs w:val="20"/>
                <w:color w:val="2A2A2A"/>
              </w:rPr>
              <w:t>Compensation Plan as amended</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60" w:type="dxa"/>
            <w:vAlign w:val="bottom"/>
            <w:tcBorders>
              <w:right w:val="single" w:sz="8" w:color="2A2A2A"/>
            </w:tcBorders>
          </w:tcPr>
          <w:p>
            <w:pPr>
              <w:spacing w:after="0"/>
              <w:rPr>
                <w:sz w:val="17"/>
                <w:szCs w:val="17"/>
                <w:color w:val="auto"/>
              </w:rPr>
            </w:pPr>
          </w:p>
        </w:tc>
        <w:tc>
          <w:tcPr>
            <w:tcW w:w="880" w:type="dxa"/>
            <w:vAlign w:val="bottom"/>
            <w:tcBorders>
              <w:right w:val="single" w:sz="8" w:color="2A2A2A"/>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40" w:type="dxa"/>
            <w:vAlign w:val="bottom"/>
            <w:tcBorders>
              <w:left w:val="single" w:sz="8" w:color="2A2A2A"/>
              <w:bottom w:val="single" w:sz="8" w:color="2A2A2A"/>
              <w:right w:val="single" w:sz="8" w:color="2A2A2A"/>
            </w:tcBorders>
          </w:tcPr>
          <w:p>
            <w:pPr>
              <w:spacing w:after="0"/>
              <w:rPr>
                <w:sz w:val="23"/>
                <w:szCs w:val="23"/>
                <w:color w:val="auto"/>
              </w:rPr>
            </w:pP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January 19, 2012</w:t>
            </w:r>
          </w:p>
        </w:tc>
        <w:tc>
          <w:tcPr>
            <w:tcW w:w="780" w:type="dxa"/>
            <w:vAlign w:val="bottom"/>
            <w:tcBorders>
              <w:bottom w:val="single" w:sz="8" w:color="2A2A2A"/>
            </w:tcBorders>
          </w:tcPr>
          <w:p>
            <w:pPr>
              <w:spacing w:after="0"/>
              <w:rPr>
                <w:sz w:val="23"/>
                <w:szCs w:val="23"/>
                <w:color w:val="auto"/>
              </w:rPr>
            </w:pPr>
          </w:p>
        </w:tc>
        <w:tc>
          <w:tcPr>
            <w:tcW w:w="1140" w:type="dxa"/>
            <w:vAlign w:val="bottom"/>
            <w:tcBorders>
              <w:bottom w:val="single" w:sz="8" w:color="2A2A2A"/>
            </w:tcBorders>
          </w:tcPr>
          <w:p>
            <w:pPr>
              <w:spacing w:after="0"/>
              <w:rPr>
                <w:sz w:val="23"/>
                <w:szCs w:val="23"/>
                <w:color w:val="auto"/>
              </w:rPr>
            </w:pPr>
          </w:p>
        </w:tc>
        <w:tc>
          <w:tcPr>
            <w:tcW w:w="1980" w:type="dxa"/>
            <w:vAlign w:val="bottom"/>
            <w:tcBorders>
              <w:bottom w:val="single" w:sz="8" w:color="2A2A2A"/>
            </w:tcBorders>
          </w:tcPr>
          <w:p>
            <w:pPr>
              <w:spacing w:after="0"/>
              <w:rPr>
                <w:sz w:val="23"/>
                <w:szCs w:val="23"/>
                <w:color w:val="auto"/>
              </w:rPr>
            </w:pPr>
          </w:p>
        </w:tc>
        <w:tc>
          <w:tcPr>
            <w:tcW w:w="1360" w:type="dxa"/>
            <w:vAlign w:val="bottom"/>
            <w:tcBorders>
              <w:bottom w:val="single" w:sz="8" w:color="2A2A2A"/>
              <w:right w:val="single" w:sz="8" w:color="2A2A2A"/>
            </w:tcBorders>
          </w:tcPr>
          <w:p>
            <w:pPr>
              <w:spacing w:after="0"/>
              <w:rPr>
                <w:sz w:val="23"/>
                <w:szCs w:val="23"/>
                <w:color w:val="auto"/>
              </w:rPr>
            </w:pPr>
          </w:p>
        </w:tc>
        <w:tc>
          <w:tcPr>
            <w:tcW w:w="880" w:type="dxa"/>
            <w:vAlign w:val="bottom"/>
            <w:tcBorders>
              <w:bottom w:val="single" w:sz="8" w:color="2A2A2A"/>
              <w:right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9"/>
              </w:rPr>
              <w:t>10(f)</w:t>
            </w:r>
          </w:p>
        </w:tc>
        <w:tc>
          <w:tcPr>
            <w:tcW w:w="3120" w:type="dxa"/>
            <w:vAlign w:val="bottom"/>
            <w:tcBorders>
              <w:right w:val="single" w:sz="8" w:color="2A2A2A"/>
            </w:tcBorders>
            <w:shd w:val="clear" w:color="auto" w:fill="D7D7D7"/>
          </w:tcPr>
          <w:p>
            <w:pPr>
              <w:ind w:left="60"/>
              <w:spacing w:after="0" w:line="210" w:lineRule="exact"/>
              <w:rPr>
                <w:sz w:val="20"/>
                <w:szCs w:val="20"/>
                <w:color w:val="auto"/>
              </w:rPr>
            </w:pPr>
            <w:r>
              <w:rPr>
                <w:rFonts w:ascii="Arial" w:cs="Arial" w:eastAsia="Arial" w:hAnsi="Arial"/>
                <w:sz w:val="20"/>
                <w:szCs w:val="20"/>
                <w:color w:val="2A2A2A"/>
              </w:rPr>
              <w:t>Form of Non-Qualified Stock</w:t>
            </w:r>
          </w:p>
        </w:tc>
        <w:tc>
          <w:tcPr>
            <w:tcW w:w="7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shd w:val="clear" w:color="auto" w:fill="D7D7D7"/>
          </w:tcPr>
          <w:p>
            <w:pPr>
              <w:ind w:left="80"/>
              <w:spacing w:after="0" w:line="210" w:lineRule="exact"/>
              <w:rPr>
                <w:sz w:val="20"/>
                <w:szCs w:val="20"/>
                <w:color w:val="auto"/>
              </w:rPr>
            </w:pPr>
            <w:r>
              <w:rPr>
                <w:rFonts w:ascii="Arial" w:cs="Arial" w:eastAsia="Arial" w:hAnsi="Arial"/>
                <w:sz w:val="20"/>
                <w:szCs w:val="20"/>
                <w:color w:val="2A2A2A"/>
              </w:rPr>
              <w:t>February 23, 2017</w:t>
            </w:r>
          </w:p>
        </w:tc>
        <w:tc>
          <w:tcPr>
            <w:tcW w:w="1360" w:type="dxa"/>
            <w:vAlign w:val="bottom"/>
            <w:tcBorders>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color w:val="2A2A2A"/>
              </w:rPr>
              <w:t>10(k)</w:t>
            </w:r>
          </w:p>
        </w:tc>
        <w:tc>
          <w:tcPr>
            <w:tcW w:w="880" w:type="dxa"/>
            <w:vAlign w:val="bottom"/>
            <w:tcBorders>
              <w:right w:val="single" w:sz="8" w:color="2A2A2A"/>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Option Agreement for Executive</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Officers under the Texas</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Instruments 2009 Long-Term</w:t>
            </w:r>
          </w:p>
        </w:tc>
        <w:tc>
          <w:tcPr>
            <w:tcW w:w="780" w:type="dxa"/>
            <w:vAlign w:val="bottom"/>
            <w:shd w:val="clear" w:color="auto" w:fill="D7D7D7"/>
          </w:tcPr>
          <w:p>
            <w:pPr>
              <w:spacing w:after="0"/>
              <w:rPr>
                <w:sz w:val="17"/>
                <w:szCs w:val="17"/>
                <w:color w:val="auto"/>
              </w:rPr>
            </w:pP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2A2A2A"/>
              <w:bottom w:val="single" w:sz="8" w:color="2A2A2A"/>
              <w:right w:val="single" w:sz="8" w:color="2A2A2A"/>
            </w:tcBorders>
            <w:shd w:val="clear" w:color="auto" w:fill="D7D7D7"/>
          </w:tcPr>
          <w:p>
            <w:pPr>
              <w:spacing w:after="0"/>
              <w:rPr>
                <w:sz w:val="22"/>
                <w:szCs w:val="22"/>
                <w:color w:val="auto"/>
              </w:rPr>
            </w:pP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Incentive Plan *</w:t>
            </w:r>
          </w:p>
        </w:tc>
        <w:tc>
          <w:tcPr>
            <w:tcW w:w="780" w:type="dxa"/>
            <w:vAlign w:val="bottom"/>
            <w:tcBorders>
              <w:bottom w:val="single" w:sz="8" w:color="2A2A2A"/>
            </w:tcBorders>
            <w:shd w:val="clear" w:color="auto" w:fill="D7D7D7"/>
          </w:tcPr>
          <w:p>
            <w:pPr>
              <w:spacing w:after="0"/>
              <w:rPr>
                <w:sz w:val="22"/>
                <w:szCs w:val="22"/>
                <w:color w:val="auto"/>
              </w:rPr>
            </w:pPr>
          </w:p>
        </w:tc>
        <w:tc>
          <w:tcPr>
            <w:tcW w:w="1140" w:type="dxa"/>
            <w:vAlign w:val="bottom"/>
            <w:tcBorders>
              <w:bottom w:val="single" w:sz="8" w:color="2A2A2A"/>
            </w:tcBorders>
            <w:shd w:val="clear" w:color="auto" w:fill="D7D7D7"/>
          </w:tcPr>
          <w:p>
            <w:pPr>
              <w:spacing w:after="0"/>
              <w:rPr>
                <w:sz w:val="22"/>
                <w:szCs w:val="22"/>
                <w:color w:val="auto"/>
              </w:rPr>
            </w:pPr>
          </w:p>
        </w:tc>
        <w:tc>
          <w:tcPr>
            <w:tcW w:w="1980" w:type="dxa"/>
            <w:vAlign w:val="bottom"/>
            <w:tcBorders>
              <w:bottom w:val="single" w:sz="8" w:color="2A2A2A"/>
            </w:tcBorders>
            <w:shd w:val="clear" w:color="auto" w:fill="D7D7D7"/>
          </w:tcPr>
          <w:p>
            <w:pPr>
              <w:spacing w:after="0"/>
              <w:rPr>
                <w:sz w:val="22"/>
                <w:szCs w:val="22"/>
                <w:color w:val="auto"/>
              </w:rPr>
            </w:pPr>
          </w:p>
        </w:tc>
        <w:tc>
          <w:tcPr>
            <w:tcW w:w="1360" w:type="dxa"/>
            <w:vAlign w:val="bottom"/>
            <w:tcBorders>
              <w:bottom w:val="single" w:sz="8" w:color="2A2A2A"/>
              <w:right w:val="single" w:sz="8" w:color="2A2A2A"/>
            </w:tcBorders>
            <w:shd w:val="clear" w:color="auto" w:fill="D7D7D7"/>
          </w:tcPr>
          <w:p>
            <w:pPr>
              <w:spacing w:after="0"/>
              <w:rPr>
                <w:sz w:val="22"/>
                <w:szCs w:val="22"/>
                <w:color w:val="auto"/>
              </w:rPr>
            </w:pPr>
          </w:p>
        </w:tc>
        <w:tc>
          <w:tcPr>
            <w:tcW w:w="880" w:type="dxa"/>
            <w:vAlign w:val="bottom"/>
            <w:tcBorders>
              <w:bottom w:val="single" w:sz="8" w:color="2A2A2A"/>
              <w:right w:val="single" w:sz="8" w:color="2A2A2A"/>
            </w:tcBorders>
            <w:shd w:val="clear" w:color="auto" w:fill="D7D7D7"/>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tcPr>
          <w:p>
            <w:pPr>
              <w:jc w:val="center"/>
              <w:spacing w:after="0" w:line="210" w:lineRule="exact"/>
              <w:rPr>
                <w:sz w:val="20"/>
                <w:szCs w:val="20"/>
                <w:color w:val="auto"/>
              </w:rPr>
            </w:pPr>
            <w:r>
              <w:rPr>
                <w:rFonts w:ascii="Arial" w:cs="Arial" w:eastAsia="Arial" w:hAnsi="Arial"/>
                <w:sz w:val="20"/>
                <w:szCs w:val="20"/>
                <w:b w:val="1"/>
                <w:bCs w:val="1"/>
                <w:color w:val="2A2A2A"/>
                <w:w w:val="96"/>
              </w:rPr>
              <w:t>10(g)</w:t>
            </w:r>
          </w:p>
        </w:tc>
        <w:tc>
          <w:tcPr>
            <w:tcW w:w="3120" w:type="dxa"/>
            <w:vAlign w:val="bottom"/>
            <w:tcBorders>
              <w:right w:val="single" w:sz="8" w:color="2A2A2A"/>
            </w:tcBorders>
          </w:tcPr>
          <w:p>
            <w:pPr>
              <w:ind w:left="60"/>
              <w:spacing w:after="0" w:line="210" w:lineRule="exact"/>
              <w:rPr>
                <w:sz w:val="20"/>
                <w:szCs w:val="20"/>
                <w:color w:val="auto"/>
              </w:rPr>
            </w:pPr>
            <w:r>
              <w:rPr>
                <w:rFonts w:ascii="Arial" w:cs="Arial" w:eastAsia="Arial" w:hAnsi="Arial"/>
                <w:sz w:val="20"/>
                <w:szCs w:val="20"/>
                <w:color w:val="2A2A2A"/>
              </w:rPr>
              <w:t>Form of Restricted Stock Unit</w:t>
            </w:r>
          </w:p>
        </w:tc>
        <w:tc>
          <w:tcPr>
            <w:tcW w:w="780" w:type="dxa"/>
            <w:vAlign w:val="bottom"/>
          </w:tcPr>
          <w:p>
            <w:pPr>
              <w:jc w:val="center"/>
              <w:spacing w:after="0" w:line="210" w:lineRule="exact"/>
              <w:rPr>
                <w:sz w:val="20"/>
                <w:szCs w:val="20"/>
                <w:color w:val="auto"/>
              </w:rPr>
            </w:pPr>
            <w:r>
              <w:rPr>
                <w:rFonts w:ascii="Arial" w:cs="Arial" w:eastAsia="Arial" w:hAnsi="Arial"/>
                <w:sz w:val="20"/>
                <w:szCs w:val="20"/>
                <w:color w:val="2A2A2A"/>
                <w:w w:val="99"/>
              </w:rPr>
              <w:t>10-K</w:t>
            </w:r>
          </w:p>
        </w:tc>
        <w:tc>
          <w:tcPr>
            <w:tcW w:w="1140" w:type="dxa"/>
            <w:vAlign w:val="bottom"/>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tcPr>
          <w:p>
            <w:pPr>
              <w:ind w:left="80"/>
              <w:spacing w:after="0" w:line="210" w:lineRule="exact"/>
              <w:rPr>
                <w:sz w:val="20"/>
                <w:szCs w:val="20"/>
                <w:color w:val="auto"/>
              </w:rPr>
            </w:pPr>
            <w:r>
              <w:rPr>
                <w:rFonts w:ascii="Arial" w:cs="Arial" w:eastAsia="Arial" w:hAnsi="Arial"/>
                <w:sz w:val="20"/>
                <w:szCs w:val="20"/>
                <w:color w:val="2A2A2A"/>
              </w:rPr>
              <w:t>February 23, 2017</w:t>
            </w:r>
          </w:p>
        </w:tc>
        <w:tc>
          <w:tcPr>
            <w:tcW w:w="1360" w:type="dxa"/>
            <w:vAlign w:val="bottom"/>
            <w:tcBorders>
              <w:right w:val="single" w:sz="8" w:color="2A2A2A"/>
            </w:tcBorders>
          </w:tcPr>
          <w:p>
            <w:pPr>
              <w:jc w:val="center"/>
              <w:spacing w:after="0" w:line="210" w:lineRule="exact"/>
              <w:rPr>
                <w:sz w:val="20"/>
                <w:szCs w:val="20"/>
                <w:color w:val="auto"/>
              </w:rPr>
            </w:pPr>
            <w:r>
              <w:rPr>
                <w:rFonts w:ascii="Arial" w:cs="Arial" w:eastAsia="Arial" w:hAnsi="Arial"/>
                <w:sz w:val="20"/>
                <w:szCs w:val="20"/>
                <w:color w:val="2A2A2A"/>
                <w:w w:val="99"/>
              </w:rPr>
              <w:t>10(l)</w:t>
            </w:r>
          </w:p>
        </w:tc>
        <w:tc>
          <w:tcPr>
            <w:tcW w:w="880" w:type="dxa"/>
            <w:vAlign w:val="bottom"/>
            <w:tcBorders>
              <w:right w:val="single" w:sz="8" w:color="2A2A2A"/>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tcPr>
          <w:p>
            <w:pPr>
              <w:spacing w:after="0"/>
              <w:rPr>
                <w:sz w:val="17"/>
                <w:szCs w:val="17"/>
                <w:color w:val="auto"/>
              </w:rPr>
            </w:pPr>
          </w:p>
        </w:tc>
        <w:tc>
          <w:tcPr>
            <w:tcW w:w="3120" w:type="dxa"/>
            <w:vAlign w:val="bottom"/>
            <w:tcBorders>
              <w:right w:val="single" w:sz="8" w:color="2A2A2A"/>
            </w:tcBorders>
          </w:tcPr>
          <w:p>
            <w:pPr>
              <w:ind w:left="60"/>
              <w:spacing w:after="0" w:line="200" w:lineRule="exact"/>
              <w:rPr>
                <w:sz w:val="20"/>
                <w:szCs w:val="20"/>
                <w:color w:val="auto"/>
              </w:rPr>
            </w:pPr>
            <w:r>
              <w:rPr>
                <w:rFonts w:ascii="Arial" w:cs="Arial" w:eastAsia="Arial" w:hAnsi="Arial"/>
                <w:sz w:val="20"/>
                <w:szCs w:val="20"/>
                <w:color w:val="2A2A2A"/>
              </w:rPr>
              <w:t>Award Agreement for Executive</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60" w:type="dxa"/>
            <w:vAlign w:val="bottom"/>
            <w:tcBorders>
              <w:right w:val="single" w:sz="8" w:color="2A2A2A"/>
            </w:tcBorders>
          </w:tcPr>
          <w:p>
            <w:pPr>
              <w:spacing w:after="0"/>
              <w:rPr>
                <w:sz w:val="17"/>
                <w:szCs w:val="17"/>
                <w:color w:val="auto"/>
              </w:rPr>
            </w:pPr>
          </w:p>
        </w:tc>
        <w:tc>
          <w:tcPr>
            <w:tcW w:w="880" w:type="dxa"/>
            <w:vAlign w:val="bottom"/>
            <w:tcBorders>
              <w:right w:val="single" w:sz="8" w:color="2A2A2A"/>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tcPr>
          <w:p>
            <w:pPr>
              <w:spacing w:after="0"/>
              <w:rPr>
                <w:sz w:val="17"/>
                <w:szCs w:val="17"/>
                <w:color w:val="auto"/>
              </w:rPr>
            </w:pPr>
          </w:p>
        </w:tc>
        <w:tc>
          <w:tcPr>
            <w:tcW w:w="3120" w:type="dxa"/>
            <w:vAlign w:val="bottom"/>
            <w:tcBorders>
              <w:right w:val="single" w:sz="8" w:color="2A2A2A"/>
            </w:tcBorders>
          </w:tcPr>
          <w:p>
            <w:pPr>
              <w:ind w:left="60"/>
              <w:spacing w:after="0" w:line="200" w:lineRule="exact"/>
              <w:rPr>
                <w:sz w:val="20"/>
                <w:szCs w:val="20"/>
                <w:color w:val="auto"/>
              </w:rPr>
            </w:pPr>
            <w:r>
              <w:rPr>
                <w:rFonts w:ascii="Arial" w:cs="Arial" w:eastAsia="Arial" w:hAnsi="Arial"/>
                <w:sz w:val="20"/>
                <w:szCs w:val="20"/>
                <w:color w:val="2A2A2A"/>
              </w:rPr>
              <w:t>Officers under the Texas</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60" w:type="dxa"/>
            <w:vAlign w:val="bottom"/>
            <w:tcBorders>
              <w:right w:val="single" w:sz="8" w:color="2A2A2A"/>
            </w:tcBorders>
          </w:tcPr>
          <w:p>
            <w:pPr>
              <w:spacing w:after="0"/>
              <w:rPr>
                <w:sz w:val="17"/>
                <w:szCs w:val="17"/>
                <w:color w:val="auto"/>
              </w:rPr>
            </w:pPr>
          </w:p>
        </w:tc>
        <w:tc>
          <w:tcPr>
            <w:tcW w:w="880" w:type="dxa"/>
            <w:vAlign w:val="bottom"/>
            <w:tcBorders>
              <w:right w:val="single" w:sz="8" w:color="2A2A2A"/>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tcPr>
          <w:p>
            <w:pPr>
              <w:spacing w:after="0"/>
              <w:rPr>
                <w:sz w:val="17"/>
                <w:szCs w:val="17"/>
                <w:color w:val="auto"/>
              </w:rPr>
            </w:pPr>
          </w:p>
        </w:tc>
        <w:tc>
          <w:tcPr>
            <w:tcW w:w="3120" w:type="dxa"/>
            <w:vAlign w:val="bottom"/>
            <w:tcBorders>
              <w:right w:val="single" w:sz="8" w:color="2A2A2A"/>
            </w:tcBorders>
          </w:tcPr>
          <w:p>
            <w:pPr>
              <w:ind w:left="60"/>
              <w:spacing w:after="0" w:line="200" w:lineRule="exact"/>
              <w:rPr>
                <w:sz w:val="20"/>
                <w:szCs w:val="20"/>
                <w:color w:val="auto"/>
              </w:rPr>
            </w:pPr>
            <w:r>
              <w:rPr>
                <w:rFonts w:ascii="Arial" w:cs="Arial" w:eastAsia="Arial" w:hAnsi="Arial"/>
                <w:sz w:val="20"/>
                <w:szCs w:val="20"/>
                <w:color w:val="2A2A2A"/>
              </w:rPr>
              <w:t>Instruments 2009 Long-Term</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60" w:type="dxa"/>
            <w:vAlign w:val="bottom"/>
            <w:tcBorders>
              <w:right w:val="single" w:sz="8" w:color="2A2A2A"/>
            </w:tcBorders>
          </w:tcPr>
          <w:p>
            <w:pPr>
              <w:spacing w:after="0"/>
              <w:rPr>
                <w:sz w:val="17"/>
                <w:szCs w:val="17"/>
                <w:color w:val="auto"/>
              </w:rPr>
            </w:pPr>
          </w:p>
        </w:tc>
        <w:tc>
          <w:tcPr>
            <w:tcW w:w="880" w:type="dxa"/>
            <w:vAlign w:val="bottom"/>
            <w:tcBorders>
              <w:right w:val="single" w:sz="8" w:color="2A2A2A"/>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2A2A2A"/>
              <w:bottom w:val="single" w:sz="8" w:color="2A2A2A"/>
              <w:right w:val="single" w:sz="8" w:color="2A2A2A"/>
            </w:tcBorders>
          </w:tcPr>
          <w:p>
            <w:pPr>
              <w:spacing w:after="0"/>
              <w:rPr>
                <w:sz w:val="22"/>
                <w:szCs w:val="22"/>
                <w:color w:val="auto"/>
              </w:rPr>
            </w:pPr>
          </w:p>
        </w:tc>
        <w:tc>
          <w:tcPr>
            <w:tcW w:w="3120" w:type="dxa"/>
            <w:vAlign w:val="bottom"/>
            <w:tcBorders>
              <w:bottom w:val="single" w:sz="8" w:color="2A2A2A"/>
              <w:right w:val="single" w:sz="8" w:color="2A2A2A"/>
            </w:tcBorders>
          </w:tcPr>
          <w:p>
            <w:pPr>
              <w:ind w:left="60"/>
              <w:spacing w:after="0"/>
              <w:rPr>
                <w:sz w:val="20"/>
                <w:szCs w:val="20"/>
                <w:color w:val="auto"/>
              </w:rPr>
            </w:pPr>
            <w:r>
              <w:rPr>
                <w:rFonts w:ascii="Arial" w:cs="Arial" w:eastAsia="Arial" w:hAnsi="Arial"/>
                <w:sz w:val="20"/>
                <w:szCs w:val="20"/>
                <w:color w:val="2A2A2A"/>
              </w:rPr>
              <w:t>Incentive Plan *</w:t>
            </w:r>
          </w:p>
        </w:tc>
        <w:tc>
          <w:tcPr>
            <w:tcW w:w="780" w:type="dxa"/>
            <w:vAlign w:val="bottom"/>
            <w:tcBorders>
              <w:bottom w:val="single" w:sz="8" w:color="2A2A2A"/>
            </w:tcBorders>
          </w:tcPr>
          <w:p>
            <w:pPr>
              <w:spacing w:after="0"/>
              <w:rPr>
                <w:sz w:val="22"/>
                <w:szCs w:val="22"/>
                <w:color w:val="auto"/>
              </w:rPr>
            </w:pPr>
          </w:p>
        </w:tc>
        <w:tc>
          <w:tcPr>
            <w:tcW w:w="1140" w:type="dxa"/>
            <w:vAlign w:val="bottom"/>
            <w:tcBorders>
              <w:bottom w:val="single" w:sz="8" w:color="2A2A2A"/>
            </w:tcBorders>
          </w:tcPr>
          <w:p>
            <w:pPr>
              <w:spacing w:after="0"/>
              <w:rPr>
                <w:sz w:val="22"/>
                <w:szCs w:val="22"/>
                <w:color w:val="auto"/>
              </w:rPr>
            </w:pPr>
          </w:p>
        </w:tc>
        <w:tc>
          <w:tcPr>
            <w:tcW w:w="1980" w:type="dxa"/>
            <w:vAlign w:val="bottom"/>
            <w:tcBorders>
              <w:bottom w:val="single" w:sz="8" w:color="2A2A2A"/>
            </w:tcBorders>
          </w:tcPr>
          <w:p>
            <w:pPr>
              <w:spacing w:after="0"/>
              <w:rPr>
                <w:sz w:val="22"/>
                <w:szCs w:val="22"/>
                <w:color w:val="auto"/>
              </w:rPr>
            </w:pPr>
          </w:p>
        </w:tc>
        <w:tc>
          <w:tcPr>
            <w:tcW w:w="1360" w:type="dxa"/>
            <w:vAlign w:val="bottom"/>
            <w:tcBorders>
              <w:bottom w:val="single" w:sz="8" w:color="2A2A2A"/>
              <w:right w:val="single" w:sz="8" w:color="2A2A2A"/>
            </w:tcBorders>
          </w:tcPr>
          <w:p>
            <w:pPr>
              <w:spacing w:after="0"/>
              <w:rPr>
                <w:sz w:val="22"/>
                <w:szCs w:val="22"/>
                <w:color w:val="auto"/>
              </w:rPr>
            </w:pPr>
          </w:p>
        </w:tc>
        <w:tc>
          <w:tcPr>
            <w:tcW w:w="880" w:type="dxa"/>
            <w:vAlign w:val="bottom"/>
            <w:tcBorders>
              <w:bottom w:val="single" w:sz="8" w:color="2A2A2A"/>
              <w:right w:val="single" w:sz="8" w:color="2A2A2A"/>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2A2A2A"/>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6"/>
              </w:rPr>
              <w:t>10(h)</w:t>
            </w:r>
          </w:p>
        </w:tc>
        <w:tc>
          <w:tcPr>
            <w:tcW w:w="3120" w:type="dxa"/>
            <w:vAlign w:val="bottom"/>
            <w:tcBorders>
              <w:right w:val="single" w:sz="8" w:color="2A2A2A"/>
            </w:tcBorders>
            <w:shd w:val="clear" w:color="auto" w:fill="D7D7D7"/>
          </w:tcPr>
          <w:p>
            <w:pPr>
              <w:ind w:left="60"/>
              <w:spacing w:after="0" w:line="210" w:lineRule="exact"/>
              <w:rPr>
                <w:sz w:val="20"/>
                <w:szCs w:val="20"/>
                <w:color w:val="auto"/>
              </w:rPr>
            </w:pPr>
            <w:r>
              <w:rPr>
                <w:rFonts w:ascii="Arial" w:cs="Arial" w:eastAsia="Arial" w:hAnsi="Arial"/>
                <w:sz w:val="20"/>
                <w:szCs w:val="20"/>
                <w:color w:val="2A2A2A"/>
              </w:rPr>
              <w:t>Texas Instruments 2009 Long-</w:t>
            </w:r>
          </w:p>
        </w:tc>
        <w:tc>
          <w:tcPr>
            <w:tcW w:w="780" w:type="dxa"/>
            <w:vAlign w:val="bottom"/>
            <w:shd w:val="clear" w:color="auto" w:fill="D7D7D7"/>
          </w:tcPr>
          <w:p>
            <w:pPr>
              <w:ind w:left="240"/>
              <w:spacing w:after="0" w:line="210" w:lineRule="exact"/>
              <w:rPr>
                <w:sz w:val="20"/>
                <w:szCs w:val="20"/>
                <w:color w:val="auto"/>
              </w:rPr>
            </w:pPr>
            <w:r>
              <w:rPr>
                <w:rFonts w:ascii="Arial" w:cs="Arial" w:eastAsia="Arial" w:hAnsi="Arial"/>
                <w:sz w:val="20"/>
                <w:szCs w:val="20"/>
                <w:color w:val="2A2A2A"/>
              </w:rPr>
              <w:t>DEF</w:t>
            </w:r>
          </w:p>
        </w:tc>
        <w:tc>
          <w:tcPr>
            <w:tcW w:w="114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80" w:type="dxa"/>
            <w:vAlign w:val="bottom"/>
            <w:shd w:val="clear" w:color="auto" w:fill="D7D7D7"/>
          </w:tcPr>
          <w:p>
            <w:pPr>
              <w:ind w:left="80"/>
              <w:spacing w:after="0" w:line="210" w:lineRule="exact"/>
              <w:rPr>
                <w:sz w:val="20"/>
                <w:szCs w:val="20"/>
                <w:color w:val="auto"/>
              </w:rPr>
            </w:pPr>
            <w:r>
              <w:rPr>
                <w:rFonts w:ascii="Arial" w:cs="Arial" w:eastAsia="Arial" w:hAnsi="Arial"/>
                <w:sz w:val="20"/>
                <w:szCs w:val="20"/>
                <w:color w:val="2A2A2A"/>
              </w:rPr>
              <w:t>March 9, 2016</w:t>
            </w:r>
          </w:p>
        </w:tc>
        <w:tc>
          <w:tcPr>
            <w:tcW w:w="1360" w:type="dxa"/>
            <w:vAlign w:val="bottom"/>
            <w:tcBorders>
              <w:right w:val="single" w:sz="8" w:color="2A2A2A"/>
            </w:tcBorders>
            <w:shd w:val="clear" w:color="auto" w:fill="D7D7D7"/>
          </w:tcPr>
          <w:p>
            <w:pPr>
              <w:jc w:val="center"/>
              <w:spacing w:after="0" w:line="210" w:lineRule="exact"/>
              <w:rPr>
                <w:sz w:val="20"/>
                <w:szCs w:val="20"/>
                <w:color w:val="auto"/>
              </w:rPr>
            </w:pPr>
            <w:r>
              <w:rPr>
                <w:rFonts w:ascii="Arial" w:cs="Arial" w:eastAsia="Arial" w:hAnsi="Arial"/>
                <w:sz w:val="20"/>
                <w:szCs w:val="20"/>
                <w:color w:val="2A2A2A"/>
                <w:w w:val="99"/>
              </w:rPr>
              <w:t>Appendix B</w:t>
            </w:r>
          </w:p>
        </w:tc>
        <w:tc>
          <w:tcPr>
            <w:tcW w:w="880" w:type="dxa"/>
            <w:vAlign w:val="bottom"/>
            <w:tcBorders>
              <w:right w:val="single" w:sz="8" w:color="2A2A2A"/>
            </w:tcBorders>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2A2A2A"/>
              <w:right w:val="single" w:sz="8" w:color="2A2A2A"/>
            </w:tcBorders>
            <w:shd w:val="clear" w:color="auto" w:fill="D7D7D7"/>
          </w:tcPr>
          <w:p>
            <w:pPr>
              <w:spacing w:after="0"/>
              <w:rPr>
                <w:sz w:val="17"/>
                <w:szCs w:val="17"/>
                <w:color w:val="auto"/>
              </w:rPr>
            </w:pPr>
          </w:p>
        </w:tc>
        <w:tc>
          <w:tcPr>
            <w:tcW w:w="3120" w:type="dxa"/>
            <w:vAlign w:val="bottom"/>
            <w:tcBorders>
              <w:right w:val="single" w:sz="8" w:color="2A2A2A"/>
            </w:tcBorders>
            <w:shd w:val="clear" w:color="auto" w:fill="D7D7D7"/>
          </w:tcPr>
          <w:p>
            <w:pPr>
              <w:ind w:left="60"/>
              <w:spacing w:after="0" w:line="200" w:lineRule="exact"/>
              <w:rPr>
                <w:sz w:val="20"/>
                <w:szCs w:val="20"/>
                <w:color w:val="auto"/>
              </w:rPr>
            </w:pPr>
            <w:r>
              <w:rPr>
                <w:rFonts w:ascii="Arial" w:cs="Arial" w:eastAsia="Arial" w:hAnsi="Arial"/>
                <w:sz w:val="20"/>
                <w:szCs w:val="20"/>
                <w:color w:val="2A2A2A"/>
              </w:rPr>
              <w:t>Term Incentive Plan as amended</w:t>
            </w:r>
          </w:p>
        </w:tc>
        <w:tc>
          <w:tcPr>
            <w:tcW w:w="780" w:type="dxa"/>
            <w:vAlign w:val="bottom"/>
            <w:shd w:val="clear" w:color="auto" w:fill="D7D7D7"/>
          </w:tcPr>
          <w:p>
            <w:pPr>
              <w:jc w:val="center"/>
              <w:spacing w:after="0" w:line="200" w:lineRule="exact"/>
              <w:rPr>
                <w:sz w:val="20"/>
                <w:szCs w:val="20"/>
                <w:color w:val="auto"/>
              </w:rPr>
            </w:pPr>
            <w:r>
              <w:rPr>
                <w:rFonts w:ascii="Arial" w:cs="Arial" w:eastAsia="Arial" w:hAnsi="Arial"/>
                <w:sz w:val="20"/>
                <w:szCs w:val="20"/>
                <w:color w:val="2A2A2A"/>
                <w:w w:val="95"/>
              </w:rPr>
              <w:t>14A</w:t>
            </w:r>
          </w:p>
        </w:tc>
        <w:tc>
          <w:tcPr>
            <w:tcW w:w="1140" w:type="dxa"/>
            <w:vAlign w:val="bottom"/>
            <w:shd w:val="clear" w:color="auto" w:fill="D7D7D7"/>
          </w:tcPr>
          <w:p>
            <w:pPr>
              <w:spacing w:after="0"/>
              <w:rPr>
                <w:sz w:val="17"/>
                <w:szCs w:val="17"/>
                <w:color w:val="auto"/>
              </w:rPr>
            </w:pPr>
          </w:p>
        </w:tc>
        <w:tc>
          <w:tcPr>
            <w:tcW w:w="1980" w:type="dxa"/>
            <w:vAlign w:val="bottom"/>
            <w:shd w:val="clear" w:color="auto" w:fill="D7D7D7"/>
          </w:tcPr>
          <w:p>
            <w:pPr>
              <w:spacing w:after="0"/>
              <w:rPr>
                <w:sz w:val="17"/>
                <w:szCs w:val="17"/>
                <w:color w:val="auto"/>
              </w:rPr>
            </w:pPr>
          </w:p>
        </w:tc>
        <w:tc>
          <w:tcPr>
            <w:tcW w:w="1360" w:type="dxa"/>
            <w:vAlign w:val="bottom"/>
            <w:tcBorders>
              <w:right w:val="single" w:sz="8" w:color="2A2A2A"/>
            </w:tcBorders>
            <w:shd w:val="clear" w:color="auto" w:fill="D7D7D7"/>
          </w:tcPr>
          <w:p>
            <w:pPr>
              <w:spacing w:after="0"/>
              <w:rPr>
                <w:sz w:val="17"/>
                <w:szCs w:val="17"/>
                <w:color w:val="auto"/>
              </w:rPr>
            </w:pPr>
          </w:p>
        </w:tc>
        <w:tc>
          <w:tcPr>
            <w:tcW w:w="880" w:type="dxa"/>
            <w:vAlign w:val="bottom"/>
            <w:tcBorders>
              <w:right w:val="single" w:sz="8" w:color="2A2A2A"/>
            </w:tcBorders>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40" w:type="dxa"/>
            <w:vAlign w:val="bottom"/>
            <w:tcBorders>
              <w:left w:val="single" w:sz="8" w:color="2A2A2A"/>
              <w:bottom w:val="single" w:sz="8" w:color="2A2A2A"/>
              <w:right w:val="single" w:sz="8" w:color="2A2A2A"/>
            </w:tcBorders>
            <w:shd w:val="clear" w:color="auto" w:fill="D7D7D7"/>
          </w:tcPr>
          <w:p>
            <w:pPr>
              <w:spacing w:after="0"/>
              <w:rPr>
                <w:sz w:val="23"/>
                <w:szCs w:val="23"/>
                <w:color w:val="auto"/>
              </w:rPr>
            </w:pPr>
          </w:p>
        </w:tc>
        <w:tc>
          <w:tcPr>
            <w:tcW w:w="3120" w:type="dxa"/>
            <w:vAlign w:val="bottom"/>
            <w:tcBorders>
              <w:bottom w:val="single" w:sz="8" w:color="2A2A2A"/>
              <w:right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April 21, 2016 *</w:t>
            </w:r>
          </w:p>
        </w:tc>
        <w:tc>
          <w:tcPr>
            <w:tcW w:w="780" w:type="dxa"/>
            <w:vAlign w:val="bottom"/>
            <w:tcBorders>
              <w:bottom w:val="single" w:sz="8" w:color="2A2A2A"/>
            </w:tcBorders>
            <w:shd w:val="clear" w:color="auto" w:fill="D7D7D7"/>
          </w:tcPr>
          <w:p>
            <w:pPr>
              <w:spacing w:after="0"/>
              <w:rPr>
                <w:sz w:val="23"/>
                <w:szCs w:val="23"/>
                <w:color w:val="auto"/>
              </w:rPr>
            </w:pPr>
          </w:p>
        </w:tc>
        <w:tc>
          <w:tcPr>
            <w:tcW w:w="1140" w:type="dxa"/>
            <w:vAlign w:val="bottom"/>
            <w:tcBorders>
              <w:bottom w:val="single" w:sz="8" w:color="2A2A2A"/>
            </w:tcBorders>
            <w:shd w:val="clear" w:color="auto" w:fill="D7D7D7"/>
          </w:tcPr>
          <w:p>
            <w:pPr>
              <w:spacing w:after="0"/>
              <w:rPr>
                <w:sz w:val="23"/>
                <w:szCs w:val="23"/>
                <w:color w:val="auto"/>
              </w:rPr>
            </w:pPr>
          </w:p>
        </w:tc>
        <w:tc>
          <w:tcPr>
            <w:tcW w:w="1980" w:type="dxa"/>
            <w:vAlign w:val="bottom"/>
            <w:tcBorders>
              <w:bottom w:val="single" w:sz="8" w:color="2A2A2A"/>
            </w:tcBorders>
            <w:shd w:val="clear" w:color="auto" w:fill="D7D7D7"/>
          </w:tcPr>
          <w:p>
            <w:pPr>
              <w:spacing w:after="0"/>
              <w:rPr>
                <w:sz w:val="23"/>
                <w:szCs w:val="23"/>
                <w:color w:val="auto"/>
              </w:rPr>
            </w:pPr>
          </w:p>
        </w:tc>
        <w:tc>
          <w:tcPr>
            <w:tcW w:w="1360" w:type="dxa"/>
            <w:vAlign w:val="bottom"/>
            <w:tcBorders>
              <w:bottom w:val="single" w:sz="8" w:color="2A2A2A"/>
              <w:right w:val="single" w:sz="8" w:color="2A2A2A"/>
            </w:tcBorders>
            <w:shd w:val="clear" w:color="auto" w:fill="D7D7D7"/>
          </w:tcPr>
          <w:p>
            <w:pPr>
              <w:spacing w:after="0"/>
              <w:rPr>
                <w:sz w:val="23"/>
                <w:szCs w:val="23"/>
                <w:color w:val="auto"/>
              </w:rPr>
            </w:pPr>
          </w:p>
        </w:tc>
        <w:tc>
          <w:tcPr>
            <w:tcW w:w="880" w:type="dxa"/>
            <w:vAlign w:val="bottom"/>
            <w:tcBorders>
              <w:bottom w:val="single" w:sz="8" w:color="2A2A2A"/>
              <w:right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-7505065</wp:posOffset>
            </wp:positionV>
            <wp:extent cx="33591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59150" cy="2540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-7324090</wp:posOffset>
            </wp:positionV>
            <wp:extent cx="392112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211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-6876415</wp:posOffset>
            </wp:positionV>
            <wp:extent cx="655002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-6685915</wp:posOffset>
            </wp:positionV>
            <wp:extent cx="655002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-6495415</wp:posOffset>
            </wp:positionV>
            <wp:extent cx="655002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-6304915</wp:posOffset>
            </wp:positionV>
            <wp:extent cx="655002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-6114415</wp:posOffset>
            </wp:positionV>
            <wp:extent cx="655002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-5923915</wp:posOffset>
            </wp:positionV>
            <wp:extent cx="655002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-5733415</wp:posOffset>
            </wp:positionV>
            <wp:extent cx="590232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02325" cy="254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-5542915</wp:posOffset>
            </wp:positionV>
            <wp:extent cx="590232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02325" cy="25400"/>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-5352415</wp:posOffset>
            </wp:positionV>
            <wp:extent cx="58737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737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-5161915</wp:posOffset>
            </wp:positionV>
            <wp:extent cx="655002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-4971415</wp:posOffset>
            </wp:positionV>
            <wp:extent cx="655002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-4780915</wp:posOffset>
            </wp:positionV>
            <wp:extent cx="655002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-4590415</wp:posOffset>
            </wp:positionV>
            <wp:extent cx="655002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-4399915</wp:posOffset>
            </wp:positionV>
            <wp:extent cx="655002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-4209415</wp:posOffset>
            </wp:positionV>
            <wp:extent cx="655002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-4018915</wp:posOffset>
            </wp:positionV>
            <wp:extent cx="655002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-3828415</wp:posOffset>
            </wp:positionV>
            <wp:extent cx="655002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-3514090</wp:posOffset>
            </wp:positionV>
            <wp:extent cx="655002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-3066415</wp:posOffset>
            </wp:positionV>
            <wp:extent cx="655002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-2752090</wp:posOffset>
            </wp:positionV>
            <wp:extent cx="655002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-2304415</wp:posOffset>
            </wp:positionV>
            <wp:extent cx="655002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-1856740</wp:posOffset>
            </wp:positionV>
            <wp:extent cx="655002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-1161415</wp:posOffset>
            </wp:positionV>
            <wp:extent cx="655002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-466090</wp:posOffset>
            </wp:positionV>
            <wp:extent cx="655002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00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655002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ectPr>
          <w:pgSz w:w="12240" w:h="15840" w:orient="portrait"/>
          <w:cols w:equalWidth="0" w:num="1">
            <w:col w:w="10300"/>
          </w:cols>
          <w:pgMar w:left="960" w:top="653" w:right="980" w:bottom="24"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62</w:t>
      </w:r>
    </w:p>
    <w:p>
      <w:pPr>
        <w:sectPr>
          <w:pgSz w:w="12240" w:h="15840" w:orient="portrait"/>
          <w:cols w:equalWidth="0" w:num="1">
            <w:col w:w="10300"/>
          </w:cols>
          <w:pgMar w:left="960" w:top="653" w:right="980" w:bottom="24"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w w:val="98"/>
              </w:rPr>
              <w:t>Designation</w:t>
            </w:r>
          </w:p>
        </w:tc>
        <w:tc>
          <w:tcPr>
            <w:tcW w:w="3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60" w:type="dxa"/>
            <w:vAlign w:val="bottom"/>
            <w:gridSpan w:val="2"/>
          </w:tcPr>
          <w:p>
            <w:pPr>
              <w:jc w:val="right"/>
              <w:ind w:right="87"/>
              <w:spacing w:after="0"/>
              <w:rPr>
                <w:sz w:val="20"/>
                <w:szCs w:val="20"/>
                <w:color w:val="auto"/>
              </w:rPr>
            </w:pPr>
            <w:r>
              <w:rPr>
                <w:rFonts w:ascii="Arial" w:cs="Arial" w:eastAsia="Arial" w:hAnsi="Arial"/>
                <w:sz w:val="16"/>
                <w:szCs w:val="16"/>
                <w:b w:val="1"/>
                <w:bCs w:val="1"/>
                <w:color w:val="2A2A2A"/>
              </w:rPr>
              <w:t>Incorporated by Reference</w:t>
            </w:r>
          </w:p>
        </w:tc>
        <w:tc>
          <w:tcPr>
            <w:tcW w:w="14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2A2A2A"/>
              </w:rPr>
              <w:t>Filed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2A2A2A"/>
              </w:rPr>
              <w:t>of</w:t>
            </w:r>
          </w:p>
        </w:tc>
        <w:tc>
          <w:tcPr>
            <w:tcW w:w="3100" w:type="dxa"/>
            <w:vAlign w:val="bottom"/>
          </w:tcPr>
          <w:p>
            <w:pPr>
              <w:spacing w:after="0"/>
              <w:rPr>
                <w:sz w:val="4"/>
                <w:szCs w:val="4"/>
                <w:color w:val="auto"/>
              </w:rPr>
            </w:pPr>
          </w:p>
        </w:tc>
        <w:tc>
          <w:tcPr>
            <w:tcW w:w="780" w:type="dxa"/>
            <w:vAlign w:val="bottom"/>
            <w:tcBorders>
              <w:bottom w:val="single" w:sz="8" w:color="2A2A2A"/>
            </w:tcBorders>
          </w:tcPr>
          <w:p>
            <w:pPr>
              <w:spacing w:after="0"/>
              <w:rPr>
                <w:sz w:val="4"/>
                <w:szCs w:val="4"/>
                <w:color w:val="auto"/>
              </w:rPr>
            </w:pPr>
          </w:p>
        </w:tc>
        <w:tc>
          <w:tcPr>
            <w:tcW w:w="1160" w:type="dxa"/>
            <w:vAlign w:val="bottom"/>
            <w:tcBorders>
              <w:bottom w:val="single" w:sz="8" w:color="2A2A2A"/>
            </w:tcBorders>
          </w:tcPr>
          <w:p>
            <w:pPr>
              <w:spacing w:after="0"/>
              <w:rPr>
                <w:sz w:val="4"/>
                <w:szCs w:val="4"/>
                <w:color w:val="auto"/>
              </w:rPr>
            </w:pPr>
          </w:p>
        </w:tc>
        <w:tc>
          <w:tcPr>
            <w:tcW w:w="1900" w:type="dxa"/>
            <w:vAlign w:val="bottom"/>
            <w:tcBorders>
              <w:bottom w:val="single" w:sz="8" w:color="2A2A2A"/>
            </w:tcBorders>
          </w:tcPr>
          <w:p>
            <w:pPr>
              <w:spacing w:after="0"/>
              <w:rPr>
                <w:sz w:val="4"/>
                <w:szCs w:val="4"/>
                <w:color w:val="auto"/>
              </w:rPr>
            </w:pPr>
          </w:p>
        </w:tc>
        <w:tc>
          <w:tcPr>
            <w:tcW w:w="1440" w:type="dxa"/>
            <w:vAlign w:val="bottom"/>
            <w:tcBorders>
              <w:bottom w:val="single" w:sz="8" w:color="2A2A2A"/>
            </w:tcBorders>
          </w:tcPr>
          <w:p>
            <w:pPr>
              <w:spacing w:after="0"/>
              <w:rPr>
                <w:sz w:val="4"/>
                <w:szCs w:val="4"/>
                <w:color w:val="auto"/>
              </w:rPr>
            </w:pPr>
          </w:p>
        </w:tc>
        <w:tc>
          <w:tcPr>
            <w:tcW w:w="88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2A2A2A"/>
              </w:rPr>
              <w:t>Furnished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100" w:type="dxa"/>
            <w:vAlign w:val="bottom"/>
            <w:vMerge w:val="restart"/>
          </w:tcPr>
          <w:p>
            <w:pPr>
              <w:ind w:left="740"/>
              <w:spacing w:after="0"/>
              <w:rPr>
                <w:sz w:val="20"/>
                <w:szCs w:val="20"/>
                <w:color w:val="auto"/>
              </w:rPr>
            </w:pPr>
            <w:r>
              <w:rPr>
                <w:rFonts w:ascii="Arial" w:cs="Arial" w:eastAsia="Arial" w:hAnsi="Arial"/>
                <w:sz w:val="16"/>
                <w:szCs w:val="16"/>
                <w:b w:val="1"/>
                <w:bCs w:val="1"/>
                <w:color w:val="2A2A2A"/>
              </w:rPr>
              <w:t>Description of Exhibit</w:t>
            </w:r>
          </w:p>
        </w:tc>
        <w:tc>
          <w:tcPr>
            <w:tcW w:w="780" w:type="dxa"/>
            <w:vAlign w:val="bottom"/>
            <w:vMerge w:val="restart"/>
          </w:tcPr>
          <w:p>
            <w:pPr>
              <w:ind w:left="220"/>
              <w:spacing w:after="0"/>
              <w:rPr>
                <w:sz w:val="20"/>
                <w:szCs w:val="20"/>
                <w:color w:val="auto"/>
              </w:rPr>
            </w:pPr>
            <w:r>
              <w:rPr>
                <w:rFonts w:ascii="Arial" w:cs="Arial" w:eastAsia="Arial" w:hAnsi="Arial"/>
                <w:sz w:val="16"/>
                <w:szCs w:val="16"/>
                <w:b w:val="1"/>
                <w:bCs w:val="1"/>
                <w:color w:val="2A2A2A"/>
              </w:rPr>
              <w:t>Form</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2A2A2A"/>
                <w:w w:val="99"/>
              </w:rPr>
              <w:t>File Number</w:t>
            </w:r>
          </w:p>
        </w:tc>
        <w:tc>
          <w:tcPr>
            <w:tcW w:w="1900" w:type="dxa"/>
            <w:vAlign w:val="bottom"/>
            <w:vMerge w:val="restart"/>
          </w:tcPr>
          <w:p>
            <w:pPr>
              <w:jc w:val="right"/>
              <w:ind w:right="287"/>
              <w:spacing w:after="0"/>
              <w:rPr>
                <w:sz w:val="20"/>
                <w:szCs w:val="20"/>
                <w:color w:val="auto"/>
              </w:rPr>
            </w:pPr>
            <w:r>
              <w:rPr>
                <w:rFonts w:ascii="Arial" w:cs="Arial" w:eastAsia="Arial" w:hAnsi="Arial"/>
                <w:sz w:val="16"/>
                <w:szCs w:val="16"/>
                <w:b w:val="1"/>
                <w:bCs w:val="1"/>
                <w:color w:val="2A2A2A"/>
              </w:rPr>
              <w:t>Date of Filing</w:t>
            </w:r>
          </w:p>
        </w:tc>
        <w:tc>
          <w:tcPr>
            <w:tcW w:w="14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2A2A2A"/>
            </w:tcBorders>
          </w:tcPr>
          <w:p>
            <w:pPr>
              <w:spacing w:after="0"/>
              <w:rPr>
                <w:sz w:val="18"/>
                <w:szCs w:val="18"/>
                <w:color w:val="auto"/>
              </w:rPr>
            </w:pPr>
          </w:p>
        </w:tc>
        <w:tc>
          <w:tcPr>
            <w:tcW w:w="10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Exhibit</w:t>
            </w:r>
          </w:p>
        </w:tc>
        <w:tc>
          <w:tcPr>
            <w:tcW w:w="3100" w:type="dxa"/>
            <w:vAlign w:val="bottom"/>
            <w:tcBorders>
              <w:bottom w:val="single" w:sz="8" w:color="2A2A2A"/>
            </w:tcBorders>
            <w:vMerge w:val="continue"/>
          </w:tcPr>
          <w:p>
            <w:pPr>
              <w:spacing w:after="0"/>
              <w:rPr>
                <w:sz w:val="18"/>
                <w:szCs w:val="18"/>
                <w:color w:val="auto"/>
              </w:rPr>
            </w:pPr>
          </w:p>
        </w:tc>
        <w:tc>
          <w:tcPr>
            <w:tcW w:w="780" w:type="dxa"/>
            <w:vAlign w:val="bottom"/>
            <w:tcBorders>
              <w:bottom w:val="single" w:sz="8" w:color="2A2A2A"/>
            </w:tcBorders>
            <w:vMerge w:val="continue"/>
          </w:tcPr>
          <w:p>
            <w:pPr>
              <w:spacing w:after="0"/>
              <w:rPr>
                <w:sz w:val="18"/>
                <w:szCs w:val="18"/>
                <w:color w:val="auto"/>
              </w:rPr>
            </w:pPr>
          </w:p>
        </w:tc>
        <w:tc>
          <w:tcPr>
            <w:tcW w:w="1160" w:type="dxa"/>
            <w:vAlign w:val="bottom"/>
            <w:tcBorders>
              <w:bottom w:val="single" w:sz="8" w:color="2A2A2A"/>
            </w:tcBorders>
            <w:vMerge w:val="continue"/>
          </w:tcPr>
          <w:p>
            <w:pPr>
              <w:spacing w:after="0"/>
              <w:rPr>
                <w:sz w:val="18"/>
                <w:szCs w:val="18"/>
                <w:color w:val="auto"/>
              </w:rPr>
            </w:pPr>
          </w:p>
        </w:tc>
        <w:tc>
          <w:tcPr>
            <w:tcW w:w="1900" w:type="dxa"/>
            <w:vAlign w:val="bottom"/>
            <w:tcBorders>
              <w:bottom w:val="single" w:sz="8" w:color="2A2A2A"/>
            </w:tcBorders>
            <w:vMerge w:val="continue"/>
          </w:tcPr>
          <w:p>
            <w:pPr>
              <w:spacing w:after="0"/>
              <w:rPr>
                <w:sz w:val="18"/>
                <w:szCs w:val="18"/>
                <w:color w:val="auto"/>
              </w:rPr>
            </w:pPr>
          </w:p>
        </w:tc>
        <w:tc>
          <w:tcPr>
            <w:tcW w:w="2320" w:type="dxa"/>
            <w:vAlign w:val="bottom"/>
            <w:tcBorders>
              <w:bottom w:val="single" w:sz="8" w:color="2A2A2A"/>
            </w:tcBorders>
            <w:gridSpan w:val="2"/>
          </w:tcPr>
          <w:p>
            <w:pPr>
              <w:ind w:left="180"/>
              <w:spacing w:after="0"/>
              <w:rPr>
                <w:sz w:val="20"/>
                <w:szCs w:val="20"/>
                <w:color w:val="auto"/>
              </w:rPr>
            </w:pPr>
            <w:r>
              <w:rPr>
                <w:rFonts w:ascii="Arial" w:cs="Arial" w:eastAsia="Arial" w:hAnsi="Arial"/>
                <w:sz w:val="16"/>
                <w:szCs w:val="16"/>
                <w:b w:val="1"/>
                <w:bCs w:val="1"/>
                <w:color w:val="2A2A2A"/>
              </w:rPr>
              <w:t>Exhibit Number  Herewith</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rPr>
              <w:t>10(i)</w:t>
            </w:r>
          </w:p>
        </w:tc>
        <w:tc>
          <w:tcPr>
            <w:tcW w:w="3100" w:type="dxa"/>
            <w:vAlign w:val="bottom"/>
          </w:tcPr>
          <w:p>
            <w:pPr>
              <w:ind w:left="60"/>
              <w:spacing w:after="0" w:line="210" w:lineRule="exact"/>
              <w:rPr>
                <w:sz w:val="20"/>
                <w:szCs w:val="20"/>
                <w:color w:val="auto"/>
              </w:rPr>
            </w:pPr>
            <w:r>
              <w:rPr>
                <w:rFonts w:ascii="Arial" w:cs="Arial" w:eastAsia="Arial" w:hAnsi="Arial"/>
                <w:sz w:val="20"/>
                <w:szCs w:val="20"/>
                <w:color w:val="2A2A2A"/>
              </w:rPr>
              <w:t>Texas Instruments 2009 Director</w:t>
            </w:r>
          </w:p>
        </w:tc>
        <w:tc>
          <w:tcPr>
            <w:tcW w:w="780" w:type="dxa"/>
            <w:vAlign w:val="bottom"/>
          </w:tcPr>
          <w:p>
            <w:pPr>
              <w:ind w:left="200"/>
              <w:spacing w:after="0" w:line="210" w:lineRule="exact"/>
              <w:rPr>
                <w:sz w:val="20"/>
                <w:szCs w:val="20"/>
                <w:color w:val="auto"/>
              </w:rPr>
            </w:pPr>
            <w:r>
              <w:rPr>
                <w:rFonts w:ascii="Arial" w:cs="Arial" w:eastAsia="Arial" w:hAnsi="Arial"/>
                <w:sz w:val="20"/>
                <w:szCs w:val="20"/>
                <w:color w:val="2A2A2A"/>
              </w:rPr>
              <w:t>10-K</w:t>
            </w:r>
          </w:p>
        </w:tc>
        <w:tc>
          <w:tcPr>
            <w:tcW w:w="1160" w:type="dxa"/>
            <w:vAlign w:val="bottom"/>
          </w:tcPr>
          <w:p>
            <w:pPr>
              <w:jc w:val="center"/>
              <w:spacing w:after="0" w:line="210" w:lineRule="exact"/>
              <w:rPr>
                <w:sz w:val="20"/>
                <w:szCs w:val="20"/>
                <w:color w:val="auto"/>
              </w:rPr>
            </w:pPr>
            <w:r>
              <w:rPr>
                <w:rFonts w:ascii="Arial" w:cs="Arial" w:eastAsia="Arial" w:hAnsi="Arial"/>
                <w:sz w:val="20"/>
                <w:szCs w:val="20"/>
                <w:color w:val="2A2A2A"/>
              </w:rPr>
              <w:t>001-3761</w:t>
            </w:r>
          </w:p>
        </w:tc>
        <w:tc>
          <w:tcPr>
            <w:tcW w:w="1900" w:type="dxa"/>
            <w:vAlign w:val="bottom"/>
          </w:tcPr>
          <w:p>
            <w:pPr>
              <w:jc w:val="right"/>
              <w:ind w:right="87"/>
              <w:spacing w:after="0" w:line="210" w:lineRule="exact"/>
              <w:rPr>
                <w:sz w:val="20"/>
                <w:szCs w:val="20"/>
                <w:color w:val="auto"/>
              </w:rPr>
            </w:pPr>
            <w:r>
              <w:rPr>
                <w:rFonts w:ascii="Arial" w:cs="Arial" w:eastAsia="Arial" w:hAnsi="Arial"/>
                <w:sz w:val="20"/>
                <w:szCs w:val="20"/>
                <w:color w:val="2A2A2A"/>
              </w:rPr>
              <w:t>February 23, 2017</w:t>
            </w:r>
          </w:p>
        </w:tc>
        <w:tc>
          <w:tcPr>
            <w:tcW w:w="2320" w:type="dxa"/>
            <w:vAlign w:val="bottom"/>
            <w:gridSpan w:val="2"/>
          </w:tcPr>
          <w:p>
            <w:pPr>
              <w:ind w:left="540"/>
              <w:spacing w:after="0" w:line="210" w:lineRule="exact"/>
              <w:rPr>
                <w:sz w:val="20"/>
                <w:szCs w:val="20"/>
                <w:color w:val="auto"/>
              </w:rPr>
            </w:pPr>
            <w:r>
              <w:rPr>
                <w:rFonts w:ascii="Arial" w:cs="Arial" w:eastAsia="Arial" w:hAnsi="Arial"/>
                <w:sz w:val="20"/>
                <w:szCs w:val="20"/>
                <w:color w:val="2A2A2A"/>
              </w:rPr>
              <w:t>10(n)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00" w:type="dxa"/>
            <w:vAlign w:val="bottom"/>
          </w:tcPr>
          <w:p>
            <w:pPr>
              <w:ind w:left="60"/>
              <w:spacing w:after="0" w:line="200" w:lineRule="exact"/>
              <w:rPr>
                <w:sz w:val="20"/>
                <w:szCs w:val="20"/>
                <w:color w:val="auto"/>
              </w:rPr>
            </w:pPr>
            <w:r>
              <w:rPr>
                <w:rFonts w:ascii="Arial" w:cs="Arial" w:eastAsia="Arial" w:hAnsi="Arial"/>
                <w:sz w:val="20"/>
                <w:szCs w:val="20"/>
                <w:color w:val="2A2A2A"/>
              </w:rPr>
              <w:t>Compensation Plan as amended</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Borders>
              <w:bottom w:val="single" w:sz="8" w:color="2A2A2A"/>
            </w:tcBorders>
          </w:tcPr>
          <w:p>
            <w:pPr>
              <w:spacing w:after="0"/>
              <w:rPr>
                <w:sz w:val="23"/>
                <w:szCs w:val="23"/>
                <w:color w:val="auto"/>
              </w:rPr>
            </w:pPr>
          </w:p>
        </w:tc>
        <w:tc>
          <w:tcPr>
            <w:tcW w:w="1020" w:type="dxa"/>
            <w:vAlign w:val="bottom"/>
            <w:tcBorders>
              <w:bottom w:val="single" w:sz="8" w:color="2A2A2A"/>
            </w:tcBorders>
          </w:tcPr>
          <w:p>
            <w:pPr>
              <w:spacing w:after="0"/>
              <w:rPr>
                <w:sz w:val="23"/>
                <w:szCs w:val="23"/>
                <w:color w:val="auto"/>
              </w:rPr>
            </w:pPr>
          </w:p>
        </w:tc>
        <w:tc>
          <w:tcPr>
            <w:tcW w:w="310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January 19, 2012</w:t>
            </w:r>
          </w:p>
        </w:tc>
        <w:tc>
          <w:tcPr>
            <w:tcW w:w="780" w:type="dxa"/>
            <w:vAlign w:val="bottom"/>
            <w:tcBorders>
              <w:bottom w:val="single" w:sz="8" w:color="2A2A2A"/>
            </w:tcBorders>
          </w:tcPr>
          <w:p>
            <w:pPr>
              <w:spacing w:after="0"/>
              <w:rPr>
                <w:sz w:val="23"/>
                <w:szCs w:val="23"/>
                <w:color w:val="auto"/>
              </w:rPr>
            </w:pPr>
          </w:p>
        </w:tc>
        <w:tc>
          <w:tcPr>
            <w:tcW w:w="1160" w:type="dxa"/>
            <w:vAlign w:val="bottom"/>
            <w:tcBorders>
              <w:bottom w:val="single" w:sz="8" w:color="2A2A2A"/>
            </w:tcBorders>
          </w:tcPr>
          <w:p>
            <w:pPr>
              <w:spacing w:after="0"/>
              <w:rPr>
                <w:sz w:val="23"/>
                <w:szCs w:val="23"/>
                <w:color w:val="auto"/>
              </w:rPr>
            </w:pPr>
          </w:p>
        </w:tc>
        <w:tc>
          <w:tcPr>
            <w:tcW w:w="1900" w:type="dxa"/>
            <w:vAlign w:val="bottom"/>
            <w:tcBorders>
              <w:bottom w:val="single" w:sz="8" w:color="2A2A2A"/>
            </w:tcBorders>
          </w:tcPr>
          <w:p>
            <w:pPr>
              <w:spacing w:after="0"/>
              <w:rPr>
                <w:sz w:val="23"/>
                <w:szCs w:val="23"/>
                <w:color w:val="auto"/>
              </w:rPr>
            </w:pPr>
          </w:p>
        </w:tc>
        <w:tc>
          <w:tcPr>
            <w:tcW w:w="1440" w:type="dxa"/>
            <w:vAlign w:val="bottom"/>
            <w:tcBorders>
              <w:bottom w:val="single" w:sz="8" w:color="2A2A2A"/>
            </w:tcBorders>
          </w:tcPr>
          <w:p>
            <w:pPr>
              <w:spacing w:after="0"/>
              <w:rPr>
                <w:sz w:val="23"/>
                <w:szCs w:val="23"/>
                <w:color w:val="auto"/>
              </w:rPr>
            </w:pPr>
          </w:p>
        </w:tc>
        <w:tc>
          <w:tcPr>
            <w:tcW w:w="880" w:type="dxa"/>
            <w:vAlign w:val="bottom"/>
            <w:tcBorders>
              <w:bottom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rPr>
              <w:t>10(j)</w:t>
            </w:r>
          </w:p>
        </w:tc>
        <w:tc>
          <w:tcPr>
            <w:tcW w:w="3100" w:type="dxa"/>
            <w:vAlign w:val="bottom"/>
            <w:shd w:val="clear" w:color="auto" w:fill="D7D7D7"/>
          </w:tcPr>
          <w:p>
            <w:pPr>
              <w:ind w:left="60"/>
              <w:spacing w:after="0" w:line="210" w:lineRule="exact"/>
              <w:rPr>
                <w:sz w:val="20"/>
                <w:szCs w:val="20"/>
                <w:color w:val="auto"/>
              </w:rPr>
            </w:pPr>
            <w:r>
              <w:rPr>
                <w:rFonts w:ascii="Arial" w:cs="Arial" w:eastAsia="Arial" w:hAnsi="Arial"/>
                <w:sz w:val="20"/>
                <w:szCs w:val="20"/>
                <w:color w:val="2A2A2A"/>
              </w:rPr>
              <w:t>Texas Instruments 2018 Director</w:t>
            </w:r>
          </w:p>
        </w:tc>
        <w:tc>
          <w:tcPr>
            <w:tcW w:w="780" w:type="dxa"/>
            <w:vAlign w:val="bottom"/>
            <w:shd w:val="clear" w:color="auto" w:fill="D7D7D7"/>
          </w:tcPr>
          <w:p>
            <w:pPr>
              <w:ind w:left="200"/>
              <w:spacing w:after="0" w:line="210" w:lineRule="exact"/>
              <w:rPr>
                <w:sz w:val="20"/>
                <w:szCs w:val="20"/>
                <w:color w:val="auto"/>
              </w:rPr>
            </w:pPr>
            <w:r>
              <w:rPr>
                <w:rFonts w:ascii="Arial" w:cs="Arial" w:eastAsia="Arial" w:hAnsi="Arial"/>
                <w:sz w:val="20"/>
                <w:szCs w:val="20"/>
                <w:color w:val="2A2A2A"/>
              </w:rPr>
              <w:t>10-K</w:t>
            </w:r>
          </w:p>
        </w:tc>
        <w:tc>
          <w:tcPr>
            <w:tcW w:w="116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color w:val="2A2A2A"/>
              </w:rPr>
              <w:t>001-3761</w:t>
            </w:r>
          </w:p>
        </w:tc>
        <w:tc>
          <w:tcPr>
            <w:tcW w:w="1900" w:type="dxa"/>
            <w:vAlign w:val="bottom"/>
            <w:shd w:val="clear" w:color="auto" w:fill="D7D7D7"/>
          </w:tcPr>
          <w:p>
            <w:pPr>
              <w:jc w:val="right"/>
              <w:ind w:right="87"/>
              <w:spacing w:after="0" w:line="210" w:lineRule="exact"/>
              <w:rPr>
                <w:sz w:val="20"/>
                <w:szCs w:val="20"/>
                <w:color w:val="auto"/>
              </w:rPr>
            </w:pPr>
            <w:r>
              <w:rPr>
                <w:rFonts w:ascii="Arial" w:cs="Arial" w:eastAsia="Arial" w:hAnsi="Arial"/>
                <w:sz w:val="20"/>
                <w:szCs w:val="20"/>
                <w:color w:val="2A2A2A"/>
              </w:rPr>
              <w:t>February 20, 2020</w:t>
            </w:r>
          </w:p>
        </w:tc>
        <w:tc>
          <w:tcPr>
            <w:tcW w:w="2320" w:type="dxa"/>
            <w:vAlign w:val="bottom"/>
            <w:gridSpan w:val="2"/>
            <w:shd w:val="clear" w:color="auto" w:fill="D7D7D7"/>
          </w:tcPr>
          <w:p>
            <w:pPr>
              <w:ind w:left="540"/>
              <w:spacing w:after="0" w:line="210" w:lineRule="exact"/>
              <w:rPr>
                <w:sz w:val="20"/>
                <w:szCs w:val="20"/>
                <w:color w:val="auto"/>
              </w:rPr>
            </w:pPr>
            <w:r>
              <w:rPr>
                <w:rFonts w:ascii="Arial" w:cs="Arial" w:eastAsia="Arial" w:hAnsi="Arial"/>
                <w:sz w:val="20"/>
                <w:szCs w:val="20"/>
                <w:color w:val="2A2A2A"/>
              </w:rPr>
              <w:t>10(k)</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20" w:type="dxa"/>
            <w:vAlign w:val="bottom"/>
            <w:shd w:val="clear" w:color="auto" w:fill="D7D7D7"/>
          </w:tcPr>
          <w:p>
            <w:pPr>
              <w:spacing w:after="0"/>
              <w:rPr>
                <w:sz w:val="17"/>
                <w:szCs w:val="17"/>
                <w:color w:val="auto"/>
              </w:rPr>
            </w:pPr>
          </w:p>
        </w:tc>
        <w:tc>
          <w:tcPr>
            <w:tcW w:w="3100" w:type="dxa"/>
            <w:vAlign w:val="bottom"/>
            <w:shd w:val="clear" w:color="auto" w:fill="D7D7D7"/>
          </w:tcPr>
          <w:p>
            <w:pPr>
              <w:ind w:left="60"/>
              <w:spacing w:after="0" w:line="200" w:lineRule="exact"/>
              <w:rPr>
                <w:sz w:val="20"/>
                <w:szCs w:val="20"/>
                <w:color w:val="auto"/>
              </w:rPr>
            </w:pPr>
            <w:r>
              <w:rPr>
                <w:rFonts w:ascii="Arial" w:cs="Arial" w:eastAsia="Arial" w:hAnsi="Arial"/>
                <w:sz w:val="20"/>
                <w:szCs w:val="20"/>
                <w:color w:val="2A2A2A"/>
              </w:rPr>
              <w:t>Compensation Plan as amended</w:t>
            </w:r>
          </w:p>
        </w:tc>
        <w:tc>
          <w:tcPr>
            <w:tcW w:w="780" w:type="dxa"/>
            <w:vAlign w:val="bottom"/>
            <w:shd w:val="clear" w:color="auto" w:fill="D7D7D7"/>
          </w:tcPr>
          <w:p>
            <w:pPr>
              <w:spacing w:after="0"/>
              <w:rPr>
                <w:sz w:val="17"/>
                <w:szCs w:val="17"/>
                <w:color w:val="auto"/>
              </w:rPr>
            </w:pPr>
          </w:p>
        </w:tc>
        <w:tc>
          <w:tcPr>
            <w:tcW w:w="1160" w:type="dxa"/>
            <w:vAlign w:val="bottom"/>
            <w:shd w:val="clear" w:color="auto" w:fill="D7D7D7"/>
          </w:tcPr>
          <w:p>
            <w:pPr>
              <w:spacing w:after="0"/>
              <w:rPr>
                <w:sz w:val="17"/>
                <w:szCs w:val="17"/>
                <w:color w:val="auto"/>
              </w:rPr>
            </w:pPr>
          </w:p>
        </w:tc>
        <w:tc>
          <w:tcPr>
            <w:tcW w:w="1900" w:type="dxa"/>
            <w:vAlign w:val="bottom"/>
            <w:shd w:val="clear" w:color="auto" w:fill="D7D7D7"/>
          </w:tcPr>
          <w:p>
            <w:pPr>
              <w:spacing w:after="0"/>
              <w:rPr>
                <w:sz w:val="17"/>
                <w:szCs w:val="17"/>
                <w:color w:val="auto"/>
              </w:rPr>
            </w:pPr>
          </w:p>
        </w:tc>
        <w:tc>
          <w:tcPr>
            <w:tcW w:w="1440" w:type="dxa"/>
            <w:vAlign w:val="bottom"/>
            <w:shd w:val="clear" w:color="auto" w:fill="D7D7D7"/>
          </w:tcPr>
          <w:p>
            <w:pPr>
              <w:spacing w:after="0"/>
              <w:rPr>
                <w:sz w:val="17"/>
                <w:szCs w:val="17"/>
                <w:color w:val="auto"/>
              </w:rPr>
            </w:pPr>
          </w:p>
        </w:tc>
        <w:tc>
          <w:tcPr>
            <w:tcW w:w="880" w:type="dxa"/>
            <w:vAlign w:val="bottom"/>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Borders>
              <w:bottom w:val="single" w:sz="8" w:color="2A2A2A"/>
            </w:tcBorders>
          </w:tcPr>
          <w:p>
            <w:pPr>
              <w:spacing w:after="0"/>
              <w:rPr>
                <w:sz w:val="23"/>
                <w:szCs w:val="23"/>
                <w:color w:val="auto"/>
              </w:rPr>
            </w:pPr>
          </w:p>
        </w:tc>
        <w:tc>
          <w:tcPr>
            <w:tcW w:w="1020" w:type="dxa"/>
            <w:vAlign w:val="bottom"/>
            <w:tcBorders>
              <w:bottom w:val="single" w:sz="8" w:color="2A2A2A"/>
            </w:tcBorders>
            <w:shd w:val="clear" w:color="auto" w:fill="D7D7D7"/>
          </w:tcPr>
          <w:p>
            <w:pPr>
              <w:spacing w:after="0"/>
              <w:rPr>
                <w:sz w:val="23"/>
                <w:szCs w:val="23"/>
                <w:color w:val="auto"/>
              </w:rPr>
            </w:pPr>
          </w:p>
        </w:tc>
        <w:tc>
          <w:tcPr>
            <w:tcW w:w="3100" w:type="dxa"/>
            <w:vAlign w:val="bottom"/>
            <w:tcBorders>
              <w:bottom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December 5, 2019</w:t>
            </w:r>
          </w:p>
        </w:tc>
        <w:tc>
          <w:tcPr>
            <w:tcW w:w="780" w:type="dxa"/>
            <w:vAlign w:val="bottom"/>
            <w:tcBorders>
              <w:bottom w:val="single" w:sz="8" w:color="2A2A2A"/>
            </w:tcBorders>
            <w:shd w:val="clear" w:color="auto" w:fill="D7D7D7"/>
          </w:tcPr>
          <w:p>
            <w:pPr>
              <w:spacing w:after="0"/>
              <w:rPr>
                <w:sz w:val="23"/>
                <w:szCs w:val="23"/>
                <w:color w:val="auto"/>
              </w:rPr>
            </w:pPr>
          </w:p>
        </w:tc>
        <w:tc>
          <w:tcPr>
            <w:tcW w:w="1160" w:type="dxa"/>
            <w:vAlign w:val="bottom"/>
            <w:tcBorders>
              <w:bottom w:val="single" w:sz="8" w:color="2A2A2A"/>
            </w:tcBorders>
            <w:shd w:val="clear" w:color="auto" w:fill="D7D7D7"/>
          </w:tcPr>
          <w:p>
            <w:pPr>
              <w:spacing w:after="0"/>
              <w:rPr>
                <w:sz w:val="23"/>
                <w:szCs w:val="23"/>
                <w:color w:val="auto"/>
              </w:rPr>
            </w:pPr>
          </w:p>
        </w:tc>
        <w:tc>
          <w:tcPr>
            <w:tcW w:w="1900" w:type="dxa"/>
            <w:vAlign w:val="bottom"/>
            <w:tcBorders>
              <w:bottom w:val="single" w:sz="8" w:color="2A2A2A"/>
            </w:tcBorders>
            <w:shd w:val="clear" w:color="auto" w:fill="D7D7D7"/>
          </w:tcPr>
          <w:p>
            <w:pPr>
              <w:spacing w:after="0"/>
              <w:rPr>
                <w:sz w:val="23"/>
                <w:szCs w:val="23"/>
                <w:color w:val="auto"/>
              </w:rPr>
            </w:pPr>
          </w:p>
        </w:tc>
        <w:tc>
          <w:tcPr>
            <w:tcW w:w="1440" w:type="dxa"/>
            <w:vAlign w:val="bottom"/>
            <w:tcBorders>
              <w:bottom w:val="single" w:sz="8" w:color="2A2A2A"/>
            </w:tcBorders>
            <w:shd w:val="clear" w:color="auto" w:fill="D7D7D7"/>
          </w:tcPr>
          <w:p>
            <w:pPr>
              <w:spacing w:after="0"/>
              <w:rPr>
                <w:sz w:val="23"/>
                <w:szCs w:val="23"/>
                <w:color w:val="auto"/>
              </w:rPr>
            </w:pPr>
          </w:p>
        </w:tc>
        <w:tc>
          <w:tcPr>
            <w:tcW w:w="880" w:type="dxa"/>
            <w:vAlign w:val="bottom"/>
            <w:tcBorders>
              <w:bottom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w w:val="98"/>
              </w:rPr>
              <w:t>10(k)</w:t>
            </w:r>
          </w:p>
        </w:tc>
        <w:tc>
          <w:tcPr>
            <w:tcW w:w="3100" w:type="dxa"/>
            <w:vAlign w:val="bottom"/>
          </w:tcPr>
          <w:p>
            <w:pPr>
              <w:ind w:left="60"/>
              <w:spacing w:after="0" w:line="210" w:lineRule="exact"/>
              <w:rPr>
                <w:sz w:val="20"/>
                <w:szCs w:val="20"/>
                <w:color w:val="auto"/>
              </w:rPr>
            </w:pPr>
            <w:r>
              <w:rPr>
                <w:rFonts w:ascii="Arial" w:cs="Arial" w:eastAsia="Arial" w:hAnsi="Arial"/>
                <w:sz w:val="20"/>
                <w:szCs w:val="20"/>
                <w:color w:val="2A2A2A"/>
              </w:rPr>
              <w:t>Form of Non-Qualified Stock</w:t>
            </w: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00" w:type="dxa"/>
            <w:vAlign w:val="bottom"/>
          </w:tcPr>
          <w:p>
            <w:pPr>
              <w:ind w:left="60"/>
              <w:spacing w:after="0" w:line="200" w:lineRule="exact"/>
              <w:rPr>
                <w:sz w:val="20"/>
                <w:szCs w:val="20"/>
                <w:color w:val="auto"/>
              </w:rPr>
            </w:pPr>
            <w:r>
              <w:rPr>
                <w:rFonts w:ascii="Arial" w:cs="Arial" w:eastAsia="Arial" w:hAnsi="Arial"/>
                <w:sz w:val="20"/>
                <w:szCs w:val="20"/>
                <w:color w:val="2A2A2A"/>
              </w:rPr>
              <w:t>Option Award Agreement for</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vMerge w:val="restart"/>
          </w:tcPr>
          <w:p>
            <w:pPr>
              <w:ind w:left="60"/>
              <w:spacing w:after="0" w:line="200" w:lineRule="exact"/>
              <w:rPr>
                <w:sz w:val="20"/>
                <w:szCs w:val="20"/>
                <w:color w:val="auto"/>
              </w:rPr>
            </w:pPr>
            <w:r>
              <w:rPr>
                <w:rFonts w:ascii="Arial" w:cs="Arial" w:eastAsia="Arial" w:hAnsi="Arial"/>
                <w:sz w:val="20"/>
                <w:szCs w:val="20"/>
                <w:color w:val="2A2A2A"/>
              </w:rPr>
              <w:t>Executive Officers effective as of</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Borders>
              <w:bottom w:val="single" w:sz="8" w:color="2A2A2A"/>
            </w:tcBorders>
          </w:tcPr>
          <w:p>
            <w:pPr>
              <w:spacing w:after="0"/>
              <w:rPr>
                <w:sz w:val="23"/>
                <w:szCs w:val="23"/>
                <w:color w:val="auto"/>
              </w:rPr>
            </w:pPr>
          </w:p>
        </w:tc>
        <w:tc>
          <w:tcPr>
            <w:tcW w:w="1020" w:type="dxa"/>
            <w:vAlign w:val="bottom"/>
            <w:tcBorders>
              <w:bottom w:val="single" w:sz="8" w:color="2A2A2A"/>
            </w:tcBorders>
          </w:tcPr>
          <w:p>
            <w:pPr>
              <w:spacing w:after="0"/>
              <w:rPr>
                <w:sz w:val="23"/>
                <w:szCs w:val="23"/>
                <w:color w:val="auto"/>
              </w:rPr>
            </w:pPr>
          </w:p>
        </w:tc>
        <w:tc>
          <w:tcPr>
            <w:tcW w:w="310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January 18, 2024 *</w:t>
            </w:r>
          </w:p>
        </w:tc>
        <w:tc>
          <w:tcPr>
            <w:tcW w:w="780" w:type="dxa"/>
            <w:vAlign w:val="bottom"/>
            <w:tcBorders>
              <w:bottom w:val="single" w:sz="8" w:color="2A2A2A"/>
            </w:tcBorders>
          </w:tcPr>
          <w:p>
            <w:pPr>
              <w:spacing w:after="0"/>
              <w:rPr>
                <w:sz w:val="23"/>
                <w:szCs w:val="23"/>
                <w:color w:val="auto"/>
              </w:rPr>
            </w:pPr>
          </w:p>
        </w:tc>
        <w:tc>
          <w:tcPr>
            <w:tcW w:w="1160" w:type="dxa"/>
            <w:vAlign w:val="bottom"/>
            <w:tcBorders>
              <w:bottom w:val="single" w:sz="8" w:color="2A2A2A"/>
            </w:tcBorders>
          </w:tcPr>
          <w:p>
            <w:pPr>
              <w:spacing w:after="0"/>
              <w:rPr>
                <w:sz w:val="23"/>
                <w:szCs w:val="23"/>
                <w:color w:val="auto"/>
              </w:rPr>
            </w:pPr>
          </w:p>
        </w:tc>
        <w:tc>
          <w:tcPr>
            <w:tcW w:w="1900" w:type="dxa"/>
            <w:vAlign w:val="bottom"/>
            <w:tcBorders>
              <w:bottom w:val="single" w:sz="8" w:color="2A2A2A"/>
            </w:tcBorders>
          </w:tcPr>
          <w:p>
            <w:pPr>
              <w:spacing w:after="0"/>
              <w:rPr>
                <w:sz w:val="23"/>
                <w:szCs w:val="23"/>
                <w:color w:val="auto"/>
              </w:rPr>
            </w:pPr>
          </w:p>
        </w:tc>
        <w:tc>
          <w:tcPr>
            <w:tcW w:w="1440" w:type="dxa"/>
            <w:vAlign w:val="bottom"/>
            <w:tcBorders>
              <w:bottom w:val="single" w:sz="8" w:color="2A2A2A"/>
            </w:tcBorders>
          </w:tcPr>
          <w:p>
            <w:pPr>
              <w:spacing w:after="0"/>
              <w:rPr>
                <w:sz w:val="23"/>
                <w:szCs w:val="23"/>
                <w:color w:val="auto"/>
              </w:rPr>
            </w:pPr>
          </w:p>
        </w:tc>
        <w:tc>
          <w:tcPr>
            <w:tcW w:w="880" w:type="dxa"/>
            <w:vAlign w:val="bottom"/>
            <w:tcBorders>
              <w:bottom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rPr>
              <w:t>10(l)</w:t>
            </w:r>
          </w:p>
        </w:tc>
        <w:tc>
          <w:tcPr>
            <w:tcW w:w="3100" w:type="dxa"/>
            <w:vAlign w:val="bottom"/>
            <w:shd w:val="clear" w:color="auto" w:fill="D7D7D7"/>
          </w:tcPr>
          <w:p>
            <w:pPr>
              <w:ind w:left="60"/>
              <w:spacing w:after="0" w:line="210" w:lineRule="exact"/>
              <w:rPr>
                <w:sz w:val="20"/>
                <w:szCs w:val="20"/>
                <w:color w:val="auto"/>
              </w:rPr>
            </w:pPr>
            <w:r>
              <w:rPr>
                <w:rFonts w:ascii="Arial" w:cs="Arial" w:eastAsia="Arial" w:hAnsi="Arial"/>
                <w:sz w:val="20"/>
                <w:szCs w:val="20"/>
                <w:color w:val="2A2A2A"/>
              </w:rPr>
              <w:t>Form of Restricted Stock Unit</w:t>
            </w:r>
          </w:p>
        </w:tc>
        <w:tc>
          <w:tcPr>
            <w:tcW w:w="780" w:type="dxa"/>
            <w:vAlign w:val="bottom"/>
            <w:shd w:val="clear" w:color="auto" w:fill="D7D7D7"/>
          </w:tcPr>
          <w:p>
            <w:pPr>
              <w:spacing w:after="0"/>
              <w:rPr>
                <w:sz w:val="18"/>
                <w:szCs w:val="18"/>
                <w:color w:val="auto"/>
              </w:rPr>
            </w:pPr>
          </w:p>
        </w:tc>
        <w:tc>
          <w:tcPr>
            <w:tcW w:w="1160" w:type="dxa"/>
            <w:vAlign w:val="bottom"/>
            <w:shd w:val="clear" w:color="auto" w:fill="D7D7D7"/>
          </w:tcPr>
          <w:p>
            <w:pPr>
              <w:spacing w:after="0"/>
              <w:rPr>
                <w:sz w:val="18"/>
                <w:szCs w:val="18"/>
                <w:color w:val="auto"/>
              </w:rPr>
            </w:pPr>
          </w:p>
        </w:tc>
        <w:tc>
          <w:tcPr>
            <w:tcW w:w="1900" w:type="dxa"/>
            <w:vAlign w:val="bottom"/>
            <w:shd w:val="clear" w:color="auto" w:fill="D7D7D7"/>
          </w:tcPr>
          <w:p>
            <w:pPr>
              <w:spacing w:after="0"/>
              <w:rPr>
                <w:sz w:val="18"/>
                <w:szCs w:val="18"/>
                <w:color w:val="auto"/>
              </w:rPr>
            </w:pPr>
          </w:p>
        </w:tc>
        <w:tc>
          <w:tcPr>
            <w:tcW w:w="1440" w:type="dxa"/>
            <w:vAlign w:val="bottom"/>
            <w:shd w:val="clear" w:color="auto" w:fill="D7D7D7"/>
          </w:tcPr>
          <w:p>
            <w:pPr>
              <w:spacing w:after="0"/>
              <w:rPr>
                <w:sz w:val="18"/>
                <w:szCs w:val="18"/>
                <w:color w:val="auto"/>
              </w:rPr>
            </w:pPr>
          </w:p>
        </w:tc>
        <w:tc>
          <w:tcPr>
            <w:tcW w:w="880" w:type="dxa"/>
            <w:vAlign w:val="bottom"/>
            <w:shd w:val="clear" w:color="auto" w:fill="D7D7D7"/>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20" w:type="dxa"/>
            <w:vAlign w:val="bottom"/>
            <w:shd w:val="clear" w:color="auto" w:fill="D7D7D7"/>
          </w:tcPr>
          <w:p>
            <w:pPr>
              <w:spacing w:after="0"/>
              <w:rPr>
                <w:sz w:val="17"/>
                <w:szCs w:val="17"/>
                <w:color w:val="auto"/>
              </w:rPr>
            </w:pPr>
          </w:p>
        </w:tc>
        <w:tc>
          <w:tcPr>
            <w:tcW w:w="3100" w:type="dxa"/>
            <w:vAlign w:val="bottom"/>
            <w:shd w:val="clear" w:color="auto" w:fill="D7D7D7"/>
          </w:tcPr>
          <w:p>
            <w:pPr>
              <w:ind w:left="60"/>
              <w:spacing w:after="0" w:line="200" w:lineRule="exact"/>
              <w:rPr>
                <w:sz w:val="20"/>
                <w:szCs w:val="20"/>
                <w:color w:val="auto"/>
              </w:rPr>
            </w:pPr>
            <w:r>
              <w:rPr>
                <w:rFonts w:ascii="Arial" w:cs="Arial" w:eastAsia="Arial" w:hAnsi="Arial"/>
                <w:sz w:val="20"/>
                <w:szCs w:val="20"/>
                <w:color w:val="2A2A2A"/>
              </w:rPr>
              <w:t>Award Agreement for Executive</w:t>
            </w:r>
          </w:p>
        </w:tc>
        <w:tc>
          <w:tcPr>
            <w:tcW w:w="780" w:type="dxa"/>
            <w:vAlign w:val="bottom"/>
            <w:shd w:val="clear" w:color="auto" w:fill="D7D7D7"/>
          </w:tcPr>
          <w:p>
            <w:pPr>
              <w:spacing w:after="0"/>
              <w:rPr>
                <w:sz w:val="17"/>
                <w:szCs w:val="17"/>
                <w:color w:val="auto"/>
              </w:rPr>
            </w:pPr>
          </w:p>
        </w:tc>
        <w:tc>
          <w:tcPr>
            <w:tcW w:w="1160" w:type="dxa"/>
            <w:vAlign w:val="bottom"/>
            <w:shd w:val="clear" w:color="auto" w:fill="D7D7D7"/>
          </w:tcPr>
          <w:p>
            <w:pPr>
              <w:spacing w:after="0"/>
              <w:rPr>
                <w:sz w:val="17"/>
                <w:szCs w:val="17"/>
                <w:color w:val="auto"/>
              </w:rPr>
            </w:pPr>
          </w:p>
        </w:tc>
        <w:tc>
          <w:tcPr>
            <w:tcW w:w="1900" w:type="dxa"/>
            <w:vAlign w:val="bottom"/>
            <w:shd w:val="clear" w:color="auto" w:fill="D7D7D7"/>
          </w:tcPr>
          <w:p>
            <w:pPr>
              <w:spacing w:after="0"/>
              <w:rPr>
                <w:sz w:val="17"/>
                <w:szCs w:val="17"/>
                <w:color w:val="auto"/>
              </w:rPr>
            </w:pPr>
          </w:p>
        </w:tc>
        <w:tc>
          <w:tcPr>
            <w:tcW w:w="1440" w:type="dxa"/>
            <w:vAlign w:val="bottom"/>
            <w:shd w:val="clear" w:color="auto" w:fill="D7D7D7"/>
          </w:tcPr>
          <w:p>
            <w:pPr>
              <w:spacing w:after="0"/>
              <w:rPr>
                <w:sz w:val="17"/>
                <w:szCs w:val="17"/>
                <w:color w:val="auto"/>
              </w:rPr>
            </w:pPr>
          </w:p>
        </w:tc>
        <w:tc>
          <w:tcPr>
            <w:tcW w:w="880" w:type="dxa"/>
            <w:vAlign w:val="bottom"/>
            <w:vMerge w:val="restart"/>
            <w:shd w:val="clear" w:color="auto" w:fill="D7D7D7"/>
          </w:tcPr>
          <w:p>
            <w:pPr>
              <w:jc w:val="center"/>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 w:type="dxa"/>
            <w:vAlign w:val="bottom"/>
            <w:shd w:val="clear" w:color="auto" w:fill="D7D7D7"/>
          </w:tcPr>
          <w:p>
            <w:pPr>
              <w:spacing w:after="0"/>
              <w:rPr>
                <w:sz w:val="14"/>
                <w:szCs w:val="14"/>
                <w:color w:val="auto"/>
              </w:rPr>
            </w:pPr>
          </w:p>
        </w:tc>
        <w:tc>
          <w:tcPr>
            <w:tcW w:w="3100" w:type="dxa"/>
            <w:vAlign w:val="bottom"/>
            <w:vMerge w:val="restart"/>
            <w:shd w:val="clear" w:color="auto" w:fill="D7D7D7"/>
          </w:tcPr>
          <w:p>
            <w:pPr>
              <w:ind w:left="60"/>
              <w:spacing w:after="0" w:line="200" w:lineRule="exact"/>
              <w:rPr>
                <w:sz w:val="20"/>
                <w:szCs w:val="20"/>
                <w:color w:val="auto"/>
              </w:rPr>
            </w:pPr>
            <w:r>
              <w:rPr>
                <w:rFonts w:ascii="Arial" w:cs="Arial" w:eastAsia="Arial" w:hAnsi="Arial"/>
                <w:sz w:val="20"/>
                <w:szCs w:val="20"/>
                <w:color w:val="2A2A2A"/>
              </w:rPr>
              <w:t>Officers effective as of January</w:t>
            </w:r>
          </w:p>
        </w:tc>
        <w:tc>
          <w:tcPr>
            <w:tcW w:w="780" w:type="dxa"/>
            <w:vAlign w:val="bottom"/>
            <w:shd w:val="clear" w:color="auto" w:fill="D7D7D7"/>
          </w:tcPr>
          <w:p>
            <w:pPr>
              <w:spacing w:after="0"/>
              <w:rPr>
                <w:sz w:val="14"/>
                <w:szCs w:val="14"/>
                <w:color w:val="auto"/>
              </w:rPr>
            </w:pPr>
          </w:p>
        </w:tc>
        <w:tc>
          <w:tcPr>
            <w:tcW w:w="1160" w:type="dxa"/>
            <w:vAlign w:val="bottom"/>
            <w:shd w:val="clear" w:color="auto" w:fill="D7D7D7"/>
          </w:tcPr>
          <w:p>
            <w:pPr>
              <w:spacing w:after="0"/>
              <w:rPr>
                <w:sz w:val="14"/>
                <w:szCs w:val="14"/>
                <w:color w:val="auto"/>
              </w:rPr>
            </w:pPr>
          </w:p>
        </w:tc>
        <w:tc>
          <w:tcPr>
            <w:tcW w:w="1900" w:type="dxa"/>
            <w:vAlign w:val="bottom"/>
            <w:shd w:val="clear" w:color="auto" w:fill="D7D7D7"/>
          </w:tcPr>
          <w:p>
            <w:pPr>
              <w:spacing w:after="0"/>
              <w:rPr>
                <w:sz w:val="14"/>
                <w:szCs w:val="14"/>
                <w:color w:val="auto"/>
              </w:rPr>
            </w:pPr>
          </w:p>
        </w:tc>
        <w:tc>
          <w:tcPr>
            <w:tcW w:w="1440" w:type="dxa"/>
            <w:vAlign w:val="bottom"/>
            <w:shd w:val="clear" w:color="auto" w:fill="D7D7D7"/>
          </w:tcPr>
          <w:p>
            <w:pPr>
              <w:spacing w:after="0"/>
              <w:rPr>
                <w:sz w:val="14"/>
                <w:szCs w:val="14"/>
                <w:color w:val="auto"/>
              </w:rPr>
            </w:pPr>
          </w:p>
        </w:tc>
        <w:tc>
          <w:tcPr>
            <w:tcW w:w="880" w:type="dxa"/>
            <w:vAlign w:val="bottom"/>
            <w:vMerge w:val="continue"/>
            <w:shd w:val="clear" w:color="auto" w:fill="D7D7D7"/>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20" w:type="dxa"/>
            <w:vAlign w:val="bottom"/>
            <w:shd w:val="clear" w:color="auto" w:fill="D7D7D7"/>
          </w:tcPr>
          <w:p>
            <w:pPr>
              <w:spacing w:after="0"/>
              <w:rPr>
                <w:sz w:val="2"/>
                <w:szCs w:val="2"/>
                <w:color w:val="auto"/>
              </w:rPr>
            </w:pPr>
          </w:p>
        </w:tc>
        <w:tc>
          <w:tcPr>
            <w:tcW w:w="3100" w:type="dxa"/>
            <w:vAlign w:val="bottom"/>
            <w:vMerge w:val="continue"/>
            <w:shd w:val="clear" w:color="auto" w:fill="D7D7D7"/>
          </w:tcPr>
          <w:p>
            <w:pPr>
              <w:spacing w:after="0"/>
              <w:rPr>
                <w:sz w:val="2"/>
                <w:szCs w:val="2"/>
                <w:color w:val="auto"/>
              </w:rPr>
            </w:pPr>
          </w:p>
        </w:tc>
        <w:tc>
          <w:tcPr>
            <w:tcW w:w="780" w:type="dxa"/>
            <w:vAlign w:val="bottom"/>
            <w:shd w:val="clear" w:color="auto" w:fill="D7D7D7"/>
          </w:tcPr>
          <w:p>
            <w:pPr>
              <w:spacing w:after="0"/>
              <w:rPr>
                <w:sz w:val="2"/>
                <w:szCs w:val="2"/>
                <w:color w:val="auto"/>
              </w:rPr>
            </w:pPr>
          </w:p>
        </w:tc>
        <w:tc>
          <w:tcPr>
            <w:tcW w:w="1160" w:type="dxa"/>
            <w:vAlign w:val="bottom"/>
            <w:shd w:val="clear" w:color="auto" w:fill="D7D7D7"/>
          </w:tcPr>
          <w:p>
            <w:pPr>
              <w:spacing w:after="0"/>
              <w:rPr>
                <w:sz w:val="2"/>
                <w:szCs w:val="2"/>
                <w:color w:val="auto"/>
              </w:rPr>
            </w:pPr>
          </w:p>
        </w:tc>
        <w:tc>
          <w:tcPr>
            <w:tcW w:w="1900" w:type="dxa"/>
            <w:vAlign w:val="bottom"/>
            <w:shd w:val="clear" w:color="auto" w:fill="D7D7D7"/>
          </w:tcPr>
          <w:p>
            <w:pPr>
              <w:spacing w:after="0"/>
              <w:rPr>
                <w:sz w:val="2"/>
                <w:szCs w:val="2"/>
                <w:color w:val="auto"/>
              </w:rPr>
            </w:pPr>
          </w:p>
        </w:tc>
        <w:tc>
          <w:tcPr>
            <w:tcW w:w="1440" w:type="dxa"/>
            <w:vAlign w:val="bottom"/>
            <w:shd w:val="clear" w:color="auto" w:fill="D7D7D7"/>
          </w:tcPr>
          <w:p>
            <w:pPr>
              <w:spacing w:after="0"/>
              <w:rPr>
                <w:sz w:val="2"/>
                <w:szCs w:val="2"/>
                <w:color w:val="auto"/>
              </w:rPr>
            </w:pPr>
          </w:p>
        </w:tc>
        <w:tc>
          <w:tcPr>
            <w:tcW w:w="880" w:type="dxa"/>
            <w:vAlign w:val="bottom"/>
            <w:shd w:val="clear" w:color="auto" w:fill="D7D7D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Borders>
              <w:bottom w:val="single" w:sz="8" w:color="2A2A2A"/>
            </w:tcBorders>
          </w:tcPr>
          <w:p>
            <w:pPr>
              <w:spacing w:after="0"/>
              <w:rPr>
                <w:sz w:val="23"/>
                <w:szCs w:val="23"/>
                <w:color w:val="auto"/>
              </w:rPr>
            </w:pPr>
          </w:p>
        </w:tc>
        <w:tc>
          <w:tcPr>
            <w:tcW w:w="1020" w:type="dxa"/>
            <w:vAlign w:val="bottom"/>
            <w:tcBorders>
              <w:bottom w:val="single" w:sz="8" w:color="2A2A2A"/>
            </w:tcBorders>
            <w:shd w:val="clear" w:color="auto" w:fill="D7D7D7"/>
          </w:tcPr>
          <w:p>
            <w:pPr>
              <w:spacing w:after="0"/>
              <w:rPr>
                <w:sz w:val="23"/>
                <w:szCs w:val="23"/>
                <w:color w:val="auto"/>
              </w:rPr>
            </w:pPr>
          </w:p>
        </w:tc>
        <w:tc>
          <w:tcPr>
            <w:tcW w:w="3100" w:type="dxa"/>
            <w:vAlign w:val="bottom"/>
            <w:tcBorders>
              <w:bottom w:val="single" w:sz="8" w:color="2A2A2A"/>
            </w:tcBorders>
            <w:shd w:val="clear" w:color="auto" w:fill="D7D7D7"/>
          </w:tcPr>
          <w:p>
            <w:pPr>
              <w:ind w:left="60"/>
              <w:spacing w:after="0"/>
              <w:rPr>
                <w:sz w:val="20"/>
                <w:szCs w:val="20"/>
                <w:color w:val="auto"/>
              </w:rPr>
            </w:pPr>
            <w:r>
              <w:rPr>
                <w:rFonts w:ascii="Arial" w:cs="Arial" w:eastAsia="Arial" w:hAnsi="Arial"/>
                <w:sz w:val="20"/>
                <w:szCs w:val="20"/>
                <w:color w:val="2A2A2A"/>
              </w:rPr>
              <w:t>18, 2024 *</w:t>
            </w:r>
          </w:p>
        </w:tc>
        <w:tc>
          <w:tcPr>
            <w:tcW w:w="780" w:type="dxa"/>
            <w:vAlign w:val="bottom"/>
            <w:tcBorders>
              <w:bottom w:val="single" w:sz="8" w:color="2A2A2A"/>
            </w:tcBorders>
            <w:shd w:val="clear" w:color="auto" w:fill="D7D7D7"/>
          </w:tcPr>
          <w:p>
            <w:pPr>
              <w:spacing w:after="0"/>
              <w:rPr>
                <w:sz w:val="23"/>
                <w:szCs w:val="23"/>
                <w:color w:val="auto"/>
              </w:rPr>
            </w:pPr>
          </w:p>
        </w:tc>
        <w:tc>
          <w:tcPr>
            <w:tcW w:w="1160" w:type="dxa"/>
            <w:vAlign w:val="bottom"/>
            <w:tcBorders>
              <w:bottom w:val="single" w:sz="8" w:color="2A2A2A"/>
            </w:tcBorders>
            <w:shd w:val="clear" w:color="auto" w:fill="D7D7D7"/>
          </w:tcPr>
          <w:p>
            <w:pPr>
              <w:spacing w:after="0"/>
              <w:rPr>
                <w:sz w:val="23"/>
                <w:szCs w:val="23"/>
                <w:color w:val="auto"/>
              </w:rPr>
            </w:pPr>
          </w:p>
        </w:tc>
        <w:tc>
          <w:tcPr>
            <w:tcW w:w="1900" w:type="dxa"/>
            <w:vAlign w:val="bottom"/>
            <w:tcBorders>
              <w:bottom w:val="single" w:sz="8" w:color="2A2A2A"/>
            </w:tcBorders>
            <w:shd w:val="clear" w:color="auto" w:fill="D7D7D7"/>
          </w:tcPr>
          <w:p>
            <w:pPr>
              <w:spacing w:after="0"/>
              <w:rPr>
                <w:sz w:val="23"/>
                <w:szCs w:val="23"/>
                <w:color w:val="auto"/>
              </w:rPr>
            </w:pPr>
          </w:p>
        </w:tc>
        <w:tc>
          <w:tcPr>
            <w:tcW w:w="1440" w:type="dxa"/>
            <w:vAlign w:val="bottom"/>
            <w:tcBorders>
              <w:bottom w:val="single" w:sz="8" w:color="2A2A2A"/>
            </w:tcBorders>
            <w:shd w:val="clear" w:color="auto" w:fill="D7D7D7"/>
          </w:tcPr>
          <w:p>
            <w:pPr>
              <w:spacing w:after="0"/>
              <w:rPr>
                <w:sz w:val="23"/>
                <w:szCs w:val="23"/>
                <w:color w:val="auto"/>
              </w:rPr>
            </w:pPr>
          </w:p>
        </w:tc>
        <w:tc>
          <w:tcPr>
            <w:tcW w:w="880" w:type="dxa"/>
            <w:vAlign w:val="bottom"/>
            <w:tcBorders>
              <w:bottom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w w:val="98"/>
              </w:rPr>
              <w:t>21</w:t>
            </w:r>
          </w:p>
        </w:tc>
        <w:tc>
          <w:tcPr>
            <w:tcW w:w="3100" w:type="dxa"/>
            <w:vAlign w:val="bottom"/>
          </w:tcPr>
          <w:p>
            <w:pPr>
              <w:ind w:left="60"/>
              <w:spacing w:after="0" w:line="210" w:lineRule="exact"/>
              <w:rPr>
                <w:sz w:val="20"/>
                <w:szCs w:val="20"/>
                <w:color w:val="auto"/>
              </w:rPr>
            </w:pPr>
            <w:r>
              <w:rPr>
                <w:rFonts w:ascii="Arial" w:cs="Arial" w:eastAsia="Arial" w:hAnsi="Arial"/>
                <w:sz w:val="20"/>
                <w:szCs w:val="20"/>
                <w:color w:val="2A2A2A"/>
              </w:rPr>
              <w:t>List of Subsidiaries of the</w:t>
            </w: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vMerge w:val="restart"/>
          </w:tcPr>
          <w:p>
            <w:pPr>
              <w:ind w:left="60"/>
              <w:spacing w:after="0"/>
              <w:rPr>
                <w:sz w:val="20"/>
                <w:szCs w:val="20"/>
                <w:color w:val="auto"/>
              </w:rPr>
            </w:pPr>
            <w:r>
              <w:rPr>
                <w:rFonts w:ascii="Arial" w:cs="Arial" w:eastAsia="Arial" w:hAnsi="Arial"/>
                <w:sz w:val="20"/>
                <w:szCs w:val="20"/>
                <w:color w:val="2A2A2A"/>
              </w:rPr>
              <w:t>Registrant</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wp:posOffset>
            </wp:positionH>
            <wp:positionV relativeFrom="page">
              <wp:posOffset>444500</wp:posOffset>
            </wp:positionV>
            <wp:extent cx="6550025" cy="6997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50025" cy="6997700"/>
                    </a:xfrm>
                    <a:prstGeom prst="rect">
                      <a:avLst/>
                    </a:prstGeom>
                    <a:noFill/>
                  </pic:spPr>
                </pic:pic>
              </a:graphicData>
            </a:graphic>
          </wp:anchor>
        </w:drawing>
      </w:r>
    </w:p>
    <w:p>
      <w:pPr>
        <w:ind w:left="1100" w:hanging="682"/>
        <w:spacing w:after="0"/>
        <w:tabs>
          <w:tab w:leader="none" w:pos="1100" w:val="left"/>
        </w:tabs>
        <w:numPr>
          <w:ilvl w:val="0"/>
          <w:numId w:val="37"/>
        </w:numPr>
        <w:rPr>
          <w:rFonts w:ascii="Arial" w:cs="Arial" w:eastAsia="Arial" w:hAnsi="Arial"/>
          <w:sz w:val="20"/>
          <w:szCs w:val="20"/>
          <w:b w:val="1"/>
          <w:bCs w:val="1"/>
          <w:color w:val="2A2A2A"/>
        </w:rPr>
      </w:pPr>
      <w:r>
        <w:rPr>
          <w:rFonts w:ascii="Arial" w:cs="Arial" w:eastAsia="Arial" w:hAnsi="Arial"/>
          <w:sz w:val="20"/>
          <w:szCs w:val="20"/>
          <w:color w:val="2A2A2A"/>
        </w:rPr>
        <w:t>Consent of Independent</w:t>
      </w: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940" w:type="dxa"/>
            <w:vAlign w:val="bottom"/>
          </w:tcPr>
          <w:p>
            <w:pPr>
              <w:ind w:left="100"/>
              <w:spacing w:after="0" w:line="187" w:lineRule="exact"/>
              <w:rPr>
                <w:sz w:val="20"/>
                <w:szCs w:val="20"/>
                <w:color w:val="auto"/>
              </w:rPr>
            </w:pPr>
            <w:r>
              <w:rPr>
                <w:rFonts w:ascii="Arial" w:cs="Arial" w:eastAsia="Arial" w:hAnsi="Arial"/>
                <w:sz w:val="20"/>
                <w:szCs w:val="20"/>
                <w:color w:val="2A2A2A"/>
              </w:rPr>
              <w:t>Registered Public Accounting</w:t>
            </w:r>
          </w:p>
        </w:tc>
        <w:tc>
          <w:tcPr>
            <w:tcW w:w="3360" w:type="dxa"/>
            <w:vAlign w:val="bottom"/>
          </w:tcPr>
          <w:p>
            <w:pPr>
              <w:ind w:left="2840"/>
              <w:spacing w:after="0" w:line="187" w:lineRule="exact"/>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68"/>
        </w:trPr>
        <w:tc>
          <w:tcPr>
            <w:tcW w:w="20" w:type="dxa"/>
            <w:vAlign w:val="bottom"/>
            <w:tcBorders>
              <w:bottom w:val="single" w:sz="8" w:color="2A2A2A"/>
            </w:tcBorders>
          </w:tcPr>
          <w:p>
            <w:pPr>
              <w:spacing w:after="0"/>
              <w:rPr>
                <w:sz w:val="23"/>
                <w:szCs w:val="23"/>
                <w:color w:val="auto"/>
              </w:rPr>
            </w:pPr>
          </w:p>
        </w:tc>
        <w:tc>
          <w:tcPr>
            <w:tcW w:w="980" w:type="dxa"/>
            <w:vAlign w:val="bottom"/>
            <w:tcBorders>
              <w:bottom w:val="single" w:sz="8" w:color="2A2A2A"/>
            </w:tcBorders>
          </w:tcPr>
          <w:p>
            <w:pPr>
              <w:spacing w:after="0"/>
              <w:rPr>
                <w:sz w:val="23"/>
                <w:szCs w:val="23"/>
                <w:color w:val="auto"/>
              </w:rPr>
            </w:pPr>
          </w:p>
        </w:tc>
        <w:tc>
          <w:tcPr>
            <w:tcW w:w="5940" w:type="dxa"/>
            <w:vAlign w:val="bottom"/>
            <w:tcBorders>
              <w:bottom w:val="single" w:sz="8" w:color="2A2A2A"/>
            </w:tcBorders>
          </w:tcPr>
          <w:p>
            <w:pPr>
              <w:ind w:left="100"/>
              <w:spacing w:after="0"/>
              <w:rPr>
                <w:sz w:val="20"/>
                <w:szCs w:val="20"/>
                <w:color w:val="auto"/>
              </w:rPr>
            </w:pPr>
            <w:r>
              <w:rPr>
                <w:rFonts w:ascii="Arial" w:cs="Arial" w:eastAsia="Arial" w:hAnsi="Arial"/>
                <w:sz w:val="20"/>
                <w:szCs w:val="20"/>
                <w:color w:val="2A2A2A"/>
              </w:rPr>
              <w:t>Firm</w:t>
            </w:r>
          </w:p>
        </w:tc>
        <w:tc>
          <w:tcPr>
            <w:tcW w:w="3360" w:type="dxa"/>
            <w:vAlign w:val="bottom"/>
            <w:tcBorders>
              <w:bottom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w w:val="98"/>
              </w:rPr>
              <w:t>31(a)</w:t>
            </w:r>
          </w:p>
        </w:tc>
        <w:tc>
          <w:tcPr>
            <w:tcW w:w="5940" w:type="dxa"/>
            <w:vAlign w:val="bottom"/>
          </w:tcPr>
          <w:p>
            <w:pPr>
              <w:ind w:left="100"/>
              <w:spacing w:after="0" w:line="210" w:lineRule="exact"/>
              <w:rPr>
                <w:sz w:val="20"/>
                <w:szCs w:val="20"/>
                <w:color w:val="auto"/>
              </w:rPr>
            </w:pPr>
            <w:r>
              <w:rPr>
                <w:rFonts w:ascii="Arial" w:cs="Arial" w:eastAsia="Arial" w:hAnsi="Arial"/>
                <w:sz w:val="20"/>
                <w:szCs w:val="20"/>
                <w:color w:val="2A2A2A"/>
              </w:rPr>
              <w:t>Rule 13a-14(a)/15(d)-14(a)</w:t>
            </w:r>
          </w:p>
        </w:tc>
        <w:tc>
          <w:tcPr>
            <w:tcW w:w="3360" w:type="dxa"/>
            <w:vAlign w:val="bottom"/>
            <w:vMerge w:val="restart"/>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40" w:type="dxa"/>
            <w:vAlign w:val="bottom"/>
          </w:tcPr>
          <w:p>
            <w:pPr>
              <w:ind w:left="100"/>
              <w:spacing w:after="0" w:line="207" w:lineRule="exact"/>
              <w:rPr>
                <w:sz w:val="20"/>
                <w:szCs w:val="20"/>
                <w:color w:val="auto"/>
              </w:rPr>
            </w:pPr>
            <w:r>
              <w:rPr>
                <w:rFonts w:ascii="Arial" w:cs="Arial" w:eastAsia="Arial" w:hAnsi="Arial"/>
                <w:sz w:val="20"/>
                <w:szCs w:val="20"/>
                <w:color w:val="2A2A2A"/>
              </w:rPr>
              <w:t>Certification of Chief Executive</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A2A2A"/>
            </w:tcBorders>
          </w:tcPr>
          <w:p>
            <w:pPr>
              <w:spacing w:after="0"/>
              <w:rPr>
                <w:sz w:val="23"/>
                <w:szCs w:val="23"/>
                <w:color w:val="auto"/>
              </w:rPr>
            </w:pPr>
          </w:p>
        </w:tc>
        <w:tc>
          <w:tcPr>
            <w:tcW w:w="980" w:type="dxa"/>
            <w:vAlign w:val="bottom"/>
            <w:tcBorders>
              <w:bottom w:val="single" w:sz="8" w:color="2A2A2A"/>
            </w:tcBorders>
          </w:tcPr>
          <w:p>
            <w:pPr>
              <w:spacing w:after="0"/>
              <w:rPr>
                <w:sz w:val="23"/>
                <w:szCs w:val="23"/>
                <w:color w:val="auto"/>
              </w:rPr>
            </w:pPr>
          </w:p>
        </w:tc>
        <w:tc>
          <w:tcPr>
            <w:tcW w:w="5940" w:type="dxa"/>
            <w:vAlign w:val="bottom"/>
            <w:tcBorders>
              <w:bottom w:val="single" w:sz="8" w:color="2A2A2A"/>
            </w:tcBorders>
          </w:tcPr>
          <w:p>
            <w:pPr>
              <w:ind w:left="100"/>
              <w:spacing w:after="0"/>
              <w:rPr>
                <w:sz w:val="20"/>
                <w:szCs w:val="20"/>
                <w:color w:val="auto"/>
              </w:rPr>
            </w:pPr>
            <w:r>
              <w:rPr>
                <w:rFonts w:ascii="Arial" w:cs="Arial" w:eastAsia="Arial" w:hAnsi="Arial"/>
                <w:sz w:val="20"/>
                <w:szCs w:val="20"/>
                <w:color w:val="2A2A2A"/>
              </w:rPr>
              <w:t>Officer</w:t>
            </w:r>
          </w:p>
        </w:tc>
        <w:tc>
          <w:tcPr>
            <w:tcW w:w="3360" w:type="dxa"/>
            <w:vAlign w:val="bottom"/>
            <w:tcBorders>
              <w:bottom w:val="single" w:sz="8" w:color="2A2A2A"/>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6"/>
              </w:rPr>
              <w:t>31(b)</w:t>
            </w:r>
          </w:p>
        </w:tc>
        <w:tc>
          <w:tcPr>
            <w:tcW w:w="5940" w:type="dxa"/>
            <w:vAlign w:val="bottom"/>
            <w:shd w:val="clear" w:color="auto" w:fill="D7D7D7"/>
          </w:tcPr>
          <w:p>
            <w:pPr>
              <w:ind w:left="100"/>
              <w:spacing w:after="0" w:line="210" w:lineRule="exact"/>
              <w:rPr>
                <w:sz w:val="20"/>
                <w:szCs w:val="20"/>
                <w:color w:val="auto"/>
              </w:rPr>
            </w:pPr>
            <w:r>
              <w:rPr>
                <w:rFonts w:ascii="Arial" w:cs="Arial" w:eastAsia="Arial" w:hAnsi="Arial"/>
                <w:sz w:val="20"/>
                <w:szCs w:val="20"/>
                <w:color w:val="2A2A2A"/>
              </w:rPr>
              <w:t>Rule 13a-14(a)/15(d)-14(a)</w:t>
            </w:r>
          </w:p>
        </w:tc>
        <w:tc>
          <w:tcPr>
            <w:tcW w:w="3360" w:type="dxa"/>
            <w:vAlign w:val="bottom"/>
            <w:vMerge w:val="restart"/>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shd w:val="clear" w:color="auto" w:fill="D7D7D7"/>
          </w:tcPr>
          <w:p>
            <w:pPr>
              <w:spacing w:after="0"/>
              <w:rPr>
                <w:sz w:val="17"/>
                <w:szCs w:val="17"/>
                <w:color w:val="auto"/>
              </w:rPr>
            </w:pPr>
          </w:p>
        </w:tc>
        <w:tc>
          <w:tcPr>
            <w:tcW w:w="5940" w:type="dxa"/>
            <w:vAlign w:val="bottom"/>
            <w:shd w:val="clear" w:color="auto" w:fill="D7D7D7"/>
          </w:tcPr>
          <w:p>
            <w:pPr>
              <w:ind w:left="100"/>
              <w:spacing w:after="0" w:line="207" w:lineRule="exact"/>
              <w:rPr>
                <w:sz w:val="20"/>
                <w:szCs w:val="20"/>
                <w:color w:val="auto"/>
              </w:rPr>
            </w:pPr>
            <w:r>
              <w:rPr>
                <w:rFonts w:ascii="Arial" w:cs="Arial" w:eastAsia="Arial" w:hAnsi="Arial"/>
                <w:sz w:val="20"/>
                <w:szCs w:val="20"/>
                <w:color w:val="2A2A2A"/>
              </w:rPr>
              <w:t>Certification of Chief Financial</w:t>
            </w:r>
          </w:p>
        </w:tc>
        <w:tc>
          <w:tcPr>
            <w:tcW w:w="3360" w:type="dxa"/>
            <w:vAlign w:val="bottom"/>
            <w:vMerge w:val="continue"/>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A2A2A"/>
            </w:tcBorders>
          </w:tcPr>
          <w:p>
            <w:pPr>
              <w:spacing w:after="0"/>
              <w:rPr>
                <w:sz w:val="23"/>
                <w:szCs w:val="23"/>
                <w:color w:val="auto"/>
              </w:rPr>
            </w:pPr>
          </w:p>
        </w:tc>
        <w:tc>
          <w:tcPr>
            <w:tcW w:w="980" w:type="dxa"/>
            <w:vAlign w:val="bottom"/>
            <w:tcBorders>
              <w:bottom w:val="single" w:sz="8" w:color="2A2A2A"/>
            </w:tcBorders>
            <w:shd w:val="clear" w:color="auto" w:fill="D7D7D7"/>
          </w:tcPr>
          <w:p>
            <w:pPr>
              <w:spacing w:after="0"/>
              <w:rPr>
                <w:sz w:val="23"/>
                <w:szCs w:val="23"/>
                <w:color w:val="auto"/>
              </w:rPr>
            </w:pPr>
          </w:p>
        </w:tc>
        <w:tc>
          <w:tcPr>
            <w:tcW w:w="5940" w:type="dxa"/>
            <w:vAlign w:val="bottom"/>
            <w:tcBorders>
              <w:bottom w:val="single" w:sz="8" w:color="2A2A2A"/>
            </w:tcBorders>
            <w:shd w:val="clear" w:color="auto" w:fill="D7D7D7"/>
          </w:tcPr>
          <w:p>
            <w:pPr>
              <w:ind w:left="100"/>
              <w:spacing w:after="0"/>
              <w:rPr>
                <w:sz w:val="20"/>
                <w:szCs w:val="20"/>
                <w:color w:val="auto"/>
              </w:rPr>
            </w:pPr>
            <w:r>
              <w:rPr>
                <w:rFonts w:ascii="Arial" w:cs="Arial" w:eastAsia="Arial" w:hAnsi="Arial"/>
                <w:sz w:val="20"/>
                <w:szCs w:val="20"/>
                <w:color w:val="2A2A2A"/>
              </w:rPr>
              <w:t>Officer</w:t>
            </w:r>
          </w:p>
        </w:tc>
        <w:tc>
          <w:tcPr>
            <w:tcW w:w="3360" w:type="dxa"/>
            <w:vAlign w:val="bottom"/>
            <w:tcBorders>
              <w:bottom w:val="single" w:sz="8" w:color="2A2A2A"/>
            </w:tcBorders>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w w:val="98"/>
              </w:rPr>
              <w:t>32(a)</w:t>
            </w:r>
          </w:p>
        </w:tc>
        <w:tc>
          <w:tcPr>
            <w:tcW w:w="5940" w:type="dxa"/>
            <w:vAlign w:val="bottom"/>
          </w:tcPr>
          <w:p>
            <w:pPr>
              <w:ind w:left="100"/>
              <w:spacing w:after="0" w:line="210" w:lineRule="exact"/>
              <w:rPr>
                <w:sz w:val="20"/>
                <w:szCs w:val="20"/>
                <w:color w:val="auto"/>
              </w:rPr>
            </w:pPr>
            <w:r>
              <w:rPr>
                <w:rFonts w:ascii="Arial" w:cs="Arial" w:eastAsia="Arial" w:hAnsi="Arial"/>
                <w:sz w:val="20"/>
                <w:szCs w:val="20"/>
                <w:color w:val="2A2A2A"/>
              </w:rPr>
              <w:t>Section 1350 Certification of</w:t>
            </w:r>
          </w:p>
        </w:tc>
        <w:tc>
          <w:tcPr>
            <w:tcW w:w="3360" w:type="dxa"/>
            <w:vAlign w:val="bottom"/>
            <w:vMerge w:val="restart"/>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40" w:type="dxa"/>
            <w:vAlign w:val="bottom"/>
            <w:vMerge w:val="restart"/>
          </w:tcPr>
          <w:p>
            <w:pPr>
              <w:ind w:left="100"/>
              <w:spacing w:after="0"/>
              <w:rPr>
                <w:sz w:val="20"/>
                <w:szCs w:val="20"/>
                <w:color w:val="auto"/>
              </w:rPr>
            </w:pPr>
            <w:r>
              <w:rPr>
                <w:rFonts w:ascii="Arial" w:cs="Arial" w:eastAsia="Arial" w:hAnsi="Arial"/>
                <w:sz w:val="20"/>
                <w:szCs w:val="20"/>
                <w:color w:val="2A2A2A"/>
              </w:rPr>
              <w:t>Chief Executive Officer</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tcPr>
          <w:p>
            <w:pPr>
              <w:spacing w:after="0"/>
              <w:rPr>
                <w:sz w:val="8"/>
                <w:szCs w:val="8"/>
                <w:color w:val="auto"/>
              </w:rPr>
            </w:pPr>
          </w:p>
        </w:tc>
        <w:tc>
          <w:tcPr>
            <w:tcW w:w="5940" w:type="dxa"/>
            <w:vAlign w:val="bottom"/>
            <w:tcBorders>
              <w:bottom w:val="single" w:sz="8" w:color="2A2A2A"/>
            </w:tcBorders>
            <w:vMerge w:val="continue"/>
          </w:tcPr>
          <w:p>
            <w:pPr>
              <w:spacing w:after="0"/>
              <w:rPr>
                <w:sz w:val="8"/>
                <w:szCs w:val="8"/>
                <w:color w:val="auto"/>
              </w:rPr>
            </w:pPr>
          </w:p>
        </w:tc>
        <w:tc>
          <w:tcPr>
            <w:tcW w:w="3360" w:type="dxa"/>
            <w:vAlign w:val="bottom"/>
            <w:tcBorders>
              <w:bottom w:val="single" w:sz="8" w:color="2A2A2A"/>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w w:val="96"/>
              </w:rPr>
              <w:t>32(b)</w:t>
            </w:r>
          </w:p>
        </w:tc>
        <w:tc>
          <w:tcPr>
            <w:tcW w:w="5940" w:type="dxa"/>
            <w:vAlign w:val="bottom"/>
            <w:shd w:val="clear" w:color="auto" w:fill="D7D7D7"/>
          </w:tcPr>
          <w:p>
            <w:pPr>
              <w:ind w:left="100"/>
              <w:spacing w:after="0" w:line="210" w:lineRule="exact"/>
              <w:rPr>
                <w:sz w:val="20"/>
                <w:szCs w:val="20"/>
                <w:color w:val="auto"/>
              </w:rPr>
            </w:pPr>
            <w:r>
              <w:rPr>
                <w:rFonts w:ascii="Arial" w:cs="Arial" w:eastAsia="Arial" w:hAnsi="Arial"/>
                <w:sz w:val="20"/>
                <w:szCs w:val="20"/>
                <w:color w:val="2A2A2A"/>
              </w:rPr>
              <w:t>Section 1350 Certification of</w:t>
            </w:r>
          </w:p>
        </w:tc>
        <w:tc>
          <w:tcPr>
            <w:tcW w:w="3360" w:type="dxa"/>
            <w:vAlign w:val="bottom"/>
            <w:vMerge w:val="restart"/>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shd w:val="clear" w:color="auto" w:fill="D7D7D7"/>
          </w:tcPr>
          <w:p>
            <w:pPr>
              <w:spacing w:after="0"/>
              <w:rPr>
                <w:sz w:val="14"/>
                <w:szCs w:val="14"/>
                <w:color w:val="auto"/>
              </w:rPr>
            </w:pPr>
          </w:p>
        </w:tc>
        <w:tc>
          <w:tcPr>
            <w:tcW w:w="5940" w:type="dxa"/>
            <w:vAlign w:val="bottom"/>
            <w:vMerge w:val="restart"/>
            <w:shd w:val="clear" w:color="auto" w:fill="D7D7D7"/>
          </w:tcPr>
          <w:p>
            <w:pPr>
              <w:ind w:left="100"/>
              <w:spacing w:after="0"/>
              <w:rPr>
                <w:sz w:val="20"/>
                <w:szCs w:val="20"/>
                <w:color w:val="auto"/>
              </w:rPr>
            </w:pPr>
            <w:r>
              <w:rPr>
                <w:rFonts w:ascii="Arial" w:cs="Arial" w:eastAsia="Arial" w:hAnsi="Arial"/>
                <w:sz w:val="20"/>
                <w:szCs w:val="20"/>
                <w:color w:val="2A2A2A"/>
              </w:rPr>
              <w:t>Chief Financial Officer</w:t>
            </w:r>
          </w:p>
        </w:tc>
        <w:tc>
          <w:tcPr>
            <w:tcW w:w="3360" w:type="dxa"/>
            <w:vAlign w:val="bottom"/>
            <w:vMerge w:val="continue"/>
            <w:shd w:val="clear" w:color="auto" w:fill="D7D7D7"/>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shd w:val="clear" w:color="auto" w:fill="D7D7D7"/>
          </w:tcPr>
          <w:p>
            <w:pPr>
              <w:spacing w:after="0"/>
              <w:rPr>
                <w:sz w:val="8"/>
                <w:szCs w:val="8"/>
                <w:color w:val="auto"/>
              </w:rPr>
            </w:pPr>
          </w:p>
        </w:tc>
        <w:tc>
          <w:tcPr>
            <w:tcW w:w="5940" w:type="dxa"/>
            <w:vAlign w:val="bottom"/>
            <w:tcBorders>
              <w:bottom w:val="single" w:sz="8" w:color="2A2A2A"/>
            </w:tcBorders>
            <w:vMerge w:val="continue"/>
            <w:shd w:val="clear" w:color="auto" w:fill="D7D7D7"/>
          </w:tcPr>
          <w:p>
            <w:pPr>
              <w:spacing w:after="0"/>
              <w:rPr>
                <w:sz w:val="8"/>
                <w:szCs w:val="8"/>
                <w:color w:val="auto"/>
              </w:rPr>
            </w:pPr>
          </w:p>
        </w:tc>
        <w:tc>
          <w:tcPr>
            <w:tcW w:w="3360" w:type="dxa"/>
            <w:vAlign w:val="bottom"/>
            <w:tcBorders>
              <w:bottom w:val="single" w:sz="8" w:color="2A2A2A"/>
            </w:tcBorders>
            <w:shd w:val="clear" w:color="auto" w:fill="D7D7D7"/>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jc w:val="center"/>
              <w:spacing w:after="0" w:line="210" w:lineRule="exact"/>
              <w:rPr>
                <w:sz w:val="20"/>
                <w:szCs w:val="20"/>
                <w:color w:val="auto"/>
              </w:rPr>
            </w:pPr>
            <w:r>
              <w:rPr>
                <w:rFonts w:ascii="Arial" w:cs="Arial" w:eastAsia="Arial" w:hAnsi="Arial"/>
                <w:sz w:val="20"/>
                <w:szCs w:val="20"/>
                <w:b w:val="1"/>
                <w:bCs w:val="1"/>
                <w:color w:val="2A2A2A"/>
                <w:w w:val="98"/>
              </w:rPr>
              <w:t>97</w:t>
            </w:r>
          </w:p>
        </w:tc>
        <w:tc>
          <w:tcPr>
            <w:tcW w:w="5940" w:type="dxa"/>
            <w:vAlign w:val="bottom"/>
          </w:tcPr>
          <w:p>
            <w:pPr>
              <w:ind w:left="100"/>
              <w:spacing w:after="0" w:line="210" w:lineRule="exact"/>
              <w:rPr>
                <w:sz w:val="20"/>
                <w:szCs w:val="20"/>
                <w:color w:val="auto"/>
              </w:rPr>
            </w:pPr>
            <w:r>
              <w:rPr>
                <w:rFonts w:ascii="Arial" w:cs="Arial" w:eastAsia="Arial" w:hAnsi="Arial"/>
                <w:sz w:val="20"/>
                <w:szCs w:val="20"/>
                <w:color w:val="2A2A2A"/>
              </w:rPr>
              <w:t>Texas Instruments Incorporated</w:t>
            </w:r>
          </w:p>
        </w:tc>
        <w:tc>
          <w:tcPr>
            <w:tcW w:w="3360" w:type="dxa"/>
            <w:vAlign w:val="bottom"/>
            <w:vMerge w:val="restart"/>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40" w:type="dxa"/>
            <w:vAlign w:val="bottom"/>
            <w:vMerge w:val="restart"/>
          </w:tcPr>
          <w:p>
            <w:pPr>
              <w:ind w:left="100"/>
              <w:spacing w:after="0"/>
              <w:rPr>
                <w:sz w:val="20"/>
                <w:szCs w:val="20"/>
                <w:color w:val="auto"/>
              </w:rPr>
            </w:pPr>
            <w:r>
              <w:rPr>
                <w:rFonts w:ascii="Arial" w:cs="Arial" w:eastAsia="Arial" w:hAnsi="Arial"/>
                <w:sz w:val="20"/>
                <w:szCs w:val="20"/>
                <w:color w:val="2A2A2A"/>
              </w:rPr>
              <w:t>Recoupment Policy</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tcPr>
          <w:p>
            <w:pPr>
              <w:spacing w:after="0"/>
              <w:rPr>
                <w:sz w:val="8"/>
                <w:szCs w:val="8"/>
                <w:color w:val="auto"/>
              </w:rPr>
            </w:pPr>
          </w:p>
        </w:tc>
        <w:tc>
          <w:tcPr>
            <w:tcW w:w="5940" w:type="dxa"/>
            <w:vAlign w:val="bottom"/>
            <w:tcBorders>
              <w:bottom w:val="single" w:sz="8" w:color="2A2A2A"/>
            </w:tcBorders>
            <w:vMerge w:val="continue"/>
          </w:tcPr>
          <w:p>
            <w:pPr>
              <w:spacing w:after="0"/>
              <w:rPr>
                <w:sz w:val="8"/>
                <w:szCs w:val="8"/>
                <w:color w:val="auto"/>
              </w:rPr>
            </w:pPr>
          </w:p>
        </w:tc>
        <w:tc>
          <w:tcPr>
            <w:tcW w:w="3360" w:type="dxa"/>
            <w:vAlign w:val="bottom"/>
            <w:tcBorders>
              <w:bottom w:val="single" w:sz="8" w:color="2A2A2A"/>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Borders>
              <w:bottom w:val="single" w:sz="8" w:color="2A2A2A"/>
            </w:tcBorders>
          </w:tcPr>
          <w:p>
            <w:pPr>
              <w:spacing w:after="0"/>
              <w:rPr>
                <w:sz w:val="24"/>
                <w:szCs w:val="24"/>
                <w:color w:val="auto"/>
              </w:rPr>
            </w:pPr>
          </w:p>
        </w:tc>
        <w:tc>
          <w:tcPr>
            <w:tcW w:w="980" w:type="dxa"/>
            <w:vAlign w:val="bottom"/>
            <w:tcBorders>
              <w:bottom w:val="single" w:sz="8" w:color="2A2A2A"/>
            </w:tcBorders>
            <w:shd w:val="clear" w:color="auto" w:fill="D7D7D7"/>
          </w:tcPr>
          <w:p>
            <w:pPr>
              <w:ind w:left="180"/>
              <w:spacing w:after="0"/>
              <w:rPr>
                <w:sz w:val="20"/>
                <w:szCs w:val="20"/>
                <w:color w:val="auto"/>
              </w:rPr>
            </w:pPr>
            <w:r>
              <w:rPr>
                <w:rFonts w:ascii="Arial" w:cs="Arial" w:eastAsia="Arial" w:hAnsi="Arial"/>
                <w:sz w:val="20"/>
                <w:szCs w:val="20"/>
                <w:b w:val="1"/>
                <w:bCs w:val="1"/>
                <w:color w:val="2A2A2A"/>
              </w:rPr>
              <w:t>101.ins</w:t>
            </w:r>
          </w:p>
        </w:tc>
        <w:tc>
          <w:tcPr>
            <w:tcW w:w="5940" w:type="dxa"/>
            <w:vAlign w:val="bottom"/>
            <w:tcBorders>
              <w:bottom w:val="single" w:sz="8" w:color="2A2A2A"/>
            </w:tcBorders>
            <w:shd w:val="clear" w:color="auto" w:fill="D7D7D7"/>
          </w:tcPr>
          <w:p>
            <w:pPr>
              <w:ind w:left="100"/>
              <w:spacing w:after="0"/>
              <w:rPr>
                <w:sz w:val="20"/>
                <w:szCs w:val="20"/>
                <w:color w:val="auto"/>
              </w:rPr>
            </w:pPr>
            <w:r>
              <w:rPr>
                <w:rFonts w:ascii="Arial" w:cs="Arial" w:eastAsia="Arial" w:hAnsi="Arial"/>
                <w:sz w:val="20"/>
                <w:szCs w:val="20"/>
                <w:color w:val="2A2A2A"/>
              </w:rPr>
              <w:t>Instance Document</w:t>
            </w:r>
          </w:p>
        </w:tc>
        <w:tc>
          <w:tcPr>
            <w:tcW w:w="3360" w:type="dxa"/>
            <w:vAlign w:val="bottom"/>
            <w:tcBorders>
              <w:bottom w:val="single" w:sz="8" w:color="2A2A2A"/>
            </w:tcBorders>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80"/>
        </w:trPr>
        <w:tc>
          <w:tcPr>
            <w:tcW w:w="20" w:type="dxa"/>
            <w:vAlign w:val="bottom"/>
            <w:tcBorders>
              <w:bottom w:val="single" w:sz="8" w:color="2A2A2A"/>
            </w:tcBorders>
          </w:tcPr>
          <w:p>
            <w:pPr>
              <w:spacing w:after="0"/>
              <w:rPr>
                <w:sz w:val="24"/>
                <w:szCs w:val="24"/>
                <w:color w:val="auto"/>
              </w:rPr>
            </w:pPr>
          </w:p>
        </w:tc>
        <w:tc>
          <w:tcPr>
            <w:tcW w:w="980" w:type="dxa"/>
            <w:vAlign w:val="bottom"/>
            <w:tcBorders>
              <w:bottom w:val="single" w:sz="8" w:color="2A2A2A"/>
            </w:tcBorders>
          </w:tcPr>
          <w:p>
            <w:pPr>
              <w:ind w:left="140"/>
              <w:spacing w:after="0"/>
              <w:rPr>
                <w:sz w:val="20"/>
                <w:szCs w:val="20"/>
                <w:color w:val="auto"/>
              </w:rPr>
            </w:pPr>
            <w:r>
              <w:rPr>
                <w:rFonts w:ascii="Arial" w:cs="Arial" w:eastAsia="Arial" w:hAnsi="Arial"/>
                <w:sz w:val="20"/>
                <w:szCs w:val="20"/>
                <w:b w:val="1"/>
                <w:bCs w:val="1"/>
                <w:color w:val="2A2A2A"/>
              </w:rPr>
              <w:t>101.sch</w:t>
            </w:r>
          </w:p>
        </w:tc>
        <w:tc>
          <w:tcPr>
            <w:tcW w:w="5940" w:type="dxa"/>
            <w:vAlign w:val="bottom"/>
            <w:tcBorders>
              <w:bottom w:val="single" w:sz="8" w:color="2A2A2A"/>
            </w:tcBorders>
          </w:tcPr>
          <w:p>
            <w:pPr>
              <w:ind w:left="100"/>
              <w:spacing w:after="0"/>
              <w:rPr>
                <w:sz w:val="20"/>
                <w:szCs w:val="20"/>
                <w:color w:val="auto"/>
              </w:rPr>
            </w:pPr>
            <w:r>
              <w:rPr>
                <w:rFonts w:ascii="Arial" w:cs="Arial" w:eastAsia="Arial" w:hAnsi="Arial"/>
                <w:sz w:val="20"/>
                <w:szCs w:val="20"/>
                <w:color w:val="2A2A2A"/>
              </w:rPr>
              <w:t>XBRL Taxonomy Schema</w:t>
            </w:r>
          </w:p>
        </w:tc>
        <w:tc>
          <w:tcPr>
            <w:tcW w:w="3360" w:type="dxa"/>
            <w:vAlign w:val="bottom"/>
            <w:tcBorders>
              <w:bottom w:val="single" w:sz="8" w:color="2A2A2A"/>
            </w:tcBorders>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shd w:val="clear" w:color="auto" w:fill="D7D7D7"/>
          </w:tcPr>
          <w:p>
            <w:pPr>
              <w:ind w:left="180"/>
              <w:spacing w:after="0" w:line="210" w:lineRule="exact"/>
              <w:rPr>
                <w:sz w:val="20"/>
                <w:szCs w:val="20"/>
                <w:color w:val="auto"/>
              </w:rPr>
            </w:pPr>
            <w:r>
              <w:rPr>
                <w:rFonts w:ascii="Arial" w:cs="Arial" w:eastAsia="Arial" w:hAnsi="Arial"/>
                <w:sz w:val="20"/>
                <w:szCs w:val="20"/>
                <w:b w:val="1"/>
                <w:bCs w:val="1"/>
                <w:color w:val="2A2A2A"/>
              </w:rPr>
              <w:t>101.cal</w:t>
            </w:r>
          </w:p>
        </w:tc>
        <w:tc>
          <w:tcPr>
            <w:tcW w:w="5940" w:type="dxa"/>
            <w:vAlign w:val="bottom"/>
            <w:shd w:val="clear" w:color="auto" w:fill="D7D7D7"/>
          </w:tcPr>
          <w:p>
            <w:pPr>
              <w:ind w:left="100"/>
              <w:spacing w:after="0" w:line="210" w:lineRule="exact"/>
              <w:rPr>
                <w:sz w:val="20"/>
                <w:szCs w:val="20"/>
                <w:color w:val="auto"/>
              </w:rPr>
            </w:pPr>
            <w:r>
              <w:rPr>
                <w:rFonts w:ascii="Arial" w:cs="Arial" w:eastAsia="Arial" w:hAnsi="Arial"/>
                <w:sz w:val="20"/>
                <w:szCs w:val="20"/>
                <w:color w:val="2A2A2A"/>
              </w:rPr>
              <w:t>XBRL Taxonomy Calculation</w:t>
            </w:r>
          </w:p>
        </w:tc>
        <w:tc>
          <w:tcPr>
            <w:tcW w:w="3360" w:type="dxa"/>
            <w:vAlign w:val="bottom"/>
            <w:vMerge w:val="restart"/>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shd w:val="clear" w:color="auto" w:fill="D7D7D7"/>
          </w:tcPr>
          <w:p>
            <w:pPr>
              <w:spacing w:after="0"/>
              <w:rPr>
                <w:sz w:val="14"/>
                <w:szCs w:val="14"/>
                <w:color w:val="auto"/>
              </w:rPr>
            </w:pPr>
          </w:p>
        </w:tc>
        <w:tc>
          <w:tcPr>
            <w:tcW w:w="5940" w:type="dxa"/>
            <w:vAlign w:val="bottom"/>
            <w:vMerge w:val="restart"/>
            <w:shd w:val="clear" w:color="auto" w:fill="D7D7D7"/>
          </w:tcPr>
          <w:p>
            <w:pPr>
              <w:ind w:left="100"/>
              <w:spacing w:after="0"/>
              <w:rPr>
                <w:sz w:val="20"/>
                <w:szCs w:val="20"/>
                <w:color w:val="auto"/>
              </w:rPr>
            </w:pPr>
            <w:r>
              <w:rPr>
                <w:rFonts w:ascii="Arial" w:cs="Arial" w:eastAsia="Arial" w:hAnsi="Arial"/>
                <w:sz w:val="20"/>
                <w:szCs w:val="20"/>
                <w:color w:val="2A2A2A"/>
              </w:rPr>
              <w:t>Linkbase</w:t>
            </w:r>
          </w:p>
        </w:tc>
        <w:tc>
          <w:tcPr>
            <w:tcW w:w="3360" w:type="dxa"/>
            <w:vAlign w:val="bottom"/>
            <w:vMerge w:val="continue"/>
            <w:shd w:val="clear" w:color="auto" w:fill="D7D7D7"/>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shd w:val="clear" w:color="auto" w:fill="D7D7D7"/>
          </w:tcPr>
          <w:p>
            <w:pPr>
              <w:spacing w:after="0"/>
              <w:rPr>
                <w:sz w:val="8"/>
                <w:szCs w:val="8"/>
                <w:color w:val="auto"/>
              </w:rPr>
            </w:pPr>
          </w:p>
        </w:tc>
        <w:tc>
          <w:tcPr>
            <w:tcW w:w="5940" w:type="dxa"/>
            <w:vAlign w:val="bottom"/>
            <w:tcBorders>
              <w:bottom w:val="single" w:sz="8" w:color="2A2A2A"/>
            </w:tcBorders>
            <w:vMerge w:val="continue"/>
            <w:shd w:val="clear" w:color="auto" w:fill="D7D7D7"/>
          </w:tcPr>
          <w:p>
            <w:pPr>
              <w:spacing w:after="0"/>
              <w:rPr>
                <w:sz w:val="8"/>
                <w:szCs w:val="8"/>
                <w:color w:val="auto"/>
              </w:rPr>
            </w:pPr>
          </w:p>
        </w:tc>
        <w:tc>
          <w:tcPr>
            <w:tcW w:w="3360" w:type="dxa"/>
            <w:vAlign w:val="bottom"/>
            <w:tcBorders>
              <w:bottom w:val="single" w:sz="8" w:color="2A2A2A"/>
            </w:tcBorders>
            <w:shd w:val="clear" w:color="auto" w:fill="D7D7D7"/>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ind w:left="160"/>
              <w:spacing w:after="0" w:line="210" w:lineRule="exact"/>
              <w:rPr>
                <w:sz w:val="20"/>
                <w:szCs w:val="20"/>
                <w:color w:val="auto"/>
              </w:rPr>
            </w:pPr>
            <w:r>
              <w:rPr>
                <w:rFonts w:ascii="Arial" w:cs="Arial" w:eastAsia="Arial" w:hAnsi="Arial"/>
                <w:sz w:val="20"/>
                <w:szCs w:val="20"/>
                <w:b w:val="1"/>
                <w:bCs w:val="1"/>
                <w:color w:val="2A2A2A"/>
              </w:rPr>
              <w:t>101.def</w:t>
            </w:r>
          </w:p>
        </w:tc>
        <w:tc>
          <w:tcPr>
            <w:tcW w:w="5940" w:type="dxa"/>
            <w:vAlign w:val="bottom"/>
          </w:tcPr>
          <w:p>
            <w:pPr>
              <w:ind w:left="100"/>
              <w:spacing w:after="0" w:line="210" w:lineRule="exact"/>
              <w:rPr>
                <w:sz w:val="20"/>
                <w:szCs w:val="20"/>
                <w:color w:val="auto"/>
              </w:rPr>
            </w:pPr>
            <w:r>
              <w:rPr>
                <w:rFonts w:ascii="Arial" w:cs="Arial" w:eastAsia="Arial" w:hAnsi="Arial"/>
                <w:sz w:val="20"/>
                <w:szCs w:val="20"/>
                <w:color w:val="2A2A2A"/>
              </w:rPr>
              <w:t>XBRL Taxonomy Definitions</w:t>
            </w:r>
          </w:p>
        </w:tc>
        <w:tc>
          <w:tcPr>
            <w:tcW w:w="3360" w:type="dxa"/>
            <w:vAlign w:val="bottom"/>
            <w:vMerge w:val="restart"/>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40" w:type="dxa"/>
            <w:vAlign w:val="bottom"/>
            <w:vMerge w:val="restart"/>
          </w:tcPr>
          <w:p>
            <w:pPr>
              <w:ind w:left="100"/>
              <w:spacing w:after="0"/>
              <w:rPr>
                <w:sz w:val="20"/>
                <w:szCs w:val="20"/>
                <w:color w:val="auto"/>
              </w:rPr>
            </w:pPr>
            <w:r>
              <w:rPr>
                <w:rFonts w:ascii="Arial" w:cs="Arial" w:eastAsia="Arial" w:hAnsi="Arial"/>
                <w:sz w:val="20"/>
                <w:szCs w:val="20"/>
                <w:color w:val="2A2A2A"/>
              </w:rPr>
              <w:t>Document</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tcPr>
          <w:p>
            <w:pPr>
              <w:spacing w:after="0"/>
              <w:rPr>
                <w:sz w:val="8"/>
                <w:szCs w:val="8"/>
                <w:color w:val="auto"/>
              </w:rPr>
            </w:pPr>
          </w:p>
        </w:tc>
        <w:tc>
          <w:tcPr>
            <w:tcW w:w="5940" w:type="dxa"/>
            <w:vAlign w:val="bottom"/>
            <w:tcBorders>
              <w:bottom w:val="single" w:sz="8" w:color="2A2A2A"/>
            </w:tcBorders>
            <w:vMerge w:val="continue"/>
          </w:tcPr>
          <w:p>
            <w:pPr>
              <w:spacing w:after="0"/>
              <w:rPr>
                <w:sz w:val="8"/>
                <w:szCs w:val="8"/>
                <w:color w:val="auto"/>
              </w:rPr>
            </w:pPr>
          </w:p>
        </w:tc>
        <w:tc>
          <w:tcPr>
            <w:tcW w:w="3360" w:type="dxa"/>
            <w:vAlign w:val="bottom"/>
            <w:tcBorders>
              <w:bottom w:val="single" w:sz="8" w:color="2A2A2A"/>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Borders>
              <w:bottom w:val="single" w:sz="8" w:color="2A2A2A"/>
            </w:tcBorders>
          </w:tcPr>
          <w:p>
            <w:pPr>
              <w:spacing w:after="0"/>
              <w:rPr>
                <w:sz w:val="24"/>
                <w:szCs w:val="24"/>
                <w:color w:val="auto"/>
              </w:rPr>
            </w:pPr>
          </w:p>
        </w:tc>
        <w:tc>
          <w:tcPr>
            <w:tcW w:w="980" w:type="dxa"/>
            <w:vAlign w:val="bottom"/>
            <w:tcBorders>
              <w:bottom w:val="single" w:sz="8" w:color="2A2A2A"/>
            </w:tcBorders>
            <w:shd w:val="clear" w:color="auto" w:fill="D7D7D7"/>
          </w:tcPr>
          <w:p>
            <w:pPr>
              <w:ind w:left="180"/>
              <w:spacing w:after="0"/>
              <w:rPr>
                <w:sz w:val="20"/>
                <w:szCs w:val="20"/>
                <w:color w:val="auto"/>
              </w:rPr>
            </w:pPr>
            <w:r>
              <w:rPr>
                <w:rFonts w:ascii="Arial" w:cs="Arial" w:eastAsia="Arial" w:hAnsi="Arial"/>
                <w:sz w:val="20"/>
                <w:szCs w:val="20"/>
                <w:b w:val="1"/>
                <w:bCs w:val="1"/>
                <w:color w:val="2A2A2A"/>
              </w:rPr>
              <w:t>101.lab</w:t>
            </w:r>
          </w:p>
        </w:tc>
        <w:tc>
          <w:tcPr>
            <w:tcW w:w="5940" w:type="dxa"/>
            <w:vAlign w:val="bottom"/>
            <w:tcBorders>
              <w:bottom w:val="single" w:sz="8" w:color="2A2A2A"/>
            </w:tcBorders>
            <w:shd w:val="clear" w:color="auto" w:fill="D7D7D7"/>
          </w:tcPr>
          <w:p>
            <w:pPr>
              <w:ind w:left="100"/>
              <w:spacing w:after="0"/>
              <w:rPr>
                <w:sz w:val="20"/>
                <w:szCs w:val="20"/>
                <w:color w:val="auto"/>
              </w:rPr>
            </w:pPr>
            <w:r>
              <w:rPr>
                <w:rFonts w:ascii="Arial" w:cs="Arial" w:eastAsia="Arial" w:hAnsi="Arial"/>
                <w:sz w:val="20"/>
                <w:szCs w:val="20"/>
                <w:color w:val="2A2A2A"/>
              </w:rPr>
              <w:t>XBRL Taxonomy Labels Linkbase</w:t>
            </w:r>
          </w:p>
        </w:tc>
        <w:tc>
          <w:tcPr>
            <w:tcW w:w="3360" w:type="dxa"/>
            <w:vAlign w:val="bottom"/>
            <w:tcBorders>
              <w:bottom w:val="single" w:sz="8" w:color="2A2A2A"/>
            </w:tcBorders>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tcPr>
          <w:p>
            <w:pPr>
              <w:ind w:left="160"/>
              <w:spacing w:after="0" w:line="210" w:lineRule="exact"/>
              <w:rPr>
                <w:sz w:val="20"/>
                <w:szCs w:val="20"/>
                <w:color w:val="auto"/>
              </w:rPr>
            </w:pPr>
            <w:r>
              <w:rPr>
                <w:rFonts w:ascii="Arial" w:cs="Arial" w:eastAsia="Arial" w:hAnsi="Arial"/>
                <w:sz w:val="20"/>
                <w:szCs w:val="20"/>
                <w:b w:val="1"/>
                <w:bCs w:val="1"/>
                <w:color w:val="2A2A2A"/>
              </w:rPr>
              <w:t>101.pre</w:t>
            </w:r>
          </w:p>
        </w:tc>
        <w:tc>
          <w:tcPr>
            <w:tcW w:w="5940" w:type="dxa"/>
            <w:vAlign w:val="bottom"/>
          </w:tcPr>
          <w:p>
            <w:pPr>
              <w:ind w:left="100"/>
              <w:spacing w:after="0" w:line="210" w:lineRule="exact"/>
              <w:rPr>
                <w:sz w:val="20"/>
                <w:szCs w:val="20"/>
                <w:color w:val="auto"/>
              </w:rPr>
            </w:pPr>
            <w:r>
              <w:rPr>
                <w:rFonts w:ascii="Arial" w:cs="Arial" w:eastAsia="Arial" w:hAnsi="Arial"/>
                <w:sz w:val="20"/>
                <w:szCs w:val="20"/>
                <w:color w:val="2A2A2A"/>
              </w:rPr>
              <w:t>XBRL Taxonomy Presentation</w:t>
            </w:r>
          </w:p>
        </w:tc>
        <w:tc>
          <w:tcPr>
            <w:tcW w:w="3360" w:type="dxa"/>
            <w:vAlign w:val="bottom"/>
            <w:vMerge w:val="restart"/>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40" w:type="dxa"/>
            <w:vAlign w:val="bottom"/>
            <w:vMerge w:val="restart"/>
          </w:tcPr>
          <w:p>
            <w:pPr>
              <w:ind w:left="100"/>
              <w:spacing w:after="0"/>
              <w:rPr>
                <w:sz w:val="20"/>
                <w:szCs w:val="20"/>
                <w:color w:val="auto"/>
              </w:rPr>
            </w:pPr>
            <w:r>
              <w:rPr>
                <w:rFonts w:ascii="Arial" w:cs="Arial" w:eastAsia="Arial" w:hAnsi="Arial"/>
                <w:sz w:val="20"/>
                <w:szCs w:val="20"/>
                <w:color w:val="2A2A2A"/>
              </w:rPr>
              <w:t>Linkbase</w:t>
            </w:r>
          </w:p>
        </w:tc>
        <w:tc>
          <w:tcPr>
            <w:tcW w:w="3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A2A2A"/>
            </w:tcBorders>
          </w:tcPr>
          <w:p>
            <w:pPr>
              <w:spacing w:after="0"/>
              <w:rPr>
                <w:sz w:val="8"/>
                <w:szCs w:val="8"/>
                <w:color w:val="auto"/>
              </w:rPr>
            </w:pPr>
          </w:p>
        </w:tc>
        <w:tc>
          <w:tcPr>
            <w:tcW w:w="980" w:type="dxa"/>
            <w:vAlign w:val="bottom"/>
            <w:tcBorders>
              <w:bottom w:val="single" w:sz="8" w:color="2A2A2A"/>
            </w:tcBorders>
          </w:tcPr>
          <w:p>
            <w:pPr>
              <w:spacing w:after="0"/>
              <w:rPr>
                <w:sz w:val="8"/>
                <w:szCs w:val="8"/>
                <w:color w:val="auto"/>
              </w:rPr>
            </w:pPr>
          </w:p>
        </w:tc>
        <w:tc>
          <w:tcPr>
            <w:tcW w:w="5940" w:type="dxa"/>
            <w:vAlign w:val="bottom"/>
            <w:tcBorders>
              <w:bottom w:val="single" w:sz="8" w:color="2A2A2A"/>
            </w:tcBorders>
            <w:vMerge w:val="continue"/>
          </w:tcPr>
          <w:p>
            <w:pPr>
              <w:spacing w:after="0"/>
              <w:rPr>
                <w:sz w:val="8"/>
                <w:szCs w:val="8"/>
                <w:color w:val="auto"/>
              </w:rPr>
            </w:pPr>
          </w:p>
        </w:tc>
        <w:tc>
          <w:tcPr>
            <w:tcW w:w="3360" w:type="dxa"/>
            <w:vAlign w:val="bottom"/>
            <w:tcBorders>
              <w:bottom w:val="single" w:sz="8" w:color="2A2A2A"/>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0" w:type="dxa"/>
            <w:vAlign w:val="bottom"/>
            <w:shd w:val="clear" w:color="auto" w:fill="D7D7D7"/>
          </w:tcPr>
          <w:p>
            <w:pPr>
              <w:jc w:val="center"/>
              <w:spacing w:after="0" w:line="210" w:lineRule="exact"/>
              <w:rPr>
                <w:sz w:val="20"/>
                <w:szCs w:val="20"/>
                <w:color w:val="auto"/>
              </w:rPr>
            </w:pPr>
            <w:r>
              <w:rPr>
                <w:rFonts w:ascii="Arial" w:cs="Arial" w:eastAsia="Arial" w:hAnsi="Arial"/>
                <w:sz w:val="20"/>
                <w:szCs w:val="20"/>
                <w:b w:val="1"/>
                <w:bCs w:val="1"/>
                <w:color w:val="2A2A2A"/>
              </w:rPr>
              <w:t>104</w:t>
            </w:r>
          </w:p>
        </w:tc>
        <w:tc>
          <w:tcPr>
            <w:tcW w:w="5940" w:type="dxa"/>
            <w:vAlign w:val="bottom"/>
            <w:shd w:val="clear" w:color="auto" w:fill="D7D7D7"/>
          </w:tcPr>
          <w:p>
            <w:pPr>
              <w:ind w:left="100"/>
              <w:spacing w:after="0" w:line="210" w:lineRule="exact"/>
              <w:rPr>
                <w:sz w:val="20"/>
                <w:szCs w:val="20"/>
                <w:color w:val="auto"/>
              </w:rPr>
            </w:pPr>
            <w:r>
              <w:rPr>
                <w:rFonts w:ascii="Arial" w:cs="Arial" w:eastAsia="Arial" w:hAnsi="Arial"/>
                <w:sz w:val="20"/>
                <w:szCs w:val="20"/>
                <w:color w:val="2A2A2A"/>
              </w:rPr>
              <w:t>Cover Page Interactive Data File</w:t>
            </w:r>
          </w:p>
        </w:tc>
        <w:tc>
          <w:tcPr>
            <w:tcW w:w="3360" w:type="dxa"/>
            <w:vAlign w:val="bottom"/>
            <w:vMerge w:val="restart"/>
            <w:shd w:val="clear" w:color="auto" w:fill="D7D7D7"/>
          </w:tcPr>
          <w:p>
            <w:pPr>
              <w:ind w:left="2840"/>
              <w:spacing w:after="0"/>
              <w:rPr>
                <w:sz w:val="20"/>
                <w:szCs w:val="20"/>
                <w:color w:val="auto"/>
              </w:rPr>
            </w:pPr>
            <w:r>
              <w:rPr>
                <w:rFonts w:ascii="Arial" w:cs="Arial" w:eastAsia="Arial" w:hAnsi="Arial"/>
                <w:sz w:val="20"/>
                <w:szCs w:val="20"/>
                <w:color w:val="2A2A2A"/>
              </w:rPr>
              <w:t>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shd w:val="clear" w:color="auto" w:fill="D7D7D7"/>
          </w:tcPr>
          <w:p>
            <w:pPr>
              <w:spacing w:after="0"/>
              <w:rPr>
                <w:sz w:val="17"/>
                <w:szCs w:val="17"/>
                <w:color w:val="auto"/>
              </w:rPr>
            </w:pPr>
          </w:p>
        </w:tc>
        <w:tc>
          <w:tcPr>
            <w:tcW w:w="5940" w:type="dxa"/>
            <w:vAlign w:val="bottom"/>
            <w:shd w:val="clear" w:color="auto" w:fill="D7D7D7"/>
          </w:tcPr>
          <w:p>
            <w:pPr>
              <w:ind w:left="100"/>
              <w:spacing w:after="0" w:line="207" w:lineRule="exact"/>
              <w:rPr>
                <w:sz w:val="20"/>
                <w:szCs w:val="20"/>
                <w:color w:val="auto"/>
              </w:rPr>
            </w:pPr>
            <w:r>
              <w:rPr>
                <w:rFonts w:ascii="Arial" w:cs="Arial" w:eastAsia="Arial" w:hAnsi="Arial"/>
                <w:sz w:val="20"/>
                <w:szCs w:val="20"/>
                <w:color w:val="2A2A2A"/>
              </w:rPr>
              <w:t>(embedded within the Inline XBRL</w:t>
            </w:r>
          </w:p>
        </w:tc>
        <w:tc>
          <w:tcPr>
            <w:tcW w:w="3360" w:type="dxa"/>
            <w:vAlign w:val="bottom"/>
            <w:vMerge w:val="continue"/>
            <w:shd w:val="clear" w:color="auto" w:fill="D7D7D7"/>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980" w:type="dxa"/>
            <w:vAlign w:val="bottom"/>
            <w:shd w:val="clear" w:color="auto" w:fill="D7D7D7"/>
          </w:tcPr>
          <w:p>
            <w:pPr>
              <w:spacing w:after="0"/>
              <w:rPr>
                <w:sz w:val="24"/>
                <w:szCs w:val="24"/>
                <w:color w:val="auto"/>
              </w:rPr>
            </w:pPr>
          </w:p>
        </w:tc>
        <w:tc>
          <w:tcPr>
            <w:tcW w:w="594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document)</w:t>
            </w:r>
          </w:p>
        </w:tc>
        <w:tc>
          <w:tcPr>
            <w:tcW w:w="336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80" w:hanging="361"/>
        <w:spacing w:after="0"/>
        <w:tabs>
          <w:tab w:leader="none" w:pos="380" w:val="left"/>
        </w:tabs>
        <w:numPr>
          <w:ilvl w:val="0"/>
          <w:numId w:val="38"/>
        </w:numPr>
        <w:rPr>
          <w:rFonts w:ascii="Arial" w:cs="Arial" w:eastAsia="Arial" w:hAnsi="Arial"/>
          <w:sz w:val="18"/>
          <w:szCs w:val="18"/>
          <w:color w:val="2A2A2A"/>
        </w:rPr>
      </w:pPr>
      <w:r>
        <w:rPr>
          <w:rFonts w:ascii="Arial" w:cs="Arial" w:eastAsia="Arial" w:hAnsi="Arial"/>
          <w:sz w:val="20"/>
          <w:szCs w:val="20"/>
          <w:color w:val="2A2A2A"/>
        </w:rPr>
        <w:t>Management compensation plans and arrangements</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2A2A2A"/>
        </w:rPr>
        <w:t>Notice regarding forward-looking statements</w:t>
      </w:r>
    </w:p>
    <w:p>
      <w:pPr>
        <w:spacing w:after="0" w:line="263" w:lineRule="exact"/>
        <w:rPr>
          <w:sz w:val="20"/>
          <w:szCs w:val="20"/>
          <w:color w:val="auto"/>
        </w:rPr>
      </w:pPr>
    </w:p>
    <w:p>
      <w:pPr>
        <w:ind w:left="20"/>
        <w:spacing w:after="0" w:line="256" w:lineRule="auto"/>
        <w:rPr>
          <w:sz w:val="20"/>
          <w:szCs w:val="20"/>
          <w:color w:val="auto"/>
        </w:rPr>
      </w:pPr>
      <w:r>
        <w:rPr>
          <w:rFonts w:ascii="Arial" w:cs="Arial" w:eastAsia="Arial" w:hAnsi="Arial"/>
          <w:sz w:val="20"/>
          <w:szCs w:val="20"/>
          <w:color w:val="2A2A2A"/>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ectPr>
          <w:pgSz w:w="12240" w:h="15840" w:orient="portrait"/>
          <w:cols w:equalWidth="0" w:num="1">
            <w:col w:w="10300"/>
          </w:cols>
          <w:pgMar w:left="960" w:top="760" w:right="980" w:bottom="24"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63</w:t>
      </w:r>
    </w:p>
    <w:p>
      <w:pPr>
        <w:sectPr>
          <w:pgSz w:w="12240" w:h="15840" w:orient="portrait"/>
          <w:cols w:equalWidth="0" w:num="1">
            <w:col w:w="10300"/>
          </w:cols>
          <w:pgMar w:left="960" w:top="760" w:right="980" w:bottom="24" w:gutter="0" w:footer="0" w:header="0"/>
          <w:type w:val="continuous"/>
        </w:sectPr>
      </w:pPr>
    </w:p>
    <w:bookmarkStart w:id="69" w:name="page70"/>
    <w:bookmarkEnd w:id="69"/>
    <w:p>
      <w:pPr>
        <w:ind w:right="220"/>
        <w:spacing w:after="0" w:line="287" w:lineRule="auto"/>
        <w:rPr>
          <w:sz w:val="20"/>
          <w:szCs w:val="20"/>
          <w:color w:val="auto"/>
        </w:rPr>
      </w:pPr>
      <w:r>
        <w:rPr>
          <w:rFonts w:ascii="Arial" w:cs="Arial" w:eastAsia="Arial" w:hAnsi="Arial"/>
          <w:sz w:val="20"/>
          <w:szCs w:val="20"/>
          <w:color w:val="2A2A2A"/>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720" w:right="12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Economic, social and political conditions, and natural events in the countries in which we, our customers or our suppliers operate, including global trade policies;</w:t>
      </w:r>
    </w:p>
    <w:p>
      <w:pPr>
        <w:spacing w:after="0" w:line="49" w:lineRule="exact"/>
        <w:rPr>
          <w:rFonts w:ascii="Arial" w:cs="Arial" w:eastAsia="Arial" w:hAnsi="Arial"/>
          <w:sz w:val="20"/>
          <w:szCs w:val="20"/>
          <w:color w:val="2A2A2A"/>
        </w:rPr>
      </w:pPr>
    </w:p>
    <w:p>
      <w:pPr>
        <w:ind w:left="720" w:right="42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Market demand for semiconductors, particularly in the industrial and automotive markets, and customer demand that differs from forecasts;</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compete in products and prices in an intensely competitive industry;</w:t>
      </w:r>
    </w:p>
    <w:p>
      <w:pPr>
        <w:spacing w:after="0" w:line="130" w:lineRule="exact"/>
        <w:rPr>
          <w:rFonts w:ascii="Arial" w:cs="Arial" w:eastAsia="Arial" w:hAnsi="Arial"/>
          <w:sz w:val="20"/>
          <w:szCs w:val="20"/>
          <w:color w:val="2A2A2A"/>
        </w:rPr>
      </w:pPr>
    </w:p>
    <w:p>
      <w:pPr>
        <w:ind w:left="720" w:right="50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Evolving cybersecurity and other threats relating to our information technology systems or those of our customers, suppliers and other third parties;</w:t>
      </w:r>
    </w:p>
    <w:p>
      <w:pPr>
        <w:spacing w:after="0" w:line="49" w:lineRule="exact"/>
        <w:rPr>
          <w:rFonts w:ascii="Arial" w:cs="Arial" w:eastAsia="Arial" w:hAnsi="Arial"/>
          <w:sz w:val="20"/>
          <w:szCs w:val="20"/>
          <w:color w:val="2A2A2A"/>
        </w:rPr>
      </w:pPr>
    </w:p>
    <w:p>
      <w:pPr>
        <w:ind w:left="720" w:right="220" w:hanging="361"/>
        <w:spacing w:after="0" w:line="268"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9" w:lineRule="exact"/>
        <w:rPr>
          <w:rFonts w:ascii="Arial" w:cs="Arial" w:eastAsia="Arial" w:hAnsi="Arial"/>
          <w:sz w:val="20"/>
          <w:szCs w:val="20"/>
          <w:color w:val="2A2A2A"/>
        </w:rPr>
      </w:pPr>
    </w:p>
    <w:p>
      <w:pPr>
        <w:ind w:left="720" w:right="500" w:hanging="361"/>
        <w:spacing w:after="0" w:line="262"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75" w:lineRule="exact"/>
        <w:rPr>
          <w:rFonts w:ascii="Arial" w:cs="Arial" w:eastAsia="Arial" w:hAnsi="Arial"/>
          <w:sz w:val="20"/>
          <w:szCs w:val="20"/>
          <w:color w:val="2A2A2A"/>
        </w:rPr>
      </w:pPr>
    </w:p>
    <w:p>
      <w:pPr>
        <w:ind w:left="720" w:right="12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Availability and cost of key materials, utilities, manufacturing equipment, third-party manufacturing services and manufacturing technology;</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recruit and retain skilled personnel and effectively manage key employee succession;</w:t>
      </w:r>
    </w:p>
    <w:p>
      <w:pPr>
        <w:spacing w:after="0" w:line="130" w:lineRule="exact"/>
        <w:rPr>
          <w:rFonts w:ascii="Arial" w:cs="Arial" w:eastAsia="Arial" w:hAnsi="Arial"/>
          <w:sz w:val="20"/>
          <w:szCs w:val="20"/>
          <w:color w:val="2A2A2A"/>
        </w:rPr>
      </w:pPr>
    </w:p>
    <w:p>
      <w:pPr>
        <w:ind w:left="720" w:right="220" w:hanging="361"/>
        <w:spacing w:after="0" w:line="314" w:lineRule="auto"/>
        <w:tabs>
          <w:tab w:leader="none" w:pos="720" w:val="left"/>
        </w:tabs>
        <w:numPr>
          <w:ilvl w:val="0"/>
          <w:numId w:val="39"/>
        </w:numPr>
        <w:rPr>
          <w:rFonts w:ascii="Arial" w:cs="Arial" w:eastAsia="Arial" w:hAnsi="Arial"/>
          <w:sz w:val="19"/>
          <w:szCs w:val="19"/>
          <w:color w:val="2A2A2A"/>
        </w:rPr>
      </w:pPr>
      <w:r>
        <w:rPr>
          <w:rFonts w:ascii="Arial" w:cs="Arial" w:eastAsia="Arial" w:hAnsi="Arial"/>
          <w:sz w:val="19"/>
          <w:szCs w:val="19"/>
          <w:color w:val="2A2A2A"/>
        </w:rPr>
        <w:t>Product liability, warranty or other claims relating to our products, software, manufacturing, delivery, services, design or communications, or recalls by our customers for a product containing one of our parts;</w:t>
      </w:r>
    </w:p>
    <w:p>
      <w:pPr>
        <w:spacing w:after="0" w:line="28" w:lineRule="exact"/>
        <w:rPr>
          <w:rFonts w:ascii="Arial" w:cs="Arial" w:eastAsia="Arial" w:hAnsi="Arial"/>
          <w:sz w:val="19"/>
          <w:szCs w:val="19"/>
          <w:color w:val="2A2A2A"/>
        </w:rPr>
      </w:pPr>
    </w:p>
    <w:p>
      <w:pPr>
        <w:ind w:left="720" w:hanging="361"/>
        <w:spacing w:after="0" w:line="268"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9" w:lineRule="exact"/>
        <w:rPr>
          <w:rFonts w:ascii="Arial" w:cs="Arial" w:eastAsia="Arial" w:hAnsi="Arial"/>
          <w:sz w:val="20"/>
          <w:szCs w:val="20"/>
          <w:color w:val="2A2A2A"/>
        </w:rPr>
      </w:pPr>
    </w:p>
    <w:p>
      <w:pPr>
        <w:ind w:left="720" w:right="280" w:hanging="361"/>
        <w:spacing w:after="0" w:line="268"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9" w:lineRule="exact"/>
        <w:rPr>
          <w:rFonts w:ascii="Arial" w:cs="Arial" w:eastAsia="Arial" w:hAnsi="Arial"/>
          <w:sz w:val="20"/>
          <w:szCs w:val="20"/>
          <w:color w:val="2A2A2A"/>
        </w:rPr>
      </w:pPr>
    </w:p>
    <w:p>
      <w:pPr>
        <w:ind w:left="72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Financial difficulties of our distributors or semiconductor distributors’ promotion of competing product lines to our detriment; or disputes with current or former distributors;</w:t>
      </w:r>
    </w:p>
    <w:p>
      <w:pPr>
        <w:spacing w:after="0" w:line="49" w:lineRule="exact"/>
        <w:rPr>
          <w:rFonts w:ascii="Arial" w:cs="Arial" w:eastAsia="Arial" w:hAnsi="Arial"/>
          <w:sz w:val="20"/>
          <w:szCs w:val="20"/>
          <w:color w:val="2A2A2A"/>
        </w:rPr>
      </w:pPr>
    </w:p>
    <w:p>
      <w:pPr>
        <w:ind w:left="720" w:right="32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Losses or curtailments of purchases from key customers or the timing and amount of customer inventory adjustments;</w:t>
      </w:r>
    </w:p>
    <w:p>
      <w:pPr>
        <w:spacing w:after="0" w:line="49" w:lineRule="exact"/>
        <w:rPr>
          <w:rFonts w:ascii="Arial" w:cs="Arial" w:eastAsia="Arial" w:hAnsi="Arial"/>
          <w:sz w:val="20"/>
          <w:szCs w:val="20"/>
          <w:color w:val="2A2A2A"/>
        </w:rPr>
      </w:pPr>
    </w:p>
    <w:p>
      <w:pPr>
        <w:ind w:left="720" w:right="80" w:hanging="361"/>
        <w:spacing w:after="0" w:line="268"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9" w:lineRule="exact"/>
        <w:rPr>
          <w:rFonts w:ascii="Arial" w:cs="Arial" w:eastAsia="Arial" w:hAnsi="Arial"/>
          <w:sz w:val="20"/>
          <w:szCs w:val="20"/>
          <w:color w:val="2A2A2A"/>
        </w:rPr>
      </w:pPr>
    </w:p>
    <w:p>
      <w:pPr>
        <w:ind w:left="720" w:right="60" w:hanging="361"/>
        <w:spacing w:after="0" w:line="287" w:lineRule="auto"/>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Our ability to maintain and enforce a strong intellectual property portfolio and maintain freedom of operation in all jurisdictions where we conduct business; or our exposure to infringement claims;</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Instability in the global credit and financial markets; and</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39"/>
        </w:numPr>
        <w:rPr>
          <w:rFonts w:ascii="Arial" w:cs="Arial" w:eastAsia="Arial" w:hAnsi="Arial"/>
          <w:sz w:val="20"/>
          <w:szCs w:val="20"/>
          <w:color w:val="2A2A2A"/>
        </w:rPr>
      </w:pPr>
      <w:r>
        <w:rPr>
          <w:rFonts w:ascii="Arial" w:cs="Arial" w:eastAsia="Arial" w:hAnsi="Arial"/>
          <w:sz w:val="20"/>
          <w:szCs w:val="20"/>
          <w:color w:val="2A2A2A"/>
        </w:rPr>
        <w:t>Impairments of our non-financial assets.</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2A2A2A"/>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pgSz w:w="12240" w:h="15840" w:orient="portrait"/>
          <w:cols w:equalWidth="0" w:num="1">
            <w:col w:w="10260"/>
          </w:cols>
          <w:pgMar w:left="980" w:top="664" w:right="1000" w:bottom="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64</w:t>
      </w:r>
    </w:p>
    <w:p>
      <w:pPr>
        <w:sectPr>
          <w:pgSz w:w="12240" w:h="15840" w:orient="portrait"/>
          <w:cols w:equalWidth="0" w:num="1">
            <w:col w:w="10260"/>
          </w:cols>
          <w:pgMar w:left="980" w:top="664" w:right="1000" w:bottom="24" w:gutter="0" w:footer="0" w:header="0"/>
          <w:type w:val="continuous"/>
        </w:sectPr>
      </w:pPr>
    </w:p>
    <w:bookmarkStart w:id="70" w:name="page71"/>
    <w:bookmarkEnd w:id="70"/>
    <w:p>
      <w:pPr>
        <w:jc w:val="center"/>
        <w:ind w:right="-59"/>
        <w:spacing w:after="0"/>
        <w:rPr>
          <w:sz w:val="20"/>
          <w:szCs w:val="20"/>
          <w:color w:val="auto"/>
        </w:rPr>
      </w:pPr>
      <w:r>
        <w:rPr>
          <w:rFonts w:ascii="Arial" w:cs="Arial" w:eastAsia="Arial" w:hAnsi="Arial"/>
          <w:sz w:val="24"/>
          <w:szCs w:val="24"/>
          <w:b w:val="1"/>
          <w:bCs w:val="1"/>
          <w:color w:val="2A2A2A"/>
        </w:rPr>
        <w:t>SIGNATURES</w:t>
      </w:r>
    </w:p>
    <w:p>
      <w:pPr>
        <w:spacing w:after="0" w:line="263"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2A2A2A"/>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20"/>
          <w:szCs w:val="20"/>
          <w:color w:val="2A2A2A"/>
        </w:rPr>
        <w:t>TEXAS INSTRUMENTS INCORPORATED</w:t>
      </w:r>
    </w:p>
    <w:p>
      <w:pPr>
        <w:spacing w:after="0" w:line="370" w:lineRule="exact"/>
        <w:rPr>
          <w:sz w:val="20"/>
          <w:szCs w:val="20"/>
          <w:color w:val="auto"/>
        </w:rPr>
      </w:pPr>
    </w:p>
    <w:p>
      <w:pPr>
        <w:ind w:left="5640"/>
        <w:spacing w:after="0"/>
        <w:tabs>
          <w:tab w:leader="none" w:pos="7220" w:val="left"/>
        </w:tabs>
        <w:rPr>
          <w:sz w:val="20"/>
          <w:szCs w:val="20"/>
          <w:color w:val="auto"/>
        </w:rPr>
      </w:pPr>
      <w:r>
        <w:rPr>
          <w:rFonts w:ascii="Arial" w:cs="Arial" w:eastAsia="Arial" w:hAnsi="Arial"/>
          <w:sz w:val="20"/>
          <w:szCs w:val="20"/>
          <w:color w:val="2A2A2A"/>
        </w:rPr>
        <w:t>By:</w:t>
      </w:r>
      <w:r>
        <w:rPr>
          <w:sz w:val="20"/>
          <w:szCs w:val="20"/>
          <w:color w:val="auto"/>
        </w:rPr>
        <w:tab/>
      </w:r>
      <w:r>
        <w:rPr>
          <w:rFonts w:ascii="Arial" w:cs="Arial" w:eastAsia="Arial" w:hAnsi="Arial"/>
          <w:sz w:val="20"/>
          <w:szCs w:val="20"/>
          <w:color w:val="2A2A2A"/>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20955</wp:posOffset>
            </wp:positionV>
            <wp:extent cx="269557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95575" cy="1270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20"/>
          <w:szCs w:val="20"/>
          <w:b w:val="1"/>
          <w:bCs w:val="1"/>
          <w:color w:val="2A2A2A"/>
        </w:rPr>
        <w:t xml:space="preserve">Rafael R. Lizardi, </w:t>
      </w:r>
      <w:r>
        <w:rPr>
          <w:rFonts w:ascii="Arial" w:cs="Arial" w:eastAsia="Arial" w:hAnsi="Arial"/>
          <w:sz w:val="20"/>
          <w:szCs w:val="20"/>
          <w:color w:val="2A2A2A"/>
        </w:rPr>
        <w:t>Senior Vice President</w:t>
      </w:r>
    </w:p>
    <w:p>
      <w:pPr>
        <w:jc w:val="center"/>
        <w:ind w:left="5960"/>
        <w:spacing w:after="0"/>
        <w:rPr>
          <w:sz w:val="20"/>
          <w:szCs w:val="20"/>
          <w:color w:val="auto"/>
        </w:rPr>
      </w:pPr>
      <w:r>
        <w:rPr>
          <w:rFonts w:ascii="Arial" w:cs="Arial" w:eastAsia="Arial" w:hAnsi="Arial"/>
          <w:sz w:val="20"/>
          <w:szCs w:val="20"/>
          <w:color w:val="2A2A2A"/>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2A2A2A"/>
        </w:rPr>
        <w:t>Date: February 2, 2024</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20"/>
          <w:szCs w:val="20"/>
          <w:color w:val="2A2A2A"/>
        </w:rPr>
        <w:t>Each person whose signature appears below constitutes and appoints each of Haviv Ilan, Rafael R. Lizardi, Julie C. Knecht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2023,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206" w:lineRule="exact"/>
        <w:rPr>
          <w:sz w:val="20"/>
          <w:szCs w:val="20"/>
          <w:color w:val="auto"/>
        </w:rPr>
      </w:pPr>
    </w:p>
    <w:p>
      <w:pPr>
        <w:jc w:val="both"/>
        <w:ind w:right="320"/>
        <w:spacing w:after="0" w:line="314" w:lineRule="auto"/>
        <w:rPr>
          <w:sz w:val="20"/>
          <w:szCs w:val="20"/>
          <w:color w:val="auto"/>
        </w:rPr>
      </w:pPr>
      <w:r>
        <w:rPr>
          <w:rFonts w:ascii="Arial" w:cs="Arial" w:eastAsia="Arial" w:hAnsi="Arial"/>
          <w:sz w:val="19"/>
          <w:szCs w:val="19"/>
          <w:color w:val="2A2A2A"/>
        </w:rPr>
        <w:t>Pursuant to the requirements of the Securities Exchange Act of 1934, this Report has been signed below by the following persons on behalf of the Registrant and in the capacities indicated as of the 2nd day of February 2024.</w:t>
      </w:r>
    </w:p>
    <w:p>
      <w:pPr>
        <w:sectPr>
          <w:pgSz w:w="12240" w:h="15840" w:orient="portrait"/>
          <w:cols w:equalWidth="0" w:num="1">
            <w:col w:w="10220"/>
          </w:cols>
          <w:pgMar w:left="980" w:top="653" w:right="1040" w:bottom="24" w:gutter="0" w:footer="0" w:header="0"/>
        </w:sectPr>
      </w:pPr>
    </w:p>
    <w:p>
      <w:pPr>
        <w:spacing w:after="0" w:line="231"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2A2A2A"/>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2A2A2A"/>
        </w:rPr>
        <w:t xml:space="preserve">Mark A. Blinn, </w:t>
      </w:r>
      <w:r>
        <w:rPr>
          <w:rFonts w:ascii="Arial" w:cs="Arial" w:eastAsia="Arial" w:hAnsi="Arial"/>
          <w:sz w:val="20"/>
          <w:szCs w:val="20"/>
          <w:color w:val="2A2A2A"/>
        </w:rPr>
        <w:t>Director</w:t>
      </w:r>
    </w:p>
    <w:p>
      <w:pPr>
        <w:spacing w:after="0" w:line="36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2A2A2A"/>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2A2A2A"/>
        </w:rPr>
        <w:t xml:space="preserve">Janet F. Clark, </w:t>
      </w:r>
      <w:r>
        <w:rPr>
          <w:rFonts w:ascii="Arial" w:cs="Arial" w:eastAsia="Arial" w:hAnsi="Arial"/>
          <w:sz w:val="20"/>
          <w:szCs w:val="20"/>
          <w:color w:val="2A2A2A"/>
        </w:rPr>
        <w:t>Director</w:t>
      </w:r>
    </w:p>
    <w:p>
      <w:pPr>
        <w:spacing w:after="0" w:line="36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2A2A2A"/>
        </w:rPr>
        <w:t>/s/ Martin S.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2A2A2A"/>
        </w:rPr>
        <w:t xml:space="preserve">Martin S. Craighead, </w:t>
      </w:r>
      <w:r>
        <w:rPr>
          <w:rFonts w:ascii="Arial" w:cs="Arial" w:eastAsia="Arial" w:hAnsi="Arial"/>
          <w:sz w:val="20"/>
          <w:szCs w:val="20"/>
          <w:color w:val="2A2A2A"/>
        </w:rPr>
        <w:t>Director</w:t>
      </w:r>
    </w:p>
    <w:p>
      <w:pPr>
        <w:spacing w:after="0" w:line="36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2A2A2A"/>
        </w:rPr>
        <w:t>/s/ Jean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2A2A2A"/>
        </w:rPr>
        <w:t xml:space="preserve">Jean M. Hobby, </w:t>
      </w:r>
      <w:r>
        <w:rPr>
          <w:rFonts w:ascii="Arial" w:cs="Arial" w:eastAsia="Arial" w:hAnsi="Arial"/>
          <w:sz w:val="20"/>
          <w:szCs w:val="20"/>
          <w:color w:val="2A2A2A"/>
        </w:rPr>
        <w:t>Director</w:t>
      </w:r>
    </w:p>
    <w:p>
      <w:pPr>
        <w:spacing w:after="0" w:line="377"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2A2A2A"/>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color w:val="2A2A2A"/>
        </w:rPr>
        <w:t xml:space="preserve">Pamela H. Patsley, </w:t>
      </w:r>
      <w:r>
        <w:rPr>
          <w:rFonts w:ascii="Arial" w:cs="Arial" w:eastAsia="Arial" w:hAnsi="Arial"/>
          <w:sz w:val="20"/>
          <w:szCs w:val="20"/>
          <w:color w:val="2A2A2A"/>
        </w:rPr>
        <w:t>Director</w:t>
      </w:r>
    </w:p>
    <w:p>
      <w:pPr>
        <w:spacing w:after="0" w:line="362" w:lineRule="exact"/>
        <w:rPr>
          <w:sz w:val="20"/>
          <w:szCs w:val="20"/>
          <w:color w:val="auto"/>
        </w:rPr>
      </w:pPr>
    </w:p>
    <w:p>
      <w:pPr>
        <w:ind w:left="1460"/>
        <w:spacing w:after="0"/>
        <w:rPr>
          <w:sz w:val="20"/>
          <w:szCs w:val="20"/>
          <w:color w:val="auto"/>
        </w:rPr>
      </w:pPr>
      <w:r>
        <w:rPr>
          <w:rFonts w:ascii="Arial" w:cs="Arial" w:eastAsia="Arial" w:hAnsi="Arial"/>
          <w:sz w:val="20"/>
          <w:szCs w:val="20"/>
          <w:color w:val="2A2A2A"/>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3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A2A2A"/>
        </w:rPr>
        <w:t xml:space="preserve">Richard K. Templeton, </w:t>
      </w:r>
      <w:r>
        <w:rPr>
          <w:rFonts w:ascii="Arial" w:cs="Arial" w:eastAsia="Arial" w:hAnsi="Arial"/>
          <w:sz w:val="20"/>
          <w:szCs w:val="20"/>
          <w:color w:val="2A2A2A"/>
        </w:rPr>
        <w:t>Director</w:t>
      </w:r>
    </w:p>
    <w:p>
      <w:pPr>
        <w:ind w:left="1340"/>
        <w:spacing w:after="0"/>
        <w:rPr>
          <w:sz w:val="20"/>
          <w:szCs w:val="20"/>
          <w:color w:val="auto"/>
        </w:rPr>
      </w:pPr>
      <w:r>
        <w:rPr>
          <w:rFonts w:ascii="Arial" w:cs="Arial" w:eastAsia="Arial" w:hAnsi="Arial"/>
          <w:sz w:val="20"/>
          <w:szCs w:val="20"/>
          <w:color w:val="2A2A2A"/>
        </w:rPr>
        <w:t>and Chairman of the Board</w:t>
      </w:r>
    </w:p>
    <w:p>
      <w:pPr>
        <w:spacing w:after="0" w:line="352" w:lineRule="exact"/>
        <w:rPr>
          <w:sz w:val="20"/>
          <w:szCs w:val="20"/>
          <w:color w:val="auto"/>
        </w:rPr>
      </w:pPr>
    </w:p>
    <w:p>
      <w:pPr>
        <w:ind w:left="1660"/>
        <w:spacing w:after="0"/>
        <w:rPr>
          <w:sz w:val="20"/>
          <w:szCs w:val="20"/>
          <w:color w:val="auto"/>
        </w:rPr>
      </w:pPr>
      <w:r>
        <w:rPr>
          <w:rFonts w:ascii="Arial" w:cs="Arial" w:eastAsia="Arial" w:hAnsi="Arial"/>
          <w:sz w:val="20"/>
          <w:szCs w:val="20"/>
          <w:color w:val="2A2A2A"/>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22897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2A2A2A"/>
        </w:rPr>
        <w:t xml:space="preserve">Rafael R. Lizardi, </w:t>
      </w:r>
      <w:r>
        <w:rPr>
          <w:rFonts w:ascii="Arial" w:cs="Arial" w:eastAsia="Arial" w:hAnsi="Arial"/>
          <w:sz w:val="19"/>
          <w:szCs w:val="19"/>
          <w:color w:val="2A2A2A"/>
        </w:rPr>
        <w:t>Senior Vice President</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20"/>
          <w:szCs w:val="20"/>
          <w:color w:val="2A2A2A"/>
        </w:rPr>
        <w:t>and Chief Financial Officer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2A2A2A"/>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2A2A2A"/>
        </w:rPr>
        <w:t xml:space="preserve">Todd M. Bluedorn, </w:t>
      </w:r>
      <w:r>
        <w:rPr>
          <w:rFonts w:ascii="Arial" w:cs="Arial" w:eastAsia="Arial" w:hAnsi="Arial"/>
          <w:sz w:val="20"/>
          <w:szCs w:val="20"/>
          <w:color w:val="2A2A2A"/>
        </w:rPr>
        <w:t>Director</w:t>
      </w: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2A2A2A"/>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2A2A2A"/>
        </w:rPr>
        <w:t xml:space="preserve">Carrie S. Cox, </w:t>
      </w:r>
      <w:r>
        <w:rPr>
          <w:rFonts w:ascii="Arial" w:cs="Arial" w:eastAsia="Arial" w:hAnsi="Arial"/>
          <w:sz w:val="20"/>
          <w:szCs w:val="20"/>
          <w:color w:val="2A2A2A"/>
        </w:rPr>
        <w:t>Director</w:t>
      </w: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2A2A2A"/>
        </w:rPr>
        <w:t>/s/ Curtis C.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2A2A2A"/>
        </w:rPr>
        <w:t>Curtis C. Farmer</w:t>
      </w:r>
      <w:r>
        <w:rPr>
          <w:rFonts w:ascii="Arial" w:cs="Arial" w:eastAsia="Arial" w:hAnsi="Arial"/>
          <w:sz w:val="20"/>
          <w:szCs w:val="20"/>
          <w:color w:val="2A2A2A"/>
        </w:rPr>
        <w:t>, Director</w:t>
      </w: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2A2A2A"/>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2A2A2A"/>
        </w:rPr>
        <w:t xml:space="preserve">Ronald Kirk, </w:t>
      </w:r>
      <w:r>
        <w:rPr>
          <w:rFonts w:ascii="Arial" w:cs="Arial" w:eastAsia="Arial" w:hAnsi="Arial"/>
          <w:sz w:val="20"/>
          <w:szCs w:val="20"/>
          <w:color w:val="2A2A2A"/>
        </w:rPr>
        <w:t>Director</w:t>
      </w:r>
    </w:p>
    <w:p>
      <w:pPr>
        <w:spacing w:after="0" w:line="37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2A2A2A"/>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2A2A2A"/>
        </w:rPr>
        <w:t xml:space="preserve">Robert E. Sanchez, </w:t>
      </w:r>
      <w:r>
        <w:rPr>
          <w:rFonts w:ascii="Arial" w:cs="Arial" w:eastAsia="Arial" w:hAnsi="Arial"/>
          <w:sz w:val="20"/>
          <w:szCs w:val="20"/>
          <w:color w:val="2A2A2A"/>
        </w:rPr>
        <w:t>Director</w:t>
      </w:r>
    </w:p>
    <w:p>
      <w:pPr>
        <w:spacing w:after="0" w:line="362" w:lineRule="exact"/>
        <w:rPr>
          <w:sz w:val="20"/>
          <w:szCs w:val="20"/>
          <w:color w:val="auto"/>
        </w:rPr>
      </w:pPr>
    </w:p>
    <w:p>
      <w:pPr>
        <w:ind w:left="840"/>
        <w:spacing w:after="0"/>
        <w:rPr>
          <w:sz w:val="20"/>
          <w:szCs w:val="20"/>
          <w:color w:val="auto"/>
        </w:rPr>
      </w:pPr>
      <w:r>
        <w:rPr>
          <w:rFonts w:ascii="Arial" w:cs="Arial" w:eastAsia="Arial" w:hAnsi="Arial"/>
          <w:sz w:val="20"/>
          <w:szCs w:val="20"/>
          <w:color w:val="2A2A2A"/>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2A2A2A"/>
        </w:rPr>
        <w:t xml:space="preserve">Haviv Ilan, </w:t>
      </w:r>
      <w:r>
        <w:rPr>
          <w:rFonts w:ascii="Arial" w:cs="Arial" w:eastAsia="Arial" w:hAnsi="Arial"/>
          <w:sz w:val="20"/>
          <w:szCs w:val="20"/>
          <w:color w:val="2A2A2A"/>
        </w:rPr>
        <w:t>Director, President</w:t>
      </w:r>
    </w:p>
    <w:p>
      <w:pPr>
        <w:ind w:left="220"/>
        <w:spacing w:after="0"/>
        <w:rPr>
          <w:sz w:val="20"/>
          <w:szCs w:val="20"/>
          <w:color w:val="auto"/>
        </w:rPr>
      </w:pPr>
      <w:r>
        <w:rPr>
          <w:rFonts w:ascii="Arial" w:cs="Arial" w:eastAsia="Arial" w:hAnsi="Arial"/>
          <w:sz w:val="20"/>
          <w:szCs w:val="20"/>
          <w:color w:val="2A2A2A"/>
        </w:rPr>
        <w:t>and Chief Executive Officer</w:t>
      </w:r>
    </w:p>
    <w:p>
      <w:pPr>
        <w:spacing w:after="0" w:line="352" w:lineRule="exact"/>
        <w:rPr>
          <w:sz w:val="20"/>
          <w:szCs w:val="20"/>
          <w:color w:val="auto"/>
        </w:rPr>
      </w:pPr>
    </w:p>
    <w:p>
      <w:pPr>
        <w:ind w:left="620"/>
        <w:spacing w:after="0"/>
        <w:rPr>
          <w:sz w:val="20"/>
          <w:szCs w:val="20"/>
          <w:color w:val="auto"/>
        </w:rPr>
      </w:pPr>
      <w:r>
        <w:rPr>
          <w:rFonts w:ascii="Arial" w:cs="Arial" w:eastAsia="Arial" w:hAnsi="Arial"/>
          <w:sz w:val="20"/>
          <w:szCs w:val="20"/>
          <w:color w:val="2A2A2A"/>
        </w:rPr>
        <w:t>/s/ Julie C. Knecht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wp:posOffset>
            </wp:positionV>
            <wp:extent cx="322897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28975" cy="127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b w:val="1"/>
          <w:bCs w:val="1"/>
          <w:color w:val="2A2A2A"/>
        </w:rPr>
        <w:t xml:space="preserve">Julie C. Knecht, </w:t>
      </w:r>
      <w:r>
        <w:rPr>
          <w:rFonts w:ascii="Arial" w:cs="Arial" w:eastAsia="Arial" w:hAnsi="Arial"/>
          <w:sz w:val="19"/>
          <w:szCs w:val="19"/>
          <w:color w:val="2A2A2A"/>
        </w:rPr>
        <w:t>Vice President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2A2A2A"/>
        </w:rPr>
        <w:t>and Chief Accounting Officer</w:t>
      </w:r>
    </w:p>
    <w:p>
      <w:pPr>
        <w:spacing w:after="0" w:line="200" w:lineRule="exact"/>
        <w:rPr>
          <w:sz w:val="20"/>
          <w:szCs w:val="20"/>
          <w:color w:val="auto"/>
        </w:rPr>
      </w:pPr>
    </w:p>
    <w:p>
      <w:pPr>
        <w:sectPr>
          <w:pgSz w:w="12240" w:h="15840" w:orient="portrait"/>
          <w:cols w:equalWidth="0" w:num="2">
            <w:col w:w="5560" w:space="720"/>
            <w:col w:w="3940"/>
          </w:cols>
          <w:pgMar w:left="980" w:top="653" w:right="1040" w:bottom="24" w:gutter="0" w:footer="0" w:header="0"/>
          <w:type w:val="continuous"/>
        </w:sect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 xml:space="preserve">2023 FORM 10-K </w:t>
      </w:r>
      <w:r>
        <w:rPr>
          <w:rFonts w:ascii="PMingLiU" w:cs="PMingLiU" w:eastAsia="PMingLiU" w:hAnsi="PMingLiU"/>
          <w:sz w:val="15"/>
          <w:szCs w:val="15"/>
          <w:color w:val="383838"/>
        </w:rPr>
        <w:t></w:t>
      </w:r>
      <w:r>
        <w:rPr>
          <w:rFonts w:ascii="Arial" w:cs="Arial" w:eastAsia="Arial" w:hAnsi="Arial"/>
          <w:sz w:val="15"/>
          <w:szCs w:val="15"/>
          <w:color w:val="383838"/>
        </w:rPr>
        <w:t xml:space="preserve"> PAGE 65</w:t>
      </w:r>
    </w:p>
    <w:p>
      <w:pPr>
        <w:sectPr>
          <w:pgSz w:w="12240" w:h="15840" w:orient="portrait"/>
          <w:cols w:equalWidth="0" w:num="1">
            <w:col w:w="10220"/>
          </w:cols>
          <w:pgMar w:left="980" w:top="653" w:right="1040" w:bottom="24"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(This page intentionally left blank.)</w:t>
      </w:r>
    </w:p>
    <w:p>
      <w:pPr>
        <w:sectPr>
          <w:pgSz w:w="12240" w:h="15840" w:orient="portrait"/>
          <w:cols w:equalWidth="0" w:num="1">
            <w:col w:w="9360"/>
          </w:cols>
          <w:pgMar w:left="1440" w:top="1440" w:right="1440" w:bottom="1440" w:gutter="0" w:footer="0" w:header="0"/>
        </w:sectPr>
      </w:pPr>
    </w:p>
    <w:bookmarkStart w:id="72" w:name="page73"/>
    <w:bookmarkEnd w:id="72"/>
    <w:p>
      <w:pPr>
        <w:jc w:val="center"/>
        <w:ind w:right="-99"/>
        <w:spacing w:after="0"/>
        <w:rPr>
          <w:sz w:val="20"/>
          <w:szCs w:val="20"/>
          <w:color w:val="auto"/>
        </w:rPr>
      </w:pPr>
      <w:r>
        <w:rPr>
          <w:rFonts w:ascii="Arial" w:cs="Arial" w:eastAsia="Arial" w:hAnsi="Arial"/>
          <w:sz w:val="24"/>
          <w:szCs w:val="24"/>
          <w:b w:val="1"/>
          <w:bCs w:val="1"/>
          <w:color w:val="2A2A2A"/>
        </w:rPr>
        <w:t>NOTICE OF ANNUAL MEETING OF STOCKHOLDERS</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2A2A2A"/>
        </w:rPr>
        <w:t>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99060</wp:posOffset>
            </wp:positionV>
            <wp:extent cx="2276475" cy="523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7647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2A2A2A"/>
        </w:rPr>
        <w:t>Dear Stockholder:</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2A2A2A"/>
        </w:rPr>
        <w:t>You are cordially invited to attend the 2024 annual meeting of stockholders on Thursday, April 25, 2024,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96" w:lineRule="exact"/>
        <w:rPr>
          <w:sz w:val="20"/>
          <w:szCs w:val="20"/>
          <w:color w:val="auto"/>
        </w:rPr>
      </w:pPr>
    </w:p>
    <w:p>
      <w:pPr>
        <w:ind w:left="720" w:hanging="361"/>
        <w:spacing w:after="0"/>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the election of directors for the next year,</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approval of the Texas Instruments 2024 Long-Term Incentive Plan,</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advisory approval of the company’s executive compensation,</w:t>
      </w:r>
    </w:p>
    <w:p>
      <w:pPr>
        <w:spacing w:after="0" w:line="130" w:lineRule="exact"/>
        <w:rPr>
          <w:rFonts w:ascii="Arial" w:cs="Arial" w:eastAsia="Arial" w:hAnsi="Arial"/>
          <w:sz w:val="20"/>
          <w:szCs w:val="20"/>
          <w:color w:val="2A2A2A"/>
        </w:rPr>
      </w:pPr>
    </w:p>
    <w:p>
      <w:pPr>
        <w:ind w:left="720" w:right="600" w:hanging="361"/>
        <w:spacing w:after="0" w:line="287" w:lineRule="auto"/>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ratification of the appointment of Ernst &amp; Young LLP as the company’s independent registered public accounting firm for 2024,</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two stockholder proposals, if properly presented, and</w:t>
      </w:r>
    </w:p>
    <w:p>
      <w:pPr>
        <w:spacing w:after="0" w:line="130" w:lineRule="exact"/>
        <w:rPr>
          <w:rFonts w:ascii="Arial" w:cs="Arial" w:eastAsia="Arial" w:hAnsi="Arial"/>
          <w:sz w:val="20"/>
          <w:szCs w:val="20"/>
          <w:color w:val="2A2A2A"/>
        </w:rPr>
      </w:pPr>
    </w:p>
    <w:p>
      <w:pPr>
        <w:ind w:left="720" w:hanging="361"/>
        <w:spacing w:after="0"/>
        <w:tabs>
          <w:tab w:leader="none" w:pos="720" w:val="left"/>
        </w:tabs>
        <w:numPr>
          <w:ilvl w:val="0"/>
          <w:numId w:val="40"/>
        </w:numPr>
        <w:rPr>
          <w:rFonts w:ascii="Arial" w:cs="Arial" w:eastAsia="Arial" w:hAnsi="Arial"/>
          <w:sz w:val="20"/>
          <w:szCs w:val="20"/>
          <w:color w:val="2A2A2A"/>
        </w:rPr>
      </w:pPr>
      <w:r>
        <w:rPr>
          <w:rFonts w:ascii="Arial" w:cs="Arial" w:eastAsia="Arial" w:hAnsi="Arial"/>
          <w:sz w:val="20"/>
          <w:szCs w:val="20"/>
          <w:color w:val="2A2A2A"/>
        </w:rPr>
        <w:t>such other matters as may properly come before the meeting.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Stockholders of record at the close of business on February 28, 2024, are entitled to vote at the annual meeting.</w:t>
      </w:r>
    </w:p>
    <w:p>
      <w:pPr>
        <w:spacing w:after="0" w:line="250" w:lineRule="exact"/>
        <w:rPr>
          <w:sz w:val="20"/>
          <w:szCs w:val="20"/>
          <w:color w:val="auto"/>
        </w:rPr>
      </w:pPr>
    </w:p>
    <w:p>
      <w:pPr>
        <w:spacing w:after="0" w:line="297" w:lineRule="auto"/>
        <w:rPr>
          <w:sz w:val="20"/>
          <w:szCs w:val="20"/>
          <w:color w:val="auto"/>
        </w:rPr>
      </w:pPr>
      <w:r>
        <w:rPr>
          <w:rFonts w:ascii="Arial" w:cs="Arial" w:eastAsia="Arial" w:hAnsi="Arial"/>
          <w:sz w:val="20"/>
          <w:szCs w:val="20"/>
          <w:b w:val="1"/>
          <w:bCs w:val="1"/>
          <w:color w:val="2A2A2A"/>
        </w:rPr>
        <w:t>We urge you to vote your shares as promptly as possible by (i) accessing the voting website, (ii) calling the toll-free number or (iii) signing, dating and mailing the enclosed proxy.</w:t>
      </w:r>
    </w:p>
    <w:p>
      <w:pPr>
        <w:spacing w:after="0" w:line="233" w:lineRule="exact"/>
        <w:rPr>
          <w:sz w:val="20"/>
          <w:szCs w:val="20"/>
          <w:color w:val="auto"/>
        </w:rPr>
      </w:pPr>
    </w:p>
    <w:p>
      <w:pPr>
        <w:ind w:left="5220"/>
        <w:spacing w:after="0"/>
        <w:rPr>
          <w:sz w:val="20"/>
          <w:szCs w:val="20"/>
          <w:color w:val="auto"/>
        </w:rPr>
      </w:pPr>
      <w:r>
        <w:rPr>
          <w:rFonts w:ascii="Arial" w:cs="Arial" w:eastAsia="Arial" w:hAnsi="Arial"/>
          <w:sz w:val="20"/>
          <w:szCs w:val="20"/>
          <w:color w:val="2A2A2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74930</wp:posOffset>
            </wp:positionV>
            <wp:extent cx="2560320" cy="791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0320" cy="79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Arial" w:cs="Arial" w:eastAsia="Arial" w:hAnsi="Arial"/>
          <w:sz w:val="20"/>
          <w:szCs w:val="20"/>
          <w:color w:val="2A2A2A"/>
        </w:rPr>
        <w:t>Cynthia Hoff Trochu</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20"/>
          <w:szCs w:val="20"/>
          <w:color w:val="2A2A2A"/>
        </w:rPr>
        <w:t>Senior Vice President, Secretary and General Counsel</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20"/>
          <w:szCs w:val="20"/>
          <w:color w:val="2A2A2A"/>
        </w:rPr>
        <w:t>Dallas, Texas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color w:val="2A2A2A"/>
        </w:rPr>
        <w:t>March 12, 2024</w:t>
      </w:r>
    </w:p>
    <w:p>
      <w:pPr>
        <w:sectPr>
          <w:pgSz w:w="12240" w:h="15840" w:orient="portrait"/>
          <w:cols w:equalWidth="0" w:num="1">
            <w:col w:w="10180"/>
          </w:cols>
          <w:pgMar w:left="980" w:top="653" w:right="10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383838"/>
        </w:rPr>
        <w:t>2024 PROXY STATEMENT • PAGE 1</w:t>
      </w:r>
    </w:p>
    <w:p>
      <w:pPr>
        <w:sectPr>
          <w:pgSz w:w="12240" w:h="15840" w:orient="portrait"/>
          <w:cols w:equalWidth="0" w:num="1">
            <w:col w:w="10180"/>
          </w:cols>
          <w:pgMar w:left="980" w:top="653" w:right="1080" w:bottom="33" w:gutter="0" w:footer="0" w:header="0"/>
          <w:type w:val="continuous"/>
        </w:sectPr>
      </w:pPr>
    </w:p>
    <w:bookmarkStart w:id="73" w:name="page74"/>
    <w:bookmarkEnd w:id="73"/>
    <w:p>
      <w:pPr>
        <w:jc w:val="center"/>
        <w:ind w:right="-39"/>
        <w:spacing w:after="0"/>
        <w:rPr>
          <w:sz w:val="20"/>
          <w:szCs w:val="20"/>
          <w:color w:val="auto"/>
        </w:rPr>
      </w:pPr>
      <w:r>
        <w:rPr>
          <w:rFonts w:ascii="Arial" w:cs="Arial" w:eastAsia="Arial" w:hAnsi="Arial"/>
          <w:sz w:val="24"/>
          <w:szCs w:val="24"/>
          <w:b w:val="1"/>
          <w:bCs w:val="1"/>
          <w:color w:val="2A2A2A"/>
        </w:rPr>
        <w:t>TABLE OF CONTENTS</w:t>
      </w:r>
    </w:p>
    <w:p>
      <w:pPr>
        <w:sectPr>
          <w:pgSz w:w="12240" w:h="15840" w:orient="portrait"/>
          <w:cols w:equalWidth="0" w:num="1">
            <w:col w:w="10120"/>
          </w:cols>
          <w:pgMar w:left="1040" w:top="653" w:right="1080" w:bottom="33"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2A2A2A"/>
        </w:rPr>
        <w:t>Notice of 2024 annual meeting of stockholders</w:t>
      </w:r>
    </w:p>
    <w:p>
      <w:pPr>
        <w:spacing w:after="0" w:line="127"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A2A2A"/>
        </w:rPr>
        <w:t>Voting procedures, quorum and attendance requirements</w:t>
      </w:r>
    </w:p>
    <w:p>
      <w:pPr>
        <w:spacing w:after="0" w:line="50" w:lineRule="exact"/>
        <w:rPr>
          <w:sz w:val="20"/>
          <w:szCs w:val="20"/>
          <w:color w:val="auto"/>
        </w:rPr>
      </w:pPr>
    </w:p>
    <w:p>
      <w:pPr>
        <w:ind w:right="720"/>
        <w:spacing w:after="0" w:line="297" w:lineRule="auto"/>
        <w:rPr>
          <w:sz w:val="20"/>
          <w:szCs w:val="20"/>
          <w:color w:val="auto"/>
        </w:rPr>
      </w:pPr>
      <w:r>
        <w:rPr>
          <w:rFonts w:ascii="Arial" w:cs="Arial" w:eastAsia="Arial" w:hAnsi="Arial"/>
          <w:sz w:val="20"/>
          <w:szCs w:val="20"/>
          <w:b w:val="1"/>
          <w:bCs w:val="1"/>
          <w:color w:val="2A2A2A"/>
        </w:rPr>
        <w:t>Corporate governance and board of directors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20"/>
          <w:szCs w:val="20"/>
          <w:color w:val="2A2A2A"/>
        </w:rPr>
        <w:t>Election of directors</w:t>
      </w:r>
    </w:p>
    <w:p>
      <w:pPr>
        <w:spacing w:after="0" w:line="115" w:lineRule="exact"/>
        <w:rPr>
          <w:sz w:val="20"/>
          <w:szCs w:val="20"/>
          <w:color w:val="auto"/>
        </w:rPr>
      </w:pPr>
    </w:p>
    <w:p>
      <w:pPr>
        <w:ind w:left="260" w:right="940"/>
        <w:spacing w:after="0" w:line="287" w:lineRule="auto"/>
        <w:rPr>
          <w:sz w:val="20"/>
          <w:szCs w:val="20"/>
          <w:color w:val="auto"/>
        </w:rPr>
      </w:pPr>
      <w:r>
        <w:rPr>
          <w:rFonts w:ascii="Arial" w:cs="Arial" w:eastAsia="Arial" w:hAnsi="Arial"/>
          <w:sz w:val="20"/>
          <w:szCs w:val="20"/>
          <w:color w:val="2A2A2A"/>
        </w:rPr>
        <w:t>Director nominees, qualifications and experience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Director nomination process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Communications with the board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Corporate governance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Annual meeting attendance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Director independence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0"/>
          <w:szCs w:val="20"/>
          <w:color w:val="2A2A2A"/>
        </w:rPr>
        <w:t>Board organization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Board and committee meetings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Committees of the board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Board evaluation process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Board leadership structure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Risk oversight by the board</w:t>
      </w:r>
    </w:p>
    <w:p>
      <w:pPr>
        <w:spacing w:after="0" w:line="115" w:lineRule="exact"/>
        <w:rPr>
          <w:sz w:val="20"/>
          <w:szCs w:val="20"/>
          <w:color w:val="auto"/>
        </w:rPr>
      </w:pPr>
    </w:p>
    <w:p>
      <w:pPr>
        <w:ind w:left="260" w:right="280"/>
        <w:spacing w:after="0" w:line="287" w:lineRule="auto"/>
        <w:rPr>
          <w:sz w:val="20"/>
          <w:szCs w:val="20"/>
          <w:color w:val="auto"/>
        </w:rPr>
      </w:pPr>
      <w:r>
        <w:rPr>
          <w:rFonts w:ascii="Arial" w:cs="Arial" w:eastAsia="Arial" w:hAnsi="Arial"/>
          <w:sz w:val="20"/>
          <w:szCs w:val="20"/>
          <w:color w:val="2A2A2A"/>
        </w:rPr>
        <w:t>Board oversight of environmental, social and governance (ESG) matters</w:t>
      </w:r>
    </w:p>
    <w:p>
      <w:pPr>
        <w:spacing w:after="0" w:line="50" w:lineRule="exact"/>
        <w:rPr>
          <w:sz w:val="20"/>
          <w:szCs w:val="20"/>
          <w:color w:val="auto"/>
        </w:rPr>
      </w:pPr>
    </w:p>
    <w:p>
      <w:pPr>
        <w:ind w:left="120" w:right="200"/>
        <w:spacing w:after="0" w:line="314" w:lineRule="auto"/>
        <w:rPr>
          <w:sz w:val="20"/>
          <w:szCs w:val="20"/>
          <w:color w:val="auto"/>
        </w:rPr>
      </w:pPr>
      <w:r>
        <w:rPr>
          <w:rFonts w:ascii="Arial" w:cs="Arial" w:eastAsia="Arial" w:hAnsi="Arial"/>
          <w:sz w:val="19"/>
          <w:szCs w:val="19"/>
          <w:color w:val="2A2A2A"/>
        </w:rPr>
        <w:t>Proposal to approve the Texas Instruments 2024 Long-Term Incentive Plan</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20"/>
          <w:szCs w:val="20"/>
          <w:color w:val="2A2A2A"/>
        </w:rPr>
        <w:t>Director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Executive compensation</w:t>
      </w:r>
    </w:p>
    <w:p>
      <w:pPr>
        <w:spacing w:after="0" w:line="115" w:lineRule="exact"/>
        <w:rPr>
          <w:sz w:val="20"/>
          <w:szCs w:val="20"/>
          <w:color w:val="auto"/>
        </w:rPr>
      </w:pPr>
    </w:p>
    <w:p>
      <w:pPr>
        <w:ind w:left="120" w:right="460"/>
        <w:spacing w:after="0" w:line="314" w:lineRule="auto"/>
        <w:rPr>
          <w:sz w:val="20"/>
          <w:szCs w:val="20"/>
          <w:color w:val="auto"/>
        </w:rPr>
      </w:pPr>
      <w:r>
        <w:rPr>
          <w:rFonts w:ascii="Arial" w:cs="Arial" w:eastAsia="Arial" w:hAnsi="Arial"/>
          <w:sz w:val="19"/>
          <w:szCs w:val="19"/>
          <w:color w:val="2A2A2A"/>
        </w:rPr>
        <w:t>Proposal regarding advisory approval of the company’s executive compensation</w:t>
      </w:r>
    </w:p>
    <w:p>
      <w:pPr>
        <w:spacing w:after="0" w:line="28" w:lineRule="exact"/>
        <w:rPr>
          <w:sz w:val="20"/>
          <w:szCs w:val="20"/>
          <w:color w:val="auto"/>
        </w:rPr>
      </w:pPr>
    </w:p>
    <w:p>
      <w:pPr>
        <w:ind w:left="260" w:right="540" w:hanging="149"/>
        <w:spacing w:after="0" w:line="360" w:lineRule="auto"/>
        <w:rPr>
          <w:sz w:val="20"/>
          <w:szCs w:val="20"/>
          <w:color w:val="auto"/>
        </w:rPr>
      </w:pPr>
      <w:r>
        <w:rPr>
          <w:rFonts w:ascii="Arial" w:cs="Arial" w:eastAsia="Arial" w:hAnsi="Arial"/>
          <w:sz w:val="20"/>
          <w:szCs w:val="20"/>
          <w:color w:val="2A2A2A"/>
        </w:rPr>
        <w:t>Compensation discussion and analysis Executive summary</w:t>
      </w:r>
    </w:p>
    <w:p>
      <w:pPr>
        <w:ind w:left="260"/>
        <w:spacing w:after="0"/>
        <w:rPr>
          <w:sz w:val="20"/>
          <w:szCs w:val="20"/>
          <w:color w:val="auto"/>
        </w:rPr>
      </w:pPr>
      <w:r>
        <w:rPr>
          <w:rFonts w:ascii="Arial" w:cs="Arial" w:eastAsia="Arial" w:hAnsi="Arial"/>
          <w:sz w:val="20"/>
          <w:szCs w:val="20"/>
          <w:color w:val="2A2A2A"/>
        </w:rPr>
        <w:t>Compensation philosophy and elements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Analysis of compensation determinations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20"/>
          <w:szCs w:val="20"/>
          <w:color w:val="2A2A2A"/>
        </w:rPr>
        <w:t>Recoupment policy</w:t>
      </w:r>
    </w:p>
    <w:p>
      <w:pPr>
        <w:spacing w:after="0" w:line="115" w:lineRule="exact"/>
        <w:rPr>
          <w:sz w:val="20"/>
          <w:szCs w:val="20"/>
          <w:color w:val="auto"/>
        </w:rPr>
      </w:pPr>
    </w:p>
    <w:p>
      <w:pPr>
        <w:ind w:left="260" w:right="460"/>
        <w:spacing w:after="0" w:line="287" w:lineRule="auto"/>
        <w:rPr>
          <w:sz w:val="20"/>
          <w:szCs w:val="20"/>
          <w:color w:val="auto"/>
        </w:rPr>
      </w:pPr>
      <w:r>
        <w:rPr>
          <w:rFonts w:ascii="Arial" w:cs="Arial" w:eastAsia="Arial" w:hAnsi="Arial"/>
          <w:sz w:val="20"/>
          <w:szCs w:val="20"/>
          <w:color w:val="2A2A2A"/>
        </w:rPr>
        <w:t>Stock ownership guidelines and policy against hedging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500" w:type="dxa"/>
            <w:vAlign w:val="bottom"/>
          </w:tcPr>
          <w:p>
            <w:pPr>
              <w:jc w:val="right"/>
              <w:ind w:right="160"/>
              <w:spacing w:after="0"/>
              <w:rPr>
                <w:sz w:val="20"/>
                <w:szCs w:val="20"/>
                <w:color w:val="auto"/>
              </w:rPr>
            </w:pPr>
            <w:r>
              <w:rPr>
                <w:rFonts w:ascii="Arial" w:cs="Arial" w:eastAsia="Arial" w:hAnsi="Arial"/>
                <w:sz w:val="20"/>
                <w:szCs w:val="20"/>
                <w:color w:val="2A2A2A"/>
              </w:rPr>
              <w:t>1</w:t>
            </w:r>
          </w:p>
        </w:tc>
        <w:tc>
          <w:tcPr>
            <w:tcW w:w="4620" w:type="dxa"/>
            <w:vAlign w:val="bottom"/>
          </w:tcPr>
          <w:p>
            <w:pPr>
              <w:ind w:left="380"/>
              <w:spacing w:after="0"/>
              <w:rPr>
                <w:sz w:val="20"/>
                <w:szCs w:val="20"/>
                <w:color w:val="auto"/>
              </w:rPr>
            </w:pPr>
            <w:r>
              <w:rPr>
                <w:rFonts w:ascii="Arial" w:cs="Arial" w:eastAsia="Arial" w:hAnsi="Arial"/>
                <w:sz w:val="20"/>
                <w:szCs w:val="20"/>
                <w:color w:val="2A2A2A"/>
              </w:rPr>
              <w:t>Compensation committee report</w:t>
            </w:r>
          </w:p>
        </w:tc>
        <w:tc>
          <w:tcPr>
            <w:tcW w:w="440" w:type="dxa"/>
            <w:vAlign w:val="bottom"/>
          </w:tcPr>
          <w:p>
            <w:pPr>
              <w:jc w:val="right"/>
              <w:spacing w:after="0"/>
              <w:rPr>
                <w:sz w:val="20"/>
                <w:szCs w:val="20"/>
                <w:color w:val="auto"/>
              </w:rPr>
            </w:pPr>
            <w:r>
              <w:rPr>
                <w:rFonts w:ascii="Arial" w:cs="Arial" w:eastAsia="Arial" w:hAnsi="Arial"/>
                <w:sz w:val="20"/>
                <w:szCs w:val="20"/>
                <w:color w:val="2A2A2A"/>
              </w:rPr>
              <w:t>44</w:t>
            </w: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rPr>
              <w:t>3</w:t>
            </w:r>
          </w:p>
        </w:tc>
        <w:tc>
          <w:tcPr>
            <w:tcW w:w="4620" w:type="dxa"/>
            <w:vAlign w:val="bottom"/>
          </w:tcPr>
          <w:p>
            <w:pPr>
              <w:ind w:left="380"/>
              <w:spacing w:after="0"/>
              <w:rPr>
                <w:sz w:val="20"/>
                <w:szCs w:val="20"/>
                <w:color w:val="auto"/>
              </w:rPr>
            </w:pPr>
            <w:r>
              <w:rPr>
                <w:rFonts w:ascii="Arial" w:cs="Arial" w:eastAsia="Arial" w:hAnsi="Arial"/>
                <w:sz w:val="20"/>
                <w:szCs w:val="20"/>
                <w:color w:val="2A2A2A"/>
              </w:rPr>
              <w:t>2023 compensation tables</w:t>
            </w:r>
          </w:p>
        </w:tc>
        <w:tc>
          <w:tcPr>
            <w:tcW w:w="440" w:type="dxa"/>
            <w:vAlign w:val="bottom"/>
          </w:tcPr>
          <w:p>
            <w:pPr>
              <w:jc w:val="right"/>
              <w:spacing w:after="0"/>
              <w:rPr>
                <w:sz w:val="20"/>
                <w:szCs w:val="20"/>
                <w:color w:val="auto"/>
              </w:rPr>
            </w:pPr>
            <w:r>
              <w:rPr>
                <w:rFonts w:ascii="Arial" w:cs="Arial" w:eastAsia="Arial" w:hAnsi="Arial"/>
                <w:sz w:val="20"/>
                <w:szCs w:val="20"/>
                <w:color w:val="2A2A2A"/>
              </w:rPr>
              <w:t>45</w:t>
            </w:r>
          </w:p>
        </w:tc>
        <w:tc>
          <w:tcPr>
            <w:tcW w:w="0" w:type="dxa"/>
            <w:vAlign w:val="bottom"/>
          </w:tcPr>
          <w:p>
            <w:pPr>
              <w:spacing w:after="0"/>
              <w:rPr>
                <w:sz w:val="1"/>
                <w:szCs w:val="1"/>
                <w:color w:val="auto"/>
              </w:rPr>
            </w:pPr>
          </w:p>
        </w:tc>
      </w:tr>
      <w:tr>
        <w:trPr>
          <w:trHeight w:val="34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rPr>
              <w:t>5</w:t>
            </w:r>
          </w:p>
        </w:tc>
        <w:tc>
          <w:tcPr>
            <w:tcW w:w="4620" w:type="dxa"/>
            <w:vAlign w:val="bottom"/>
          </w:tcPr>
          <w:p>
            <w:pPr>
              <w:ind w:left="520"/>
              <w:spacing w:after="0"/>
              <w:rPr>
                <w:sz w:val="20"/>
                <w:szCs w:val="20"/>
                <w:color w:val="auto"/>
              </w:rPr>
            </w:pPr>
            <w:r>
              <w:rPr>
                <w:rFonts w:ascii="Arial" w:cs="Arial" w:eastAsia="Arial" w:hAnsi="Arial"/>
                <w:sz w:val="20"/>
                <w:szCs w:val="20"/>
                <w:color w:val="2A2A2A"/>
              </w:rPr>
              <w:t>2023 summary compensation table</w:t>
            </w:r>
          </w:p>
        </w:tc>
        <w:tc>
          <w:tcPr>
            <w:tcW w:w="440" w:type="dxa"/>
            <w:vAlign w:val="bottom"/>
          </w:tcPr>
          <w:p>
            <w:pPr>
              <w:jc w:val="right"/>
              <w:spacing w:after="0"/>
              <w:rPr>
                <w:sz w:val="20"/>
                <w:szCs w:val="20"/>
                <w:color w:val="auto"/>
              </w:rPr>
            </w:pPr>
            <w:r>
              <w:rPr>
                <w:rFonts w:ascii="Arial" w:cs="Arial" w:eastAsia="Arial" w:hAnsi="Arial"/>
                <w:sz w:val="20"/>
                <w:szCs w:val="20"/>
                <w:color w:val="2A2A2A"/>
              </w:rPr>
              <w:t>45</w:t>
            </w:r>
          </w:p>
        </w:tc>
        <w:tc>
          <w:tcPr>
            <w:tcW w:w="0" w:type="dxa"/>
            <w:vAlign w:val="bottom"/>
          </w:tcPr>
          <w:p>
            <w:pPr>
              <w:spacing w:after="0"/>
              <w:rPr>
                <w:sz w:val="1"/>
                <w:szCs w:val="1"/>
                <w:color w:val="auto"/>
              </w:rPr>
            </w:pPr>
          </w:p>
        </w:tc>
      </w:tr>
      <w:tr>
        <w:trPr>
          <w:trHeight w:val="255"/>
        </w:trPr>
        <w:tc>
          <w:tcPr>
            <w:tcW w:w="500" w:type="dxa"/>
            <w:vAlign w:val="bottom"/>
            <w:vMerge w:val="continue"/>
          </w:tcPr>
          <w:p>
            <w:pPr>
              <w:spacing w:after="0"/>
              <w:rPr>
                <w:sz w:val="22"/>
                <w:szCs w:val="22"/>
                <w:color w:val="auto"/>
              </w:rPr>
            </w:pP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Grants of plan-based awards in 2023</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47</w:t>
            </w:r>
          </w:p>
        </w:tc>
        <w:tc>
          <w:tcPr>
            <w:tcW w:w="0" w:type="dxa"/>
            <w:vAlign w:val="bottom"/>
          </w:tcPr>
          <w:p>
            <w:pPr>
              <w:spacing w:after="0"/>
              <w:rPr>
                <w:sz w:val="1"/>
                <w:szCs w:val="1"/>
                <w:color w:val="auto"/>
              </w:rPr>
            </w:pPr>
          </w:p>
        </w:tc>
      </w:tr>
      <w:tr>
        <w:trPr>
          <w:trHeight w:val="90"/>
        </w:trPr>
        <w:tc>
          <w:tcPr>
            <w:tcW w:w="50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rPr>
              <w:t>5</w:t>
            </w:r>
          </w:p>
        </w:tc>
        <w:tc>
          <w:tcPr>
            <w:tcW w:w="4620" w:type="dxa"/>
            <w:vAlign w:val="bottom"/>
          </w:tcPr>
          <w:p>
            <w:pPr>
              <w:ind w:left="520"/>
              <w:spacing w:after="0"/>
              <w:rPr>
                <w:sz w:val="20"/>
                <w:szCs w:val="20"/>
                <w:color w:val="auto"/>
              </w:rPr>
            </w:pPr>
            <w:r>
              <w:rPr>
                <w:rFonts w:ascii="Arial" w:cs="Arial" w:eastAsia="Arial" w:hAnsi="Arial"/>
                <w:sz w:val="20"/>
                <w:szCs w:val="20"/>
                <w:color w:val="2A2A2A"/>
              </w:rPr>
              <w:t>Outstanding equity awards at fiscal</w:t>
            </w:r>
          </w:p>
        </w:tc>
        <w:tc>
          <w:tcPr>
            <w:tcW w:w="440" w:type="dxa"/>
            <w:vAlign w:val="bottom"/>
          </w:tcPr>
          <w:p>
            <w:pPr>
              <w:jc w:val="right"/>
              <w:spacing w:after="0"/>
              <w:rPr>
                <w:sz w:val="20"/>
                <w:szCs w:val="20"/>
                <w:color w:val="auto"/>
              </w:rPr>
            </w:pPr>
            <w:r>
              <w:rPr>
                <w:rFonts w:ascii="Arial" w:cs="Arial" w:eastAsia="Arial" w:hAnsi="Arial"/>
                <w:sz w:val="20"/>
                <w:szCs w:val="20"/>
                <w:color w:val="2A2A2A"/>
              </w:rPr>
              <w:t>48</w:t>
            </w:r>
          </w:p>
        </w:tc>
        <w:tc>
          <w:tcPr>
            <w:tcW w:w="0" w:type="dxa"/>
            <w:vAlign w:val="bottom"/>
          </w:tcPr>
          <w:p>
            <w:pPr>
              <w:spacing w:after="0"/>
              <w:rPr>
                <w:sz w:val="1"/>
                <w:szCs w:val="1"/>
                <w:color w:val="auto"/>
              </w:rPr>
            </w:pPr>
          </w:p>
        </w:tc>
      </w:tr>
      <w:tr>
        <w:trPr>
          <w:trHeight w:val="190"/>
        </w:trPr>
        <w:tc>
          <w:tcPr>
            <w:tcW w:w="500" w:type="dxa"/>
            <w:vAlign w:val="bottom"/>
            <w:vMerge w:val="continue"/>
          </w:tcPr>
          <w:p>
            <w:pPr>
              <w:spacing w:after="0"/>
              <w:rPr>
                <w:sz w:val="16"/>
                <w:szCs w:val="16"/>
                <w:color w:val="auto"/>
              </w:rPr>
            </w:pP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year-end 2023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0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160"/>
              <w:spacing w:after="0"/>
              <w:rPr>
                <w:sz w:val="20"/>
                <w:szCs w:val="20"/>
                <w:color w:val="auto"/>
              </w:rPr>
            </w:pPr>
            <w:r>
              <w:rPr>
                <w:rFonts w:ascii="Arial" w:cs="Arial" w:eastAsia="Arial" w:hAnsi="Arial"/>
                <w:sz w:val="20"/>
                <w:szCs w:val="20"/>
                <w:color w:val="2A2A2A"/>
              </w:rPr>
              <w:t>5</w:t>
            </w: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2023 option exercises and stock vested</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50</w:t>
            </w:r>
          </w:p>
        </w:tc>
        <w:tc>
          <w:tcPr>
            <w:tcW w:w="0" w:type="dxa"/>
            <w:vAlign w:val="bottom"/>
          </w:tcPr>
          <w:p>
            <w:pPr>
              <w:spacing w:after="0"/>
              <w:rPr>
                <w:sz w:val="1"/>
                <w:szCs w:val="1"/>
                <w:color w:val="auto"/>
              </w:rPr>
            </w:pPr>
          </w:p>
        </w:tc>
      </w:tr>
      <w:tr>
        <w:trPr>
          <w:trHeight w:val="90"/>
        </w:trPr>
        <w:tc>
          <w:tcPr>
            <w:tcW w:w="50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12</w:t>
            </w:r>
          </w:p>
        </w:tc>
        <w:tc>
          <w:tcPr>
            <w:tcW w:w="4620" w:type="dxa"/>
            <w:vAlign w:val="bottom"/>
          </w:tcPr>
          <w:p>
            <w:pPr>
              <w:ind w:left="520"/>
              <w:spacing w:after="0"/>
              <w:rPr>
                <w:sz w:val="20"/>
                <w:szCs w:val="20"/>
                <w:color w:val="auto"/>
              </w:rPr>
            </w:pPr>
            <w:r>
              <w:rPr>
                <w:rFonts w:ascii="Arial" w:cs="Arial" w:eastAsia="Arial" w:hAnsi="Arial"/>
                <w:sz w:val="20"/>
                <w:szCs w:val="20"/>
                <w:color w:val="2A2A2A"/>
              </w:rPr>
              <w:t>2023 pension benefits</w:t>
            </w:r>
          </w:p>
        </w:tc>
        <w:tc>
          <w:tcPr>
            <w:tcW w:w="440" w:type="dxa"/>
            <w:vAlign w:val="bottom"/>
          </w:tcPr>
          <w:p>
            <w:pPr>
              <w:jc w:val="right"/>
              <w:spacing w:after="0"/>
              <w:rPr>
                <w:sz w:val="20"/>
                <w:szCs w:val="20"/>
                <w:color w:val="auto"/>
              </w:rPr>
            </w:pPr>
            <w:r>
              <w:rPr>
                <w:rFonts w:ascii="Arial" w:cs="Arial" w:eastAsia="Arial" w:hAnsi="Arial"/>
                <w:sz w:val="20"/>
                <w:szCs w:val="20"/>
                <w:color w:val="2A2A2A"/>
              </w:rPr>
              <w:t>51</w:t>
            </w:r>
          </w:p>
        </w:tc>
        <w:tc>
          <w:tcPr>
            <w:tcW w:w="0" w:type="dxa"/>
            <w:vAlign w:val="bottom"/>
          </w:tcPr>
          <w:p>
            <w:pPr>
              <w:spacing w:after="0"/>
              <w:rPr>
                <w:sz w:val="1"/>
                <w:szCs w:val="1"/>
                <w:color w:val="auto"/>
              </w:rPr>
            </w:pPr>
          </w:p>
        </w:tc>
      </w:tr>
      <w:tr>
        <w:trPr>
          <w:trHeight w:val="165"/>
        </w:trPr>
        <w:tc>
          <w:tcPr>
            <w:tcW w:w="500" w:type="dxa"/>
            <w:vAlign w:val="bottom"/>
            <w:vMerge w:val="continue"/>
          </w:tcPr>
          <w:p>
            <w:pPr>
              <w:spacing w:after="0"/>
              <w:rPr>
                <w:sz w:val="14"/>
                <w:szCs w:val="14"/>
                <w:color w:val="auto"/>
              </w:rPr>
            </w:pP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2023 non-qualified deferred compensation</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53</w:t>
            </w:r>
          </w:p>
        </w:tc>
        <w:tc>
          <w:tcPr>
            <w:tcW w:w="0" w:type="dxa"/>
            <w:vAlign w:val="bottom"/>
          </w:tcPr>
          <w:p>
            <w:pPr>
              <w:spacing w:after="0"/>
              <w:rPr>
                <w:sz w:val="1"/>
                <w:szCs w:val="1"/>
                <w:color w:val="auto"/>
              </w:rPr>
            </w:pPr>
          </w:p>
        </w:tc>
      </w:tr>
      <w:tr>
        <w:trPr>
          <w:trHeight w:val="18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12</w:t>
            </w:r>
          </w:p>
        </w:tc>
        <w:tc>
          <w:tcPr>
            <w:tcW w:w="4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 w:type="dxa"/>
            <w:vAlign w:val="bottom"/>
            <w:vMerge w:val="continue"/>
          </w:tcPr>
          <w:p>
            <w:pPr>
              <w:spacing w:after="0"/>
              <w:rPr>
                <w:sz w:val="14"/>
                <w:szCs w:val="14"/>
                <w:color w:val="auto"/>
              </w:rPr>
            </w:pP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Potential payments upon termination or</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54</w:t>
            </w:r>
          </w:p>
        </w:tc>
        <w:tc>
          <w:tcPr>
            <w:tcW w:w="0" w:type="dxa"/>
            <w:vAlign w:val="bottom"/>
          </w:tcPr>
          <w:p>
            <w:pPr>
              <w:spacing w:after="0"/>
              <w:rPr>
                <w:sz w:val="1"/>
                <w:szCs w:val="1"/>
                <w:color w:val="auto"/>
              </w:rPr>
            </w:pPr>
          </w:p>
        </w:tc>
      </w:tr>
      <w:tr>
        <w:trPr>
          <w:trHeight w:val="15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12</w:t>
            </w:r>
          </w:p>
        </w:tc>
        <w:tc>
          <w:tcPr>
            <w:tcW w:w="46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vMerge w:val="continue"/>
          </w:tcPr>
          <w:p>
            <w:pPr>
              <w:spacing w:after="0"/>
              <w:rPr>
                <w:sz w:val="16"/>
                <w:szCs w:val="16"/>
                <w:color w:val="auto"/>
              </w:rPr>
            </w:pPr>
          </w:p>
        </w:tc>
        <w:tc>
          <w:tcPr>
            <w:tcW w:w="4620" w:type="dxa"/>
            <w:vAlign w:val="bottom"/>
            <w:vMerge w:val="restart"/>
          </w:tcPr>
          <w:p>
            <w:pPr>
              <w:ind w:left="520"/>
              <w:spacing w:after="0"/>
              <w:rPr>
                <w:sz w:val="20"/>
                <w:szCs w:val="20"/>
                <w:color w:val="auto"/>
              </w:rPr>
            </w:pPr>
            <w:r>
              <w:rPr>
                <w:rFonts w:ascii="Arial" w:cs="Arial" w:eastAsia="Arial" w:hAnsi="Arial"/>
                <w:sz w:val="20"/>
                <w:szCs w:val="20"/>
                <w:color w:val="2A2A2A"/>
              </w:rPr>
              <w:t>change in control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0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13</w:t>
            </w: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Pay ratio</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58</w:t>
            </w:r>
          </w:p>
        </w:tc>
        <w:tc>
          <w:tcPr>
            <w:tcW w:w="0" w:type="dxa"/>
            <w:vAlign w:val="bottom"/>
          </w:tcPr>
          <w:p>
            <w:pPr>
              <w:spacing w:after="0"/>
              <w:rPr>
                <w:sz w:val="1"/>
                <w:szCs w:val="1"/>
                <w:color w:val="auto"/>
              </w:rPr>
            </w:pPr>
          </w:p>
        </w:tc>
      </w:tr>
      <w:tr>
        <w:trPr>
          <w:trHeight w:val="9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13</w:t>
            </w:r>
          </w:p>
        </w:tc>
        <w:tc>
          <w:tcPr>
            <w:tcW w:w="46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00" w:type="dxa"/>
            <w:vAlign w:val="bottom"/>
            <w:vMerge w:val="continue"/>
          </w:tcPr>
          <w:p>
            <w:pPr>
              <w:spacing w:after="0"/>
              <w:rPr>
                <w:sz w:val="22"/>
                <w:szCs w:val="22"/>
                <w:color w:val="auto"/>
              </w:rPr>
            </w:pP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Pay versus performance</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59</w:t>
            </w:r>
          </w:p>
        </w:tc>
        <w:tc>
          <w:tcPr>
            <w:tcW w:w="0" w:type="dxa"/>
            <w:vAlign w:val="bottom"/>
          </w:tcPr>
          <w:p>
            <w:pPr>
              <w:spacing w:after="0"/>
              <w:rPr>
                <w:sz w:val="1"/>
                <w:szCs w:val="1"/>
                <w:color w:val="auto"/>
              </w:rPr>
            </w:pPr>
          </w:p>
        </w:tc>
      </w:tr>
      <w:tr>
        <w:trPr>
          <w:trHeight w:val="9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15</w:t>
            </w:r>
          </w:p>
        </w:tc>
        <w:tc>
          <w:tcPr>
            <w:tcW w:w="46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00" w:type="dxa"/>
            <w:vAlign w:val="bottom"/>
            <w:vMerge w:val="continue"/>
          </w:tcPr>
          <w:p>
            <w:pPr>
              <w:spacing w:after="0"/>
              <w:rPr>
                <w:sz w:val="22"/>
                <w:szCs w:val="22"/>
                <w:color w:val="auto"/>
              </w:rPr>
            </w:pPr>
          </w:p>
        </w:tc>
        <w:tc>
          <w:tcPr>
            <w:tcW w:w="4620" w:type="dxa"/>
            <w:vAlign w:val="bottom"/>
            <w:vMerge w:val="restart"/>
          </w:tcPr>
          <w:p>
            <w:pPr>
              <w:ind w:left="260"/>
              <w:spacing w:after="0"/>
              <w:rPr>
                <w:sz w:val="20"/>
                <w:szCs w:val="20"/>
                <w:color w:val="auto"/>
              </w:rPr>
            </w:pPr>
            <w:r>
              <w:rPr>
                <w:rFonts w:ascii="Arial" w:cs="Arial" w:eastAsia="Arial" w:hAnsi="Arial"/>
                <w:sz w:val="20"/>
                <w:szCs w:val="20"/>
                <w:b w:val="1"/>
                <w:bCs w:val="1"/>
                <w:color w:val="2A2A2A"/>
              </w:rPr>
              <w:t>Audit committee matters</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61</w:t>
            </w:r>
          </w:p>
        </w:tc>
        <w:tc>
          <w:tcPr>
            <w:tcW w:w="0" w:type="dxa"/>
            <w:vAlign w:val="bottom"/>
          </w:tcPr>
          <w:p>
            <w:pPr>
              <w:spacing w:after="0"/>
              <w:rPr>
                <w:sz w:val="1"/>
                <w:szCs w:val="1"/>
                <w:color w:val="auto"/>
              </w:rPr>
            </w:pPr>
          </w:p>
        </w:tc>
      </w:tr>
      <w:tr>
        <w:trPr>
          <w:trHeight w:val="10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15</w:t>
            </w:r>
          </w:p>
        </w:tc>
        <w:tc>
          <w:tcPr>
            <w:tcW w:w="4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00" w:type="dxa"/>
            <w:vAlign w:val="bottom"/>
            <w:vMerge w:val="continue"/>
          </w:tcPr>
          <w:p>
            <w:pPr>
              <w:spacing w:after="0"/>
              <w:rPr>
                <w:sz w:val="21"/>
                <w:szCs w:val="21"/>
                <w:color w:val="auto"/>
              </w:rPr>
            </w:pP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Audit committee report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61</w:t>
            </w:r>
          </w:p>
        </w:tc>
        <w:tc>
          <w:tcPr>
            <w:tcW w:w="0" w:type="dxa"/>
            <w:vAlign w:val="bottom"/>
          </w:tcPr>
          <w:p>
            <w:pPr>
              <w:spacing w:after="0"/>
              <w:rPr>
                <w:sz w:val="1"/>
                <w:szCs w:val="1"/>
                <w:color w:val="auto"/>
              </w:rPr>
            </w:pPr>
          </w:p>
        </w:tc>
      </w:tr>
      <w:tr>
        <w:trPr>
          <w:trHeight w:val="90"/>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15</w:t>
            </w:r>
          </w:p>
        </w:tc>
        <w:tc>
          <w:tcPr>
            <w:tcW w:w="46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00" w:type="dxa"/>
            <w:vAlign w:val="bottom"/>
            <w:vMerge w:val="continue"/>
          </w:tcPr>
          <w:p>
            <w:pPr>
              <w:spacing w:after="0"/>
              <w:rPr>
                <w:sz w:val="22"/>
                <w:szCs w:val="22"/>
                <w:color w:val="auto"/>
              </w:rPr>
            </w:pP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Proposal to ratify appointment of independent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61</w:t>
            </w:r>
          </w:p>
        </w:tc>
        <w:tc>
          <w:tcPr>
            <w:tcW w:w="0" w:type="dxa"/>
            <w:vAlign w:val="bottom"/>
          </w:tcPr>
          <w:p>
            <w:pPr>
              <w:spacing w:after="0"/>
              <w:rPr>
                <w:sz w:val="1"/>
                <w:szCs w:val="1"/>
                <w:color w:val="auto"/>
              </w:rPr>
            </w:pPr>
          </w:p>
        </w:tc>
      </w:tr>
      <w:tr>
        <w:trPr>
          <w:trHeight w:val="65"/>
        </w:trPr>
        <w:tc>
          <w:tcPr>
            <w:tcW w:w="500" w:type="dxa"/>
            <w:vAlign w:val="bottom"/>
          </w:tcPr>
          <w:p>
            <w:pPr>
              <w:spacing w:after="0"/>
              <w:rPr>
                <w:sz w:val="5"/>
                <w:szCs w:val="5"/>
                <w:color w:val="auto"/>
              </w:rPr>
            </w:pPr>
          </w:p>
        </w:tc>
        <w:tc>
          <w:tcPr>
            <w:tcW w:w="46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18</w:t>
            </w:r>
          </w:p>
        </w:tc>
        <w:tc>
          <w:tcPr>
            <w:tcW w:w="4620" w:type="dxa"/>
            <w:vAlign w:val="bottom"/>
          </w:tcPr>
          <w:p>
            <w:pPr>
              <w:ind w:left="380"/>
              <w:spacing w:after="0"/>
              <w:rPr>
                <w:sz w:val="20"/>
                <w:szCs w:val="20"/>
                <w:color w:val="auto"/>
              </w:rPr>
            </w:pPr>
            <w:r>
              <w:rPr>
                <w:rFonts w:ascii="Arial" w:cs="Arial" w:eastAsia="Arial" w:hAnsi="Arial"/>
                <w:sz w:val="20"/>
                <w:szCs w:val="20"/>
                <w:color w:val="2A2A2A"/>
              </w:rPr>
              <w:t>registered public accounting firm</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18</w:t>
            </w:r>
          </w:p>
        </w:tc>
        <w:tc>
          <w:tcPr>
            <w:tcW w:w="4620" w:type="dxa"/>
            <w:vAlign w:val="bottom"/>
          </w:tcPr>
          <w:p>
            <w:pPr>
              <w:ind w:left="260"/>
              <w:spacing w:after="0"/>
              <w:rPr>
                <w:sz w:val="20"/>
                <w:szCs w:val="20"/>
                <w:color w:val="auto"/>
              </w:rPr>
            </w:pPr>
            <w:r>
              <w:rPr>
                <w:rFonts w:ascii="Arial" w:cs="Arial" w:eastAsia="Arial" w:hAnsi="Arial"/>
                <w:sz w:val="20"/>
                <w:szCs w:val="20"/>
                <w:b w:val="1"/>
                <w:bCs w:val="1"/>
                <w:color w:val="2A2A2A"/>
              </w:rPr>
              <w:t>Stockholder proposals</w:t>
            </w:r>
          </w:p>
        </w:tc>
        <w:tc>
          <w:tcPr>
            <w:tcW w:w="440" w:type="dxa"/>
            <w:vAlign w:val="bottom"/>
          </w:tcPr>
          <w:p>
            <w:pPr>
              <w:jc w:val="right"/>
              <w:spacing w:after="0"/>
              <w:rPr>
                <w:sz w:val="20"/>
                <w:szCs w:val="20"/>
                <w:color w:val="auto"/>
              </w:rPr>
            </w:pPr>
            <w:r>
              <w:rPr>
                <w:rFonts w:ascii="Arial" w:cs="Arial" w:eastAsia="Arial" w:hAnsi="Arial"/>
                <w:sz w:val="20"/>
                <w:szCs w:val="20"/>
                <w:color w:val="2A2A2A"/>
              </w:rPr>
              <w:t>63</w:t>
            </w: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19</w:t>
            </w:r>
          </w:p>
        </w:tc>
        <w:tc>
          <w:tcPr>
            <w:tcW w:w="4620" w:type="dxa"/>
            <w:vAlign w:val="bottom"/>
          </w:tcPr>
          <w:p>
            <w:pPr>
              <w:ind w:left="260"/>
              <w:spacing w:after="0"/>
              <w:rPr>
                <w:sz w:val="20"/>
                <w:szCs w:val="20"/>
                <w:color w:val="auto"/>
              </w:rPr>
            </w:pPr>
            <w:r>
              <w:rPr>
                <w:rFonts w:ascii="Arial" w:cs="Arial" w:eastAsia="Arial" w:hAnsi="Arial"/>
                <w:sz w:val="20"/>
                <w:szCs w:val="20"/>
                <w:b w:val="1"/>
                <w:bCs w:val="1"/>
                <w:color w:val="2A2A2A"/>
              </w:rPr>
              <w:t>Additional information</w:t>
            </w:r>
          </w:p>
        </w:tc>
        <w:tc>
          <w:tcPr>
            <w:tcW w:w="440" w:type="dxa"/>
            <w:vAlign w:val="bottom"/>
          </w:tcPr>
          <w:p>
            <w:pPr>
              <w:jc w:val="right"/>
              <w:spacing w:after="0"/>
              <w:rPr>
                <w:sz w:val="20"/>
                <w:szCs w:val="20"/>
                <w:color w:val="auto"/>
              </w:rPr>
            </w:pPr>
            <w:r>
              <w:rPr>
                <w:rFonts w:ascii="Arial" w:cs="Arial" w:eastAsia="Arial" w:hAnsi="Arial"/>
                <w:sz w:val="20"/>
                <w:szCs w:val="20"/>
                <w:color w:val="2A2A2A"/>
              </w:rPr>
              <w:t>68</w:t>
            </w:r>
          </w:p>
        </w:tc>
        <w:tc>
          <w:tcPr>
            <w:tcW w:w="0" w:type="dxa"/>
            <w:vAlign w:val="bottom"/>
          </w:tcPr>
          <w:p>
            <w:pPr>
              <w:spacing w:after="0"/>
              <w:rPr>
                <w:sz w:val="1"/>
                <w:szCs w:val="1"/>
                <w:color w:val="auto"/>
              </w:rPr>
            </w:pPr>
          </w:p>
        </w:tc>
      </w:tr>
      <w:tr>
        <w:trPr>
          <w:trHeight w:val="310"/>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19</w:t>
            </w:r>
          </w:p>
        </w:tc>
        <w:tc>
          <w:tcPr>
            <w:tcW w:w="4620" w:type="dxa"/>
            <w:vAlign w:val="bottom"/>
          </w:tcPr>
          <w:p>
            <w:pPr>
              <w:ind w:left="380"/>
              <w:spacing w:after="0"/>
              <w:rPr>
                <w:sz w:val="20"/>
                <w:szCs w:val="20"/>
                <w:color w:val="auto"/>
              </w:rPr>
            </w:pPr>
            <w:r>
              <w:rPr>
                <w:rFonts w:ascii="Arial" w:cs="Arial" w:eastAsia="Arial" w:hAnsi="Arial"/>
                <w:sz w:val="20"/>
                <w:szCs w:val="20"/>
                <w:color w:val="2A2A2A"/>
              </w:rPr>
              <w:t>Security ownership of certain beneficial</w:t>
            </w:r>
          </w:p>
        </w:tc>
        <w:tc>
          <w:tcPr>
            <w:tcW w:w="440" w:type="dxa"/>
            <w:vAlign w:val="bottom"/>
          </w:tcPr>
          <w:p>
            <w:pPr>
              <w:jc w:val="right"/>
              <w:spacing w:after="0"/>
              <w:rPr>
                <w:sz w:val="20"/>
                <w:szCs w:val="20"/>
                <w:color w:val="auto"/>
              </w:rPr>
            </w:pPr>
            <w:r>
              <w:rPr>
                <w:rFonts w:ascii="Arial" w:cs="Arial" w:eastAsia="Arial" w:hAnsi="Arial"/>
                <w:sz w:val="20"/>
                <w:szCs w:val="20"/>
                <w:color w:val="2A2A2A"/>
              </w:rPr>
              <w:t>68</w:t>
            </w:r>
          </w:p>
        </w:tc>
        <w:tc>
          <w:tcPr>
            <w:tcW w:w="0" w:type="dxa"/>
            <w:vAlign w:val="bottom"/>
          </w:tcPr>
          <w:p>
            <w:pPr>
              <w:spacing w:after="0"/>
              <w:rPr>
                <w:sz w:val="1"/>
                <w:szCs w:val="1"/>
                <w:color w:val="auto"/>
              </w:rPr>
            </w:pPr>
          </w:p>
        </w:tc>
      </w:tr>
      <w:tr>
        <w:trPr>
          <w:trHeight w:val="265"/>
        </w:trPr>
        <w:tc>
          <w:tcPr>
            <w:tcW w:w="500" w:type="dxa"/>
            <w:vAlign w:val="bottom"/>
          </w:tcPr>
          <w:p>
            <w:pPr>
              <w:spacing w:after="0"/>
              <w:rPr>
                <w:sz w:val="23"/>
                <w:szCs w:val="23"/>
                <w:color w:val="auto"/>
              </w:rPr>
            </w:pPr>
          </w:p>
        </w:tc>
        <w:tc>
          <w:tcPr>
            <w:tcW w:w="4620" w:type="dxa"/>
            <w:vAlign w:val="bottom"/>
          </w:tcPr>
          <w:p>
            <w:pPr>
              <w:ind w:left="380"/>
              <w:spacing w:after="0"/>
              <w:rPr>
                <w:sz w:val="20"/>
                <w:szCs w:val="20"/>
                <w:color w:val="auto"/>
              </w:rPr>
            </w:pPr>
            <w:r>
              <w:rPr>
                <w:rFonts w:ascii="Arial" w:cs="Arial" w:eastAsia="Arial" w:hAnsi="Arial"/>
                <w:sz w:val="20"/>
                <w:szCs w:val="20"/>
                <w:color w:val="2A2A2A"/>
              </w:rPr>
              <w:t>owners</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20</w:t>
            </w:r>
          </w:p>
        </w:tc>
        <w:tc>
          <w:tcPr>
            <w:tcW w:w="4620" w:type="dxa"/>
            <w:vAlign w:val="bottom"/>
          </w:tcPr>
          <w:p>
            <w:pPr>
              <w:ind w:left="380"/>
              <w:spacing w:after="0"/>
              <w:rPr>
                <w:sz w:val="20"/>
                <w:szCs w:val="20"/>
                <w:color w:val="auto"/>
              </w:rPr>
            </w:pPr>
            <w:r>
              <w:rPr>
                <w:rFonts w:ascii="Arial" w:cs="Arial" w:eastAsia="Arial" w:hAnsi="Arial"/>
                <w:sz w:val="20"/>
                <w:szCs w:val="20"/>
                <w:color w:val="2A2A2A"/>
              </w:rPr>
              <w:t>Security ownership of directors and</w:t>
            </w:r>
          </w:p>
        </w:tc>
        <w:tc>
          <w:tcPr>
            <w:tcW w:w="440" w:type="dxa"/>
            <w:vAlign w:val="bottom"/>
          </w:tcPr>
          <w:p>
            <w:pPr>
              <w:jc w:val="right"/>
              <w:spacing w:after="0"/>
              <w:rPr>
                <w:sz w:val="20"/>
                <w:szCs w:val="20"/>
                <w:color w:val="auto"/>
              </w:rPr>
            </w:pPr>
            <w:r>
              <w:rPr>
                <w:rFonts w:ascii="Arial" w:cs="Arial" w:eastAsia="Arial" w:hAnsi="Arial"/>
                <w:sz w:val="20"/>
                <w:szCs w:val="20"/>
                <w:color w:val="2A2A2A"/>
              </w:rPr>
              <w:t>69</w:t>
            </w:r>
          </w:p>
        </w:tc>
        <w:tc>
          <w:tcPr>
            <w:tcW w:w="0" w:type="dxa"/>
            <w:vAlign w:val="bottom"/>
          </w:tcPr>
          <w:p>
            <w:pPr>
              <w:spacing w:after="0"/>
              <w:rPr>
                <w:sz w:val="1"/>
                <w:szCs w:val="1"/>
                <w:color w:val="auto"/>
              </w:rPr>
            </w:pPr>
          </w:p>
        </w:tc>
      </w:tr>
      <w:tr>
        <w:trPr>
          <w:trHeight w:val="265"/>
        </w:trPr>
        <w:tc>
          <w:tcPr>
            <w:tcW w:w="500" w:type="dxa"/>
            <w:vAlign w:val="bottom"/>
          </w:tcPr>
          <w:p>
            <w:pPr>
              <w:spacing w:after="0"/>
              <w:rPr>
                <w:sz w:val="23"/>
                <w:szCs w:val="23"/>
                <w:color w:val="auto"/>
              </w:rPr>
            </w:pPr>
          </w:p>
        </w:tc>
        <w:tc>
          <w:tcPr>
            <w:tcW w:w="4620" w:type="dxa"/>
            <w:vAlign w:val="bottom"/>
          </w:tcPr>
          <w:p>
            <w:pPr>
              <w:ind w:left="380"/>
              <w:spacing w:after="0"/>
              <w:rPr>
                <w:sz w:val="20"/>
                <w:szCs w:val="20"/>
                <w:color w:val="auto"/>
              </w:rPr>
            </w:pPr>
            <w:r>
              <w:rPr>
                <w:rFonts w:ascii="Arial" w:cs="Arial" w:eastAsia="Arial" w:hAnsi="Arial"/>
                <w:sz w:val="20"/>
                <w:szCs w:val="20"/>
                <w:color w:val="2A2A2A"/>
              </w:rPr>
              <w:t>management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25</w:t>
            </w:r>
          </w:p>
        </w:tc>
        <w:tc>
          <w:tcPr>
            <w:tcW w:w="4620" w:type="dxa"/>
            <w:vAlign w:val="bottom"/>
          </w:tcPr>
          <w:p>
            <w:pPr>
              <w:ind w:left="380"/>
              <w:spacing w:after="0"/>
              <w:rPr>
                <w:sz w:val="20"/>
                <w:szCs w:val="20"/>
                <w:color w:val="auto"/>
              </w:rPr>
            </w:pPr>
            <w:r>
              <w:rPr>
                <w:rFonts w:ascii="Arial" w:cs="Arial" w:eastAsia="Arial" w:hAnsi="Arial"/>
                <w:sz w:val="20"/>
                <w:szCs w:val="20"/>
                <w:color w:val="2A2A2A"/>
              </w:rPr>
              <w:t>Stockholder proposals and nominations</w:t>
            </w:r>
          </w:p>
        </w:tc>
        <w:tc>
          <w:tcPr>
            <w:tcW w:w="440" w:type="dxa"/>
            <w:vAlign w:val="bottom"/>
          </w:tcPr>
          <w:p>
            <w:pPr>
              <w:jc w:val="right"/>
              <w:spacing w:after="0"/>
              <w:rPr>
                <w:sz w:val="20"/>
                <w:szCs w:val="20"/>
                <w:color w:val="auto"/>
              </w:rPr>
            </w:pPr>
            <w:r>
              <w:rPr>
                <w:rFonts w:ascii="Arial" w:cs="Arial" w:eastAsia="Arial" w:hAnsi="Arial"/>
                <w:sz w:val="20"/>
                <w:szCs w:val="20"/>
                <w:color w:val="2A2A2A"/>
              </w:rPr>
              <w:t>73</w:t>
            </w:r>
          </w:p>
        </w:tc>
        <w:tc>
          <w:tcPr>
            <w:tcW w:w="0" w:type="dxa"/>
            <w:vAlign w:val="bottom"/>
          </w:tcPr>
          <w:p>
            <w:pPr>
              <w:spacing w:after="0"/>
              <w:rPr>
                <w:sz w:val="1"/>
                <w:szCs w:val="1"/>
                <w:color w:val="auto"/>
              </w:rPr>
            </w:pPr>
          </w:p>
        </w:tc>
      </w:tr>
      <w:tr>
        <w:trPr>
          <w:trHeight w:val="26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28</w:t>
            </w:r>
          </w:p>
        </w:tc>
        <w:tc>
          <w:tcPr>
            <w:tcW w:w="4620" w:type="dxa"/>
            <w:vAlign w:val="bottom"/>
          </w:tcPr>
          <w:p>
            <w:pPr>
              <w:ind w:left="380"/>
              <w:spacing w:after="0"/>
              <w:rPr>
                <w:sz w:val="20"/>
                <w:szCs w:val="20"/>
                <w:color w:val="auto"/>
              </w:rPr>
            </w:pPr>
            <w:r>
              <w:rPr>
                <w:rFonts w:ascii="Arial" w:cs="Arial" w:eastAsia="Arial" w:hAnsi="Arial"/>
                <w:sz w:val="20"/>
                <w:szCs w:val="20"/>
                <w:color w:val="2A2A2A"/>
              </w:rPr>
              <w:t>for 2025</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0" w:type="dxa"/>
            <w:vAlign w:val="bottom"/>
            <w:vMerge w:val="continue"/>
          </w:tcPr>
          <w:p>
            <w:pPr>
              <w:spacing w:after="0"/>
              <w:rPr>
                <w:sz w:val="9"/>
                <w:szCs w:val="9"/>
                <w:color w:val="auto"/>
              </w:rPr>
            </w:pP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Benefit plan voting</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73</w:t>
            </w:r>
          </w:p>
        </w:tc>
        <w:tc>
          <w:tcPr>
            <w:tcW w:w="0" w:type="dxa"/>
            <w:vAlign w:val="bottom"/>
          </w:tcPr>
          <w:p>
            <w:pPr>
              <w:spacing w:after="0"/>
              <w:rPr>
                <w:sz w:val="1"/>
                <w:szCs w:val="1"/>
                <w:color w:val="auto"/>
              </w:rPr>
            </w:pPr>
          </w:p>
        </w:tc>
      </w:tr>
      <w:tr>
        <w:trPr>
          <w:trHeight w:val="25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29</w:t>
            </w:r>
          </w:p>
        </w:tc>
        <w:tc>
          <w:tcPr>
            <w:tcW w:w="462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00" w:type="dxa"/>
            <w:vAlign w:val="bottom"/>
            <w:vMerge w:val="continue"/>
          </w:tcPr>
          <w:p>
            <w:pPr>
              <w:spacing w:after="0"/>
              <w:rPr>
                <w:sz w:val="7"/>
                <w:szCs w:val="7"/>
                <w:color w:val="auto"/>
              </w:rPr>
            </w:pPr>
          </w:p>
        </w:tc>
        <w:tc>
          <w:tcPr>
            <w:tcW w:w="4620" w:type="dxa"/>
            <w:vAlign w:val="bottom"/>
            <w:vMerge w:val="restart"/>
          </w:tcPr>
          <w:p>
            <w:pPr>
              <w:ind w:left="380"/>
              <w:spacing w:after="0"/>
              <w:rPr>
                <w:sz w:val="20"/>
                <w:szCs w:val="20"/>
                <w:color w:val="auto"/>
              </w:rPr>
            </w:pPr>
            <w:r>
              <w:rPr>
                <w:rFonts w:ascii="Arial" w:cs="Arial" w:eastAsia="Arial" w:hAnsi="Arial"/>
                <w:sz w:val="20"/>
                <w:szCs w:val="20"/>
                <w:color w:val="2A2A2A"/>
              </w:rPr>
              <w:t>Delinquent Section 16(a) reports</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2A2A2A"/>
              </w:rPr>
              <w:t>73</w:t>
            </w:r>
          </w:p>
        </w:tc>
        <w:tc>
          <w:tcPr>
            <w:tcW w:w="0" w:type="dxa"/>
            <w:vAlign w:val="bottom"/>
          </w:tcPr>
          <w:p>
            <w:pPr>
              <w:spacing w:after="0"/>
              <w:rPr>
                <w:sz w:val="1"/>
                <w:szCs w:val="1"/>
                <w:color w:val="auto"/>
              </w:rPr>
            </w:pPr>
          </w:p>
        </w:tc>
      </w:tr>
      <w:tr>
        <w:trPr>
          <w:trHeight w:val="255"/>
        </w:trPr>
        <w:tc>
          <w:tcPr>
            <w:tcW w:w="500" w:type="dxa"/>
            <w:vAlign w:val="bottom"/>
          </w:tcPr>
          <w:p>
            <w:pPr>
              <w:spacing w:after="0"/>
              <w:rPr>
                <w:sz w:val="22"/>
                <w:szCs w:val="22"/>
                <w:color w:val="auto"/>
              </w:rPr>
            </w:pPr>
          </w:p>
        </w:tc>
        <w:tc>
          <w:tcPr>
            <w:tcW w:w="462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29</w:t>
            </w:r>
          </w:p>
        </w:tc>
        <w:tc>
          <w:tcPr>
            <w:tcW w:w="4620" w:type="dxa"/>
            <w:vAlign w:val="bottom"/>
          </w:tcPr>
          <w:p>
            <w:pPr>
              <w:ind w:left="380"/>
              <w:spacing w:after="0"/>
              <w:rPr>
                <w:sz w:val="20"/>
                <w:szCs w:val="20"/>
                <w:color w:val="auto"/>
              </w:rPr>
            </w:pPr>
            <w:r>
              <w:rPr>
                <w:rFonts w:ascii="Arial" w:cs="Arial" w:eastAsia="Arial" w:hAnsi="Arial"/>
                <w:sz w:val="20"/>
                <w:szCs w:val="20"/>
                <w:color w:val="2A2A2A"/>
              </w:rPr>
              <w:t>Telephone and internet voting</w:t>
            </w:r>
          </w:p>
        </w:tc>
        <w:tc>
          <w:tcPr>
            <w:tcW w:w="440" w:type="dxa"/>
            <w:vAlign w:val="bottom"/>
          </w:tcPr>
          <w:p>
            <w:pPr>
              <w:jc w:val="right"/>
              <w:spacing w:after="0"/>
              <w:rPr>
                <w:sz w:val="20"/>
                <w:szCs w:val="20"/>
                <w:color w:val="auto"/>
              </w:rPr>
            </w:pPr>
            <w:r>
              <w:rPr>
                <w:rFonts w:ascii="Arial" w:cs="Arial" w:eastAsia="Arial" w:hAnsi="Arial"/>
                <w:sz w:val="20"/>
                <w:szCs w:val="20"/>
                <w:color w:val="2A2A2A"/>
              </w:rPr>
              <w:t>74</w:t>
            </w: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29</w:t>
            </w:r>
          </w:p>
        </w:tc>
        <w:tc>
          <w:tcPr>
            <w:tcW w:w="4620" w:type="dxa"/>
            <w:vAlign w:val="bottom"/>
          </w:tcPr>
          <w:p>
            <w:pPr>
              <w:ind w:left="380"/>
              <w:spacing w:after="0"/>
              <w:rPr>
                <w:sz w:val="20"/>
                <w:szCs w:val="20"/>
                <w:color w:val="auto"/>
              </w:rPr>
            </w:pPr>
            <w:r>
              <w:rPr>
                <w:rFonts w:ascii="Arial" w:cs="Arial" w:eastAsia="Arial" w:hAnsi="Arial"/>
                <w:sz w:val="20"/>
                <w:szCs w:val="20"/>
                <w:color w:val="2A2A2A"/>
              </w:rPr>
              <w:t>Stockholders sharing the same address</w:t>
            </w:r>
          </w:p>
        </w:tc>
        <w:tc>
          <w:tcPr>
            <w:tcW w:w="440" w:type="dxa"/>
            <w:vAlign w:val="bottom"/>
          </w:tcPr>
          <w:p>
            <w:pPr>
              <w:jc w:val="right"/>
              <w:spacing w:after="0"/>
              <w:rPr>
                <w:sz w:val="20"/>
                <w:szCs w:val="20"/>
                <w:color w:val="auto"/>
              </w:rPr>
            </w:pPr>
            <w:r>
              <w:rPr>
                <w:rFonts w:ascii="Arial" w:cs="Arial" w:eastAsia="Arial" w:hAnsi="Arial"/>
                <w:sz w:val="20"/>
                <w:szCs w:val="20"/>
                <w:color w:val="2A2A2A"/>
              </w:rPr>
              <w:t>74</w:t>
            </w: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30</w:t>
            </w:r>
          </w:p>
        </w:tc>
        <w:tc>
          <w:tcPr>
            <w:tcW w:w="4620" w:type="dxa"/>
            <w:vAlign w:val="bottom"/>
          </w:tcPr>
          <w:p>
            <w:pPr>
              <w:ind w:left="380"/>
              <w:spacing w:after="0"/>
              <w:rPr>
                <w:sz w:val="20"/>
                <w:szCs w:val="20"/>
                <w:color w:val="auto"/>
              </w:rPr>
            </w:pPr>
            <w:r>
              <w:rPr>
                <w:rFonts w:ascii="Arial" w:cs="Arial" w:eastAsia="Arial" w:hAnsi="Arial"/>
                <w:sz w:val="20"/>
                <w:szCs w:val="20"/>
                <w:color w:val="2A2A2A"/>
              </w:rPr>
              <w:t>Internet availability of proxy materials</w:t>
            </w:r>
          </w:p>
        </w:tc>
        <w:tc>
          <w:tcPr>
            <w:tcW w:w="440" w:type="dxa"/>
            <w:vAlign w:val="bottom"/>
          </w:tcPr>
          <w:p>
            <w:pPr>
              <w:jc w:val="right"/>
              <w:spacing w:after="0"/>
              <w:rPr>
                <w:sz w:val="20"/>
                <w:szCs w:val="20"/>
                <w:color w:val="auto"/>
              </w:rPr>
            </w:pPr>
            <w:r>
              <w:rPr>
                <w:rFonts w:ascii="Arial" w:cs="Arial" w:eastAsia="Arial" w:hAnsi="Arial"/>
                <w:sz w:val="20"/>
                <w:szCs w:val="20"/>
                <w:color w:val="2A2A2A"/>
              </w:rPr>
              <w:t>74</w:t>
            </w:r>
          </w:p>
        </w:tc>
        <w:tc>
          <w:tcPr>
            <w:tcW w:w="0" w:type="dxa"/>
            <w:vAlign w:val="bottom"/>
          </w:tcPr>
          <w:p>
            <w:pPr>
              <w:spacing w:after="0"/>
              <w:rPr>
                <w:sz w:val="1"/>
                <w:szCs w:val="1"/>
                <w:color w:val="auto"/>
              </w:rPr>
            </w:pPr>
          </w:p>
        </w:tc>
      </w:tr>
      <w:tr>
        <w:trPr>
          <w:trHeight w:val="345"/>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34</w:t>
            </w:r>
          </w:p>
        </w:tc>
        <w:tc>
          <w:tcPr>
            <w:tcW w:w="4620" w:type="dxa"/>
            <w:vAlign w:val="bottom"/>
          </w:tcPr>
          <w:p>
            <w:pPr>
              <w:ind w:left="260"/>
              <w:spacing w:after="0"/>
              <w:rPr>
                <w:sz w:val="20"/>
                <w:szCs w:val="20"/>
                <w:color w:val="auto"/>
              </w:rPr>
            </w:pPr>
            <w:r>
              <w:rPr>
                <w:rFonts w:ascii="Arial" w:cs="Arial" w:eastAsia="Arial" w:hAnsi="Arial"/>
                <w:sz w:val="20"/>
                <w:szCs w:val="20"/>
                <w:color w:val="2A2A2A"/>
              </w:rPr>
              <w:t>Notice regarding forward-looking statements</w:t>
            </w:r>
          </w:p>
        </w:tc>
        <w:tc>
          <w:tcPr>
            <w:tcW w:w="440" w:type="dxa"/>
            <w:vAlign w:val="bottom"/>
          </w:tcPr>
          <w:p>
            <w:pPr>
              <w:jc w:val="right"/>
              <w:spacing w:after="0"/>
              <w:rPr>
                <w:sz w:val="20"/>
                <w:szCs w:val="20"/>
                <w:color w:val="auto"/>
              </w:rPr>
            </w:pPr>
            <w:r>
              <w:rPr>
                <w:rFonts w:ascii="Arial" w:cs="Arial" w:eastAsia="Arial" w:hAnsi="Arial"/>
                <w:sz w:val="20"/>
                <w:szCs w:val="20"/>
                <w:color w:val="2A2A2A"/>
              </w:rPr>
              <w:t>75</w:t>
            </w:r>
          </w:p>
        </w:tc>
        <w:tc>
          <w:tcPr>
            <w:tcW w:w="0" w:type="dxa"/>
            <w:vAlign w:val="bottom"/>
          </w:tcPr>
          <w:p>
            <w:pPr>
              <w:spacing w:after="0"/>
              <w:rPr>
                <w:sz w:val="1"/>
                <w:szCs w:val="1"/>
                <w:color w:val="auto"/>
              </w:rPr>
            </w:pPr>
          </w:p>
        </w:tc>
      </w:tr>
      <w:tr>
        <w:trPr>
          <w:trHeight w:val="320"/>
        </w:trPr>
        <w:tc>
          <w:tcPr>
            <w:tcW w:w="500" w:type="dxa"/>
            <w:vAlign w:val="bottom"/>
          </w:tcPr>
          <w:p>
            <w:pPr>
              <w:jc w:val="right"/>
              <w:ind w:right="160"/>
              <w:spacing w:after="0"/>
              <w:rPr>
                <w:sz w:val="20"/>
                <w:szCs w:val="20"/>
                <w:color w:val="auto"/>
              </w:rPr>
            </w:pPr>
            <w:r>
              <w:rPr>
                <w:rFonts w:ascii="Arial" w:cs="Arial" w:eastAsia="Arial" w:hAnsi="Arial"/>
                <w:sz w:val="20"/>
                <w:szCs w:val="20"/>
                <w:color w:val="2A2A2A"/>
                <w:w w:val="98"/>
              </w:rPr>
              <w:t>42</w:t>
            </w:r>
          </w:p>
        </w:tc>
        <w:tc>
          <w:tcPr>
            <w:tcW w:w="4620" w:type="dxa"/>
            <w:vAlign w:val="bottom"/>
          </w:tcPr>
          <w:p>
            <w:pPr>
              <w:ind w:left="260"/>
              <w:spacing w:after="0"/>
              <w:rPr>
                <w:sz w:val="20"/>
                <w:szCs w:val="20"/>
                <w:color w:val="auto"/>
              </w:rPr>
            </w:pPr>
            <w:r>
              <w:rPr>
                <w:rFonts w:ascii="Arial" w:cs="Arial" w:eastAsia="Arial" w:hAnsi="Arial"/>
                <w:sz w:val="20"/>
                <w:szCs w:val="20"/>
                <w:color w:val="2A2A2A"/>
              </w:rPr>
              <w:t>Appendix A (Texas Instruments 2024</w:t>
            </w:r>
          </w:p>
        </w:tc>
        <w:tc>
          <w:tcPr>
            <w:tcW w:w="440" w:type="dxa"/>
            <w:vAlign w:val="bottom"/>
          </w:tcPr>
          <w:p>
            <w:pPr>
              <w:jc w:val="right"/>
              <w:spacing w:after="0"/>
              <w:rPr>
                <w:sz w:val="20"/>
                <w:szCs w:val="20"/>
                <w:color w:val="auto"/>
              </w:rPr>
            </w:pPr>
            <w:r>
              <w:rPr>
                <w:rFonts w:ascii="Arial" w:cs="Arial" w:eastAsia="Arial" w:hAnsi="Arial"/>
                <w:sz w:val="20"/>
                <w:szCs w:val="20"/>
                <w:color w:val="2A2A2A"/>
              </w:rPr>
              <w:t>76</w:t>
            </w:r>
          </w:p>
        </w:tc>
        <w:tc>
          <w:tcPr>
            <w:tcW w:w="0" w:type="dxa"/>
            <w:vAlign w:val="bottom"/>
          </w:tcPr>
          <w:p>
            <w:pPr>
              <w:spacing w:after="0"/>
              <w:rPr>
                <w:sz w:val="1"/>
                <w:szCs w:val="1"/>
                <w:color w:val="auto"/>
              </w:rPr>
            </w:pPr>
          </w:p>
        </w:tc>
      </w:tr>
      <w:tr>
        <w:trPr>
          <w:trHeight w:val="265"/>
        </w:trPr>
        <w:tc>
          <w:tcPr>
            <w:tcW w:w="500" w:type="dxa"/>
            <w:vAlign w:val="bottom"/>
            <w:vMerge w:val="restart"/>
          </w:tcPr>
          <w:p>
            <w:pPr>
              <w:jc w:val="right"/>
              <w:ind w:right="160"/>
              <w:spacing w:after="0"/>
              <w:rPr>
                <w:sz w:val="20"/>
                <w:szCs w:val="20"/>
                <w:color w:val="auto"/>
              </w:rPr>
            </w:pPr>
            <w:r>
              <w:rPr>
                <w:rFonts w:ascii="Arial" w:cs="Arial" w:eastAsia="Arial" w:hAnsi="Arial"/>
                <w:sz w:val="20"/>
                <w:szCs w:val="20"/>
                <w:color w:val="2A2A2A"/>
                <w:w w:val="98"/>
              </w:rPr>
              <w:t>44</w:t>
            </w:r>
          </w:p>
        </w:tc>
        <w:tc>
          <w:tcPr>
            <w:tcW w:w="4620" w:type="dxa"/>
            <w:vAlign w:val="bottom"/>
          </w:tcPr>
          <w:p>
            <w:pPr>
              <w:ind w:left="260"/>
              <w:spacing w:after="0"/>
              <w:rPr>
                <w:sz w:val="20"/>
                <w:szCs w:val="20"/>
                <w:color w:val="auto"/>
              </w:rPr>
            </w:pPr>
            <w:r>
              <w:rPr>
                <w:rFonts w:ascii="Arial" w:cs="Arial" w:eastAsia="Arial" w:hAnsi="Arial"/>
                <w:sz w:val="20"/>
                <w:szCs w:val="20"/>
                <w:color w:val="2A2A2A"/>
              </w:rPr>
              <w:t>Long-Term Incentive Plan)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0" w:type="dxa"/>
            <w:vAlign w:val="bottom"/>
            <w:vMerge w:val="continue"/>
          </w:tcPr>
          <w:p>
            <w:pPr>
              <w:spacing w:after="0"/>
              <w:rPr>
                <w:sz w:val="9"/>
                <w:szCs w:val="9"/>
                <w:color w:val="auto"/>
              </w:rPr>
            </w:pPr>
          </w:p>
        </w:tc>
        <w:tc>
          <w:tcPr>
            <w:tcW w:w="4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5" w:lineRule="exact"/>
        <w:rPr>
          <w:sz w:val="20"/>
          <w:szCs w:val="20"/>
          <w:color w:val="auto"/>
        </w:rPr>
      </w:pPr>
    </w:p>
    <w:p>
      <w:pPr>
        <w:sectPr>
          <w:pgSz w:w="12240" w:h="15840" w:orient="portrait"/>
          <w:cols w:equalWidth="0" w:num="2">
            <w:col w:w="4100" w:space="460"/>
            <w:col w:w="5560"/>
          </w:cols>
          <w:pgMar w:left="1040" w:top="653" w:right="108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2024 PROXY STATEMENT • PAGE 2</w:t>
      </w:r>
    </w:p>
    <w:p>
      <w:pPr>
        <w:sectPr>
          <w:pgSz w:w="12240" w:h="15840" w:orient="portrait"/>
          <w:cols w:equalWidth="0" w:num="1">
            <w:col w:w="10120"/>
          </w:cols>
          <w:pgMar w:left="1040" w:top="653" w:right="1080" w:bottom="33"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24"/>
          <w:szCs w:val="24"/>
          <w:b w:val="1"/>
          <w:bCs w:val="1"/>
          <w:color w:val="2A2A2A"/>
        </w:rPr>
        <w:t>PROXY STATEMENT – MARCH 12, 2024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EXECUTIVE OFFICES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12500 TI BOULEVARD, DALLAS, TX 75243</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A2A2A"/>
        </w:rPr>
        <w:t>MAILING ADDRESS: P.O. BOX 660199, MS 8658, DALLAS, TX 75266-0199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Voting procedures, quorum and attendance requirements</w:t>
      </w:r>
    </w:p>
    <w:p>
      <w:pPr>
        <w:spacing w:after="0" w:line="26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A2A2A"/>
        </w:rPr>
        <w:t>TI’s board of directors requests your proxy for the annual meeting of stockholders on April 25, 2024.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12, 2024.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ectPr>
          <w:pgSz w:w="12240" w:h="15840" w:orient="portrait"/>
          <w:cols w:equalWidth="0" w:num="1">
            <w:col w:w="10260"/>
          </w:cols>
          <w:pgMar w:left="980" w:top="653"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3</w:t>
      </w:r>
    </w:p>
    <w:p>
      <w:pPr>
        <w:sectPr>
          <w:pgSz w:w="12240" w:h="15840" w:orient="portrait"/>
          <w:cols w:equalWidth="0" w:num="1">
            <w:col w:w="10260"/>
          </w:cols>
          <w:pgMar w:left="980" w:top="653" w:right="1000" w:bottom="33" w:gutter="0" w:footer="0" w:header="0"/>
          <w:type w:val="continuous"/>
        </w:sectPr>
      </w:pPr>
    </w:p>
    <w:bookmarkStart w:id="75" w:name="page76"/>
    <w:bookmarkEnd w:id="75"/>
    <w:p>
      <w:pPr>
        <w:ind w:right="260"/>
        <w:spacing w:after="0" w:line="287" w:lineRule="auto"/>
        <w:rPr>
          <w:sz w:val="20"/>
          <w:szCs w:val="20"/>
          <w:color w:val="auto"/>
        </w:rPr>
      </w:pPr>
      <w:r>
        <w:rPr>
          <w:rFonts w:ascii="Arial" w:cs="Arial" w:eastAsia="Arial" w:hAnsi="Arial"/>
          <w:sz w:val="20"/>
          <w:szCs w:val="20"/>
          <w:color w:val="2A2A2A"/>
        </w:rPr>
        <w:t>Shown below is a list of the matters to be considered at the meeting (each of which is discussed elsewhere in this proxy statement) and the vote required for election or approval, as the case may be.</w:t>
      </w:r>
    </w:p>
    <w:p>
      <w:pPr>
        <w:spacing w:after="0" w:line="166" w:lineRule="exact"/>
        <w:rPr>
          <w:sz w:val="20"/>
          <w:szCs w:val="20"/>
          <w:color w:val="auto"/>
        </w:rPr>
      </w:pPr>
    </w:p>
    <w:p>
      <w:pPr>
        <w:ind w:left="140"/>
        <w:spacing w:after="0"/>
        <w:tabs>
          <w:tab w:leader="none" w:pos="3080" w:val="left"/>
          <w:tab w:leader="none" w:pos="6520" w:val="left"/>
        </w:tabs>
        <w:rPr>
          <w:sz w:val="20"/>
          <w:szCs w:val="20"/>
          <w:color w:val="auto"/>
        </w:rPr>
      </w:pPr>
      <w:r>
        <w:rPr>
          <w:rFonts w:ascii="Arial" w:cs="Arial" w:eastAsia="Arial" w:hAnsi="Arial"/>
          <w:sz w:val="16"/>
          <w:szCs w:val="16"/>
          <w:b w:val="1"/>
          <w:bCs w:val="1"/>
          <w:color w:val="2A2A2A"/>
        </w:rPr>
        <w:t>Matter</w:t>
      </w:r>
      <w:r>
        <w:rPr>
          <w:sz w:val="20"/>
          <w:szCs w:val="20"/>
          <w:color w:val="auto"/>
        </w:rPr>
        <w:tab/>
      </w:r>
      <w:r>
        <w:rPr>
          <w:rFonts w:ascii="Arial" w:cs="Arial" w:eastAsia="Arial" w:hAnsi="Arial"/>
          <w:sz w:val="16"/>
          <w:szCs w:val="16"/>
          <w:b w:val="1"/>
          <w:bCs w:val="1"/>
          <w:color w:val="2A2A2A"/>
        </w:rPr>
        <w:t>Required Vote for Election or Approval</w:t>
      </w:r>
      <w:r>
        <w:rPr>
          <w:sz w:val="20"/>
          <w:szCs w:val="20"/>
          <w:color w:val="auto"/>
        </w:rPr>
        <w:tab/>
      </w:r>
      <w:r>
        <w:rPr>
          <w:rFonts w:ascii="Arial" w:cs="Arial" w:eastAsia="Arial" w:hAnsi="Arial"/>
          <w:sz w:val="16"/>
          <w:szCs w:val="16"/>
          <w:b w:val="1"/>
          <w:bCs w:val="1"/>
          <w:color w:val="2A2A2A"/>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wp:posOffset>
            </wp:positionV>
            <wp:extent cx="6540500" cy="5245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40500" cy="5245100"/>
                    </a:xfrm>
                    <a:prstGeom prst="rect">
                      <a:avLst/>
                    </a:prstGeom>
                    <a:noFill/>
                  </pic:spPr>
                </pic:pic>
              </a:graphicData>
            </a:graphic>
          </wp:anchor>
        </w:drawing>
      </w:r>
    </w:p>
    <w:p>
      <w:pPr>
        <w:sectPr>
          <w:pgSz w:w="12240" w:h="15840" w:orient="portrait"/>
          <w:cols w:equalWidth="0" w:num="1">
            <w:col w:w="10280"/>
          </w:cols>
          <w:pgMar w:left="980" w:top="664" w:right="980" w:bottom="33" w:gutter="0" w:footer="0" w:header="0"/>
        </w:sectPr>
      </w:pPr>
    </w:p>
    <w:p>
      <w:pPr>
        <w:spacing w:after="0" w:line="108" w:lineRule="exact"/>
        <w:rPr>
          <w:sz w:val="20"/>
          <w:szCs w:val="20"/>
          <w:color w:val="auto"/>
        </w:rPr>
      </w:pPr>
    </w:p>
    <w:p>
      <w:pPr>
        <w:ind w:left="140"/>
        <w:spacing w:after="0"/>
        <w:tabs>
          <w:tab w:leader="none" w:pos="3080" w:val="left"/>
        </w:tabs>
        <w:rPr>
          <w:sz w:val="20"/>
          <w:szCs w:val="20"/>
          <w:color w:val="auto"/>
        </w:rPr>
      </w:pPr>
      <w:r>
        <w:rPr>
          <w:rFonts w:ascii="Arial" w:cs="Arial" w:eastAsia="Arial" w:hAnsi="Arial"/>
          <w:sz w:val="20"/>
          <w:szCs w:val="20"/>
          <w:color w:val="2A2A2A"/>
        </w:rPr>
        <w:t>Election of directors.</w:t>
      </w:r>
      <w:r>
        <w:rPr>
          <w:sz w:val="20"/>
          <w:szCs w:val="20"/>
          <w:color w:val="auto"/>
        </w:rPr>
        <w:tab/>
      </w:r>
      <w:r>
        <w:rPr>
          <w:rFonts w:ascii="Arial" w:cs="Arial" w:eastAsia="Arial" w:hAnsi="Arial"/>
          <w:sz w:val="20"/>
          <w:szCs w:val="20"/>
          <w:color w:val="2A2A2A"/>
        </w:rPr>
        <w:t>Majority of votes present in person</w:t>
      </w:r>
    </w:p>
    <w:p>
      <w:pPr>
        <w:spacing w:after="0" w:line="30" w:lineRule="exact"/>
        <w:rPr>
          <w:sz w:val="20"/>
          <w:szCs w:val="20"/>
          <w:color w:val="auto"/>
        </w:rPr>
      </w:pPr>
    </w:p>
    <w:p>
      <w:pPr>
        <w:ind w:left="3100"/>
        <w:spacing w:after="0"/>
        <w:rPr>
          <w:sz w:val="20"/>
          <w:szCs w:val="20"/>
          <w:color w:val="auto"/>
        </w:rPr>
      </w:pPr>
      <w:r>
        <w:rPr>
          <w:rFonts w:ascii="Arial" w:cs="Arial" w:eastAsia="Arial" w:hAnsi="Arial"/>
          <w:sz w:val="20"/>
          <w:szCs w:val="20"/>
          <w:color w:val="2A2A2A"/>
        </w:rPr>
        <w:t>or by proxy at the meeting and</w:t>
      </w:r>
    </w:p>
    <w:p>
      <w:pPr>
        <w:spacing w:after="0" w:line="10" w:lineRule="exact"/>
        <w:rPr>
          <w:sz w:val="20"/>
          <w:szCs w:val="20"/>
          <w:color w:val="auto"/>
        </w:rPr>
      </w:pPr>
    </w:p>
    <w:p>
      <w:pPr>
        <w:ind w:left="3100"/>
        <w:spacing w:after="0"/>
        <w:rPr>
          <w:sz w:val="20"/>
          <w:szCs w:val="20"/>
          <w:color w:val="auto"/>
        </w:rPr>
      </w:pPr>
      <w:r>
        <w:rPr>
          <w:rFonts w:ascii="Arial" w:cs="Arial" w:eastAsia="Arial" w:hAnsi="Arial"/>
          <w:sz w:val="20"/>
          <w:szCs w:val="20"/>
          <w:color w:val="2A2A2A"/>
        </w:rPr>
        <w:t>entitled to be cast in the election</w:t>
      </w:r>
    </w:p>
    <w:p>
      <w:pPr>
        <w:spacing w:after="0" w:line="10" w:lineRule="exact"/>
        <w:rPr>
          <w:sz w:val="20"/>
          <w:szCs w:val="20"/>
          <w:color w:val="auto"/>
        </w:rPr>
      </w:pPr>
    </w:p>
    <w:p>
      <w:pPr>
        <w:ind w:left="3100"/>
        <w:spacing w:after="0"/>
        <w:rPr>
          <w:sz w:val="20"/>
          <w:szCs w:val="20"/>
          <w:color w:val="auto"/>
        </w:rPr>
      </w:pPr>
      <w:r>
        <w:rPr>
          <w:rFonts w:ascii="Arial" w:cs="Arial" w:eastAsia="Arial" w:hAnsi="Arial"/>
          <w:sz w:val="20"/>
          <w:szCs w:val="20"/>
          <w:color w:val="2A2A2A"/>
        </w:rPr>
        <w:t>with respect to a nominee must be</w:t>
      </w:r>
    </w:p>
    <w:p>
      <w:pPr>
        <w:spacing w:after="0" w:line="10" w:lineRule="exact"/>
        <w:rPr>
          <w:sz w:val="20"/>
          <w:szCs w:val="20"/>
          <w:color w:val="auto"/>
        </w:rPr>
      </w:pPr>
    </w:p>
    <w:p>
      <w:pPr>
        <w:ind w:left="3100"/>
        <w:spacing w:after="0"/>
        <w:rPr>
          <w:sz w:val="20"/>
          <w:szCs w:val="20"/>
          <w:color w:val="auto"/>
        </w:rPr>
      </w:pPr>
      <w:r>
        <w:rPr>
          <w:rFonts w:ascii="Arial" w:cs="Arial" w:eastAsia="Arial" w:hAnsi="Arial"/>
          <w:sz w:val="20"/>
          <w:szCs w:val="20"/>
          <w:color w:val="2A2A2A"/>
        </w:rPr>
        <w:t>cast for that nominee.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40"/>
        <w:spacing w:after="0" w:line="268" w:lineRule="auto"/>
        <w:rPr>
          <w:sz w:val="20"/>
          <w:szCs w:val="20"/>
          <w:color w:val="auto"/>
        </w:rPr>
      </w:pPr>
      <w:r>
        <w:rPr>
          <w:rFonts w:ascii="Arial" w:cs="Arial" w:eastAsia="Arial" w:hAnsi="Arial"/>
          <w:sz w:val="20"/>
          <w:szCs w:val="20"/>
          <w:color w:val="2A2A2A"/>
        </w:rPr>
        <w:t>Abstentions have the same effect as votes against. Broker non-votes are not counted as votes for or against.</w:t>
      </w:r>
    </w:p>
    <w:p>
      <w:pPr>
        <w:spacing w:after="0" w:line="609" w:lineRule="exact"/>
        <w:rPr>
          <w:sz w:val="20"/>
          <w:szCs w:val="20"/>
          <w:color w:val="auto"/>
        </w:rPr>
      </w:pPr>
    </w:p>
    <w:p>
      <w:pPr>
        <w:sectPr>
          <w:pgSz w:w="12240" w:h="15840" w:orient="portrait"/>
          <w:cols w:equalWidth="0" w:num="2">
            <w:col w:w="6160" w:space="380"/>
            <w:col w:w="3740"/>
          </w:cols>
          <w:pgMar w:left="980" w:top="664" w:right="980" w:bottom="33" w:gutter="0" w:footer="0" w:header="0"/>
          <w:type w:val="continuous"/>
        </w:sectPr>
      </w:pPr>
    </w:p>
    <w:p>
      <w:pPr>
        <w:ind w:left="140" w:right="340"/>
        <w:spacing w:after="0" w:line="289" w:lineRule="auto"/>
        <w:rPr>
          <w:sz w:val="20"/>
          <w:szCs w:val="20"/>
          <w:color w:val="auto"/>
        </w:rPr>
      </w:pPr>
      <w:r>
        <w:rPr>
          <w:rFonts w:ascii="Arial" w:cs="Arial" w:eastAsia="Arial" w:hAnsi="Arial"/>
          <w:sz w:val="19"/>
          <w:szCs w:val="19"/>
          <w:color w:val="2A2A2A"/>
        </w:rPr>
        <w:t>Proposal to approve the Texas Instruments 2024 Long-Term Incentive Plan.</w:t>
      </w:r>
    </w:p>
    <w:p>
      <w:pPr>
        <w:spacing w:after="0" w:line="111" w:lineRule="exact"/>
        <w:rPr>
          <w:sz w:val="20"/>
          <w:szCs w:val="20"/>
          <w:color w:val="auto"/>
        </w:rPr>
      </w:pPr>
    </w:p>
    <w:p>
      <w:pPr>
        <w:jc w:val="both"/>
        <w:ind w:left="140" w:right="460"/>
        <w:spacing w:after="0" w:line="289" w:lineRule="auto"/>
        <w:rPr>
          <w:sz w:val="20"/>
          <w:szCs w:val="20"/>
          <w:color w:val="auto"/>
        </w:rPr>
      </w:pPr>
      <w:r>
        <w:rPr>
          <w:rFonts w:ascii="Arial" w:cs="Arial" w:eastAsia="Arial" w:hAnsi="Arial"/>
          <w:sz w:val="19"/>
          <w:szCs w:val="19"/>
          <w:color w:val="2A2A2A"/>
        </w:rPr>
        <w:t>Advisory vote to approve named executive officer compensation.</w:t>
      </w:r>
    </w:p>
    <w:p>
      <w:pPr>
        <w:spacing w:after="0" w:line="111" w:lineRule="exact"/>
        <w:rPr>
          <w:sz w:val="20"/>
          <w:szCs w:val="20"/>
          <w:color w:val="auto"/>
        </w:rPr>
      </w:pPr>
    </w:p>
    <w:p>
      <w:pPr>
        <w:ind w:left="140"/>
        <w:spacing w:after="0" w:line="268" w:lineRule="auto"/>
        <w:rPr>
          <w:sz w:val="20"/>
          <w:szCs w:val="20"/>
          <w:color w:val="auto"/>
        </w:rPr>
      </w:pPr>
      <w:r>
        <w:rPr>
          <w:rFonts w:ascii="Arial" w:cs="Arial" w:eastAsia="Arial" w:hAnsi="Arial"/>
          <w:sz w:val="20"/>
          <w:szCs w:val="20"/>
          <w:color w:val="2A2A2A"/>
        </w:rPr>
        <w:t>Proposal to ratify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right="120"/>
        <w:spacing w:after="0" w:line="262" w:lineRule="auto"/>
        <w:rPr>
          <w:sz w:val="20"/>
          <w:szCs w:val="20"/>
          <w:color w:val="auto"/>
        </w:rPr>
      </w:pPr>
      <w:r>
        <w:rPr>
          <w:rFonts w:ascii="Arial" w:cs="Arial" w:eastAsia="Arial" w:hAnsi="Arial"/>
          <w:sz w:val="20"/>
          <w:szCs w:val="20"/>
          <w:color w:val="2A2A2A"/>
        </w:rPr>
        <w:t>Stockholder proposal to permit a combined 15% of stockholders to call a special meeting.</w:t>
      </w:r>
    </w:p>
    <w:p>
      <w:pPr>
        <w:spacing w:after="0" w:line="136" w:lineRule="exact"/>
        <w:rPr>
          <w:sz w:val="20"/>
          <w:szCs w:val="20"/>
          <w:color w:val="auto"/>
        </w:rPr>
      </w:pPr>
    </w:p>
    <w:p>
      <w:pPr>
        <w:ind w:left="140" w:right="560"/>
        <w:spacing w:after="0" w:line="276" w:lineRule="auto"/>
        <w:rPr>
          <w:sz w:val="20"/>
          <w:szCs w:val="20"/>
          <w:color w:val="auto"/>
        </w:rPr>
      </w:pPr>
      <w:r>
        <w:rPr>
          <w:rFonts w:ascii="Arial" w:cs="Arial" w:eastAsia="Arial" w:hAnsi="Arial"/>
          <w:sz w:val="19"/>
          <w:szCs w:val="19"/>
          <w:color w:val="2A2A2A"/>
        </w:rPr>
        <w:t>Stockholder proposal to report on due diligence efforts to identify risks associated with product misuse.</w:t>
      </w:r>
    </w:p>
    <w:p>
      <w:pPr>
        <w:spacing w:after="0" w:line="124" w:lineRule="exact"/>
        <w:rPr>
          <w:sz w:val="20"/>
          <w:szCs w:val="20"/>
          <w:color w:val="auto"/>
        </w:rPr>
      </w:pPr>
    </w:p>
    <w:p>
      <w:pPr>
        <w:ind w:left="140" w:right="180"/>
        <w:spacing w:after="0" w:line="268" w:lineRule="auto"/>
        <w:rPr>
          <w:sz w:val="20"/>
          <w:szCs w:val="20"/>
          <w:color w:val="auto"/>
        </w:rPr>
      </w:pPr>
      <w:r>
        <w:rPr>
          <w:rFonts w:ascii="Arial" w:cs="Arial" w:eastAsia="Arial" w:hAnsi="Arial"/>
          <w:sz w:val="20"/>
          <w:szCs w:val="20"/>
          <w:color w:val="2A2A2A"/>
        </w:rPr>
        <w:t>Any other matter that may properly be submitted at the meeting.</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37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60"/>
        <w:spacing w:after="0" w:line="287" w:lineRule="auto"/>
        <w:rPr>
          <w:sz w:val="20"/>
          <w:szCs w:val="20"/>
          <w:color w:val="auto"/>
        </w:rPr>
      </w:pPr>
      <w:r>
        <w:rPr>
          <w:rFonts w:ascii="Arial" w:cs="Arial" w:eastAsia="Arial" w:hAnsi="Arial"/>
          <w:sz w:val="20"/>
          <w:szCs w:val="20"/>
          <w:color w:val="2A2A2A"/>
        </w:rPr>
        <w:t>Abstentions and broker non-votes have the same effect as votes against.</w:t>
      </w:r>
    </w:p>
    <w:p>
      <w:pPr>
        <w:spacing w:after="0" w:line="350"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2A2A2A"/>
        </w:rPr>
        <w:t>Abstentions and broker non-votes have the same effect as votes against.</w:t>
      </w:r>
    </w:p>
    <w:p>
      <w:pPr>
        <w:spacing w:after="0" w:line="35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2A2A2A"/>
        </w:rPr>
        <w:t>Abstentions have the same effect as votes against. (Brokers are permitted to exercise their discretion and vote without specific instruction on this matter. Accordingly, there are no broker non-votes.)</w:t>
      </w:r>
    </w:p>
    <w:p>
      <w:pPr>
        <w:spacing w:after="0" w:line="142"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2A2A2A"/>
        </w:rPr>
        <w:t>Abstentions and broker non-votes have the same effect as votes against.</w:t>
      </w:r>
    </w:p>
    <w:p>
      <w:pPr>
        <w:spacing w:after="0" w:line="200" w:lineRule="exact"/>
        <w:rPr>
          <w:sz w:val="20"/>
          <w:szCs w:val="20"/>
          <w:color w:val="auto"/>
        </w:rPr>
      </w:pPr>
    </w:p>
    <w:p>
      <w:pPr>
        <w:spacing w:after="0" w:line="390"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2A2A2A"/>
        </w:rPr>
        <w:t>Abstentions and broker non-votes have the same effect as votes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color w:val="2A2A2A"/>
        </w:rPr>
        <w:t>Abstentions and broker non-votes have the same effect as votes against.</w:t>
      </w:r>
    </w:p>
    <w:p>
      <w:pPr>
        <w:spacing w:after="0" w:line="420" w:lineRule="exact"/>
        <w:rPr>
          <w:sz w:val="20"/>
          <w:szCs w:val="20"/>
          <w:color w:val="auto"/>
        </w:rPr>
      </w:pPr>
    </w:p>
    <w:p>
      <w:pPr>
        <w:sectPr>
          <w:pgSz w:w="12240" w:h="15840" w:orient="portrait"/>
          <w:cols w:equalWidth="0" w:num="3">
            <w:col w:w="2800" w:space="300"/>
            <w:col w:w="3080" w:space="360"/>
            <w:col w:w="3740"/>
          </w:cols>
          <w:pgMar w:left="980" w:top="664" w:right="980" w:bottom="33"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Attendance and instructions for the annual meeting</w:t>
      </w: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Attendance at the annual meeting is limited to stockholders or their legal proxy holders. Attendees should park at the South Lobby, where reserved parking will be available.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22, 2024. Be advised that TI’s security policy forbids weapons, cameras and audio/visual recording devices inside TI buildings. All bags will be subject to search upon entry into the building.</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24, 2024, at 11:59 p.m. (Eastern time). If you are unable to print your advance registration form, please call Stockholder Meeting Registration Phone Support (toll-free) at 1-844-318-0137 or 1-925-331-6070 (international toll) for assistance.</w:t>
      </w:r>
    </w:p>
    <w:p>
      <w:pPr>
        <w:sectPr>
          <w:pgSz w:w="12240" w:h="15840" w:orient="portrait"/>
          <w:cols w:equalWidth="0" w:num="1">
            <w:col w:w="10280"/>
          </w:cols>
          <w:pgMar w:left="980" w:top="664" w:right="98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w:t>
      </w:r>
    </w:p>
    <w:p>
      <w:pPr>
        <w:sectPr>
          <w:pgSz w:w="12240" w:h="15840" w:orient="portrait"/>
          <w:cols w:equalWidth="0" w:num="1">
            <w:col w:w="10280"/>
          </w:cols>
          <w:pgMar w:left="980" w:top="664" w:right="980" w:bottom="33" w:gutter="0" w:footer="0" w:header="0"/>
          <w:type w:val="continuous"/>
        </w:sectPr>
      </w:pPr>
    </w:p>
    <w:bookmarkStart w:id="76" w:name="page77"/>
    <w:bookmarkEnd w:id="76"/>
    <w:p>
      <w:pPr>
        <w:ind w:right="620"/>
        <w:spacing w:after="0" w:line="268" w:lineRule="auto"/>
        <w:rPr>
          <w:sz w:val="20"/>
          <w:szCs w:val="20"/>
          <w:color w:val="auto"/>
        </w:rPr>
      </w:pPr>
      <w:r>
        <w:rPr>
          <w:rFonts w:ascii="Arial" w:cs="Arial" w:eastAsia="Arial" w:hAnsi="Arial"/>
          <w:sz w:val="20"/>
          <w:szCs w:val="20"/>
          <w:color w:val="2A2A2A"/>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2A2A2A"/>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Corporate governance and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Election of directors</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20"/>
          <w:szCs w:val="20"/>
          <w:color w:val="2A2A2A"/>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Reginald DesRoches, Curtis C. Farmer, Jean M. Hobby, Haviv Ilan, Ronald Kirk, Pamela H. Patsley, Robert E. Sanchez and Richard K. Templeton.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2A2A2A"/>
        </w:rPr>
        <w:t>If you return a proxy that is not otherwise marked, your shares will be voted FOR each of the nominees.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Director nominees, qualifications and experience</w:t>
      </w:r>
    </w:p>
    <w:p>
      <w:pPr>
        <w:spacing w:after="0" w:line="257"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color w:val="2A2A2A"/>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w:t>
      </w:r>
    </w:p>
    <w:p>
      <w:pPr>
        <w:sectPr>
          <w:pgSz w:w="12240" w:h="15840" w:orient="portrait"/>
          <w:cols w:equalWidth="0" w:num="1">
            <w:col w:w="10280"/>
          </w:cols>
          <w:pgMar w:left="980" w:top="664" w:right="980" w:bottom="33" w:gutter="0" w:footer="0" w:header="0"/>
          <w:type w:val="continuous"/>
        </w:sectPr>
      </w:pPr>
    </w:p>
    <w:bookmarkStart w:id="77" w:name="page78"/>
    <w:bookmarkEnd w:id="77"/>
    <w:p>
      <w:pPr>
        <w:ind w:left="1"/>
        <w:spacing w:after="0"/>
        <w:rPr>
          <w:sz w:val="20"/>
          <w:szCs w:val="20"/>
          <w:color w:val="auto"/>
        </w:rPr>
      </w:pPr>
      <w:r>
        <w:rPr>
          <w:rFonts w:ascii="Arial" w:cs="Arial" w:eastAsia="Arial" w:hAnsi="Arial"/>
          <w:sz w:val="22"/>
          <w:szCs w:val="22"/>
          <w:i w:val="1"/>
          <w:iCs w:val="1"/>
          <w:color w:val="2A2A2A"/>
        </w:rPr>
        <w:t>Summary</w:t>
      </w:r>
    </w:p>
    <w:p>
      <w:pPr>
        <w:spacing w:after="0" w:line="255" w:lineRule="exact"/>
        <w:rPr>
          <w:sz w:val="20"/>
          <w:szCs w:val="20"/>
          <w:color w:val="auto"/>
        </w:rPr>
      </w:pPr>
    </w:p>
    <w:p>
      <w:pPr>
        <w:ind w:left="1"/>
        <w:spacing w:after="0" w:line="287" w:lineRule="auto"/>
        <w:rPr>
          <w:sz w:val="20"/>
          <w:szCs w:val="20"/>
          <w:color w:val="auto"/>
        </w:rPr>
      </w:pPr>
      <w:r>
        <w:rPr>
          <w:rFonts w:ascii="Arial" w:cs="Arial" w:eastAsia="Arial" w:hAnsi="Arial"/>
          <w:sz w:val="20"/>
          <w:szCs w:val="20"/>
          <w:color w:val="2A2A2A"/>
        </w:rPr>
        <w:t>This table provides a summary view of the qualifications, experience and demographics of each director nominee as of the proxy statement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6550025" cy="4092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50025" cy="4092575"/>
                    </a:xfrm>
                    <a:prstGeom prst="rect">
                      <a:avLst/>
                    </a:prstGeom>
                    <a:noFill/>
                  </pic:spPr>
                </pic:pic>
              </a:graphicData>
            </a:graphic>
          </wp:anchor>
        </w:drawing>
      </w:r>
    </w:p>
    <w:p>
      <w:pPr>
        <w:sectPr>
          <w:pgSz w:w="12240" w:h="15840" w:orient="portrait"/>
          <w:cols w:equalWidth="0" w:num="1">
            <w:col w:w="10261"/>
          </w:cols>
          <w:pgMar w:left="979" w:top="660"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
        <w:spacing w:after="0"/>
        <w:rPr>
          <w:sz w:val="20"/>
          <w:szCs w:val="20"/>
          <w:color w:val="auto"/>
        </w:rPr>
      </w:pPr>
      <w:r>
        <w:rPr>
          <w:rFonts w:ascii="Arial" w:cs="Arial" w:eastAsia="Arial" w:hAnsi="Arial"/>
          <w:sz w:val="16"/>
          <w:szCs w:val="16"/>
          <w:b w:val="1"/>
          <w:bCs w:val="1"/>
          <w:color w:val="2A2A2A"/>
        </w:rPr>
        <w:t>Qualifications and Experience</w:t>
      </w:r>
    </w:p>
    <w:p>
      <w:pPr>
        <w:spacing w:after="0" w:line="56"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Independence</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Multinational experience</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Executive leadership (public or private)</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Technology, research and development</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Manufacturing</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End-market knowledge</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Regulatory, public policy or legal</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Other public board service</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Financial acumen</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Auditing/Accounting</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Sustainability</w:t>
      </w:r>
    </w:p>
    <w:p>
      <w:pPr>
        <w:spacing w:after="0" w:line="160" w:lineRule="exact"/>
        <w:rPr>
          <w:sz w:val="20"/>
          <w:szCs w:val="20"/>
          <w:color w:val="auto"/>
        </w:rPr>
      </w:pPr>
    </w:p>
    <w:p>
      <w:pPr>
        <w:ind w:left="61"/>
        <w:spacing w:after="0"/>
        <w:rPr>
          <w:sz w:val="20"/>
          <w:szCs w:val="20"/>
          <w:color w:val="auto"/>
        </w:rPr>
      </w:pPr>
      <w:r>
        <w:rPr>
          <w:rFonts w:ascii="Arial" w:cs="Arial" w:eastAsia="Arial" w:hAnsi="Arial"/>
          <w:sz w:val="16"/>
          <w:szCs w:val="16"/>
          <w:b w:val="1"/>
          <w:bCs w:val="1"/>
          <w:color w:val="2A2A2A"/>
        </w:rPr>
        <w:t>Demographic Background</w:t>
      </w:r>
    </w:p>
    <w:p>
      <w:pPr>
        <w:spacing w:after="0" w:line="56"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Tenure (years)</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Age (years)</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Gender</w:t>
      </w:r>
    </w:p>
    <w:p>
      <w:pPr>
        <w:spacing w:after="0" w:line="55" w:lineRule="exact"/>
        <w:rPr>
          <w:sz w:val="20"/>
          <w:szCs w:val="20"/>
          <w:color w:val="auto"/>
        </w:rPr>
      </w:pPr>
    </w:p>
    <w:p>
      <w:pPr>
        <w:ind w:left="61"/>
        <w:spacing w:after="0"/>
        <w:rPr>
          <w:sz w:val="20"/>
          <w:szCs w:val="20"/>
          <w:color w:val="auto"/>
        </w:rPr>
      </w:pPr>
      <w:r>
        <w:rPr>
          <w:rFonts w:ascii="Arial" w:cs="Arial" w:eastAsia="Arial" w:hAnsi="Arial"/>
          <w:sz w:val="20"/>
          <w:szCs w:val="20"/>
          <w:color w:val="2A2A2A"/>
        </w:rPr>
        <w:t>Race/Ethnicity **</w:t>
      </w:r>
    </w:p>
    <w:p>
      <w:pPr>
        <w:spacing w:after="0" w:line="204" w:lineRule="exact"/>
        <w:rPr>
          <w:sz w:val="20"/>
          <w:szCs w:val="20"/>
          <w:color w:val="auto"/>
        </w:rPr>
      </w:pPr>
    </w:p>
    <w:p>
      <w:pPr>
        <w:ind w:left="361" w:hanging="361"/>
        <w:spacing w:after="0"/>
        <w:tabs>
          <w:tab w:leader="none" w:pos="361" w:val="left"/>
        </w:tabs>
        <w:numPr>
          <w:ilvl w:val="0"/>
          <w:numId w:val="41"/>
        </w:numPr>
        <w:rPr>
          <w:rFonts w:ascii="Arial" w:cs="Arial" w:eastAsia="Arial" w:hAnsi="Arial"/>
          <w:sz w:val="19"/>
          <w:szCs w:val="19"/>
          <w:color w:val="2A2A2A"/>
        </w:rPr>
      </w:pPr>
      <w:r>
        <w:rPr>
          <w:rFonts w:ascii="Arial" w:cs="Arial" w:eastAsia="Arial" w:hAnsi="Arial"/>
          <w:sz w:val="19"/>
          <w:szCs w:val="19"/>
          <w:color w:val="2A2A2A"/>
        </w:rPr>
        <w:t>Elected to the board effective March 1, 2024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6"/>
        </w:trPr>
        <w:tc>
          <w:tcPr>
            <w:tcW w:w="340" w:type="dxa"/>
            <w:vAlign w:val="bottom"/>
            <w:textDirection w:val="btLr"/>
          </w:tcPr>
          <w:p>
            <w:pPr>
              <w:ind w:left="42"/>
              <w:spacing w:after="0"/>
              <w:rPr>
                <w:sz w:val="20"/>
                <w:szCs w:val="20"/>
                <w:color w:val="auto"/>
              </w:rPr>
            </w:pPr>
            <w:r>
              <w:rPr>
                <w:rFonts w:ascii="Arial" w:cs="Arial" w:eastAsia="Arial" w:hAnsi="Arial"/>
                <w:sz w:val="16"/>
                <w:szCs w:val="16"/>
                <w:b w:val="1"/>
                <w:bCs w:val="1"/>
                <w:color w:val="2A2A2A"/>
                <w:w w:val="99"/>
              </w:rPr>
              <w:t>Mark A. Blinn</w:t>
            </w:r>
          </w:p>
        </w:tc>
        <w:tc>
          <w:tcPr>
            <w:tcW w:w="420" w:type="dxa"/>
            <w:vAlign w:val="bottom"/>
            <w:textDirection w:val="btLr"/>
          </w:tcPr>
          <w:p>
            <w:pPr>
              <w:ind w:left="167"/>
              <w:spacing w:after="0"/>
              <w:rPr>
                <w:sz w:val="20"/>
                <w:szCs w:val="20"/>
                <w:color w:val="auto"/>
              </w:rPr>
            </w:pPr>
            <w:r>
              <w:rPr>
                <w:rFonts w:ascii="Arial" w:cs="Arial" w:eastAsia="Arial" w:hAnsi="Arial"/>
                <w:sz w:val="16"/>
                <w:szCs w:val="16"/>
                <w:b w:val="1"/>
                <w:bCs w:val="1"/>
                <w:color w:val="2A2A2A"/>
                <w:w w:val="99"/>
              </w:rPr>
              <w:t>Todd M. Bluedorn</w:t>
            </w:r>
          </w:p>
        </w:tc>
        <w:tc>
          <w:tcPr>
            <w:tcW w:w="420" w:type="dxa"/>
            <w:vAlign w:val="bottom"/>
            <w:textDirection w:val="btLr"/>
          </w:tcPr>
          <w:p>
            <w:pPr>
              <w:ind w:left="152"/>
              <w:spacing w:after="0"/>
              <w:rPr>
                <w:sz w:val="20"/>
                <w:szCs w:val="20"/>
                <w:color w:val="auto"/>
              </w:rPr>
            </w:pPr>
            <w:r>
              <w:rPr>
                <w:rFonts w:ascii="Arial" w:cs="Arial" w:eastAsia="Arial" w:hAnsi="Arial"/>
                <w:sz w:val="16"/>
                <w:szCs w:val="16"/>
                <w:b w:val="1"/>
                <w:bCs w:val="1"/>
                <w:color w:val="2A2A2A"/>
              </w:rPr>
              <w:t>Janet F. Clark</w:t>
            </w:r>
          </w:p>
        </w:tc>
        <w:tc>
          <w:tcPr>
            <w:tcW w:w="420" w:type="dxa"/>
            <w:vAlign w:val="bottom"/>
            <w:textDirection w:val="btLr"/>
          </w:tcPr>
          <w:p>
            <w:pPr>
              <w:ind w:left="137"/>
              <w:spacing w:after="0"/>
              <w:rPr>
                <w:sz w:val="20"/>
                <w:szCs w:val="20"/>
                <w:color w:val="auto"/>
              </w:rPr>
            </w:pPr>
            <w:r>
              <w:rPr>
                <w:rFonts w:ascii="Arial" w:cs="Arial" w:eastAsia="Arial" w:hAnsi="Arial"/>
                <w:sz w:val="16"/>
                <w:szCs w:val="16"/>
                <w:b w:val="1"/>
                <w:bCs w:val="1"/>
                <w:color w:val="2A2A2A"/>
                <w:w w:val="99"/>
              </w:rPr>
              <w:t>Carrie S. Cox</w:t>
            </w:r>
          </w:p>
        </w:tc>
        <w:tc>
          <w:tcPr>
            <w:tcW w:w="480" w:type="dxa"/>
            <w:vAlign w:val="bottom"/>
            <w:textDirection w:val="btLr"/>
          </w:tcPr>
          <w:p>
            <w:pPr>
              <w:ind w:left="182"/>
              <w:spacing w:after="0"/>
              <w:rPr>
                <w:sz w:val="20"/>
                <w:szCs w:val="20"/>
                <w:color w:val="auto"/>
              </w:rPr>
            </w:pPr>
            <w:r>
              <w:rPr>
                <w:rFonts w:ascii="Arial" w:cs="Arial" w:eastAsia="Arial" w:hAnsi="Arial"/>
                <w:sz w:val="16"/>
                <w:szCs w:val="16"/>
                <w:b w:val="1"/>
                <w:bCs w:val="1"/>
                <w:color w:val="2A2A2A"/>
                <w:w w:val="99"/>
              </w:rPr>
              <w:t>Martin S. Craighead</w:t>
            </w:r>
          </w:p>
        </w:tc>
        <w:tc>
          <w:tcPr>
            <w:tcW w:w="460" w:type="dxa"/>
            <w:vAlign w:val="bottom"/>
            <w:textDirection w:val="btLr"/>
          </w:tcPr>
          <w:p>
            <w:pPr>
              <w:ind w:left="167"/>
              <w:spacing w:after="0"/>
              <w:rPr>
                <w:sz w:val="20"/>
                <w:szCs w:val="20"/>
                <w:color w:val="auto"/>
              </w:rPr>
            </w:pPr>
            <w:r>
              <w:rPr>
                <w:rFonts w:ascii="Arial" w:cs="Arial" w:eastAsia="Arial" w:hAnsi="Arial"/>
                <w:sz w:val="16"/>
                <w:szCs w:val="16"/>
                <w:b w:val="1"/>
                <w:bCs w:val="1"/>
                <w:color w:val="2A2A2A"/>
              </w:rPr>
              <w:t>Reginald DesRoches</w:t>
            </w:r>
          </w:p>
        </w:tc>
        <w:tc>
          <w:tcPr>
            <w:tcW w:w="460" w:type="dxa"/>
            <w:vAlign w:val="bottom"/>
            <w:textDirection w:val="btLr"/>
          </w:tcPr>
          <w:p>
            <w:pPr>
              <w:ind w:left="172"/>
              <w:spacing w:after="0"/>
              <w:rPr>
                <w:sz w:val="20"/>
                <w:szCs w:val="20"/>
                <w:color w:val="auto"/>
              </w:rPr>
            </w:pPr>
            <w:r>
              <w:rPr>
                <w:rFonts w:ascii="Arial" w:cs="Arial" w:eastAsia="Arial" w:hAnsi="Arial"/>
                <w:sz w:val="16"/>
                <w:szCs w:val="16"/>
                <w:b w:val="1"/>
                <w:bCs w:val="1"/>
                <w:color w:val="2A2A2A"/>
              </w:rPr>
              <w:t>Curtis C. Farmer</w:t>
            </w:r>
          </w:p>
        </w:tc>
        <w:tc>
          <w:tcPr>
            <w:tcW w:w="460" w:type="dxa"/>
            <w:vAlign w:val="bottom"/>
            <w:textDirection w:val="btLr"/>
          </w:tcPr>
          <w:p>
            <w:pPr>
              <w:ind w:left="177"/>
              <w:spacing w:after="0"/>
              <w:rPr>
                <w:sz w:val="20"/>
                <w:szCs w:val="20"/>
                <w:color w:val="auto"/>
              </w:rPr>
            </w:pPr>
            <w:r>
              <w:rPr>
                <w:rFonts w:ascii="Arial" w:cs="Arial" w:eastAsia="Arial" w:hAnsi="Arial"/>
                <w:sz w:val="16"/>
                <w:szCs w:val="16"/>
                <w:b w:val="1"/>
                <w:bCs w:val="1"/>
                <w:color w:val="2A2A2A"/>
              </w:rPr>
              <w:t>Jean M. Hobby</w:t>
            </w:r>
          </w:p>
        </w:tc>
        <w:tc>
          <w:tcPr>
            <w:tcW w:w="480" w:type="dxa"/>
            <w:vAlign w:val="bottom"/>
            <w:textDirection w:val="btLr"/>
          </w:tcPr>
          <w:p>
            <w:pPr>
              <w:ind w:left="182"/>
              <w:spacing w:after="0"/>
              <w:rPr>
                <w:sz w:val="20"/>
                <w:szCs w:val="20"/>
                <w:color w:val="auto"/>
              </w:rPr>
            </w:pPr>
            <w:r>
              <w:rPr>
                <w:rFonts w:ascii="Arial" w:cs="Arial" w:eastAsia="Arial" w:hAnsi="Arial"/>
                <w:sz w:val="16"/>
                <w:szCs w:val="16"/>
                <w:b w:val="1"/>
                <w:bCs w:val="1"/>
                <w:color w:val="2A2A2A"/>
                <w:w w:val="98"/>
              </w:rPr>
              <w:t>Haviv Ilan</w:t>
            </w:r>
          </w:p>
        </w:tc>
        <w:tc>
          <w:tcPr>
            <w:tcW w:w="460" w:type="dxa"/>
            <w:vAlign w:val="bottom"/>
            <w:textDirection w:val="btLr"/>
          </w:tcPr>
          <w:p>
            <w:pPr>
              <w:ind w:left="167"/>
              <w:spacing w:after="0"/>
              <w:rPr>
                <w:sz w:val="20"/>
                <w:szCs w:val="20"/>
                <w:color w:val="auto"/>
              </w:rPr>
            </w:pPr>
            <w:r>
              <w:rPr>
                <w:rFonts w:ascii="Arial" w:cs="Arial" w:eastAsia="Arial" w:hAnsi="Arial"/>
                <w:sz w:val="16"/>
                <w:szCs w:val="16"/>
                <w:b w:val="1"/>
                <w:bCs w:val="1"/>
                <w:color w:val="2A2A2A"/>
              </w:rPr>
              <w:t>Ronald Kirk</w:t>
            </w:r>
          </w:p>
        </w:tc>
        <w:tc>
          <w:tcPr>
            <w:tcW w:w="460" w:type="dxa"/>
            <w:vAlign w:val="bottom"/>
            <w:textDirection w:val="btLr"/>
          </w:tcPr>
          <w:p>
            <w:pPr>
              <w:ind w:left="172"/>
              <w:spacing w:after="0"/>
              <w:rPr>
                <w:sz w:val="20"/>
                <w:szCs w:val="20"/>
                <w:color w:val="auto"/>
              </w:rPr>
            </w:pPr>
            <w:r>
              <w:rPr>
                <w:rFonts w:ascii="Arial" w:cs="Arial" w:eastAsia="Arial" w:hAnsi="Arial"/>
                <w:sz w:val="16"/>
                <w:szCs w:val="16"/>
                <w:b w:val="1"/>
                <w:bCs w:val="1"/>
                <w:color w:val="2A2A2A"/>
              </w:rPr>
              <w:t>Pamela H. Patsley</w:t>
            </w:r>
          </w:p>
        </w:tc>
        <w:tc>
          <w:tcPr>
            <w:tcW w:w="460" w:type="dxa"/>
            <w:vAlign w:val="bottom"/>
            <w:textDirection w:val="btLr"/>
          </w:tcPr>
          <w:p>
            <w:pPr>
              <w:ind w:left="177"/>
              <w:spacing w:after="0"/>
              <w:rPr>
                <w:sz w:val="20"/>
                <w:szCs w:val="20"/>
                <w:color w:val="auto"/>
              </w:rPr>
            </w:pPr>
            <w:r>
              <w:rPr>
                <w:rFonts w:ascii="Arial" w:cs="Arial" w:eastAsia="Arial" w:hAnsi="Arial"/>
                <w:sz w:val="16"/>
                <w:szCs w:val="16"/>
                <w:b w:val="1"/>
                <w:bCs w:val="1"/>
                <w:color w:val="2A2A2A"/>
                <w:w w:val="99"/>
              </w:rPr>
              <w:t>Robert E. Sanchez</w:t>
            </w:r>
          </w:p>
        </w:tc>
        <w:tc>
          <w:tcPr>
            <w:tcW w:w="360" w:type="dxa"/>
            <w:vAlign w:val="bottom"/>
            <w:textDirection w:val="btLr"/>
          </w:tcPr>
          <w:p>
            <w:pPr>
              <w:ind w:left="176"/>
              <w:spacing w:after="0"/>
              <w:rPr>
                <w:sz w:val="20"/>
                <w:szCs w:val="20"/>
                <w:color w:val="auto"/>
              </w:rPr>
            </w:pPr>
            <w:r>
              <w:rPr>
                <w:rFonts w:ascii="Arial" w:cs="Arial" w:eastAsia="Arial" w:hAnsi="Arial"/>
                <w:sz w:val="16"/>
                <w:szCs w:val="16"/>
                <w:b w:val="1"/>
                <w:bCs w:val="1"/>
                <w:color w:val="2A2A2A"/>
              </w:rPr>
              <w:t>Richard K. Templeton</w:t>
            </w:r>
          </w:p>
        </w:tc>
      </w:tr>
      <w:tr>
        <w:trPr>
          <w:trHeight w:val="333"/>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spacing w:after="0"/>
              <w:rPr>
                <w:sz w:val="24"/>
                <w:szCs w:val="24"/>
                <w:color w:val="auto"/>
              </w:rPr>
            </w:pP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spacing w:after="0"/>
              <w:rPr>
                <w:sz w:val="24"/>
                <w:szCs w:val="24"/>
                <w:color w:val="auto"/>
              </w:rPr>
            </w:pP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spacing w:after="0"/>
              <w:rPr>
                <w:sz w:val="24"/>
                <w:szCs w:val="24"/>
                <w:color w:val="auto"/>
              </w:rPr>
            </w:pPr>
          </w:p>
        </w:tc>
      </w:tr>
      <w:tr>
        <w:trPr>
          <w:trHeight w:val="285"/>
        </w:trPr>
        <w:tc>
          <w:tcPr>
            <w:tcW w:w="340" w:type="dxa"/>
            <w:vAlign w:val="bottom"/>
          </w:tcPr>
          <w:p>
            <w:pPr>
              <w:jc w:val="center"/>
              <w:ind w:right="41"/>
              <w:spacing w:after="0"/>
              <w:rPr>
                <w:sz w:val="20"/>
                <w:szCs w:val="20"/>
                <w:color w:val="auto"/>
              </w:rPr>
            </w:pPr>
            <w:r>
              <w:rPr>
                <w:rFonts w:ascii="Arial" w:cs="Arial" w:eastAsia="Arial" w:hAnsi="Arial"/>
                <w:sz w:val="20"/>
                <w:szCs w:val="20"/>
                <w:color w:val="2A2A2A"/>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20" w:type="dxa"/>
            <w:vAlign w:val="bottom"/>
          </w:tcPr>
          <w:p>
            <w:pPr>
              <w:jc w:val="center"/>
              <w:spacing w:after="0"/>
              <w:rPr>
                <w:sz w:val="20"/>
                <w:szCs w:val="20"/>
                <w:color w:val="auto"/>
              </w:rPr>
            </w:pPr>
            <w:r>
              <w:rPr>
                <w:rFonts w:ascii="Arial" w:cs="Arial" w:eastAsia="Arial" w:hAnsi="Arial"/>
                <w:sz w:val="20"/>
                <w:szCs w:val="20"/>
                <w:color w:val="2A2A2A"/>
              </w:rPr>
              <w:t>•</w:t>
            </w: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5"/>
              </w:rPr>
              <w:t>•</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w:t>
            </w:r>
          </w:p>
        </w:tc>
      </w:tr>
      <w:tr>
        <w:trPr>
          <w:trHeight w:val="630"/>
        </w:trPr>
        <w:tc>
          <w:tcPr>
            <w:tcW w:w="340" w:type="dxa"/>
            <w:vAlign w:val="bottom"/>
          </w:tcPr>
          <w:p>
            <w:pPr>
              <w:jc w:val="center"/>
              <w:ind w:right="41"/>
              <w:spacing w:after="0"/>
              <w:rPr>
                <w:sz w:val="20"/>
                <w:szCs w:val="20"/>
                <w:color w:val="auto"/>
              </w:rPr>
            </w:pPr>
            <w:r>
              <w:rPr>
                <w:rFonts w:ascii="Arial" w:cs="Arial" w:eastAsia="Arial" w:hAnsi="Arial"/>
                <w:sz w:val="20"/>
                <w:szCs w:val="20"/>
                <w:color w:val="2A2A2A"/>
                <w:w w:val="89"/>
              </w:rPr>
              <w:t>11</w:t>
            </w:r>
          </w:p>
        </w:tc>
        <w:tc>
          <w:tcPr>
            <w:tcW w:w="420" w:type="dxa"/>
            <w:vAlign w:val="bottom"/>
          </w:tcPr>
          <w:p>
            <w:pPr>
              <w:jc w:val="center"/>
              <w:spacing w:after="0"/>
              <w:rPr>
                <w:sz w:val="20"/>
                <w:szCs w:val="20"/>
                <w:color w:val="auto"/>
              </w:rPr>
            </w:pPr>
            <w:r>
              <w:rPr>
                <w:rFonts w:ascii="Arial" w:cs="Arial" w:eastAsia="Arial" w:hAnsi="Arial"/>
                <w:sz w:val="20"/>
                <w:szCs w:val="20"/>
                <w:color w:val="2A2A2A"/>
                <w:w w:val="89"/>
              </w:rPr>
              <w:t>7</w:t>
            </w:r>
          </w:p>
        </w:tc>
        <w:tc>
          <w:tcPr>
            <w:tcW w:w="420" w:type="dxa"/>
            <w:vAlign w:val="bottom"/>
          </w:tcPr>
          <w:p>
            <w:pPr>
              <w:jc w:val="center"/>
              <w:spacing w:after="0"/>
              <w:rPr>
                <w:sz w:val="20"/>
                <w:szCs w:val="20"/>
                <w:color w:val="auto"/>
              </w:rPr>
            </w:pPr>
            <w:r>
              <w:rPr>
                <w:rFonts w:ascii="Arial" w:cs="Arial" w:eastAsia="Arial" w:hAnsi="Arial"/>
                <w:sz w:val="20"/>
                <w:szCs w:val="20"/>
                <w:color w:val="2A2A2A"/>
                <w:w w:val="89"/>
              </w:rPr>
              <w:t>9</w:t>
            </w:r>
          </w:p>
        </w:tc>
        <w:tc>
          <w:tcPr>
            <w:tcW w:w="420" w:type="dxa"/>
            <w:vAlign w:val="bottom"/>
          </w:tcPr>
          <w:p>
            <w:pPr>
              <w:jc w:val="center"/>
              <w:spacing w:after="0"/>
              <w:rPr>
                <w:sz w:val="20"/>
                <w:szCs w:val="20"/>
                <w:color w:val="auto"/>
              </w:rPr>
            </w:pPr>
            <w:r>
              <w:rPr>
                <w:rFonts w:ascii="Arial" w:cs="Arial" w:eastAsia="Arial" w:hAnsi="Arial"/>
                <w:sz w:val="20"/>
                <w:szCs w:val="20"/>
                <w:color w:val="2A2A2A"/>
                <w:w w:val="98"/>
              </w:rPr>
              <w:t>20</w:t>
            </w:r>
          </w:p>
        </w:tc>
        <w:tc>
          <w:tcPr>
            <w:tcW w:w="480" w:type="dxa"/>
            <w:vAlign w:val="bottom"/>
          </w:tcPr>
          <w:p>
            <w:pPr>
              <w:jc w:val="center"/>
              <w:spacing w:after="0"/>
              <w:rPr>
                <w:sz w:val="20"/>
                <w:szCs w:val="20"/>
                <w:color w:val="auto"/>
              </w:rPr>
            </w:pPr>
            <w:r>
              <w:rPr>
                <w:rFonts w:ascii="Arial" w:cs="Arial" w:eastAsia="Arial" w:hAnsi="Arial"/>
                <w:sz w:val="20"/>
                <w:szCs w:val="20"/>
                <w:color w:val="2A2A2A"/>
              </w:rPr>
              <w:t>6</w:t>
            </w:r>
          </w:p>
        </w:tc>
        <w:tc>
          <w:tcPr>
            <w:tcW w:w="460" w:type="dxa"/>
            <w:vAlign w:val="bottom"/>
          </w:tcPr>
          <w:p>
            <w:pPr>
              <w:jc w:val="center"/>
              <w:spacing w:after="0"/>
              <w:rPr>
                <w:sz w:val="20"/>
                <w:szCs w:val="20"/>
                <w:color w:val="auto"/>
              </w:rPr>
            </w:pPr>
            <w:r>
              <w:rPr>
                <w:rFonts w:ascii="Arial" w:cs="Arial" w:eastAsia="Arial" w:hAnsi="Arial"/>
                <w:sz w:val="20"/>
                <w:szCs w:val="20"/>
                <w:color w:val="2A2A2A"/>
              </w:rPr>
              <w:t>*</w:t>
            </w:r>
          </w:p>
        </w:tc>
        <w:tc>
          <w:tcPr>
            <w:tcW w:w="460" w:type="dxa"/>
            <w:vAlign w:val="bottom"/>
          </w:tcPr>
          <w:p>
            <w:pPr>
              <w:jc w:val="center"/>
              <w:spacing w:after="0"/>
              <w:rPr>
                <w:sz w:val="20"/>
                <w:szCs w:val="20"/>
                <w:color w:val="auto"/>
              </w:rPr>
            </w:pPr>
            <w:r>
              <w:rPr>
                <w:rFonts w:ascii="Arial" w:cs="Arial" w:eastAsia="Arial" w:hAnsi="Arial"/>
                <w:sz w:val="20"/>
                <w:szCs w:val="20"/>
                <w:color w:val="2A2A2A"/>
                <w:w w:val="89"/>
              </w:rPr>
              <w:t>1</w:t>
            </w:r>
          </w:p>
        </w:tc>
        <w:tc>
          <w:tcPr>
            <w:tcW w:w="460" w:type="dxa"/>
            <w:vAlign w:val="bottom"/>
          </w:tcPr>
          <w:p>
            <w:pPr>
              <w:jc w:val="center"/>
              <w:spacing w:after="0"/>
              <w:rPr>
                <w:sz w:val="20"/>
                <w:szCs w:val="20"/>
                <w:color w:val="auto"/>
              </w:rPr>
            </w:pPr>
            <w:r>
              <w:rPr>
                <w:rFonts w:ascii="Arial" w:cs="Arial" w:eastAsia="Arial" w:hAnsi="Arial"/>
                <w:sz w:val="20"/>
                <w:szCs w:val="20"/>
                <w:color w:val="2A2A2A"/>
              </w:rPr>
              <w:t>8</w:t>
            </w:r>
          </w:p>
        </w:tc>
        <w:tc>
          <w:tcPr>
            <w:tcW w:w="480" w:type="dxa"/>
            <w:vAlign w:val="bottom"/>
          </w:tcPr>
          <w:p>
            <w:pPr>
              <w:jc w:val="center"/>
              <w:spacing w:after="0"/>
              <w:rPr>
                <w:sz w:val="20"/>
                <w:szCs w:val="20"/>
                <w:color w:val="auto"/>
              </w:rPr>
            </w:pPr>
            <w:r>
              <w:rPr>
                <w:rFonts w:ascii="Arial" w:cs="Arial" w:eastAsia="Arial" w:hAnsi="Arial"/>
                <w:sz w:val="20"/>
                <w:szCs w:val="20"/>
                <w:color w:val="2A2A2A"/>
              </w:rPr>
              <w:t>2</w:t>
            </w:r>
          </w:p>
        </w:tc>
        <w:tc>
          <w:tcPr>
            <w:tcW w:w="460" w:type="dxa"/>
            <w:vAlign w:val="bottom"/>
          </w:tcPr>
          <w:p>
            <w:pPr>
              <w:jc w:val="center"/>
              <w:spacing w:after="0"/>
              <w:rPr>
                <w:sz w:val="20"/>
                <w:szCs w:val="20"/>
                <w:color w:val="auto"/>
              </w:rPr>
            </w:pPr>
            <w:r>
              <w:rPr>
                <w:rFonts w:ascii="Arial" w:cs="Arial" w:eastAsia="Arial" w:hAnsi="Arial"/>
                <w:sz w:val="20"/>
                <w:szCs w:val="20"/>
                <w:color w:val="2A2A2A"/>
                <w:w w:val="89"/>
              </w:rPr>
              <w:t>11</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20</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13</w:t>
            </w:r>
          </w:p>
        </w:tc>
        <w:tc>
          <w:tcPr>
            <w:tcW w:w="360" w:type="dxa"/>
            <w:vAlign w:val="bottom"/>
          </w:tcPr>
          <w:p>
            <w:pPr>
              <w:jc w:val="center"/>
              <w:ind w:left="22"/>
              <w:spacing w:after="0"/>
              <w:rPr>
                <w:sz w:val="20"/>
                <w:szCs w:val="20"/>
                <w:color w:val="auto"/>
              </w:rPr>
            </w:pPr>
            <w:r>
              <w:rPr>
                <w:rFonts w:ascii="Arial" w:cs="Arial" w:eastAsia="Arial" w:hAnsi="Arial"/>
                <w:sz w:val="20"/>
                <w:szCs w:val="20"/>
                <w:color w:val="2A2A2A"/>
              </w:rPr>
              <w:t>21</w:t>
            </w:r>
          </w:p>
        </w:tc>
      </w:tr>
      <w:tr>
        <w:trPr>
          <w:trHeight w:val="285"/>
        </w:trPr>
        <w:tc>
          <w:tcPr>
            <w:tcW w:w="340" w:type="dxa"/>
            <w:vAlign w:val="bottom"/>
          </w:tcPr>
          <w:p>
            <w:pPr>
              <w:jc w:val="center"/>
              <w:ind w:right="21"/>
              <w:spacing w:after="0"/>
              <w:rPr>
                <w:sz w:val="20"/>
                <w:szCs w:val="20"/>
                <w:color w:val="auto"/>
              </w:rPr>
            </w:pPr>
            <w:r>
              <w:rPr>
                <w:rFonts w:ascii="Arial" w:cs="Arial" w:eastAsia="Arial" w:hAnsi="Arial"/>
                <w:sz w:val="20"/>
                <w:szCs w:val="20"/>
                <w:color w:val="2A2A2A"/>
                <w:w w:val="98"/>
              </w:rPr>
              <w:t>62</w:t>
            </w:r>
          </w:p>
        </w:tc>
        <w:tc>
          <w:tcPr>
            <w:tcW w:w="420" w:type="dxa"/>
            <w:vAlign w:val="bottom"/>
          </w:tcPr>
          <w:p>
            <w:pPr>
              <w:jc w:val="center"/>
              <w:spacing w:after="0"/>
              <w:rPr>
                <w:sz w:val="20"/>
                <w:szCs w:val="20"/>
                <w:color w:val="auto"/>
              </w:rPr>
            </w:pPr>
            <w:r>
              <w:rPr>
                <w:rFonts w:ascii="Arial" w:cs="Arial" w:eastAsia="Arial" w:hAnsi="Arial"/>
                <w:sz w:val="20"/>
                <w:szCs w:val="20"/>
                <w:color w:val="2A2A2A"/>
                <w:w w:val="98"/>
              </w:rPr>
              <w:t>60</w:t>
            </w:r>
          </w:p>
        </w:tc>
        <w:tc>
          <w:tcPr>
            <w:tcW w:w="420" w:type="dxa"/>
            <w:vAlign w:val="bottom"/>
          </w:tcPr>
          <w:p>
            <w:pPr>
              <w:jc w:val="center"/>
              <w:spacing w:after="0"/>
              <w:rPr>
                <w:sz w:val="20"/>
                <w:szCs w:val="20"/>
                <w:color w:val="auto"/>
              </w:rPr>
            </w:pPr>
            <w:r>
              <w:rPr>
                <w:rFonts w:ascii="Arial" w:cs="Arial" w:eastAsia="Arial" w:hAnsi="Arial"/>
                <w:sz w:val="20"/>
                <w:szCs w:val="20"/>
                <w:color w:val="2A2A2A"/>
                <w:w w:val="98"/>
              </w:rPr>
              <w:t>69</w:t>
            </w:r>
          </w:p>
        </w:tc>
        <w:tc>
          <w:tcPr>
            <w:tcW w:w="420" w:type="dxa"/>
            <w:vAlign w:val="bottom"/>
          </w:tcPr>
          <w:p>
            <w:pPr>
              <w:jc w:val="center"/>
              <w:spacing w:after="0"/>
              <w:rPr>
                <w:sz w:val="20"/>
                <w:szCs w:val="20"/>
                <w:color w:val="auto"/>
              </w:rPr>
            </w:pPr>
            <w:r>
              <w:rPr>
                <w:rFonts w:ascii="Arial" w:cs="Arial" w:eastAsia="Arial" w:hAnsi="Arial"/>
                <w:sz w:val="20"/>
                <w:szCs w:val="20"/>
                <w:color w:val="2A2A2A"/>
                <w:w w:val="98"/>
              </w:rPr>
              <w:t>66</w:t>
            </w:r>
          </w:p>
        </w:tc>
        <w:tc>
          <w:tcPr>
            <w:tcW w:w="480" w:type="dxa"/>
            <w:vAlign w:val="bottom"/>
          </w:tcPr>
          <w:p>
            <w:pPr>
              <w:jc w:val="center"/>
              <w:spacing w:after="0"/>
              <w:rPr>
                <w:sz w:val="20"/>
                <w:szCs w:val="20"/>
                <w:color w:val="auto"/>
              </w:rPr>
            </w:pPr>
            <w:r>
              <w:rPr>
                <w:rFonts w:ascii="Arial" w:cs="Arial" w:eastAsia="Arial" w:hAnsi="Arial"/>
                <w:sz w:val="20"/>
                <w:szCs w:val="20"/>
                <w:color w:val="2A2A2A"/>
                <w:w w:val="98"/>
              </w:rPr>
              <w:t>64</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56</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61</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63</w:t>
            </w:r>
          </w:p>
        </w:tc>
        <w:tc>
          <w:tcPr>
            <w:tcW w:w="480" w:type="dxa"/>
            <w:vAlign w:val="bottom"/>
          </w:tcPr>
          <w:p>
            <w:pPr>
              <w:jc w:val="center"/>
              <w:spacing w:after="0"/>
              <w:rPr>
                <w:sz w:val="20"/>
                <w:szCs w:val="20"/>
                <w:color w:val="auto"/>
              </w:rPr>
            </w:pPr>
            <w:r>
              <w:rPr>
                <w:rFonts w:ascii="Arial" w:cs="Arial" w:eastAsia="Arial" w:hAnsi="Arial"/>
                <w:sz w:val="20"/>
                <w:szCs w:val="20"/>
                <w:color w:val="2A2A2A"/>
                <w:w w:val="98"/>
              </w:rPr>
              <w:t>55</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69</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67</w:t>
            </w:r>
          </w:p>
        </w:tc>
        <w:tc>
          <w:tcPr>
            <w:tcW w:w="460" w:type="dxa"/>
            <w:vAlign w:val="bottom"/>
          </w:tcPr>
          <w:p>
            <w:pPr>
              <w:jc w:val="center"/>
              <w:spacing w:after="0"/>
              <w:rPr>
                <w:sz w:val="20"/>
                <w:szCs w:val="20"/>
                <w:color w:val="auto"/>
              </w:rPr>
            </w:pPr>
            <w:r>
              <w:rPr>
                <w:rFonts w:ascii="Arial" w:cs="Arial" w:eastAsia="Arial" w:hAnsi="Arial"/>
                <w:sz w:val="20"/>
                <w:szCs w:val="20"/>
                <w:color w:val="2A2A2A"/>
                <w:w w:val="98"/>
              </w:rPr>
              <w:t>58</w:t>
            </w:r>
          </w:p>
        </w:tc>
        <w:tc>
          <w:tcPr>
            <w:tcW w:w="360" w:type="dxa"/>
            <w:vAlign w:val="bottom"/>
          </w:tcPr>
          <w:p>
            <w:pPr>
              <w:jc w:val="center"/>
              <w:ind w:left="42"/>
              <w:spacing w:after="0"/>
              <w:rPr>
                <w:sz w:val="20"/>
                <w:szCs w:val="20"/>
                <w:color w:val="auto"/>
              </w:rPr>
            </w:pPr>
            <w:r>
              <w:rPr>
                <w:rFonts w:ascii="Arial" w:cs="Arial" w:eastAsia="Arial" w:hAnsi="Arial"/>
                <w:sz w:val="20"/>
                <w:szCs w:val="20"/>
                <w:color w:val="2A2A2A"/>
                <w:w w:val="98"/>
              </w:rPr>
              <w:t>65</w:t>
            </w:r>
          </w:p>
        </w:tc>
      </w:tr>
    </w:tbl>
    <w:p>
      <w:pPr>
        <w:spacing w:after="0" w:line="20" w:lineRule="exact"/>
        <w:rPr>
          <w:sz w:val="20"/>
          <w:szCs w:val="20"/>
          <w:color w:val="auto"/>
        </w:rPr>
      </w:pPr>
    </w:p>
    <w:p>
      <w:pPr>
        <w:ind w:left="20"/>
        <w:spacing w:after="0"/>
        <w:tabs>
          <w:tab w:leader="none" w:pos="480" w:val="left"/>
          <w:tab w:leader="none" w:pos="900" w:val="left"/>
          <w:tab w:leader="none" w:pos="1320" w:val="left"/>
          <w:tab w:leader="none" w:pos="1740" w:val="left"/>
          <w:tab w:leader="none" w:pos="2200" w:val="left"/>
          <w:tab w:leader="none" w:pos="2660" w:val="left"/>
          <w:tab w:leader="none" w:pos="3160" w:val="left"/>
          <w:tab w:leader="none" w:pos="3600" w:val="left"/>
          <w:tab w:leader="none" w:pos="4060" w:val="left"/>
          <w:tab w:leader="none" w:pos="4560" w:val="left"/>
          <w:tab w:leader="none" w:pos="5000" w:val="left"/>
          <w:tab w:leader="none" w:pos="5460" w:val="left"/>
        </w:tabs>
        <w:rPr>
          <w:sz w:val="20"/>
          <w:szCs w:val="20"/>
          <w:color w:val="auto"/>
        </w:rPr>
      </w:pPr>
      <w:r>
        <w:rPr>
          <w:rFonts w:ascii="Arial" w:cs="Arial" w:eastAsia="Arial" w:hAnsi="Arial"/>
          <w:sz w:val="20"/>
          <w:szCs w:val="20"/>
          <w:color w:val="2A2A2A"/>
        </w:rPr>
        <w:t>M</w:t>
        <w:tab/>
        <w:t>M</w:t>
        <w:tab/>
        <w:t>F</w:t>
        <w:tab/>
        <w:t>F</w:t>
        <w:tab/>
        <w:t>M</w:t>
        <w:tab/>
        <w:t>M</w:t>
        <w:tab/>
        <w:t>M</w:t>
        <w:tab/>
        <w:t>F</w:t>
        <w:tab/>
        <w:t>M</w:t>
        <w:tab/>
        <w:t>M</w:t>
        <w:tab/>
        <w:t>F</w:t>
        <w:tab/>
        <w:t>M</w:t>
      </w:r>
      <w:r>
        <w:rPr>
          <w:sz w:val="20"/>
          <w:szCs w:val="20"/>
          <w:color w:val="auto"/>
        </w:rPr>
        <w:tab/>
      </w:r>
      <w:r>
        <w:rPr>
          <w:rFonts w:ascii="Arial" w:cs="Arial" w:eastAsia="Arial" w:hAnsi="Arial"/>
          <w:sz w:val="19"/>
          <w:szCs w:val="19"/>
          <w:color w:val="2A2A2A"/>
        </w:rPr>
        <w:t>M</w:t>
      </w:r>
    </w:p>
    <w:p>
      <w:pPr>
        <w:spacing w:after="0" w:line="55" w:lineRule="exact"/>
        <w:rPr>
          <w:sz w:val="20"/>
          <w:szCs w:val="20"/>
          <w:color w:val="auto"/>
        </w:rPr>
      </w:pPr>
    </w:p>
    <w:p>
      <w:pPr>
        <w:spacing w:after="0"/>
        <w:tabs>
          <w:tab w:leader="none" w:pos="460" w:val="left"/>
          <w:tab w:leader="none" w:pos="860" w:val="left"/>
          <w:tab w:leader="none" w:pos="1260" w:val="left"/>
          <w:tab w:leader="none" w:pos="1720" w:val="left"/>
          <w:tab w:leader="none" w:pos="2220" w:val="left"/>
          <w:tab w:leader="none" w:pos="2660" w:val="left"/>
          <w:tab w:leader="none" w:pos="3120" w:val="left"/>
          <w:tab w:leader="none" w:pos="3580" w:val="left"/>
          <w:tab w:leader="none" w:pos="4080" w:val="left"/>
          <w:tab w:leader="none" w:pos="4520" w:val="left"/>
          <w:tab w:leader="none" w:pos="5000" w:val="left"/>
          <w:tab w:leader="none" w:pos="5440" w:val="left"/>
        </w:tabs>
        <w:rPr>
          <w:sz w:val="20"/>
          <w:szCs w:val="20"/>
          <w:color w:val="auto"/>
        </w:rPr>
      </w:pPr>
      <w:r>
        <w:rPr>
          <w:rFonts w:ascii="Arial" w:cs="Arial" w:eastAsia="Arial" w:hAnsi="Arial"/>
          <w:sz w:val="20"/>
          <w:szCs w:val="20"/>
          <w:color w:val="2A2A2A"/>
        </w:rPr>
        <w:t>W</w:t>
        <w:tab/>
        <w:t>W</w:t>
        <w:tab/>
        <w:t>W</w:t>
        <w:tab/>
        <w:t>W</w:t>
        <w:tab/>
        <w:t>W</w:t>
        <w:tab/>
        <w:t>B</w:t>
        <w:tab/>
        <w:t>W</w:t>
        <w:tab/>
        <w:t>W</w:t>
        <w:tab/>
        <w:t>W</w:t>
        <w:tab/>
        <w:t>B</w:t>
        <w:tab/>
        <w:t>W</w:t>
        <w:tab/>
        <w:t>H</w:t>
        <w:tab/>
        <w:t>W</w:t>
      </w:r>
    </w:p>
    <w:p>
      <w:pPr>
        <w:spacing w:after="0" w:line="504" w:lineRule="exact"/>
        <w:rPr>
          <w:sz w:val="20"/>
          <w:szCs w:val="20"/>
          <w:color w:val="auto"/>
        </w:rPr>
      </w:pPr>
    </w:p>
    <w:p>
      <w:pPr>
        <w:sectPr>
          <w:pgSz w:w="12240" w:h="15840" w:orient="portrait"/>
          <w:cols w:equalWidth="0" w:num="2">
            <w:col w:w="4281" w:space="200"/>
            <w:col w:w="5780"/>
          </w:cols>
          <w:pgMar w:left="979" w:top="660" w:right="1000" w:bottom="33" w:gutter="0" w:footer="0" w:header="0"/>
          <w:type w:val="continuous"/>
        </w:sectPr>
      </w:pPr>
    </w:p>
    <w:p>
      <w:pPr>
        <w:ind w:left="361" w:hanging="361"/>
        <w:spacing w:after="0"/>
        <w:tabs>
          <w:tab w:leader="none" w:pos="361" w:val="left"/>
        </w:tabs>
        <w:numPr>
          <w:ilvl w:val="0"/>
          <w:numId w:val="42"/>
        </w:numPr>
        <w:rPr>
          <w:rFonts w:ascii="Arial" w:cs="Arial" w:eastAsia="Arial" w:hAnsi="Arial"/>
          <w:sz w:val="20"/>
          <w:szCs w:val="20"/>
          <w:color w:val="2A2A2A"/>
        </w:rPr>
      </w:pPr>
      <w:r>
        <w:rPr>
          <w:rFonts w:ascii="Arial" w:cs="Arial" w:eastAsia="Arial" w:hAnsi="Arial"/>
          <w:sz w:val="20"/>
          <w:szCs w:val="20"/>
          <w:color w:val="2A2A2A"/>
        </w:rPr>
        <w:t>B = Black/African American; W = White; H = Hispanic/Latino</w:t>
      </w:r>
    </w:p>
    <w:p>
      <w:pPr>
        <w:spacing w:after="0" w:line="370" w:lineRule="exact"/>
        <w:rPr>
          <w:sz w:val="20"/>
          <w:szCs w:val="20"/>
          <w:color w:val="auto"/>
        </w:rPr>
      </w:pPr>
    </w:p>
    <w:p>
      <w:pPr>
        <w:ind w:left="1" w:right="60"/>
        <w:spacing w:after="0" w:line="254" w:lineRule="auto"/>
        <w:rPr>
          <w:sz w:val="20"/>
          <w:szCs w:val="20"/>
          <w:color w:val="auto"/>
        </w:rPr>
      </w:pPr>
      <w:r>
        <w:rPr>
          <w:rFonts w:ascii="Arial" w:cs="Arial" w:eastAsia="Arial" w:hAnsi="Arial"/>
          <w:sz w:val="20"/>
          <w:szCs w:val="20"/>
          <w:color w:val="2A2A2A"/>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75.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Nominee criteria</w:t>
      </w:r>
    </w:p>
    <w:p>
      <w:pPr>
        <w:spacing w:after="0" w:line="25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In evaluating prospective nominees and as stated in our corporate governance guidelines, the Governance and</w:t>
      </w:r>
    </w:p>
    <w:p>
      <w:pPr>
        <w:spacing w:after="0" w:line="3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Stockholder Relations (GSR) committee considers the following criteria:</w:t>
      </w:r>
    </w:p>
    <w:p>
      <w:pPr>
        <w:spacing w:after="0" w:line="230" w:lineRule="exact"/>
        <w:rPr>
          <w:sz w:val="20"/>
          <w:szCs w:val="20"/>
          <w:color w:val="auto"/>
        </w:rPr>
      </w:pPr>
    </w:p>
    <w:p>
      <w:pPr>
        <w:ind w:left="721" w:hanging="361"/>
        <w:spacing w:after="0"/>
        <w:tabs>
          <w:tab w:leader="none" w:pos="721" w:val="left"/>
        </w:tabs>
        <w:numPr>
          <w:ilvl w:val="0"/>
          <w:numId w:val="43"/>
        </w:numPr>
        <w:rPr>
          <w:rFonts w:ascii="Arial" w:cs="Arial" w:eastAsia="Arial" w:hAnsi="Arial"/>
          <w:sz w:val="20"/>
          <w:szCs w:val="20"/>
          <w:color w:val="2A2A2A"/>
        </w:rPr>
      </w:pPr>
      <w:r>
        <w:rPr>
          <w:rFonts w:ascii="Arial" w:cs="Arial" w:eastAsia="Arial" w:hAnsi="Arial"/>
          <w:sz w:val="20"/>
          <w:szCs w:val="20"/>
          <w:color w:val="2A2A2A"/>
        </w:rPr>
        <w:t>Outstanding achievement in the individual’s personal career.</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43"/>
        </w:numPr>
        <w:rPr>
          <w:rFonts w:ascii="Arial" w:cs="Arial" w:eastAsia="Arial" w:hAnsi="Arial"/>
          <w:sz w:val="20"/>
          <w:szCs w:val="20"/>
          <w:color w:val="2A2A2A"/>
        </w:rPr>
      </w:pPr>
      <w:r>
        <w:rPr>
          <w:rFonts w:ascii="Arial" w:cs="Arial" w:eastAsia="Arial" w:hAnsi="Arial"/>
          <w:sz w:val="20"/>
          <w:szCs w:val="20"/>
          <w:color w:val="2A2A2A"/>
        </w:rPr>
        <w:t>Relevant commercial expertise.</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43"/>
        </w:numPr>
        <w:rPr>
          <w:rFonts w:ascii="Arial" w:cs="Arial" w:eastAsia="Arial" w:hAnsi="Arial"/>
          <w:sz w:val="20"/>
          <w:szCs w:val="20"/>
          <w:color w:val="2A2A2A"/>
        </w:rPr>
      </w:pPr>
      <w:r>
        <w:rPr>
          <w:rFonts w:ascii="Arial" w:cs="Arial" w:eastAsia="Arial" w:hAnsi="Arial"/>
          <w:sz w:val="20"/>
          <w:szCs w:val="20"/>
          <w:color w:val="2A2A2A"/>
        </w:rPr>
        <w:t>International operations experience.</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43"/>
        </w:numPr>
        <w:rPr>
          <w:rFonts w:ascii="Arial" w:cs="Arial" w:eastAsia="Arial" w:hAnsi="Arial"/>
          <w:sz w:val="20"/>
          <w:szCs w:val="20"/>
          <w:color w:val="2A2A2A"/>
        </w:rPr>
      </w:pPr>
      <w:r>
        <w:rPr>
          <w:rFonts w:ascii="Arial" w:cs="Arial" w:eastAsia="Arial" w:hAnsi="Arial"/>
          <w:sz w:val="20"/>
          <w:szCs w:val="20"/>
          <w:color w:val="2A2A2A"/>
        </w:rPr>
        <w:t>Financial acumen.</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43"/>
        </w:numPr>
        <w:rPr>
          <w:rFonts w:ascii="Arial" w:cs="Arial" w:eastAsia="Arial" w:hAnsi="Arial"/>
          <w:sz w:val="20"/>
          <w:szCs w:val="20"/>
          <w:color w:val="2A2A2A"/>
        </w:rPr>
      </w:pPr>
      <w:r>
        <w:rPr>
          <w:rFonts w:ascii="Arial" w:cs="Arial" w:eastAsia="Arial" w:hAnsi="Arial"/>
          <w:sz w:val="20"/>
          <w:szCs w:val="20"/>
          <w:color w:val="2A2A2A"/>
        </w:rPr>
        <w:t>Government experience.</w:t>
      </w:r>
    </w:p>
    <w:p>
      <w:pPr>
        <w:sectPr>
          <w:pgSz w:w="12240" w:h="15840" w:orient="portrait"/>
          <w:cols w:equalWidth="0" w:num="1">
            <w:col w:w="10261"/>
          </w:cols>
          <w:pgMar w:left="979" w:top="660" w:right="1000" w:bottom="33" w:gutter="0" w:footer="0" w:header="0"/>
          <w:type w:val="continuous"/>
        </w:sect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6</w:t>
      </w:r>
    </w:p>
    <w:p>
      <w:pPr>
        <w:sectPr>
          <w:pgSz w:w="12240" w:h="15840" w:orient="portrait"/>
          <w:cols w:equalWidth="0" w:num="1">
            <w:col w:w="10261"/>
          </w:cols>
          <w:pgMar w:left="979" w:top="660" w:right="1000" w:bottom="33" w:gutter="0" w:footer="0" w:header="0"/>
          <w:type w:val="continuous"/>
        </w:sectPr>
      </w:pPr>
    </w:p>
    <w:bookmarkStart w:id="78" w:name="page79"/>
    <w:bookmarkEnd w:id="78"/>
    <w:p>
      <w:pPr>
        <w:ind w:left="720" w:hanging="361"/>
        <w:spacing w:after="0"/>
        <w:tabs>
          <w:tab w:leader="none" w:pos="720" w:val="left"/>
        </w:tabs>
        <w:numPr>
          <w:ilvl w:val="0"/>
          <w:numId w:val="44"/>
        </w:numPr>
        <w:rPr>
          <w:rFonts w:ascii="Arial" w:cs="Arial" w:eastAsia="Arial" w:hAnsi="Arial"/>
          <w:sz w:val="20"/>
          <w:szCs w:val="20"/>
          <w:color w:val="2A2A2A"/>
        </w:rPr>
      </w:pPr>
      <w:r>
        <w:rPr>
          <w:rFonts w:ascii="Arial" w:cs="Arial" w:eastAsia="Arial" w:hAnsi="Arial"/>
          <w:sz w:val="20"/>
          <w:szCs w:val="20"/>
          <w:color w:val="2A2A2A"/>
        </w:rPr>
        <w:t>Standards of integrity and soundness of judgment.</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44"/>
        </w:numPr>
        <w:rPr>
          <w:rFonts w:ascii="Arial" w:cs="Arial" w:eastAsia="Arial" w:hAnsi="Arial"/>
          <w:sz w:val="20"/>
          <w:szCs w:val="20"/>
          <w:color w:val="2A2A2A"/>
        </w:rPr>
      </w:pPr>
      <w:r>
        <w:rPr>
          <w:rFonts w:ascii="Arial" w:cs="Arial" w:eastAsia="Arial" w:hAnsi="Arial"/>
          <w:sz w:val="20"/>
          <w:szCs w:val="20"/>
          <w:color w:val="2A2A2A"/>
        </w:rPr>
        <w:t>Ability to make independent, analytical inquiries.</w:t>
      </w:r>
    </w:p>
    <w:p>
      <w:pPr>
        <w:spacing w:after="0" w:line="70" w:lineRule="exact"/>
        <w:rPr>
          <w:rFonts w:ascii="Arial" w:cs="Arial" w:eastAsia="Arial" w:hAnsi="Arial"/>
          <w:sz w:val="20"/>
          <w:szCs w:val="20"/>
          <w:color w:val="2A2A2A"/>
        </w:rPr>
      </w:pPr>
    </w:p>
    <w:p>
      <w:pPr>
        <w:ind w:left="720" w:right="160" w:hanging="361"/>
        <w:spacing w:after="0" w:line="281" w:lineRule="auto"/>
        <w:tabs>
          <w:tab w:leader="none" w:pos="720" w:val="left"/>
        </w:tabs>
        <w:numPr>
          <w:ilvl w:val="0"/>
          <w:numId w:val="44"/>
        </w:numPr>
        <w:rPr>
          <w:rFonts w:ascii="Arial" w:cs="Arial" w:eastAsia="Arial" w:hAnsi="Arial"/>
          <w:sz w:val="20"/>
          <w:szCs w:val="20"/>
          <w:color w:val="2A2A2A"/>
        </w:rPr>
      </w:pPr>
      <w:r>
        <w:rPr>
          <w:rFonts w:ascii="Arial" w:cs="Arial" w:eastAsia="Arial" w:hAnsi="Arial"/>
          <w:sz w:val="20"/>
          <w:szCs w:val="20"/>
          <w:color w:val="2A2A2A"/>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20"/>
          <w:szCs w:val="20"/>
          <w:color w:val="2A2A2A"/>
        </w:rPr>
      </w:pPr>
    </w:p>
    <w:p>
      <w:pPr>
        <w:ind w:left="720" w:hanging="361"/>
        <w:spacing w:after="0"/>
        <w:tabs>
          <w:tab w:leader="none" w:pos="720" w:val="left"/>
        </w:tabs>
        <w:numPr>
          <w:ilvl w:val="0"/>
          <w:numId w:val="44"/>
        </w:numPr>
        <w:rPr>
          <w:rFonts w:ascii="Arial" w:cs="Arial" w:eastAsia="Arial" w:hAnsi="Arial"/>
          <w:sz w:val="20"/>
          <w:szCs w:val="20"/>
          <w:color w:val="2A2A2A"/>
        </w:rPr>
      </w:pPr>
      <w:r>
        <w:rPr>
          <w:rFonts w:ascii="Arial" w:cs="Arial" w:eastAsia="Arial" w:hAnsi="Arial"/>
          <w:sz w:val="20"/>
          <w:szCs w:val="20"/>
          <w:color w:val="2A2A2A"/>
        </w:rPr>
        <w:t>Board diversity (viewpoints, gender, ethnicity).</w:t>
      </w:r>
    </w:p>
    <w:p>
      <w:pPr>
        <w:spacing w:after="0" w:line="70" w:lineRule="exact"/>
        <w:rPr>
          <w:rFonts w:ascii="Arial" w:cs="Arial" w:eastAsia="Arial" w:hAnsi="Arial"/>
          <w:sz w:val="20"/>
          <w:szCs w:val="20"/>
          <w:color w:val="2A2A2A"/>
        </w:rPr>
      </w:pPr>
    </w:p>
    <w:p>
      <w:pPr>
        <w:ind w:left="720" w:right="160" w:hanging="361"/>
        <w:spacing w:after="0" w:line="287" w:lineRule="auto"/>
        <w:tabs>
          <w:tab w:leader="none" w:pos="720" w:val="left"/>
        </w:tabs>
        <w:numPr>
          <w:ilvl w:val="0"/>
          <w:numId w:val="44"/>
        </w:numPr>
        <w:rPr>
          <w:rFonts w:ascii="Arial" w:cs="Arial" w:eastAsia="Arial" w:hAnsi="Arial"/>
          <w:sz w:val="20"/>
          <w:szCs w:val="20"/>
          <w:color w:val="2A2A2A"/>
        </w:rPr>
      </w:pPr>
      <w:r>
        <w:rPr>
          <w:rFonts w:ascii="Arial" w:cs="Arial" w:eastAsia="Arial" w:hAnsi="Arial"/>
          <w:sz w:val="20"/>
          <w:szCs w:val="20"/>
          <w:color w:val="2A2A2A"/>
        </w:rPr>
        <w:t>Willingness and ability to devote the time required to perform board activities adequately. Directors should not serve on the boards of more than four other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Nominee assessment</w:t>
      </w:r>
    </w:p>
    <w:p>
      <w:pPr>
        <w:spacing w:after="0" w:line="255"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As it considered director nominees for the 2024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2A2A2A"/>
        </w:rPr>
        <w:t>As described below, each of our director nominees has achieved an extremely high level of success in his or her career, whether at multibillion dollar, multinational corporate enterprises, large academic institutions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205"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2A2A2A"/>
        </w:rPr>
        <w:t>In concluding that each nominee should serve as a director, the board relied on the specific experiences and attributes listed below and on the direct personal knowledge (except as to Dr. DesRoches who joined the board on March 1, 2024), born of previous service on the board, that each of the nominees brings insight to board deliberations as well as a willingness to ask challenging questions.</w:t>
      </w:r>
    </w:p>
    <w:p>
      <w:pPr>
        <w:spacing w:after="0" w:line="196"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2A2A2A"/>
        </w:rPr>
        <w:t>All nominees for directorship are currently directors of the company, including Dr. DesRoches, who was elected to the board effective March 1, 2024. He is the only director nominee at the 2024 annual meeting of stockholders who is standing for election by the stockholders for the first time. A search firm retained by the company to assist the GSR Committee in identifying and evaluating potential nominees initially identified Dr. DesRoches as a potential director candidate. The search firm conducted research to identify a number of potential candidates, based on qualifications and skills the GSR Committee determined that candidates should possess. It then conducted further research on the candidates in whom the GSR Committee had the most interest. Following this process, Dr. DesRoches was unanimously elected to the company’s board of directors.</w:t>
      </w:r>
    </w:p>
    <w:p>
      <w:pPr>
        <w:spacing w:after="0" w:line="205" w:lineRule="exact"/>
        <w:rPr>
          <w:sz w:val="20"/>
          <w:szCs w:val="20"/>
          <w:color w:val="auto"/>
        </w:rPr>
      </w:pPr>
    </w:p>
    <w:p>
      <w:pPr>
        <w:ind w:right="660"/>
        <w:spacing w:after="0" w:line="287" w:lineRule="auto"/>
        <w:rPr>
          <w:sz w:val="20"/>
          <w:szCs w:val="20"/>
          <w:color w:val="auto"/>
        </w:rPr>
      </w:pPr>
      <w:r>
        <w:rPr>
          <w:rFonts w:ascii="Arial" w:cs="Arial" w:eastAsia="Arial" w:hAnsi="Arial"/>
          <w:sz w:val="20"/>
          <w:szCs w:val="20"/>
          <w:color w:val="2A2A2A"/>
        </w:rPr>
        <w:t>The board believes its current size is within the desired range as stated in the board’s corporate governance guidelines.</w:t>
      </w:r>
    </w:p>
    <w:p>
      <w:pPr>
        <w:sectPr>
          <w:pgSz w:w="12240" w:h="15840" w:orient="portrait"/>
          <w:cols w:equalWidth="0" w:num="1">
            <w:col w:w="10200"/>
          </w:cols>
          <w:pgMar w:left="980" w:top="664" w:right="10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7</w:t>
      </w:r>
    </w:p>
    <w:p>
      <w:pPr>
        <w:sectPr>
          <w:pgSz w:w="12240" w:h="15840" w:orient="portrait"/>
          <w:cols w:equalWidth="0" w:num="1">
            <w:col w:w="10200"/>
          </w:cols>
          <w:pgMar w:left="980" w:top="664" w:right="1060" w:bottom="33"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i w:val="1"/>
          <w:iCs w:val="1"/>
          <w:color w:val="2A2A2A"/>
        </w:rPr>
        <w:t>Director nominees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Mark Blinn</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Former chief executive officer of Flowserve Corporation</w:t>
      </w: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right="60"/>
        <w:spacing w:after="0" w:line="267" w:lineRule="auto"/>
        <w:rPr>
          <w:sz w:val="20"/>
          <w:szCs w:val="20"/>
          <w:color w:val="auto"/>
        </w:rPr>
      </w:pPr>
      <w:r>
        <w:rPr>
          <w:rFonts w:ascii="Arial" w:cs="Arial" w:eastAsia="Arial" w:hAnsi="Arial"/>
          <w:sz w:val="19"/>
          <w:szCs w:val="19"/>
          <w:color w:val="2A2A2A"/>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Todd Bluedorn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hanging="263"/>
        <w:spacing w:after="0" w:line="277" w:lineRule="auto"/>
        <w:tabs>
          <w:tab w:leader="none" w:pos="263" w:val="left"/>
        </w:tabs>
        <w:numPr>
          <w:ilvl w:val="0"/>
          <w:numId w:val="45"/>
        </w:numPr>
        <w:rPr>
          <w:rFonts w:ascii="Arial" w:cs="Arial" w:eastAsia="Arial" w:hAnsi="Arial"/>
          <w:sz w:val="19"/>
          <w:szCs w:val="19"/>
          <w:color w:val="2A2A2A"/>
        </w:rPr>
      </w:pPr>
      <w:r>
        <w:rPr>
          <w:rFonts w:ascii="Arial" w:cs="Arial" w:eastAsia="Arial" w:hAnsi="Arial"/>
          <w:sz w:val="19"/>
          <w:szCs w:val="19"/>
          <w:color w:val="2A2A2A"/>
        </w:rPr>
        <w:t>Management responsibility of a large, multinational manufacturer operating in industrial markets</w:t>
      </w:r>
    </w:p>
    <w:p>
      <w:pPr>
        <w:ind w:left="263" w:right="520" w:hanging="263"/>
        <w:spacing w:after="0" w:line="260" w:lineRule="auto"/>
        <w:tabs>
          <w:tab w:leader="none" w:pos="263" w:val="left"/>
        </w:tabs>
        <w:numPr>
          <w:ilvl w:val="0"/>
          <w:numId w:val="45"/>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 w:lineRule="exact"/>
        <w:rPr>
          <w:rFonts w:ascii="Arial" w:cs="Arial" w:eastAsia="Arial" w:hAnsi="Arial"/>
          <w:sz w:val="20"/>
          <w:szCs w:val="20"/>
          <w:color w:val="2A2A2A"/>
        </w:rPr>
      </w:pPr>
    </w:p>
    <w:p>
      <w:pPr>
        <w:ind w:left="263" w:right="280" w:hanging="263"/>
        <w:spacing w:after="0" w:line="281" w:lineRule="auto"/>
        <w:tabs>
          <w:tab w:leader="none" w:pos="263" w:val="left"/>
        </w:tabs>
        <w:numPr>
          <w:ilvl w:val="0"/>
          <w:numId w:val="45"/>
        </w:numPr>
        <w:rPr>
          <w:rFonts w:ascii="Arial" w:cs="Arial" w:eastAsia="Arial" w:hAnsi="Arial"/>
          <w:sz w:val="20"/>
          <w:szCs w:val="20"/>
          <w:color w:val="2A2A2A"/>
        </w:rPr>
      </w:pPr>
      <w:r>
        <w:rPr>
          <w:rFonts w:ascii="Arial" w:cs="Arial" w:eastAsia="Arial" w:hAnsi="Arial"/>
          <w:sz w:val="20"/>
          <w:szCs w:val="20"/>
          <w:color w:val="2A2A2A"/>
        </w:rPr>
        <w:t>Keen appreciation for audit and financial control matters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46"/>
        </w:numPr>
        <w:rPr>
          <w:rFonts w:ascii="Arial" w:cs="Arial" w:eastAsia="Arial" w:hAnsi="Arial"/>
          <w:sz w:val="20"/>
          <w:szCs w:val="20"/>
          <w:color w:val="2A2A2A"/>
        </w:rPr>
      </w:pPr>
      <w:r>
        <w:rPr>
          <w:rFonts w:ascii="Arial" w:cs="Arial" w:eastAsia="Arial" w:hAnsi="Arial"/>
          <w:sz w:val="20"/>
          <w:szCs w:val="20"/>
          <w:color w:val="2A2A2A"/>
        </w:rPr>
        <w:t>Emerson Electric Co.</w:t>
      </w:r>
    </w:p>
    <w:p>
      <w:pPr>
        <w:spacing w:after="0" w:line="35" w:lineRule="exact"/>
        <w:rPr>
          <w:rFonts w:ascii="Arial" w:cs="Arial" w:eastAsia="Arial" w:hAnsi="Arial"/>
          <w:sz w:val="20"/>
          <w:szCs w:val="20"/>
          <w:color w:val="2A2A2A"/>
        </w:rPr>
      </w:pPr>
    </w:p>
    <w:p>
      <w:pPr>
        <w:ind w:left="263" w:hanging="263"/>
        <w:spacing w:after="0"/>
        <w:tabs>
          <w:tab w:leader="none" w:pos="263" w:val="left"/>
        </w:tabs>
        <w:numPr>
          <w:ilvl w:val="0"/>
          <w:numId w:val="46"/>
        </w:numPr>
        <w:rPr>
          <w:rFonts w:ascii="Arial" w:cs="Arial" w:eastAsia="Arial" w:hAnsi="Arial"/>
          <w:sz w:val="20"/>
          <w:szCs w:val="20"/>
          <w:color w:val="2A2A2A"/>
        </w:rPr>
      </w:pPr>
      <w:r>
        <w:rPr>
          <w:rFonts w:ascii="Arial" w:cs="Arial" w:eastAsia="Arial" w:hAnsi="Arial"/>
          <w:sz w:val="20"/>
          <w:szCs w:val="20"/>
          <w:color w:val="2A2A2A"/>
        </w:rPr>
        <w:t>Globe Life Inc.</w:t>
      </w:r>
    </w:p>
    <w:p>
      <w:pPr>
        <w:spacing w:after="0" w:line="30" w:lineRule="exact"/>
        <w:rPr>
          <w:rFonts w:ascii="Arial" w:cs="Arial" w:eastAsia="Arial" w:hAnsi="Arial"/>
          <w:sz w:val="20"/>
          <w:szCs w:val="20"/>
          <w:color w:val="2A2A2A"/>
        </w:rPr>
      </w:pPr>
    </w:p>
    <w:p>
      <w:pPr>
        <w:ind w:left="263" w:hanging="263"/>
        <w:spacing w:after="0"/>
        <w:tabs>
          <w:tab w:leader="none" w:pos="263" w:val="left"/>
        </w:tabs>
        <w:numPr>
          <w:ilvl w:val="0"/>
          <w:numId w:val="46"/>
        </w:numPr>
        <w:rPr>
          <w:rFonts w:ascii="Arial" w:cs="Arial" w:eastAsia="Arial" w:hAnsi="Arial"/>
          <w:sz w:val="20"/>
          <w:szCs w:val="20"/>
          <w:color w:val="2A2A2A"/>
        </w:rPr>
      </w:pPr>
      <w:r>
        <w:rPr>
          <w:rFonts w:ascii="Arial" w:cs="Arial" w:eastAsia="Arial" w:hAnsi="Arial"/>
          <w:sz w:val="20"/>
          <w:szCs w:val="20"/>
          <w:color w:val="2A2A2A"/>
        </w:rPr>
        <w:t>Leggett &amp; Platt, Incorporated</w:t>
      </w:r>
    </w:p>
    <w:p>
      <w:pPr>
        <w:spacing w:after="0" w:line="247"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47"/>
        </w:numPr>
        <w:rPr>
          <w:rFonts w:ascii="Arial" w:cs="Arial" w:eastAsia="Arial" w:hAnsi="Arial"/>
          <w:sz w:val="20"/>
          <w:szCs w:val="20"/>
          <w:color w:val="2A2A2A"/>
        </w:rPr>
      </w:pPr>
      <w:r>
        <w:rPr>
          <w:rFonts w:ascii="Arial" w:cs="Arial" w:eastAsia="Arial" w:hAnsi="Arial"/>
          <w:sz w:val="20"/>
          <w:szCs w:val="20"/>
          <w:color w:val="2A2A2A"/>
        </w:rPr>
        <w:t>Kraton Corporation</w:t>
      </w:r>
    </w:p>
    <w:p>
      <w:pPr>
        <w:spacing w:after="0" w:line="500" w:lineRule="exact"/>
        <w:rPr>
          <w:sz w:val="20"/>
          <w:szCs w:val="20"/>
          <w:color w:val="auto"/>
        </w:rPr>
      </w:pPr>
    </w:p>
    <w:p>
      <w:pPr>
        <w:sectPr>
          <w:pgSz w:w="12240" w:h="15840" w:orient="portrait"/>
          <w:cols w:equalWidth="0" w:num="2">
            <w:col w:w="4900" w:space="417"/>
            <w:col w:w="4763"/>
          </w:cols>
          <w:pgMar w:left="1040" w:top="735" w:right="1120" w:bottom="33" w:gutter="0" w:footer="0" w:header="0"/>
        </w:sectPr>
      </w:pPr>
    </w:p>
    <w:p>
      <w:pPr>
        <w:spacing w:after="0"/>
        <w:rPr>
          <w:sz w:val="20"/>
          <w:szCs w:val="20"/>
          <w:color w:val="auto"/>
        </w:rPr>
      </w:pPr>
      <w:r>
        <w:rPr>
          <w:rFonts w:ascii="Arial" w:cs="Arial" w:eastAsia="Arial" w:hAnsi="Arial"/>
          <w:sz w:val="19"/>
          <w:szCs w:val="19"/>
          <w:color w:val="2A2A2A"/>
        </w:rPr>
        <w:t>Former chairman and chief executive officer of Lennox International Inc.</w:t>
      </w:r>
    </w:p>
    <w:p>
      <w:pPr>
        <w:sectPr>
          <w:pgSz w:w="12240" w:h="15840" w:orient="portrait"/>
          <w:cols w:equalWidth="0" w:num="1">
            <w:col w:w="10080"/>
          </w:cols>
          <w:pgMar w:left="1040" w:top="735" w:right="1120" w:bottom="33" w:gutter="0" w:footer="0" w:header="0"/>
          <w:type w:val="continuous"/>
        </w:sectPr>
      </w:pP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67" w:lineRule="auto"/>
        <w:rPr>
          <w:sz w:val="20"/>
          <w:szCs w:val="20"/>
          <w:color w:val="auto"/>
        </w:rPr>
      </w:pPr>
      <w:r>
        <w:rPr>
          <w:rFonts w:ascii="Arial" w:cs="Arial" w:eastAsia="Arial" w:hAnsi="Arial"/>
          <w:sz w:val="19"/>
          <w:szCs w:val="19"/>
          <w:color w:val="2A2A2A"/>
        </w:rPr>
        <w:t>Mr. Bluedorn served as vice chair of Madison Industries from 2022 to 2023. Prior to Madison Industries, he served as chief executive officer of Lennox International from 2007 to 2022 and chairman of 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hanging="263"/>
        <w:spacing w:after="0" w:line="277" w:lineRule="auto"/>
        <w:tabs>
          <w:tab w:leader="none" w:pos="263" w:val="left"/>
        </w:tabs>
        <w:numPr>
          <w:ilvl w:val="0"/>
          <w:numId w:val="48"/>
        </w:numPr>
        <w:rPr>
          <w:rFonts w:ascii="Arial" w:cs="Arial" w:eastAsia="Arial" w:hAnsi="Arial"/>
          <w:sz w:val="19"/>
          <w:szCs w:val="19"/>
          <w:color w:val="2A2A2A"/>
        </w:rPr>
      </w:pPr>
      <w:r>
        <w:rPr>
          <w:rFonts w:ascii="Arial" w:cs="Arial" w:eastAsia="Arial" w:hAnsi="Arial"/>
          <w:sz w:val="19"/>
          <w:szCs w:val="19"/>
          <w:color w:val="2A2A2A"/>
        </w:rPr>
        <w:t>Management responsibility of a large, multinational manufacturer operating in industrial markets</w:t>
      </w:r>
    </w:p>
    <w:p>
      <w:pPr>
        <w:ind w:left="263" w:right="520" w:hanging="263"/>
        <w:spacing w:after="0" w:line="281" w:lineRule="auto"/>
        <w:tabs>
          <w:tab w:leader="none" w:pos="263" w:val="left"/>
        </w:tabs>
        <w:numPr>
          <w:ilvl w:val="0"/>
          <w:numId w:val="48"/>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49"/>
        </w:numPr>
        <w:rPr>
          <w:rFonts w:ascii="Arial" w:cs="Arial" w:eastAsia="Arial" w:hAnsi="Arial"/>
          <w:sz w:val="20"/>
          <w:szCs w:val="20"/>
          <w:color w:val="2A2A2A"/>
        </w:rPr>
      </w:pPr>
      <w:r>
        <w:rPr>
          <w:rFonts w:ascii="Arial" w:cs="Arial" w:eastAsia="Arial" w:hAnsi="Arial"/>
          <w:sz w:val="20"/>
          <w:szCs w:val="20"/>
          <w:color w:val="2A2A2A"/>
        </w:rPr>
        <w:t>Samsara Inc.</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50"/>
        </w:numPr>
        <w:rPr>
          <w:rFonts w:ascii="Arial" w:cs="Arial" w:eastAsia="Arial" w:hAnsi="Arial"/>
          <w:sz w:val="20"/>
          <w:szCs w:val="20"/>
          <w:color w:val="2A2A2A"/>
        </w:rPr>
      </w:pPr>
      <w:r>
        <w:rPr>
          <w:rFonts w:ascii="Arial" w:cs="Arial" w:eastAsia="Arial" w:hAnsi="Arial"/>
          <w:sz w:val="20"/>
          <w:szCs w:val="20"/>
          <w:color w:val="2A2A2A"/>
        </w:rPr>
        <w:t>Eaton Corporation plc</w:t>
      </w:r>
    </w:p>
    <w:p>
      <w:pPr>
        <w:spacing w:after="0" w:line="35" w:lineRule="exact"/>
        <w:rPr>
          <w:rFonts w:ascii="Arial" w:cs="Arial" w:eastAsia="Arial" w:hAnsi="Arial"/>
          <w:sz w:val="20"/>
          <w:szCs w:val="20"/>
          <w:color w:val="2A2A2A"/>
        </w:rPr>
      </w:pPr>
    </w:p>
    <w:p>
      <w:pPr>
        <w:ind w:left="263" w:hanging="263"/>
        <w:spacing w:after="0"/>
        <w:tabs>
          <w:tab w:leader="none" w:pos="263" w:val="left"/>
        </w:tabs>
        <w:numPr>
          <w:ilvl w:val="0"/>
          <w:numId w:val="50"/>
        </w:numPr>
        <w:rPr>
          <w:rFonts w:ascii="Arial" w:cs="Arial" w:eastAsia="Arial" w:hAnsi="Arial"/>
          <w:sz w:val="20"/>
          <w:szCs w:val="20"/>
          <w:color w:val="2A2A2A"/>
        </w:rPr>
      </w:pPr>
      <w:r>
        <w:rPr>
          <w:rFonts w:ascii="Arial" w:cs="Arial" w:eastAsia="Arial" w:hAnsi="Arial"/>
          <w:sz w:val="20"/>
          <w:szCs w:val="20"/>
          <w:color w:val="2A2A2A"/>
        </w:rPr>
        <w:t>Lennox International Inc.</w:t>
      </w:r>
    </w:p>
    <w:p>
      <w:pPr>
        <w:spacing w:after="0" w:line="247" w:lineRule="exact"/>
        <w:rPr>
          <w:sz w:val="20"/>
          <w:szCs w:val="20"/>
          <w:color w:val="auto"/>
        </w:rPr>
      </w:pPr>
    </w:p>
    <w:p>
      <w:pPr>
        <w:sectPr>
          <w:pgSz w:w="12240" w:h="15840" w:orient="portrait"/>
          <w:cols w:equalWidth="0" w:num="2">
            <w:col w:w="4760" w:space="557"/>
            <w:col w:w="4763"/>
          </w:cols>
          <w:pgMar w:left="1040" w:top="735" w:right="1120" w:bottom="33" w:gutter="0" w:footer="0" w:header="0"/>
          <w:type w:val="continuous"/>
        </w:sectPr>
      </w:pPr>
    </w:p>
    <w:p>
      <w:pPr>
        <w:spacing w:after="0"/>
        <w:rPr>
          <w:sz w:val="20"/>
          <w:szCs w:val="20"/>
          <w:color w:val="auto"/>
        </w:rPr>
      </w:pPr>
      <w:r>
        <w:rPr>
          <w:rFonts w:ascii="Arial" w:cs="Arial" w:eastAsia="Arial" w:hAnsi="Arial"/>
          <w:sz w:val="22"/>
          <w:szCs w:val="22"/>
          <w:b w:val="1"/>
          <w:bCs w:val="1"/>
          <w:color w:val="2A2A2A"/>
        </w:rPr>
        <w:t>Janet Clark</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Former chief financial officer of Marathon Oil Corporation</w:t>
      </w: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right="100"/>
        <w:spacing w:after="0" w:line="267" w:lineRule="auto"/>
        <w:rPr>
          <w:sz w:val="20"/>
          <w:szCs w:val="20"/>
          <w:color w:val="auto"/>
        </w:rPr>
      </w:pPr>
      <w:r>
        <w:rPr>
          <w:rFonts w:ascii="Arial" w:cs="Arial" w:eastAsia="Arial" w:hAnsi="Arial"/>
          <w:sz w:val="19"/>
          <w:szCs w:val="19"/>
          <w:color w:val="2A2A2A"/>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280" w:hanging="263"/>
        <w:spacing w:after="0" w:line="263" w:lineRule="auto"/>
        <w:tabs>
          <w:tab w:leader="none" w:pos="263" w:val="left"/>
        </w:tabs>
        <w:numPr>
          <w:ilvl w:val="0"/>
          <w:numId w:val="51"/>
        </w:numPr>
        <w:rPr>
          <w:rFonts w:ascii="Arial" w:cs="Arial" w:eastAsia="Arial" w:hAnsi="Arial"/>
          <w:sz w:val="20"/>
          <w:szCs w:val="20"/>
          <w:color w:val="2A2A2A"/>
        </w:rPr>
      </w:pPr>
      <w:r>
        <w:rPr>
          <w:rFonts w:ascii="Arial" w:cs="Arial" w:eastAsia="Arial" w:hAnsi="Arial"/>
          <w:sz w:val="20"/>
          <w:szCs w:val="20"/>
          <w:color w:val="2A2A2A"/>
        </w:rPr>
        <w:t>Keen appreciation for audit and financial control matters</w:t>
      </w:r>
    </w:p>
    <w:p>
      <w:pPr>
        <w:ind w:left="263" w:right="660" w:hanging="263"/>
        <w:spacing w:after="0" w:line="281" w:lineRule="auto"/>
        <w:tabs>
          <w:tab w:leader="none" w:pos="263" w:val="left"/>
        </w:tabs>
        <w:numPr>
          <w:ilvl w:val="0"/>
          <w:numId w:val="51"/>
        </w:numPr>
        <w:rPr>
          <w:rFonts w:ascii="Arial" w:cs="Arial" w:eastAsia="Arial" w:hAnsi="Arial"/>
          <w:sz w:val="20"/>
          <w:szCs w:val="20"/>
          <w:color w:val="2A2A2A"/>
        </w:rPr>
      </w:pPr>
      <w:r>
        <w:rPr>
          <w:rFonts w:ascii="Arial" w:cs="Arial" w:eastAsia="Arial" w:hAnsi="Arial"/>
          <w:sz w:val="20"/>
          <w:szCs w:val="20"/>
          <w:color w:val="2A2A2A"/>
        </w:rPr>
        <w:t>Oversight of large multinational companies, including one in the technology industry</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52"/>
        </w:numPr>
        <w:rPr>
          <w:rFonts w:ascii="Arial" w:cs="Arial" w:eastAsia="Arial" w:hAnsi="Arial"/>
          <w:sz w:val="20"/>
          <w:szCs w:val="20"/>
          <w:color w:val="2A2A2A"/>
        </w:rPr>
      </w:pPr>
      <w:r>
        <w:rPr>
          <w:rFonts w:ascii="Arial" w:cs="Arial" w:eastAsia="Arial" w:hAnsi="Arial"/>
          <w:sz w:val="20"/>
          <w:szCs w:val="20"/>
          <w:color w:val="2A2A2A"/>
        </w:rPr>
        <w:t>EOG Resources, Inc.</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53"/>
        </w:numPr>
        <w:rPr>
          <w:rFonts w:ascii="Arial" w:cs="Arial" w:eastAsia="Arial" w:hAnsi="Arial"/>
          <w:sz w:val="20"/>
          <w:szCs w:val="20"/>
          <w:color w:val="2A2A2A"/>
        </w:rPr>
      </w:pPr>
      <w:r>
        <w:rPr>
          <w:rFonts w:ascii="Arial" w:cs="Arial" w:eastAsia="Arial" w:hAnsi="Arial"/>
          <w:sz w:val="20"/>
          <w:szCs w:val="20"/>
          <w:color w:val="2A2A2A"/>
        </w:rPr>
        <w:t>None</w:t>
      </w:r>
    </w:p>
    <w:p>
      <w:pPr>
        <w:spacing w:after="0" w:line="1136" w:lineRule="exact"/>
        <w:rPr>
          <w:sz w:val="20"/>
          <w:szCs w:val="20"/>
          <w:color w:val="auto"/>
        </w:rPr>
      </w:pPr>
    </w:p>
    <w:p>
      <w:pPr>
        <w:sectPr>
          <w:pgSz w:w="12240" w:h="15840" w:orient="portrait"/>
          <w:cols w:equalWidth="0" w:num="2">
            <w:col w:w="5020" w:space="297"/>
            <w:col w:w="4763"/>
          </w:cols>
          <w:pgMar w:left="1040" w:top="735" w:right="1120" w:bottom="33" w:gutter="0" w:footer="0" w:header="0"/>
          <w:type w:val="continuous"/>
        </w:sectPr>
      </w:pP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8</w:t>
      </w:r>
    </w:p>
    <w:p>
      <w:pPr>
        <w:sectPr>
          <w:pgSz w:w="12240" w:h="15840" w:orient="portrait"/>
          <w:cols w:equalWidth="0" w:num="1">
            <w:col w:w="10080"/>
          </w:cols>
          <w:pgMar w:left="1040" w:top="735" w:right="1120" w:bottom="33"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2A2A2A"/>
        </w:rPr>
        <w:t>Carrie Cox</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Former chairman and chief executive officer of Humacyte, Inc.</w:t>
      </w:r>
    </w:p>
    <w:p>
      <w:pPr>
        <w:sectPr>
          <w:pgSz w:w="12240" w:h="15840" w:orient="portrait"/>
          <w:cols w:equalWidth="0" w:num="1">
            <w:col w:w="10080"/>
          </w:cols>
          <w:pgMar w:left="1040" w:top="1127" w:right="1120" w:bottom="33" w:gutter="0" w:footer="0" w:header="0"/>
        </w:sectPr>
      </w:pP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-111760</wp:posOffset>
            </wp:positionV>
            <wp:extent cx="1106170" cy="1306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53" w:lineRule="auto"/>
        <w:rPr>
          <w:sz w:val="20"/>
          <w:szCs w:val="20"/>
          <w:color w:val="auto"/>
        </w:rPr>
      </w:pPr>
      <w:r>
        <w:rPr>
          <w:rFonts w:ascii="Arial" w:cs="Arial" w:eastAsia="Arial" w:hAnsi="Arial"/>
          <w:sz w:val="20"/>
          <w:szCs w:val="20"/>
          <w:color w:val="2A2A2A"/>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Martin Craighead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60" w:hanging="263"/>
        <w:spacing w:after="0" w:line="277" w:lineRule="auto"/>
        <w:tabs>
          <w:tab w:leader="none" w:pos="263" w:val="left"/>
        </w:tabs>
        <w:numPr>
          <w:ilvl w:val="0"/>
          <w:numId w:val="54"/>
        </w:numPr>
        <w:rPr>
          <w:rFonts w:ascii="Arial" w:cs="Arial" w:eastAsia="Arial" w:hAnsi="Arial"/>
          <w:sz w:val="19"/>
          <w:szCs w:val="19"/>
          <w:color w:val="2A2A2A"/>
        </w:rPr>
      </w:pPr>
      <w:r>
        <w:rPr>
          <w:rFonts w:ascii="Arial" w:cs="Arial" w:eastAsia="Arial" w:hAnsi="Arial"/>
          <w:sz w:val="19"/>
          <w:szCs w:val="19"/>
          <w:color w:val="2A2A2A"/>
        </w:rPr>
        <w:t>Management responsibility of a large multinational company operating in a regulated industry</w:t>
      </w:r>
    </w:p>
    <w:p>
      <w:pPr>
        <w:ind w:left="263" w:right="520" w:hanging="263"/>
        <w:spacing w:after="0" w:line="281" w:lineRule="auto"/>
        <w:tabs>
          <w:tab w:leader="none" w:pos="263" w:val="left"/>
        </w:tabs>
        <w:numPr>
          <w:ilvl w:val="0"/>
          <w:numId w:val="54"/>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55"/>
        </w:numPr>
        <w:rPr>
          <w:rFonts w:ascii="Arial" w:cs="Arial" w:eastAsia="Arial" w:hAnsi="Arial"/>
          <w:sz w:val="20"/>
          <w:szCs w:val="20"/>
          <w:color w:val="2A2A2A"/>
        </w:rPr>
      </w:pPr>
      <w:r>
        <w:rPr>
          <w:rFonts w:ascii="Arial" w:cs="Arial" w:eastAsia="Arial" w:hAnsi="Arial"/>
          <w:sz w:val="20"/>
          <w:szCs w:val="20"/>
          <w:color w:val="2A2A2A"/>
        </w:rPr>
        <w:t>Organon &amp; Co.</w:t>
      </w:r>
    </w:p>
    <w:p>
      <w:pPr>
        <w:spacing w:after="0" w:line="35" w:lineRule="exact"/>
        <w:rPr>
          <w:rFonts w:ascii="Arial" w:cs="Arial" w:eastAsia="Arial" w:hAnsi="Arial"/>
          <w:sz w:val="20"/>
          <w:szCs w:val="20"/>
          <w:color w:val="2A2A2A"/>
        </w:rPr>
      </w:pPr>
    </w:p>
    <w:p>
      <w:pPr>
        <w:ind w:left="263" w:right="780" w:hanging="263"/>
        <w:spacing w:after="0" w:line="281" w:lineRule="auto"/>
        <w:tabs>
          <w:tab w:leader="none" w:pos="263" w:val="left"/>
        </w:tabs>
        <w:numPr>
          <w:ilvl w:val="0"/>
          <w:numId w:val="55"/>
        </w:numPr>
        <w:rPr>
          <w:rFonts w:ascii="Arial" w:cs="Arial" w:eastAsia="Arial" w:hAnsi="Arial"/>
          <w:sz w:val="20"/>
          <w:szCs w:val="20"/>
          <w:color w:val="2A2A2A"/>
        </w:rPr>
      </w:pPr>
      <w:r>
        <w:rPr>
          <w:rFonts w:ascii="Arial" w:cs="Arial" w:eastAsia="Arial" w:hAnsi="Arial"/>
          <w:sz w:val="20"/>
          <w:szCs w:val="20"/>
          <w:color w:val="2A2A2A"/>
        </w:rPr>
        <w:t>Cartesian Therapeutics, Inc. (f/k/a Selecta Biosciences, Inc.)</w:t>
      </w:r>
    </w:p>
    <w:p>
      <w:pPr>
        <w:spacing w:after="0" w:line="178"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56"/>
        </w:numPr>
        <w:rPr>
          <w:rFonts w:ascii="Arial" w:cs="Arial" w:eastAsia="Arial" w:hAnsi="Arial"/>
          <w:sz w:val="20"/>
          <w:szCs w:val="20"/>
          <w:color w:val="2A2A2A"/>
        </w:rPr>
      </w:pPr>
      <w:r>
        <w:rPr>
          <w:rFonts w:ascii="Arial" w:cs="Arial" w:eastAsia="Arial" w:hAnsi="Arial"/>
          <w:sz w:val="20"/>
          <w:szCs w:val="20"/>
          <w:color w:val="2A2A2A"/>
        </w:rPr>
        <w:t>Array BioPharma Inc.</w:t>
      </w:r>
    </w:p>
    <w:p>
      <w:pPr>
        <w:spacing w:after="0" w:line="35" w:lineRule="exact"/>
        <w:rPr>
          <w:rFonts w:ascii="Arial" w:cs="Arial" w:eastAsia="Arial" w:hAnsi="Arial"/>
          <w:sz w:val="20"/>
          <w:szCs w:val="20"/>
          <w:color w:val="2A2A2A"/>
        </w:rPr>
      </w:pPr>
    </w:p>
    <w:p>
      <w:pPr>
        <w:ind w:left="263" w:hanging="263"/>
        <w:spacing w:after="0"/>
        <w:tabs>
          <w:tab w:leader="none" w:pos="263" w:val="left"/>
        </w:tabs>
        <w:numPr>
          <w:ilvl w:val="0"/>
          <w:numId w:val="56"/>
        </w:numPr>
        <w:rPr>
          <w:rFonts w:ascii="Arial" w:cs="Arial" w:eastAsia="Arial" w:hAnsi="Arial"/>
          <w:sz w:val="20"/>
          <w:szCs w:val="20"/>
          <w:color w:val="2A2A2A"/>
        </w:rPr>
      </w:pPr>
      <w:r>
        <w:rPr>
          <w:rFonts w:ascii="Arial" w:cs="Arial" w:eastAsia="Arial" w:hAnsi="Arial"/>
          <w:sz w:val="20"/>
          <w:szCs w:val="20"/>
          <w:color w:val="2A2A2A"/>
        </w:rPr>
        <w:t>Cardinal Health, Inc.</w:t>
      </w:r>
    </w:p>
    <w:p>
      <w:pPr>
        <w:spacing w:after="0" w:line="30" w:lineRule="exact"/>
        <w:rPr>
          <w:rFonts w:ascii="Arial" w:cs="Arial" w:eastAsia="Arial" w:hAnsi="Arial"/>
          <w:sz w:val="20"/>
          <w:szCs w:val="20"/>
          <w:color w:val="2A2A2A"/>
        </w:rPr>
      </w:pPr>
    </w:p>
    <w:p>
      <w:pPr>
        <w:ind w:left="263" w:hanging="263"/>
        <w:spacing w:after="0"/>
        <w:tabs>
          <w:tab w:leader="none" w:pos="263" w:val="left"/>
        </w:tabs>
        <w:numPr>
          <w:ilvl w:val="0"/>
          <w:numId w:val="56"/>
        </w:numPr>
        <w:rPr>
          <w:rFonts w:ascii="Arial" w:cs="Arial" w:eastAsia="Arial" w:hAnsi="Arial"/>
          <w:sz w:val="20"/>
          <w:szCs w:val="20"/>
          <w:color w:val="2A2A2A"/>
        </w:rPr>
      </w:pPr>
      <w:r>
        <w:rPr>
          <w:rFonts w:ascii="Arial" w:cs="Arial" w:eastAsia="Arial" w:hAnsi="Arial"/>
          <w:sz w:val="20"/>
          <w:szCs w:val="20"/>
          <w:color w:val="2A2A2A"/>
        </w:rPr>
        <w:t>Celgene Corporation</w:t>
      </w:r>
    </w:p>
    <w:p>
      <w:pPr>
        <w:spacing w:after="0" w:line="30" w:lineRule="exact"/>
        <w:rPr>
          <w:rFonts w:ascii="Arial" w:cs="Arial" w:eastAsia="Arial" w:hAnsi="Arial"/>
          <w:sz w:val="20"/>
          <w:szCs w:val="20"/>
          <w:color w:val="2A2A2A"/>
        </w:rPr>
      </w:pPr>
    </w:p>
    <w:p>
      <w:pPr>
        <w:ind w:left="263" w:hanging="263"/>
        <w:spacing w:after="0"/>
        <w:tabs>
          <w:tab w:leader="none" w:pos="263" w:val="left"/>
        </w:tabs>
        <w:numPr>
          <w:ilvl w:val="0"/>
          <w:numId w:val="56"/>
        </w:numPr>
        <w:rPr>
          <w:rFonts w:ascii="Arial" w:cs="Arial" w:eastAsia="Arial" w:hAnsi="Arial"/>
          <w:sz w:val="20"/>
          <w:szCs w:val="20"/>
          <w:color w:val="2A2A2A"/>
        </w:rPr>
      </w:pPr>
      <w:r>
        <w:rPr>
          <w:rFonts w:ascii="Arial" w:cs="Arial" w:eastAsia="Arial" w:hAnsi="Arial"/>
          <w:sz w:val="20"/>
          <w:szCs w:val="20"/>
          <w:color w:val="2A2A2A"/>
        </w:rPr>
        <w:t>electroCore, Inc.</w:t>
      </w:r>
    </w:p>
    <w:p>
      <w:pPr>
        <w:spacing w:after="0" w:line="494" w:lineRule="exact"/>
        <w:rPr>
          <w:sz w:val="20"/>
          <w:szCs w:val="20"/>
          <w:color w:val="auto"/>
        </w:rPr>
      </w:pPr>
    </w:p>
    <w:p>
      <w:pPr>
        <w:sectPr>
          <w:pgSz w:w="12240" w:h="15840" w:orient="portrait"/>
          <w:cols w:equalWidth="0" w:num="2">
            <w:col w:w="4780" w:space="537"/>
            <w:col w:w="4763"/>
          </w:cols>
          <w:pgMar w:left="1040" w:top="1127" w:right="1120" w:bottom="33" w:gutter="0" w:footer="0" w:header="0"/>
          <w:type w:val="continuous"/>
        </w:sectPr>
      </w:pPr>
    </w:p>
    <w:p>
      <w:pPr>
        <w:spacing w:after="0"/>
        <w:rPr>
          <w:sz w:val="20"/>
          <w:szCs w:val="20"/>
          <w:color w:val="auto"/>
        </w:rPr>
      </w:pPr>
      <w:r>
        <w:rPr>
          <w:rFonts w:ascii="Arial" w:cs="Arial" w:eastAsia="Arial" w:hAnsi="Arial"/>
          <w:sz w:val="19"/>
          <w:szCs w:val="19"/>
          <w:color w:val="2A2A2A"/>
        </w:rPr>
        <w:t>Former chairman and chief executive officer of Baker Hughes Inc.</w:t>
      </w:r>
    </w:p>
    <w:p>
      <w:pPr>
        <w:sectPr>
          <w:pgSz w:w="12240" w:h="15840" w:orient="portrait"/>
          <w:cols w:equalWidth="0" w:num="1">
            <w:col w:w="10080"/>
          </w:cols>
          <w:pgMar w:left="1040" w:top="1127" w:right="1120" w:bottom="33" w:gutter="0" w:footer="0" w:header="0"/>
          <w:type w:val="continuous"/>
        </w:sectPr>
      </w:pPr>
    </w:p>
    <w:p>
      <w:pPr>
        <w:spacing w:after="0" w:line="80"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rPr>
          <w:sz w:val="20"/>
          <w:szCs w:val="20"/>
          <w:color w:val="auto"/>
        </w:rPr>
      </w:pPr>
      <w:r>
        <w:rPr>
          <w:rFonts w:ascii="Arial" w:cs="Arial" w:eastAsia="Arial" w:hAnsi="Arial"/>
          <w:sz w:val="20"/>
          <w:szCs w:val="20"/>
          <w:color w:val="2A2A2A"/>
        </w:rPr>
        <w:t>At Baker Hughes Inc.,</w:t>
      </w:r>
    </w:p>
    <w:p>
      <w:pPr>
        <w:spacing w:after="0" w:line="30" w:lineRule="exact"/>
        <w:rPr>
          <w:sz w:val="20"/>
          <w:szCs w:val="20"/>
          <w:color w:val="auto"/>
        </w:rPr>
      </w:pPr>
    </w:p>
    <w:p>
      <w:pPr>
        <w:ind w:left="1900"/>
        <w:spacing w:after="0" w:line="251" w:lineRule="auto"/>
        <w:rPr>
          <w:sz w:val="20"/>
          <w:szCs w:val="20"/>
          <w:color w:val="auto"/>
        </w:rPr>
      </w:pPr>
      <w:r>
        <w:rPr>
          <w:rFonts w:ascii="Arial" w:cs="Arial" w:eastAsia="Arial" w:hAnsi="Arial"/>
          <w:sz w:val="20"/>
          <w:szCs w:val="20"/>
          <w:color w:val="2A2A2A"/>
        </w:rPr>
        <w:t>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hanging="263"/>
        <w:spacing w:after="0" w:line="277" w:lineRule="auto"/>
        <w:tabs>
          <w:tab w:leader="none" w:pos="263" w:val="left"/>
        </w:tabs>
        <w:numPr>
          <w:ilvl w:val="0"/>
          <w:numId w:val="57"/>
        </w:numPr>
        <w:rPr>
          <w:rFonts w:ascii="Arial" w:cs="Arial" w:eastAsia="Arial" w:hAnsi="Arial"/>
          <w:sz w:val="19"/>
          <w:szCs w:val="19"/>
          <w:color w:val="2A2A2A"/>
        </w:rPr>
      </w:pPr>
      <w:r>
        <w:rPr>
          <w:rFonts w:ascii="Arial" w:cs="Arial" w:eastAsia="Arial" w:hAnsi="Arial"/>
          <w:sz w:val="19"/>
          <w:szCs w:val="19"/>
          <w:color w:val="2A2A2A"/>
        </w:rPr>
        <w:t>Management responsibility of a large, multinational company operating in industrial markets</w:t>
      </w:r>
    </w:p>
    <w:p>
      <w:pPr>
        <w:ind w:left="263" w:right="520" w:hanging="263"/>
        <w:spacing w:after="0" w:line="281" w:lineRule="auto"/>
        <w:tabs>
          <w:tab w:leader="none" w:pos="263" w:val="left"/>
        </w:tabs>
        <w:numPr>
          <w:ilvl w:val="0"/>
          <w:numId w:val="57"/>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58"/>
        </w:numPr>
        <w:rPr>
          <w:rFonts w:ascii="Arial" w:cs="Arial" w:eastAsia="Arial" w:hAnsi="Arial"/>
          <w:sz w:val="20"/>
          <w:szCs w:val="20"/>
          <w:color w:val="2A2A2A"/>
        </w:rPr>
      </w:pPr>
      <w:r>
        <w:rPr>
          <w:rFonts w:ascii="Arial" w:cs="Arial" w:eastAsia="Arial" w:hAnsi="Arial"/>
          <w:sz w:val="20"/>
          <w:szCs w:val="20"/>
          <w:color w:val="2A2A2A"/>
        </w:rPr>
        <w:t>Emerson Electric Co.</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59"/>
        </w:numPr>
        <w:rPr>
          <w:rFonts w:ascii="Arial" w:cs="Arial" w:eastAsia="Arial" w:hAnsi="Arial"/>
          <w:sz w:val="20"/>
          <w:szCs w:val="20"/>
          <w:i w:val="1"/>
          <w:iCs w:val="1"/>
          <w:color w:val="2A2A2A"/>
        </w:rPr>
      </w:pPr>
      <w:r>
        <w:rPr>
          <w:rFonts w:ascii="Arial" w:cs="Arial" w:eastAsia="Arial" w:hAnsi="Arial"/>
          <w:sz w:val="20"/>
          <w:szCs w:val="20"/>
          <w:color w:val="2A2A2A"/>
        </w:rPr>
        <w:t>Ecovyst Inc.</w:t>
      </w:r>
    </w:p>
    <w:p>
      <w:pPr>
        <w:spacing w:after="0" w:line="513" w:lineRule="exact"/>
        <w:rPr>
          <w:sz w:val="20"/>
          <w:szCs w:val="20"/>
          <w:color w:val="auto"/>
        </w:rPr>
      </w:pPr>
    </w:p>
    <w:p>
      <w:pPr>
        <w:sectPr>
          <w:pgSz w:w="12240" w:h="15840" w:orient="portrait"/>
          <w:cols w:equalWidth="0" w:num="2">
            <w:col w:w="4780" w:space="537"/>
            <w:col w:w="4763"/>
          </w:cols>
          <w:pgMar w:left="1040" w:top="1127" w:right="1120" w:bottom="33" w:gutter="0" w:footer="0" w:header="0"/>
          <w:type w:val="continuous"/>
        </w:sectPr>
      </w:pPr>
    </w:p>
    <w:p>
      <w:pPr>
        <w:spacing w:after="0"/>
        <w:rPr>
          <w:sz w:val="20"/>
          <w:szCs w:val="20"/>
          <w:color w:val="auto"/>
        </w:rPr>
      </w:pPr>
      <w:r>
        <w:rPr>
          <w:rFonts w:ascii="Arial" w:cs="Arial" w:eastAsia="Arial" w:hAnsi="Arial"/>
          <w:sz w:val="22"/>
          <w:szCs w:val="22"/>
          <w:b w:val="1"/>
          <w:bCs w:val="1"/>
          <w:color w:val="2A2A2A"/>
        </w:rPr>
        <w:t>Reginald DesRoches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2A2A2A"/>
        </w:rPr>
        <w:t>President of Rice University</w:t>
      </w:r>
    </w:p>
    <w:p>
      <w:pPr>
        <w:spacing w:after="0" w:line="65"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67" w:lineRule="auto"/>
        <w:rPr>
          <w:sz w:val="20"/>
          <w:szCs w:val="20"/>
          <w:color w:val="auto"/>
        </w:rPr>
      </w:pPr>
      <w:r>
        <w:rPr>
          <w:rFonts w:ascii="Arial" w:cs="Arial" w:eastAsia="Arial" w:hAnsi="Arial"/>
          <w:sz w:val="19"/>
          <w:szCs w:val="19"/>
          <w:color w:val="2A2A2A"/>
        </w:rPr>
        <w:t>Dr. DesRoches has been the president of Rice University since 2022 and a professor of engineering since 2017. Prior to his role as president, he served as Rice’s Howard Hughes Provost from 2020 to 2022 and the William and Stephanie Sick Dean of Engineering from 2017 to 2020. Dr. DesRoches previously served as the chair of the School of Civil and Environmental Engineering at Georgia Tech.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500" w:hanging="263"/>
        <w:spacing w:after="0" w:line="277" w:lineRule="auto"/>
        <w:tabs>
          <w:tab w:leader="none" w:pos="263" w:val="left"/>
        </w:tabs>
        <w:numPr>
          <w:ilvl w:val="0"/>
          <w:numId w:val="60"/>
        </w:numPr>
        <w:rPr>
          <w:rFonts w:ascii="Arial" w:cs="Arial" w:eastAsia="Arial" w:hAnsi="Arial"/>
          <w:sz w:val="19"/>
          <w:szCs w:val="19"/>
          <w:color w:val="2A2A2A"/>
        </w:rPr>
      </w:pPr>
      <w:r>
        <w:rPr>
          <w:rFonts w:ascii="Arial" w:cs="Arial" w:eastAsia="Arial" w:hAnsi="Arial"/>
          <w:sz w:val="19"/>
          <w:szCs w:val="19"/>
          <w:color w:val="2A2A2A"/>
        </w:rPr>
        <w:t>Management responsibility of a large, internationally recognized research university</w:t>
      </w:r>
    </w:p>
    <w:p>
      <w:pPr>
        <w:ind w:left="263" w:right="520" w:hanging="263"/>
        <w:spacing w:after="0" w:line="260" w:lineRule="auto"/>
        <w:tabs>
          <w:tab w:leader="none" w:pos="263" w:val="left"/>
        </w:tabs>
        <w:numPr>
          <w:ilvl w:val="0"/>
          <w:numId w:val="60"/>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 w:lineRule="exact"/>
        <w:rPr>
          <w:rFonts w:ascii="Arial" w:cs="Arial" w:eastAsia="Arial" w:hAnsi="Arial"/>
          <w:sz w:val="20"/>
          <w:szCs w:val="20"/>
          <w:color w:val="2A2A2A"/>
        </w:rPr>
      </w:pPr>
    </w:p>
    <w:p>
      <w:pPr>
        <w:ind w:left="263" w:hanging="263"/>
        <w:spacing w:after="0"/>
        <w:tabs>
          <w:tab w:leader="none" w:pos="263" w:val="left"/>
        </w:tabs>
        <w:numPr>
          <w:ilvl w:val="0"/>
          <w:numId w:val="60"/>
        </w:numPr>
        <w:rPr>
          <w:rFonts w:ascii="Arial" w:cs="Arial" w:eastAsia="Arial" w:hAnsi="Arial"/>
          <w:sz w:val="20"/>
          <w:szCs w:val="20"/>
          <w:color w:val="2A2A2A"/>
        </w:rPr>
      </w:pPr>
      <w:r>
        <w:rPr>
          <w:rFonts w:ascii="Arial" w:cs="Arial" w:eastAsia="Arial" w:hAnsi="Arial"/>
          <w:sz w:val="20"/>
          <w:szCs w:val="20"/>
          <w:color w:val="2A2A2A"/>
        </w:rPr>
        <w:t>Keen appreciation for technology matters</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61"/>
        </w:numPr>
        <w:rPr>
          <w:rFonts w:ascii="Arial" w:cs="Arial" w:eastAsia="Arial" w:hAnsi="Arial"/>
          <w:sz w:val="20"/>
          <w:szCs w:val="20"/>
          <w:color w:val="2A2A2A"/>
        </w:rPr>
      </w:pPr>
      <w:r>
        <w:rPr>
          <w:rFonts w:ascii="Arial" w:cs="Arial" w:eastAsia="Arial" w:hAnsi="Arial"/>
          <w:sz w:val="20"/>
          <w:szCs w:val="20"/>
          <w:color w:val="2A2A2A"/>
        </w:rPr>
        <w:t>Brandywine Realty Trust</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62"/>
        </w:numPr>
        <w:rPr>
          <w:rFonts w:ascii="Arial" w:cs="Arial" w:eastAsia="Arial" w:hAnsi="Arial"/>
          <w:sz w:val="20"/>
          <w:szCs w:val="20"/>
          <w:color w:val="2A2A2A"/>
        </w:rPr>
      </w:pPr>
      <w:r>
        <w:rPr>
          <w:rFonts w:ascii="Arial" w:cs="Arial" w:eastAsia="Arial" w:hAnsi="Arial"/>
          <w:sz w:val="20"/>
          <w:szCs w:val="20"/>
          <w:color w:val="2A2A2A"/>
        </w:rPr>
        <w:t>None</w:t>
      </w:r>
    </w:p>
    <w:p>
      <w:pPr>
        <w:spacing w:after="0" w:line="572" w:lineRule="exact"/>
        <w:rPr>
          <w:sz w:val="20"/>
          <w:szCs w:val="20"/>
          <w:color w:val="auto"/>
        </w:rPr>
      </w:pPr>
    </w:p>
    <w:p>
      <w:pPr>
        <w:sectPr>
          <w:pgSz w:w="12240" w:h="15840" w:orient="portrait"/>
          <w:cols w:equalWidth="0" w:num="2">
            <w:col w:w="4720" w:space="597"/>
            <w:col w:w="4763"/>
          </w:cols>
          <w:pgMar w:left="1040" w:top="1127" w:right="1120" w:bottom="33" w:gutter="0" w:footer="0" w:header="0"/>
          <w:type w:val="continuous"/>
        </w:sectPr>
      </w:pP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9</w:t>
      </w:r>
    </w:p>
    <w:p>
      <w:pPr>
        <w:sectPr>
          <w:pgSz w:w="12240" w:h="15840" w:orient="portrait"/>
          <w:cols w:equalWidth="0" w:num="1">
            <w:col w:w="10080"/>
          </w:cols>
          <w:pgMar w:left="1040" w:top="1127" w:right="1120" w:bottom="33" w:gutter="0" w:footer="0" w:header="0"/>
          <w:type w:val="continuous"/>
        </w:sectPr>
      </w:pPr>
    </w:p>
    <w:bookmarkStart w:id="81" w:name="page82"/>
    <w:bookmarkEnd w:id="81"/>
    <w:p>
      <w:pPr>
        <w:spacing w:after="0"/>
        <w:rPr>
          <w:sz w:val="20"/>
          <w:szCs w:val="20"/>
          <w:color w:val="auto"/>
        </w:rPr>
      </w:pPr>
      <w:r>
        <w:rPr>
          <w:rFonts w:ascii="Arial" w:cs="Arial" w:eastAsia="Arial" w:hAnsi="Arial"/>
          <w:sz w:val="22"/>
          <w:szCs w:val="22"/>
          <w:b w:val="1"/>
          <w:bCs w:val="1"/>
          <w:color w:val="2A2A2A"/>
        </w:rPr>
        <w:t>Curtis Farmer</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Chairman, president and chief executive officer of Comerica Incorporated</w:t>
      </w:r>
    </w:p>
    <w:p>
      <w:pPr>
        <w:sectPr>
          <w:pgSz w:w="12240" w:h="15840" w:orient="portrait"/>
          <w:cols w:equalWidth="0" w:num="1">
            <w:col w:w="10080"/>
          </w:cols>
          <w:pgMar w:left="1040" w:top="827" w:right="1120" w:bottom="33" w:gutter="0" w:footer="0" w:header="0"/>
        </w:sectPr>
      </w:pP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54" w:lineRule="auto"/>
        <w:rPr>
          <w:sz w:val="20"/>
          <w:szCs w:val="20"/>
          <w:color w:val="auto"/>
        </w:rPr>
      </w:pPr>
      <w:r>
        <w:rPr>
          <w:rFonts w:ascii="Arial" w:cs="Arial" w:eastAsia="Arial" w:hAnsi="Arial"/>
          <w:sz w:val="20"/>
          <w:szCs w:val="20"/>
          <w:color w:val="2A2A2A"/>
        </w:rPr>
        <w:t>At Comerica, Mr. Farmer has served as chief executive officer since 2019, chairman since 2020 and president since 2015. Prior to those roles, he was executive vice president from 2008 to 2011, then vice chairman from 2011 to 2015.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440" w:hanging="263"/>
        <w:spacing w:after="0" w:line="263" w:lineRule="auto"/>
        <w:tabs>
          <w:tab w:leader="none" w:pos="263" w:val="left"/>
        </w:tabs>
        <w:numPr>
          <w:ilvl w:val="0"/>
          <w:numId w:val="63"/>
        </w:numPr>
        <w:rPr>
          <w:rFonts w:ascii="Arial" w:cs="Arial" w:eastAsia="Arial" w:hAnsi="Arial"/>
          <w:sz w:val="20"/>
          <w:szCs w:val="20"/>
          <w:color w:val="2A2A2A"/>
        </w:rPr>
      </w:pPr>
      <w:r>
        <w:rPr>
          <w:rFonts w:ascii="Arial" w:cs="Arial" w:eastAsia="Arial" w:hAnsi="Arial"/>
          <w:sz w:val="20"/>
          <w:szCs w:val="20"/>
          <w:color w:val="2A2A2A"/>
        </w:rPr>
        <w:t>Management responsibility of a large financial institution</w:t>
      </w:r>
    </w:p>
    <w:p>
      <w:pPr>
        <w:ind w:left="263" w:right="520" w:hanging="263"/>
        <w:spacing w:after="0" w:line="281" w:lineRule="auto"/>
        <w:tabs>
          <w:tab w:leader="none" w:pos="263" w:val="left"/>
        </w:tabs>
        <w:numPr>
          <w:ilvl w:val="0"/>
          <w:numId w:val="63"/>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64"/>
        </w:numPr>
        <w:rPr>
          <w:rFonts w:ascii="Arial" w:cs="Arial" w:eastAsia="Arial" w:hAnsi="Arial"/>
          <w:sz w:val="20"/>
          <w:szCs w:val="20"/>
          <w:color w:val="2A2A2A"/>
        </w:rPr>
      </w:pPr>
      <w:r>
        <w:rPr>
          <w:rFonts w:ascii="Arial" w:cs="Arial" w:eastAsia="Arial" w:hAnsi="Arial"/>
          <w:sz w:val="20"/>
          <w:szCs w:val="20"/>
          <w:color w:val="2A2A2A"/>
        </w:rPr>
        <w:t>Comerica Incorporated</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65"/>
        </w:numPr>
        <w:rPr>
          <w:rFonts w:ascii="Arial" w:cs="Arial" w:eastAsia="Arial" w:hAnsi="Arial"/>
          <w:sz w:val="20"/>
          <w:szCs w:val="20"/>
          <w:color w:val="2A2A2A"/>
        </w:rPr>
      </w:pPr>
      <w:r>
        <w:rPr>
          <w:rFonts w:ascii="Arial" w:cs="Arial" w:eastAsia="Arial" w:hAnsi="Arial"/>
          <w:sz w:val="20"/>
          <w:szCs w:val="20"/>
          <w:color w:val="2A2A2A"/>
        </w:rPr>
        <w:t>None</w:t>
      </w:r>
    </w:p>
    <w:p>
      <w:pPr>
        <w:spacing w:after="0" w:line="200" w:lineRule="exact"/>
        <w:rPr>
          <w:sz w:val="20"/>
          <w:szCs w:val="20"/>
          <w:color w:val="auto"/>
        </w:rPr>
      </w:pPr>
    </w:p>
    <w:p>
      <w:pPr>
        <w:sectPr>
          <w:pgSz w:w="12240" w:h="15840" w:orient="portrait"/>
          <w:cols w:equalWidth="0" w:num="2">
            <w:col w:w="4660" w:space="657"/>
            <w:col w:w="4763"/>
          </w:cols>
          <w:pgMar w:left="1040" w:top="827" w:right="112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Jean Hobby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2A2A2A"/>
        </w:rPr>
        <w:t>Retired partner of PricewaterhouseCoopers LLP</w:t>
      </w:r>
    </w:p>
    <w:p>
      <w:pPr>
        <w:spacing w:after="0" w:line="72"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right="137"/>
        <w:spacing w:after="0" w:line="254" w:lineRule="auto"/>
        <w:rPr>
          <w:sz w:val="20"/>
          <w:szCs w:val="20"/>
          <w:color w:val="auto"/>
        </w:rPr>
      </w:pPr>
      <w:r>
        <w:rPr>
          <w:rFonts w:ascii="Arial" w:cs="Arial" w:eastAsia="Arial" w:hAnsi="Arial"/>
          <w:sz w:val="20"/>
          <w:szCs w:val="20"/>
          <w:color w:val="2A2A2A"/>
        </w:rPr>
        <w:t>Ms. Hobby was global strategy officer of PricewaterhouseCoopers from 2013 to 2015. Prior to that, she held several senior management positions at the firm, including as technology, media and telecom sector leader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jc w:val="both"/>
        <w:ind w:left="263" w:right="100" w:hanging="263"/>
        <w:spacing w:after="0" w:line="263" w:lineRule="auto"/>
        <w:tabs>
          <w:tab w:leader="none" w:pos="263" w:val="left"/>
        </w:tabs>
        <w:numPr>
          <w:ilvl w:val="0"/>
          <w:numId w:val="66"/>
        </w:numPr>
        <w:rPr>
          <w:rFonts w:ascii="Arial" w:cs="Arial" w:eastAsia="Arial" w:hAnsi="Arial"/>
          <w:sz w:val="20"/>
          <w:szCs w:val="20"/>
          <w:color w:val="2A2A2A"/>
        </w:rPr>
      </w:pPr>
      <w:r>
        <w:rPr>
          <w:rFonts w:ascii="Arial" w:cs="Arial" w:eastAsia="Arial" w:hAnsi="Arial"/>
          <w:sz w:val="20"/>
          <w:szCs w:val="20"/>
          <w:color w:val="2A2A2A"/>
        </w:rPr>
        <w:t>Extensive audit knowledge and keen appreciation for audit, financial control and technology matters</w:t>
      </w:r>
    </w:p>
    <w:p>
      <w:pPr>
        <w:ind w:left="263" w:hanging="263"/>
        <w:spacing w:after="0" w:line="260" w:lineRule="auto"/>
        <w:tabs>
          <w:tab w:leader="none" w:pos="263" w:val="left"/>
        </w:tabs>
        <w:numPr>
          <w:ilvl w:val="0"/>
          <w:numId w:val="66"/>
        </w:numPr>
        <w:rPr>
          <w:rFonts w:ascii="Arial" w:cs="Arial" w:eastAsia="Arial" w:hAnsi="Arial"/>
          <w:sz w:val="20"/>
          <w:szCs w:val="20"/>
          <w:color w:val="2A2A2A"/>
        </w:rPr>
      </w:pPr>
      <w:r>
        <w:rPr>
          <w:rFonts w:ascii="Arial" w:cs="Arial" w:eastAsia="Arial" w:hAnsi="Arial"/>
          <w:sz w:val="20"/>
          <w:szCs w:val="20"/>
          <w:color w:val="2A2A2A"/>
        </w:rPr>
        <w:t>Management responsibility at a large, multinational company</w:t>
      </w:r>
    </w:p>
    <w:p>
      <w:pPr>
        <w:spacing w:after="0" w:line="1" w:lineRule="exact"/>
        <w:rPr>
          <w:rFonts w:ascii="Arial" w:cs="Arial" w:eastAsia="Arial" w:hAnsi="Arial"/>
          <w:sz w:val="20"/>
          <w:szCs w:val="20"/>
          <w:color w:val="2A2A2A"/>
        </w:rPr>
      </w:pPr>
    </w:p>
    <w:p>
      <w:pPr>
        <w:ind w:left="263" w:hanging="263"/>
        <w:spacing w:after="0"/>
        <w:tabs>
          <w:tab w:leader="none" w:pos="263" w:val="left"/>
        </w:tabs>
        <w:numPr>
          <w:ilvl w:val="0"/>
          <w:numId w:val="66"/>
        </w:numPr>
        <w:rPr>
          <w:rFonts w:ascii="Arial" w:cs="Arial" w:eastAsia="Arial" w:hAnsi="Arial"/>
          <w:sz w:val="20"/>
          <w:szCs w:val="20"/>
          <w:color w:val="2A2A2A"/>
        </w:rPr>
      </w:pPr>
      <w:r>
        <w:rPr>
          <w:rFonts w:ascii="Arial" w:cs="Arial" w:eastAsia="Arial" w:hAnsi="Arial"/>
          <w:sz w:val="20"/>
          <w:szCs w:val="20"/>
          <w:color w:val="2A2A2A"/>
        </w:rPr>
        <w:t>Strategic planning expertise</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67"/>
        </w:numPr>
        <w:rPr>
          <w:rFonts w:ascii="Arial" w:cs="Arial" w:eastAsia="Arial" w:hAnsi="Arial"/>
          <w:sz w:val="20"/>
          <w:szCs w:val="20"/>
          <w:color w:val="2A2A2A"/>
        </w:rPr>
      </w:pPr>
      <w:r>
        <w:rPr>
          <w:rFonts w:ascii="Arial" w:cs="Arial" w:eastAsia="Arial" w:hAnsi="Arial"/>
          <w:sz w:val="20"/>
          <w:szCs w:val="20"/>
          <w:color w:val="2A2A2A"/>
        </w:rPr>
        <w:t>Hewlett Packard Enterprise Company</w:t>
      </w:r>
    </w:p>
    <w:p>
      <w:pPr>
        <w:spacing w:after="0" w:line="35" w:lineRule="exact"/>
        <w:rPr>
          <w:rFonts w:ascii="Arial" w:cs="Arial" w:eastAsia="Arial" w:hAnsi="Arial"/>
          <w:sz w:val="20"/>
          <w:szCs w:val="20"/>
          <w:color w:val="2A2A2A"/>
        </w:rPr>
      </w:pPr>
    </w:p>
    <w:p>
      <w:pPr>
        <w:ind w:left="263" w:hanging="263"/>
        <w:spacing w:after="0"/>
        <w:tabs>
          <w:tab w:leader="none" w:pos="263" w:val="left"/>
        </w:tabs>
        <w:numPr>
          <w:ilvl w:val="0"/>
          <w:numId w:val="67"/>
        </w:numPr>
        <w:rPr>
          <w:rFonts w:ascii="Arial" w:cs="Arial" w:eastAsia="Arial" w:hAnsi="Arial"/>
          <w:sz w:val="20"/>
          <w:szCs w:val="20"/>
          <w:color w:val="2A2A2A"/>
        </w:rPr>
      </w:pPr>
      <w:r>
        <w:rPr>
          <w:rFonts w:ascii="Arial" w:cs="Arial" w:eastAsia="Arial" w:hAnsi="Arial"/>
          <w:sz w:val="20"/>
          <w:szCs w:val="20"/>
          <w:color w:val="2A2A2A"/>
        </w:rPr>
        <w:t>Integer Holdings Corporation</w:t>
      </w:r>
    </w:p>
    <w:p>
      <w:pPr>
        <w:spacing w:after="0" w:line="247"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68"/>
        </w:numPr>
        <w:rPr>
          <w:rFonts w:ascii="Arial" w:cs="Arial" w:eastAsia="Arial" w:hAnsi="Arial"/>
          <w:sz w:val="20"/>
          <w:szCs w:val="20"/>
          <w:color w:val="2A2A2A"/>
        </w:rPr>
      </w:pPr>
      <w:r>
        <w:rPr>
          <w:rFonts w:ascii="Arial" w:cs="Arial" w:eastAsia="Arial" w:hAnsi="Arial"/>
          <w:sz w:val="20"/>
          <w:szCs w:val="20"/>
          <w:color w:val="2A2A2A"/>
        </w:rPr>
        <w:t>None</w:t>
      </w:r>
    </w:p>
    <w:p>
      <w:pPr>
        <w:spacing w:after="0" w:line="200" w:lineRule="exact"/>
        <w:rPr>
          <w:sz w:val="20"/>
          <w:szCs w:val="20"/>
          <w:color w:val="auto"/>
        </w:rPr>
      </w:pPr>
    </w:p>
    <w:p>
      <w:pPr>
        <w:sectPr>
          <w:pgSz w:w="12240" w:h="15840" w:orient="portrait"/>
          <w:cols w:equalWidth="0" w:num="2">
            <w:col w:w="4597" w:space="720"/>
            <w:col w:w="4763"/>
          </w:cols>
          <w:pgMar w:left="1040" w:top="827" w:right="1120" w:bottom="33"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Haviv Ilan</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President and chief executive officer of Texas Instruments Incorporated</w:t>
      </w:r>
    </w:p>
    <w:p>
      <w:pPr>
        <w:sectPr>
          <w:pgSz w:w="12240" w:h="15840" w:orient="portrait"/>
          <w:cols w:equalWidth="0" w:num="1">
            <w:col w:w="10080"/>
          </w:cols>
          <w:pgMar w:left="1040" w:top="827" w:right="1120" w:bottom="33" w:gutter="0" w:footer="0" w:header="0"/>
          <w:type w:val="continuous"/>
        </w:sectPr>
      </w:pP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67" w:lineRule="auto"/>
        <w:rPr>
          <w:sz w:val="20"/>
          <w:szCs w:val="20"/>
          <w:color w:val="auto"/>
        </w:rPr>
      </w:pPr>
      <w:r>
        <w:rPr>
          <w:rFonts w:ascii="Arial" w:cs="Arial" w:eastAsia="Arial" w:hAnsi="Arial"/>
          <w:sz w:val="19"/>
          <w:szCs w:val="19"/>
          <w:color w:val="2A2A2A"/>
        </w:rPr>
        <w:t>Mr. Ilan has been an employee of the company for over 20 years, serving since 2014 at a senior level at the company, including as director since 2021. From 2020 to 2023, Mr. Ilan served as executive vice president and chief operating officer, responsible for leading TI's business and sales organizations, technology and manufacturing operations and information technology services. In 2023, Mr. Ilan assumed the role of president and chief executive officer.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480" w:hanging="263"/>
        <w:spacing w:after="0" w:line="263" w:lineRule="auto"/>
        <w:tabs>
          <w:tab w:leader="none" w:pos="263" w:val="left"/>
        </w:tabs>
        <w:numPr>
          <w:ilvl w:val="0"/>
          <w:numId w:val="69"/>
        </w:numPr>
        <w:rPr>
          <w:rFonts w:ascii="Arial" w:cs="Arial" w:eastAsia="Arial" w:hAnsi="Arial"/>
          <w:sz w:val="20"/>
          <w:szCs w:val="20"/>
          <w:color w:val="2A2A2A"/>
        </w:rPr>
      </w:pPr>
      <w:r>
        <w:rPr>
          <w:rFonts w:ascii="Arial" w:cs="Arial" w:eastAsia="Arial" w:hAnsi="Arial"/>
          <w:sz w:val="20"/>
          <w:szCs w:val="20"/>
          <w:color w:val="2A2A2A"/>
        </w:rPr>
        <w:t>Management responsibility for the company's operations</w:t>
      </w:r>
    </w:p>
    <w:p>
      <w:pPr>
        <w:ind w:left="263" w:hanging="263"/>
        <w:spacing w:after="0" w:line="260" w:lineRule="auto"/>
        <w:tabs>
          <w:tab w:leader="none" w:pos="263" w:val="left"/>
        </w:tabs>
        <w:numPr>
          <w:ilvl w:val="0"/>
          <w:numId w:val="69"/>
        </w:numPr>
        <w:rPr>
          <w:rFonts w:ascii="Arial" w:cs="Arial" w:eastAsia="Arial" w:hAnsi="Arial"/>
          <w:sz w:val="20"/>
          <w:szCs w:val="20"/>
          <w:color w:val="2A2A2A"/>
        </w:rPr>
      </w:pPr>
      <w:r>
        <w:rPr>
          <w:rFonts w:ascii="Arial" w:cs="Arial" w:eastAsia="Arial" w:hAnsi="Arial"/>
          <w:sz w:val="20"/>
          <w:szCs w:val="20"/>
          <w:color w:val="2A2A2A"/>
        </w:rPr>
        <w:t>Knowledge of the company and the semiconductor industry</w:t>
      </w:r>
    </w:p>
    <w:p>
      <w:pPr>
        <w:spacing w:after="0" w:line="1" w:lineRule="exact"/>
        <w:rPr>
          <w:rFonts w:ascii="Arial" w:cs="Arial" w:eastAsia="Arial" w:hAnsi="Arial"/>
          <w:sz w:val="20"/>
          <w:szCs w:val="20"/>
          <w:color w:val="2A2A2A"/>
        </w:rPr>
      </w:pPr>
    </w:p>
    <w:p>
      <w:pPr>
        <w:ind w:left="263" w:hanging="263"/>
        <w:spacing w:after="0"/>
        <w:tabs>
          <w:tab w:leader="none" w:pos="263" w:val="left"/>
        </w:tabs>
        <w:numPr>
          <w:ilvl w:val="0"/>
          <w:numId w:val="69"/>
        </w:numPr>
        <w:rPr>
          <w:rFonts w:ascii="Arial" w:cs="Arial" w:eastAsia="Arial" w:hAnsi="Arial"/>
          <w:sz w:val="20"/>
          <w:szCs w:val="20"/>
          <w:color w:val="2A2A2A"/>
        </w:rPr>
      </w:pPr>
      <w:r>
        <w:rPr>
          <w:rFonts w:ascii="Arial" w:cs="Arial" w:eastAsia="Arial" w:hAnsi="Arial"/>
          <w:sz w:val="20"/>
          <w:szCs w:val="20"/>
          <w:color w:val="2A2A2A"/>
        </w:rPr>
        <w:t>Responsibility for significant capital investments</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70"/>
        </w:numPr>
        <w:rPr>
          <w:rFonts w:ascii="Arial" w:cs="Arial" w:eastAsia="Arial" w:hAnsi="Arial"/>
          <w:sz w:val="20"/>
          <w:szCs w:val="20"/>
          <w:color w:val="2A2A2A"/>
        </w:rPr>
      </w:pPr>
      <w:r>
        <w:rPr>
          <w:rFonts w:ascii="Arial" w:cs="Arial" w:eastAsia="Arial" w:hAnsi="Arial"/>
          <w:sz w:val="20"/>
          <w:szCs w:val="20"/>
          <w:color w:val="2A2A2A"/>
        </w:rPr>
        <w:t>None</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71"/>
        </w:numPr>
        <w:rPr>
          <w:rFonts w:ascii="Arial" w:cs="Arial" w:eastAsia="Arial" w:hAnsi="Arial"/>
          <w:sz w:val="20"/>
          <w:szCs w:val="20"/>
          <w:color w:val="2A2A2A"/>
        </w:rPr>
      </w:pPr>
      <w:r>
        <w:rPr>
          <w:rFonts w:ascii="Arial" w:cs="Arial" w:eastAsia="Arial" w:hAnsi="Arial"/>
          <w:sz w:val="20"/>
          <w:szCs w:val="20"/>
          <w:color w:val="2A2A2A"/>
        </w:rPr>
        <w:t>None</w:t>
      </w:r>
    </w:p>
    <w:p>
      <w:pPr>
        <w:spacing w:after="0" w:line="1059" w:lineRule="exact"/>
        <w:rPr>
          <w:sz w:val="20"/>
          <w:szCs w:val="20"/>
          <w:color w:val="auto"/>
        </w:rPr>
      </w:pPr>
    </w:p>
    <w:p>
      <w:pPr>
        <w:sectPr>
          <w:pgSz w:w="12240" w:h="15840" w:orient="portrait"/>
          <w:cols w:equalWidth="0" w:num="2">
            <w:col w:w="4620" w:space="697"/>
            <w:col w:w="4763"/>
          </w:cols>
          <w:pgMar w:left="1040" w:top="827" w:right="1120" w:bottom="33" w:gutter="0" w:footer="0" w:header="0"/>
          <w:type w:val="continuous"/>
        </w:sectPr>
      </w:pP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10</w:t>
      </w:r>
    </w:p>
    <w:p>
      <w:pPr>
        <w:sectPr>
          <w:pgSz w:w="12240" w:h="15840" w:orient="portrait"/>
          <w:cols w:equalWidth="0" w:num="1">
            <w:col w:w="10080"/>
          </w:cols>
          <w:pgMar w:left="1040" w:top="827" w:right="1120" w:bottom="33" w:gutter="0" w:footer="0" w:header="0"/>
          <w:type w:val="continuous"/>
        </w:sectPr>
      </w:pPr>
    </w:p>
    <w:bookmarkStart w:id="82" w:name="page83"/>
    <w:bookmarkEnd w:id="82"/>
    <w:p>
      <w:pPr>
        <w:spacing w:after="0"/>
        <w:rPr>
          <w:sz w:val="20"/>
          <w:szCs w:val="20"/>
          <w:color w:val="auto"/>
        </w:rPr>
      </w:pPr>
      <w:r>
        <w:rPr>
          <w:rFonts w:ascii="Arial" w:cs="Arial" w:eastAsia="Arial" w:hAnsi="Arial"/>
          <w:sz w:val="22"/>
          <w:szCs w:val="22"/>
          <w:b w:val="1"/>
          <w:bCs w:val="1"/>
          <w:color w:val="2A2A2A"/>
        </w:rPr>
        <w:t>Ronald Kirk</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2A2A2A"/>
        </w:rPr>
        <w:t>Senior of counsel at Gibson, Dunn &amp; Crutcher LLP</w:t>
      </w:r>
    </w:p>
    <w:p>
      <w:pPr>
        <w:spacing w:after="0" w:line="72"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67" w:lineRule="auto"/>
        <w:rPr>
          <w:sz w:val="20"/>
          <w:szCs w:val="20"/>
          <w:color w:val="auto"/>
        </w:rPr>
      </w:pPr>
      <w:r>
        <w:rPr>
          <w:rFonts w:ascii="Arial" w:cs="Arial" w:eastAsia="Arial" w:hAnsi="Arial"/>
          <w:sz w:val="19"/>
          <w:szCs w:val="19"/>
          <w:color w:val="2A2A2A"/>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380" w:hanging="263"/>
        <w:spacing w:after="0" w:line="263" w:lineRule="auto"/>
        <w:tabs>
          <w:tab w:leader="none" w:pos="263" w:val="left"/>
        </w:tabs>
        <w:numPr>
          <w:ilvl w:val="0"/>
          <w:numId w:val="72"/>
        </w:numPr>
        <w:rPr>
          <w:rFonts w:ascii="Arial" w:cs="Arial" w:eastAsia="Arial" w:hAnsi="Arial"/>
          <w:sz w:val="20"/>
          <w:szCs w:val="20"/>
          <w:color w:val="2A2A2A"/>
        </w:rPr>
      </w:pPr>
      <w:r>
        <w:rPr>
          <w:rFonts w:ascii="Arial" w:cs="Arial" w:eastAsia="Arial" w:hAnsi="Arial"/>
          <w:sz w:val="20"/>
          <w:szCs w:val="20"/>
          <w:color w:val="2A2A2A"/>
        </w:rPr>
        <w:t>Management responsibility of a large, complex organization operating internationally</w:t>
      </w:r>
    </w:p>
    <w:p>
      <w:pPr>
        <w:ind w:left="263" w:right="200" w:hanging="263"/>
        <w:spacing w:after="0" w:line="281" w:lineRule="auto"/>
        <w:tabs>
          <w:tab w:leader="none" w:pos="263" w:val="left"/>
        </w:tabs>
        <w:numPr>
          <w:ilvl w:val="0"/>
          <w:numId w:val="72"/>
        </w:numPr>
        <w:rPr>
          <w:rFonts w:ascii="Arial" w:cs="Arial" w:eastAsia="Arial" w:hAnsi="Arial"/>
          <w:sz w:val="20"/>
          <w:szCs w:val="20"/>
          <w:color w:val="2A2A2A"/>
        </w:rPr>
      </w:pPr>
      <w:r>
        <w:rPr>
          <w:rFonts w:ascii="Arial" w:cs="Arial" w:eastAsia="Arial" w:hAnsi="Arial"/>
          <w:sz w:val="20"/>
          <w:szCs w:val="20"/>
          <w:color w:val="2A2A2A"/>
        </w:rPr>
        <w:t>Keen insight into issues bearing on global economic activity and international trade policies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73"/>
        </w:numPr>
        <w:rPr>
          <w:rFonts w:ascii="Arial" w:cs="Arial" w:eastAsia="Arial" w:hAnsi="Arial"/>
          <w:sz w:val="20"/>
          <w:szCs w:val="20"/>
          <w:color w:val="2A2A2A"/>
        </w:rPr>
      </w:pPr>
      <w:r>
        <w:rPr>
          <w:rFonts w:ascii="Arial" w:cs="Arial" w:eastAsia="Arial" w:hAnsi="Arial"/>
          <w:sz w:val="20"/>
          <w:szCs w:val="20"/>
          <w:color w:val="2A2A2A"/>
        </w:rPr>
        <w:t>Mister Car Wash, Inc.</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right="320" w:hanging="263"/>
        <w:spacing w:after="0" w:line="287" w:lineRule="auto"/>
        <w:tabs>
          <w:tab w:leader="none" w:pos="263" w:val="left"/>
        </w:tabs>
        <w:numPr>
          <w:ilvl w:val="0"/>
          <w:numId w:val="74"/>
        </w:numPr>
        <w:rPr>
          <w:rFonts w:ascii="Arial" w:cs="Arial" w:eastAsia="Arial" w:hAnsi="Arial"/>
          <w:sz w:val="20"/>
          <w:szCs w:val="20"/>
          <w:color w:val="2A2A2A"/>
        </w:rPr>
      </w:pPr>
      <w:r>
        <w:rPr>
          <w:rFonts w:ascii="Arial" w:cs="Arial" w:eastAsia="Arial" w:hAnsi="Arial"/>
          <w:sz w:val="20"/>
          <w:szCs w:val="20"/>
          <w:color w:val="2A2A2A"/>
        </w:rPr>
        <w:t>AMF Hawaii Investments, LLC (f/k/a Macquarie Infrastructure Holdings, LLC)</w:t>
      </w:r>
    </w:p>
    <w:p>
      <w:pPr>
        <w:spacing w:after="0" w:line="269" w:lineRule="exact"/>
        <w:rPr>
          <w:sz w:val="20"/>
          <w:szCs w:val="20"/>
          <w:color w:val="auto"/>
        </w:rPr>
      </w:pPr>
    </w:p>
    <w:p>
      <w:pPr>
        <w:sectPr>
          <w:pgSz w:w="12240" w:h="15840" w:orient="portrait"/>
          <w:cols w:equalWidth="0" w:num="2">
            <w:col w:w="4700" w:space="617"/>
            <w:col w:w="4763"/>
          </w:cols>
          <w:pgMar w:left="1040" w:top="827" w:right="1120" w:bottom="33"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Pamela Patsley</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2A2A2A"/>
        </w:rPr>
        <w:t>Former chairman and chief executive officer of MoneyGram International, Inc.</w:t>
      </w:r>
    </w:p>
    <w:p>
      <w:pPr>
        <w:sectPr>
          <w:pgSz w:w="12240" w:h="15840" w:orient="portrait"/>
          <w:cols w:equalWidth="0" w:num="1">
            <w:col w:w="10080"/>
          </w:cols>
          <w:pgMar w:left="1040" w:top="827" w:right="1120" w:bottom="33" w:gutter="0" w:footer="0" w:header="0"/>
          <w:type w:val="continuous"/>
        </w:sectPr>
      </w:pPr>
    </w:p>
    <w:p>
      <w:pPr>
        <w:spacing w:after="0" w:line="84"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106170" cy="1306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spacing w:after="0" w:line="48" w:lineRule="exact"/>
        <w:rPr>
          <w:sz w:val="20"/>
          <w:szCs w:val="20"/>
          <w:color w:val="auto"/>
        </w:rPr>
      </w:pPr>
    </w:p>
    <w:p>
      <w:pPr>
        <w:ind w:left="1900"/>
        <w:spacing w:after="0" w:line="268" w:lineRule="auto"/>
        <w:rPr>
          <w:sz w:val="20"/>
          <w:szCs w:val="20"/>
          <w:color w:val="auto"/>
        </w:rPr>
      </w:pPr>
      <w:r>
        <w:rPr>
          <w:rFonts w:ascii="Arial" w:cs="Arial" w:eastAsia="Arial" w:hAnsi="Arial"/>
          <w:sz w:val="19"/>
          <w:szCs w:val="19"/>
          <w:color w:val="2A2A2A"/>
        </w:rPr>
        <w:t>At MoneyGram, Ms. Patsley 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hanging="263"/>
        <w:spacing w:after="0" w:line="263" w:lineRule="auto"/>
        <w:tabs>
          <w:tab w:leader="none" w:pos="263" w:val="left"/>
        </w:tabs>
        <w:numPr>
          <w:ilvl w:val="0"/>
          <w:numId w:val="75"/>
        </w:numPr>
        <w:rPr>
          <w:rFonts w:ascii="Arial" w:cs="Arial" w:eastAsia="Arial" w:hAnsi="Arial"/>
          <w:sz w:val="20"/>
          <w:szCs w:val="20"/>
          <w:color w:val="2A2A2A"/>
        </w:rPr>
      </w:pPr>
      <w:r>
        <w:rPr>
          <w:rFonts w:ascii="Arial" w:cs="Arial" w:eastAsia="Arial" w:hAnsi="Arial"/>
          <w:sz w:val="20"/>
          <w:szCs w:val="20"/>
          <w:color w:val="2A2A2A"/>
        </w:rPr>
        <w:t>Management responsibility of a large, multinational company</w:t>
      </w:r>
    </w:p>
    <w:p>
      <w:pPr>
        <w:ind w:left="263" w:right="220" w:hanging="263"/>
        <w:spacing w:after="0" w:line="281" w:lineRule="auto"/>
        <w:tabs>
          <w:tab w:leader="none" w:pos="263" w:val="left"/>
        </w:tabs>
        <w:numPr>
          <w:ilvl w:val="0"/>
          <w:numId w:val="75"/>
        </w:numPr>
        <w:rPr>
          <w:rFonts w:ascii="Arial" w:cs="Arial" w:eastAsia="Arial" w:hAnsi="Arial"/>
          <w:sz w:val="20"/>
          <w:szCs w:val="20"/>
          <w:color w:val="2A2A2A"/>
        </w:rPr>
      </w:pPr>
      <w:r>
        <w:rPr>
          <w:rFonts w:ascii="Arial" w:cs="Arial" w:eastAsia="Arial" w:hAnsi="Arial"/>
          <w:sz w:val="20"/>
          <w:szCs w:val="20"/>
          <w:color w:val="2A2A2A"/>
        </w:rPr>
        <w:t>Keen appreciation for audit, financial control and technology matters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76"/>
        </w:numPr>
        <w:rPr>
          <w:rFonts w:ascii="Arial" w:cs="Arial" w:eastAsia="Arial" w:hAnsi="Arial"/>
          <w:sz w:val="20"/>
          <w:szCs w:val="20"/>
          <w:color w:val="2A2A2A"/>
        </w:rPr>
      </w:pPr>
      <w:r>
        <w:rPr>
          <w:rFonts w:ascii="Arial" w:cs="Arial" w:eastAsia="Arial" w:hAnsi="Arial"/>
          <w:sz w:val="20"/>
          <w:szCs w:val="20"/>
          <w:color w:val="2A2A2A"/>
        </w:rPr>
        <w:t>Hilton Grand Vacations Inc.</w:t>
      </w:r>
    </w:p>
    <w:p>
      <w:pPr>
        <w:spacing w:after="0" w:line="35" w:lineRule="exact"/>
        <w:rPr>
          <w:rFonts w:ascii="Arial" w:cs="Arial" w:eastAsia="Arial" w:hAnsi="Arial"/>
          <w:sz w:val="20"/>
          <w:szCs w:val="20"/>
          <w:color w:val="2A2A2A"/>
        </w:rPr>
      </w:pPr>
    </w:p>
    <w:p>
      <w:pPr>
        <w:ind w:left="263" w:hanging="263"/>
        <w:spacing w:after="0"/>
        <w:tabs>
          <w:tab w:leader="none" w:pos="263" w:val="left"/>
        </w:tabs>
        <w:numPr>
          <w:ilvl w:val="0"/>
          <w:numId w:val="76"/>
        </w:numPr>
        <w:rPr>
          <w:rFonts w:ascii="Arial" w:cs="Arial" w:eastAsia="Arial" w:hAnsi="Arial"/>
          <w:sz w:val="20"/>
          <w:szCs w:val="20"/>
          <w:color w:val="2A2A2A"/>
        </w:rPr>
      </w:pPr>
      <w:r>
        <w:rPr>
          <w:rFonts w:ascii="Arial" w:cs="Arial" w:eastAsia="Arial" w:hAnsi="Arial"/>
          <w:sz w:val="20"/>
          <w:szCs w:val="20"/>
          <w:color w:val="2A2A2A"/>
        </w:rPr>
        <w:t>Keurig Dr Pepper Inc.</w:t>
      </w:r>
    </w:p>
    <w:p>
      <w:pPr>
        <w:spacing w:after="0" w:line="30" w:lineRule="exact"/>
        <w:rPr>
          <w:rFonts w:ascii="Arial" w:cs="Arial" w:eastAsia="Arial" w:hAnsi="Arial"/>
          <w:sz w:val="20"/>
          <w:szCs w:val="20"/>
          <w:color w:val="2A2A2A"/>
        </w:rPr>
      </w:pPr>
    </w:p>
    <w:p>
      <w:pPr>
        <w:ind w:left="263" w:hanging="263"/>
        <w:spacing w:after="0"/>
        <w:tabs>
          <w:tab w:leader="none" w:pos="263" w:val="left"/>
        </w:tabs>
        <w:numPr>
          <w:ilvl w:val="0"/>
          <w:numId w:val="76"/>
        </w:numPr>
        <w:rPr>
          <w:rFonts w:ascii="Arial" w:cs="Arial" w:eastAsia="Arial" w:hAnsi="Arial"/>
          <w:sz w:val="20"/>
          <w:szCs w:val="20"/>
          <w:color w:val="2A2A2A"/>
        </w:rPr>
      </w:pPr>
      <w:r>
        <w:rPr>
          <w:rFonts w:ascii="Arial" w:cs="Arial" w:eastAsia="Arial" w:hAnsi="Arial"/>
          <w:sz w:val="20"/>
          <w:szCs w:val="20"/>
          <w:color w:val="2A2A2A"/>
        </w:rPr>
        <w:t>Payoneer Global Inc.</w:t>
      </w:r>
    </w:p>
    <w:p>
      <w:pPr>
        <w:spacing w:after="0" w:line="247"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77"/>
        </w:numPr>
        <w:rPr>
          <w:rFonts w:ascii="Arial" w:cs="Arial" w:eastAsia="Arial" w:hAnsi="Arial"/>
          <w:sz w:val="20"/>
          <w:szCs w:val="20"/>
          <w:color w:val="2A2A2A"/>
        </w:rPr>
      </w:pPr>
      <w:r>
        <w:rPr>
          <w:rFonts w:ascii="Arial" w:cs="Arial" w:eastAsia="Arial" w:hAnsi="Arial"/>
          <w:sz w:val="20"/>
          <w:szCs w:val="20"/>
          <w:color w:val="2A2A2A"/>
        </w:rPr>
        <w:t>ACI Worldwide, Inc.</w:t>
      </w:r>
    </w:p>
    <w:p>
      <w:pPr>
        <w:spacing w:after="0" w:line="200" w:lineRule="exact"/>
        <w:rPr>
          <w:sz w:val="20"/>
          <w:szCs w:val="20"/>
          <w:color w:val="auto"/>
        </w:rPr>
      </w:pPr>
    </w:p>
    <w:p>
      <w:pPr>
        <w:sectPr>
          <w:pgSz w:w="12240" w:h="15840" w:orient="portrait"/>
          <w:cols w:equalWidth="0" w:num="2">
            <w:col w:w="4620" w:space="697"/>
            <w:col w:w="4763"/>
          </w:cols>
          <w:pgMar w:left="1040" w:top="827" w:right="1120" w:bottom="33"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Robert Sanchez</w:t>
      </w:r>
    </w:p>
    <w:p>
      <w:pPr>
        <w:spacing w:after="0" w:line="64" w:lineRule="exact"/>
        <w:rPr>
          <w:sz w:val="20"/>
          <w:szCs w:val="20"/>
          <w:color w:val="auto"/>
        </w:rPr>
      </w:pPr>
    </w:p>
    <w:p>
      <w:pPr>
        <w:jc w:val="center"/>
        <w:spacing w:after="0" w:line="313" w:lineRule="auto"/>
        <w:rPr>
          <w:sz w:val="20"/>
          <w:szCs w:val="20"/>
          <w:color w:val="auto"/>
        </w:rPr>
      </w:pPr>
      <w:r>
        <w:rPr>
          <w:rFonts w:ascii="Arial" w:cs="Arial" w:eastAsia="Arial" w:hAnsi="Arial"/>
          <w:sz w:val="20"/>
          <w:szCs w:val="20"/>
          <w:color w:val="2A2A2A"/>
        </w:rPr>
        <w:t xml:space="preserve">Chairman and chief executive officer of Ryder System, Inc. </w:t>
      </w: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106170" cy="1306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06170" cy="1306195"/>
                    </a:xfrm>
                    <a:prstGeom prst="rect">
                      <a:avLst/>
                    </a:prstGeom>
                    <a:noFill/>
                  </pic:spPr>
                </pic:pic>
              </a:graphicData>
            </a:graphic>
          </wp:anchor>
        </w:drawing>
      </w:r>
    </w:p>
    <w:p>
      <w:pPr>
        <w:ind w:left="1900" w:right="580"/>
        <w:spacing w:after="0" w:line="267" w:lineRule="auto"/>
        <w:rPr>
          <w:sz w:val="20"/>
          <w:szCs w:val="20"/>
          <w:color w:val="auto"/>
        </w:rPr>
      </w:pPr>
      <w:r>
        <w:rPr>
          <w:rFonts w:ascii="Arial" w:cs="Arial" w:eastAsia="Arial" w:hAnsi="Arial"/>
          <w:sz w:val="19"/>
          <w:szCs w:val="19"/>
          <w:color w:val="2A2A2A"/>
        </w:rPr>
        <w:t>Mr. Sanchez has been chairman and executive officer of Ryder since 2013. During his career at Ryder, 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hanging="263"/>
        <w:spacing w:after="0" w:line="263" w:lineRule="auto"/>
        <w:tabs>
          <w:tab w:leader="none" w:pos="263" w:val="left"/>
        </w:tabs>
        <w:numPr>
          <w:ilvl w:val="0"/>
          <w:numId w:val="78"/>
        </w:numPr>
        <w:rPr>
          <w:rFonts w:ascii="Arial" w:cs="Arial" w:eastAsia="Arial" w:hAnsi="Arial"/>
          <w:sz w:val="20"/>
          <w:szCs w:val="20"/>
          <w:color w:val="2A2A2A"/>
        </w:rPr>
      </w:pPr>
      <w:r>
        <w:rPr>
          <w:rFonts w:ascii="Arial" w:cs="Arial" w:eastAsia="Arial" w:hAnsi="Arial"/>
          <w:sz w:val="20"/>
          <w:szCs w:val="20"/>
          <w:color w:val="2A2A2A"/>
        </w:rPr>
        <w:t>Management responsibility of a large, multinational transportation and logistics company</w:t>
      </w:r>
    </w:p>
    <w:p>
      <w:pPr>
        <w:ind w:left="263" w:hanging="263"/>
        <w:spacing w:after="0"/>
        <w:tabs>
          <w:tab w:leader="none" w:pos="263" w:val="left"/>
        </w:tabs>
        <w:numPr>
          <w:ilvl w:val="0"/>
          <w:numId w:val="78"/>
        </w:numPr>
        <w:rPr>
          <w:rFonts w:ascii="Arial" w:cs="Arial" w:eastAsia="Arial" w:hAnsi="Arial"/>
          <w:sz w:val="20"/>
          <w:szCs w:val="20"/>
          <w:color w:val="2A2A2A"/>
        </w:rPr>
      </w:pPr>
      <w:r>
        <w:rPr>
          <w:rFonts w:ascii="Arial" w:cs="Arial" w:eastAsia="Arial" w:hAnsi="Arial"/>
          <w:sz w:val="20"/>
          <w:szCs w:val="20"/>
          <w:color w:val="2A2A2A"/>
        </w:rPr>
        <w:t>Responsibility for significant capital investments</w:t>
      </w:r>
    </w:p>
    <w:p>
      <w:pPr>
        <w:spacing w:after="0" w:line="30" w:lineRule="exact"/>
        <w:rPr>
          <w:rFonts w:ascii="Arial" w:cs="Arial" w:eastAsia="Arial" w:hAnsi="Arial"/>
          <w:sz w:val="20"/>
          <w:szCs w:val="20"/>
          <w:color w:val="2A2A2A"/>
        </w:rPr>
      </w:pPr>
    </w:p>
    <w:p>
      <w:pPr>
        <w:ind w:left="263" w:hanging="263"/>
        <w:spacing w:after="0"/>
        <w:tabs>
          <w:tab w:leader="none" w:pos="263" w:val="left"/>
        </w:tabs>
        <w:numPr>
          <w:ilvl w:val="0"/>
          <w:numId w:val="78"/>
        </w:numPr>
        <w:rPr>
          <w:rFonts w:ascii="Arial" w:cs="Arial" w:eastAsia="Arial" w:hAnsi="Arial"/>
          <w:sz w:val="20"/>
          <w:szCs w:val="20"/>
          <w:color w:val="2A2A2A"/>
        </w:rPr>
      </w:pPr>
      <w:r>
        <w:rPr>
          <w:rFonts w:ascii="Arial" w:cs="Arial" w:eastAsia="Arial" w:hAnsi="Arial"/>
          <w:sz w:val="20"/>
          <w:szCs w:val="20"/>
          <w:color w:val="2A2A2A"/>
        </w:rPr>
        <w:t>Keen appreciation for technology matters</w:t>
      </w:r>
    </w:p>
    <w:p>
      <w:pPr>
        <w:spacing w:after="0" w:line="247"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79"/>
        </w:numPr>
        <w:rPr>
          <w:rFonts w:ascii="Arial" w:cs="Arial" w:eastAsia="Arial" w:hAnsi="Arial"/>
          <w:sz w:val="20"/>
          <w:szCs w:val="20"/>
          <w:color w:val="2A2A2A"/>
        </w:rPr>
      </w:pPr>
      <w:r>
        <w:rPr>
          <w:rFonts w:ascii="Arial" w:cs="Arial" w:eastAsia="Arial" w:hAnsi="Arial"/>
          <w:sz w:val="20"/>
          <w:szCs w:val="20"/>
          <w:color w:val="2A2A2A"/>
        </w:rPr>
        <w:t>Ryder System, Inc.</w:t>
      </w:r>
    </w:p>
    <w:p>
      <w:pPr>
        <w:spacing w:after="0" w:line="252" w:lineRule="exact"/>
        <w:rPr>
          <w:sz w:val="20"/>
          <w:szCs w:val="20"/>
          <w:color w:val="auto"/>
        </w:rPr>
      </w:pPr>
    </w:p>
    <w:p>
      <w:pPr>
        <w:ind w:left="3" w:right="7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80"/>
        </w:numPr>
        <w:rPr>
          <w:rFonts w:ascii="Arial" w:cs="Arial" w:eastAsia="Arial" w:hAnsi="Arial"/>
          <w:sz w:val="20"/>
          <w:szCs w:val="20"/>
          <w:color w:val="2A2A2A"/>
        </w:rPr>
      </w:pPr>
      <w:r>
        <w:rPr>
          <w:rFonts w:ascii="Arial" w:cs="Arial" w:eastAsia="Arial" w:hAnsi="Arial"/>
          <w:sz w:val="20"/>
          <w:szCs w:val="20"/>
          <w:color w:val="2A2A2A"/>
        </w:rPr>
        <w:t>None</w:t>
      </w:r>
    </w:p>
    <w:p>
      <w:pPr>
        <w:spacing w:after="0" w:line="812" w:lineRule="exact"/>
        <w:rPr>
          <w:sz w:val="20"/>
          <w:szCs w:val="20"/>
          <w:color w:val="auto"/>
        </w:rPr>
      </w:pPr>
    </w:p>
    <w:p>
      <w:pPr>
        <w:sectPr>
          <w:pgSz w:w="12240" w:h="15840" w:orient="portrait"/>
          <w:cols w:equalWidth="0" w:num="2">
            <w:col w:w="5180" w:space="137"/>
            <w:col w:w="4763"/>
          </w:cols>
          <w:pgMar w:left="1040" w:top="827" w:right="1120" w:bottom="33"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11</w:t>
      </w:r>
    </w:p>
    <w:p>
      <w:pPr>
        <w:sectPr>
          <w:pgSz w:w="12240" w:h="15840" w:orient="portrait"/>
          <w:cols w:equalWidth="0" w:num="1">
            <w:col w:w="10080"/>
          </w:cols>
          <w:pgMar w:left="1040" w:top="827" w:right="1120" w:bottom="33"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22"/>
          <w:szCs w:val="22"/>
          <w:b w:val="1"/>
          <w:bCs w:val="1"/>
          <w:color w:val="2A2A2A"/>
        </w:rPr>
        <w:t>Rich Templeton</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2A2A2A"/>
        </w:rPr>
        <w:t>Chairman of Texas Instruments Incorporated</w:t>
      </w:r>
    </w:p>
    <w:p>
      <w:pPr>
        <w:spacing w:after="0" w:line="72"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2A2A2A"/>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-111760</wp:posOffset>
            </wp:positionV>
            <wp:extent cx="1107440" cy="130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07440" cy="1306830"/>
                    </a:xfrm>
                    <a:prstGeom prst="rect">
                      <a:avLst/>
                    </a:prstGeom>
                    <a:noFill/>
                  </pic:spPr>
                </pic:pic>
              </a:graphicData>
            </a:graphic>
          </wp:anchor>
        </w:drawing>
      </w:r>
    </w:p>
    <w:p>
      <w:pPr>
        <w:spacing w:after="0" w:line="28" w:lineRule="exact"/>
        <w:rPr>
          <w:sz w:val="20"/>
          <w:szCs w:val="20"/>
          <w:color w:val="auto"/>
        </w:rPr>
      </w:pPr>
    </w:p>
    <w:p>
      <w:pPr>
        <w:ind w:left="1960" w:right="57"/>
        <w:spacing w:after="0" w:line="269" w:lineRule="auto"/>
        <w:rPr>
          <w:sz w:val="20"/>
          <w:szCs w:val="20"/>
          <w:color w:val="auto"/>
        </w:rPr>
      </w:pPr>
      <w:r>
        <w:rPr>
          <w:rFonts w:ascii="Arial" w:cs="Arial" w:eastAsia="Arial" w:hAnsi="Arial"/>
          <w:sz w:val="19"/>
          <w:szCs w:val="19"/>
          <w:color w:val="2A2A2A"/>
        </w:rPr>
        <w:t>Mr. Templeton is a 40-year veteran of the semiconductor industry, serving 29 years at a senior level at the company. He has been the company’s chairman since 2008, and served as chief executive officer and president from 2004 to June 2018 and July 2018 to March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Key skills and experience</w:t>
      </w:r>
    </w:p>
    <w:p>
      <w:pPr>
        <w:spacing w:after="0" w:line="68" w:lineRule="exact"/>
        <w:rPr>
          <w:sz w:val="20"/>
          <w:szCs w:val="20"/>
          <w:color w:val="auto"/>
        </w:rPr>
      </w:pPr>
    </w:p>
    <w:p>
      <w:pPr>
        <w:ind w:left="263" w:right="80" w:hanging="263"/>
        <w:spacing w:after="0" w:line="263" w:lineRule="auto"/>
        <w:tabs>
          <w:tab w:leader="none" w:pos="263" w:val="left"/>
        </w:tabs>
        <w:numPr>
          <w:ilvl w:val="0"/>
          <w:numId w:val="81"/>
        </w:numPr>
        <w:rPr>
          <w:rFonts w:ascii="Arial" w:cs="Arial" w:eastAsia="Arial" w:hAnsi="Arial"/>
          <w:sz w:val="20"/>
          <w:szCs w:val="20"/>
          <w:color w:val="2A2A2A"/>
        </w:rPr>
      </w:pPr>
      <w:r>
        <w:rPr>
          <w:rFonts w:ascii="Arial" w:cs="Arial" w:eastAsia="Arial" w:hAnsi="Arial"/>
          <w:sz w:val="20"/>
          <w:szCs w:val="20"/>
          <w:color w:val="2A2A2A"/>
        </w:rPr>
        <w:t>Deep knowledge of all aspects of the company and the semiconductor industry</w:t>
      </w:r>
    </w:p>
    <w:p>
      <w:pPr>
        <w:ind w:left="263" w:hanging="263"/>
        <w:spacing w:after="0"/>
        <w:tabs>
          <w:tab w:leader="none" w:pos="263" w:val="left"/>
        </w:tabs>
        <w:numPr>
          <w:ilvl w:val="0"/>
          <w:numId w:val="81"/>
        </w:numPr>
        <w:rPr>
          <w:rFonts w:ascii="Arial" w:cs="Arial" w:eastAsia="Arial" w:hAnsi="Arial"/>
          <w:sz w:val="20"/>
          <w:szCs w:val="20"/>
          <w:color w:val="2A2A2A"/>
        </w:rPr>
      </w:pPr>
      <w:r>
        <w:rPr>
          <w:rFonts w:ascii="Arial" w:cs="Arial" w:eastAsia="Arial" w:hAnsi="Arial"/>
          <w:sz w:val="20"/>
          <w:szCs w:val="20"/>
          <w:color w:val="2A2A2A"/>
        </w:rPr>
        <w:t>Management responsibility of the company</w:t>
      </w:r>
    </w:p>
    <w:p>
      <w:pPr>
        <w:spacing w:after="0" w:line="30" w:lineRule="exact"/>
        <w:rPr>
          <w:rFonts w:ascii="Arial" w:cs="Arial" w:eastAsia="Arial" w:hAnsi="Arial"/>
          <w:sz w:val="20"/>
          <w:szCs w:val="20"/>
          <w:color w:val="2A2A2A"/>
        </w:rPr>
      </w:pPr>
    </w:p>
    <w:p>
      <w:pPr>
        <w:ind w:left="263" w:right="620" w:hanging="263"/>
        <w:spacing w:after="0" w:line="281" w:lineRule="auto"/>
        <w:tabs>
          <w:tab w:leader="none" w:pos="263" w:val="left"/>
        </w:tabs>
        <w:numPr>
          <w:ilvl w:val="0"/>
          <w:numId w:val="81"/>
        </w:numPr>
        <w:rPr>
          <w:rFonts w:ascii="Arial" w:cs="Arial" w:eastAsia="Arial" w:hAnsi="Arial"/>
          <w:sz w:val="20"/>
          <w:szCs w:val="20"/>
          <w:color w:val="2A2A2A"/>
        </w:rPr>
      </w:pPr>
      <w:r>
        <w:rPr>
          <w:rFonts w:ascii="Arial" w:cs="Arial" w:eastAsia="Arial" w:hAnsi="Arial"/>
          <w:sz w:val="20"/>
          <w:szCs w:val="20"/>
          <w:color w:val="2A2A2A"/>
        </w:rPr>
        <w:t>Responsibility for significant capital and R&amp;D investments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2A2A2A"/>
        </w:rPr>
        <w:t>Other current public company directorships</w:t>
      </w:r>
    </w:p>
    <w:p>
      <w:pPr>
        <w:spacing w:after="0" w:line="68" w:lineRule="exact"/>
        <w:rPr>
          <w:sz w:val="20"/>
          <w:szCs w:val="20"/>
          <w:color w:val="auto"/>
        </w:rPr>
      </w:pPr>
    </w:p>
    <w:p>
      <w:pPr>
        <w:ind w:left="263" w:hanging="263"/>
        <w:spacing w:after="0"/>
        <w:tabs>
          <w:tab w:leader="none" w:pos="263" w:val="left"/>
        </w:tabs>
        <w:numPr>
          <w:ilvl w:val="0"/>
          <w:numId w:val="82"/>
        </w:numPr>
        <w:rPr>
          <w:rFonts w:ascii="Arial" w:cs="Arial" w:eastAsia="Arial" w:hAnsi="Arial"/>
          <w:sz w:val="20"/>
          <w:szCs w:val="20"/>
          <w:color w:val="2A2A2A"/>
        </w:rPr>
      </w:pPr>
      <w:r>
        <w:rPr>
          <w:rFonts w:ascii="Arial" w:cs="Arial" w:eastAsia="Arial" w:hAnsi="Arial"/>
          <w:sz w:val="20"/>
          <w:szCs w:val="20"/>
          <w:color w:val="2A2A2A"/>
        </w:rPr>
        <w:t>None</w:t>
      </w:r>
    </w:p>
    <w:p>
      <w:pPr>
        <w:spacing w:after="0" w:line="252" w:lineRule="exact"/>
        <w:rPr>
          <w:sz w:val="20"/>
          <w:szCs w:val="20"/>
          <w:color w:val="auto"/>
        </w:rPr>
      </w:pPr>
    </w:p>
    <w:p>
      <w:pPr>
        <w:ind w:left="3" w:right="820"/>
        <w:spacing w:after="0" w:line="280" w:lineRule="auto"/>
        <w:rPr>
          <w:sz w:val="20"/>
          <w:szCs w:val="20"/>
          <w:color w:val="auto"/>
        </w:rPr>
      </w:pPr>
      <w:r>
        <w:rPr>
          <w:rFonts w:ascii="Arial" w:cs="Arial" w:eastAsia="Arial" w:hAnsi="Arial"/>
          <w:sz w:val="20"/>
          <w:szCs w:val="20"/>
          <w:i w:val="1"/>
          <w:iCs w:val="1"/>
          <w:color w:val="2A2A2A"/>
        </w:rPr>
        <w:t>Other public company directorships in the last five years</w:t>
      </w:r>
    </w:p>
    <w:p>
      <w:pPr>
        <w:spacing w:after="0" w:line="1" w:lineRule="exact"/>
        <w:rPr>
          <w:sz w:val="20"/>
          <w:szCs w:val="20"/>
          <w:color w:val="auto"/>
        </w:rPr>
      </w:pPr>
    </w:p>
    <w:p>
      <w:pPr>
        <w:ind w:left="263" w:hanging="263"/>
        <w:spacing w:after="0"/>
        <w:tabs>
          <w:tab w:leader="none" w:pos="263" w:val="left"/>
        </w:tabs>
        <w:numPr>
          <w:ilvl w:val="0"/>
          <w:numId w:val="83"/>
        </w:numPr>
        <w:rPr>
          <w:rFonts w:ascii="Arial" w:cs="Arial" w:eastAsia="Arial" w:hAnsi="Arial"/>
          <w:sz w:val="20"/>
          <w:szCs w:val="20"/>
          <w:color w:val="2A2A2A"/>
        </w:rPr>
      </w:pPr>
      <w:r>
        <w:rPr>
          <w:rFonts w:ascii="Arial" w:cs="Arial" w:eastAsia="Arial" w:hAnsi="Arial"/>
          <w:sz w:val="20"/>
          <w:szCs w:val="20"/>
          <w:color w:val="2A2A2A"/>
        </w:rPr>
        <w:t>None</w:t>
      </w:r>
    </w:p>
    <w:p>
      <w:pPr>
        <w:spacing w:after="0" w:line="200" w:lineRule="exact"/>
        <w:rPr>
          <w:sz w:val="20"/>
          <w:szCs w:val="20"/>
          <w:color w:val="auto"/>
        </w:rPr>
      </w:pPr>
    </w:p>
    <w:p>
      <w:pPr>
        <w:sectPr>
          <w:pgSz w:w="12240" w:h="15840" w:orient="portrait"/>
          <w:cols w:equalWidth="0" w:num="2">
            <w:col w:w="4657" w:space="720"/>
            <w:col w:w="4863"/>
          </w:cols>
          <w:pgMar w:left="980" w:top="827" w:right="1020" w:bottom="33"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Director nomination process</w:t>
      </w:r>
    </w:p>
    <w:p>
      <w:pPr>
        <w:spacing w:after="0" w:line="257"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2A2A2A"/>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LLC (Nasdaq) and the board’s corporate governance guidelines. Our board of directors has adopted a written charter for the GSR committee. It can be found on our website at www.ti.com/ corporategovernance.</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2A2A2A"/>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2A2A2A"/>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Communications with the board</w:t>
      </w:r>
    </w:p>
    <w:p>
      <w:pPr>
        <w:spacing w:after="0" w:line="257" w:lineRule="exact"/>
        <w:rPr>
          <w:sz w:val="20"/>
          <w:szCs w:val="20"/>
          <w:color w:val="auto"/>
        </w:rPr>
      </w:pPr>
    </w:p>
    <w:p>
      <w:pPr>
        <w:jc w:val="both"/>
        <w:ind w:right="100"/>
        <w:spacing w:after="0" w:line="268" w:lineRule="auto"/>
        <w:rPr>
          <w:sz w:val="20"/>
          <w:szCs w:val="20"/>
          <w:color w:val="auto"/>
        </w:rPr>
      </w:pPr>
      <w:r>
        <w:rPr>
          <w:rFonts w:ascii="Arial" w:cs="Arial" w:eastAsia="Arial" w:hAnsi="Arial"/>
          <w:sz w:val="20"/>
          <w:szCs w:val="20"/>
          <w:color w:val="2A2A2A"/>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Corporate governance</w:t>
      </w:r>
    </w:p>
    <w:p>
      <w:pPr>
        <w:spacing w:after="0" w:line="257" w:lineRule="exact"/>
        <w:rPr>
          <w:sz w:val="20"/>
          <w:szCs w:val="20"/>
          <w:color w:val="auto"/>
        </w:rPr>
      </w:pPr>
    </w:p>
    <w:p>
      <w:pPr>
        <w:ind w:right="700"/>
        <w:spacing w:after="0" w:line="268" w:lineRule="auto"/>
        <w:rPr>
          <w:sz w:val="20"/>
          <w:szCs w:val="20"/>
          <w:color w:val="auto"/>
        </w:rPr>
      </w:pPr>
      <w:r>
        <w:rPr>
          <w:rFonts w:ascii="Arial" w:cs="Arial" w:eastAsia="Arial" w:hAnsi="Arial"/>
          <w:sz w:val="20"/>
          <w:szCs w:val="20"/>
          <w:color w:val="2A2A2A"/>
        </w:rPr>
        <w:t>The board has a long-standing commitment to responsible and effective corporate governance. We annually conduct extensive governance reviews and engage in investor outreach specific to governance, executive compensation and environmental and social matters.</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9"/>
          <w:szCs w:val="19"/>
          <w:color w:val="2A2A2A"/>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w:t>
      </w:r>
    </w:p>
    <w:p>
      <w:pPr>
        <w:sectPr>
          <w:pgSz w:w="12240" w:h="15840" w:orient="portrait"/>
          <w:cols w:equalWidth="0" w:num="1">
            <w:col w:w="10240"/>
          </w:cols>
          <w:pgMar w:left="980" w:top="827" w:right="1020" w:bottom="33" w:gutter="0" w:footer="0" w:header="0"/>
          <w:type w:val="continuous"/>
        </w:sectPr>
      </w:pP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2024 PROXY STATEMENT • PAGE 12</w:t>
      </w:r>
    </w:p>
    <w:p>
      <w:pPr>
        <w:sectPr>
          <w:pgSz w:w="12240" w:h="15840" w:orient="portrait"/>
          <w:cols w:equalWidth="0" w:num="1">
            <w:col w:w="10240"/>
          </w:cols>
          <w:pgMar w:left="980" w:top="827" w:right="1020" w:bottom="33" w:gutter="0" w:footer="0" w:header="0"/>
          <w:type w:val="continuous"/>
        </w:sectPr>
      </w:pPr>
    </w:p>
    <w:bookmarkStart w:id="84" w:name="page85"/>
    <w:bookmarkEnd w:id="84"/>
    <w:p>
      <w:pPr>
        <w:ind w:right="60"/>
        <w:spacing w:after="0" w:line="314" w:lineRule="auto"/>
        <w:rPr>
          <w:sz w:val="20"/>
          <w:szCs w:val="20"/>
          <w:color w:val="auto"/>
        </w:rPr>
      </w:pPr>
      <w:r>
        <w:rPr>
          <w:rFonts w:ascii="Arial" w:cs="Arial" w:eastAsia="Arial" w:hAnsi="Arial"/>
          <w:sz w:val="19"/>
          <w:szCs w:val="19"/>
          <w:color w:val="2A2A2A"/>
        </w:rPr>
        <w:t>at www.ti.com/corporategovernance. Stockholders may request copies of these documents free of charge by writing to Texas Instruments Incorporated, P.O. Box 660199, MS 8657, Dallas, TX 75266-0199, Attn: Investor Relations.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Annual meeting attendance</w:t>
      </w:r>
    </w:p>
    <w:p>
      <w:pPr>
        <w:spacing w:after="0" w:line="257"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2A2A2A"/>
        </w:rPr>
        <w:t>It is a policy of the board to encourage directors to attend the annual meeting of stockholders. Attendance allows for interaction between stockholders and board members. In 2023, all directors then in office and standing for re-election attended TI’s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Director independence</w:t>
      </w:r>
    </w:p>
    <w:p>
      <w:pPr>
        <w:spacing w:after="0" w:line="257"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2A2A2A"/>
        </w:rPr>
        <w:t>The board has determined that each of our directors is independent, with the exception of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99" w:lineRule="exact"/>
        <w:rPr>
          <w:sz w:val="20"/>
          <w:szCs w:val="20"/>
          <w:color w:val="auto"/>
        </w:rPr>
      </w:pPr>
    </w:p>
    <w:p>
      <w:pPr>
        <w:ind w:left="1080" w:hanging="541"/>
        <w:spacing w:after="0"/>
        <w:tabs>
          <w:tab w:leader="none" w:pos="1080" w:val="left"/>
        </w:tabs>
        <w:numPr>
          <w:ilvl w:val="0"/>
          <w:numId w:val="84"/>
        </w:numPr>
        <w:rPr>
          <w:rFonts w:ascii="Arial" w:cs="Arial" w:eastAsia="Arial" w:hAnsi="Arial"/>
          <w:sz w:val="20"/>
          <w:szCs w:val="20"/>
          <w:color w:val="2A2A2A"/>
        </w:rPr>
      </w:pPr>
      <w:r>
        <w:rPr>
          <w:rFonts w:ascii="Arial" w:cs="Arial" w:eastAsia="Arial" w:hAnsi="Arial"/>
          <w:sz w:val="20"/>
          <w:szCs w:val="20"/>
          <w:color w:val="2A2A2A"/>
        </w:rPr>
        <w:t>In no event will a director be considered independent if:</w:t>
      </w:r>
    </w:p>
    <w:p>
      <w:pPr>
        <w:spacing w:after="0" w:line="70" w:lineRule="exact"/>
        <w:rPr>
          <w:rFonts w:ascii="Arial" w:cs="Arial" w:eastAsia="Arial" w:hAnsi="Arial"/>
          <w:sz w:val="20"/>
          <w:szCs w:val="20"/>
          <w:color w:val="2A2A2A"/>
        </w:rPr>
      </w:pPr>
    </w:p>
    <w:p>
      <w:pPr>
        <w:ind w:left="1620" w:hanging="541"/>
        <w:spacing w:after="0"/>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He or she is a current partner of or is employed by the company’s independent auditors;</w:t>
      </w:r>
    </w:p>
    <w:p>
      <w:pPr>
        <w:spacing w:after="0" w:line="70" w:lineRule="exact"/>
        <w:rPr>
          <w:rFonts w:ascii="Arial" w:cs="Arial" w:eastAsia="Arial" w:hAnsi="Arial"/>
          <w:sz w:val="20"/>
          <w:szCs w:val="20"/>
          <w:color w:val="2A2A2A"/>
        </w:rPr>
      </w:pPr>
    </w:p>
    <w:p>
      <w:pPr>
        <w:ind w:left="1620" w:right="220" w:hanging="541"/>
        <w:spacing w:after="0" w:line="268"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A family member of the director is (i) a current partner of the company’s independent auditors or (ii) currently employed by the company’s independent auditors and personally works on the company’s audit;</w:t>
      </w:r>
    </w:p>
    <w:p>
      <w:pPr>
        <w:spacing w:after="0" w:line="9" w:lineRule="exact"/>
        <w:rPr>
          <w:rFonts w:ascii="Arial" w:cs="Arial" w:eastAsia="Arial" w:hAnsi="Arial"/>
          <w:sz w:val="20"/>
          <w:szCs w:val="20"/>
          <w:color w:val="2A2A2A"/>
        </w:rPr>
      </w:pPr>
    </w:p>
    <w:p>
      <w:pPr>
        <w:ind w:left="1620" w:right="80" w:hanging="541"/>
        <w:spacing w:after="0" w:line="255"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 (ii) 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20"/>
          <w:szCs w:val="20"/>
          <w:color w:val="2A2A2A"/>
        </w:rPr>
      </w:pPr>
    </w:p>
    <w:p>
      <w:pPr>
        <w:ind w:left="1620" w:right="140" w:hanging="541"/>
        <w:spacing w:after="0" w:line="254"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 (ii) 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86" w:lineRule="exact"/>
        <w:rPr>
          <w:rFonts w:ascii="Arial" w:cs="Arial" w:eastAsia="Arial" w:hAnsi="Arial"/>
          <w:sz w:val="20"/>
          <w:szCs w:val="20"/>
          <w:color w:val="2A2A2A"/>
        </w:rPr>
      </w:pPr>
    </w:p>
    <w:p>
      <w:pPr>
        <w:ind w:left="1080" w:hanging="541"/>
        <w:spacing w:after="0"/>
        <w:tabs>
          <w:tab w:leader="none" w:pos="1080" w:val="left"/>
        </w:tabs>
        <w:numPr>
          <w:ilvl w:val="0"/>
          <w:numId w:val="84"/>
        </w:numPr>
        <w:rPr>
          <w:rFonts w:ascii="Arial" w:cs="Arial" w:eastAsia="Arial" w:hAnsi="Arial"/>
          <w:sz w:val="20"/>
          <w:szCs w:val="20"/>
          <w:color w:val="2A2A2A"/>
        </w:rPr>
      </w:pPr>
      <w:r>
        <w:rPr>
          <w:rFonts w:ascii="Arial" w:cs="Arial" w:eastAsia="Arial" w:hAnsi="Arial"/>
          <w:sz w:val="20"/>
          <w:szCs w:val="20"/>
          <w:color w:val="2A2A2A"/>
        </w:rPr>
        <w:t>In no event will a director be considered independent if, within the preceding three years:</w:t>
      </w:r>
    </w:p>
    <w:p>
      <w:pPr>
        <w:spacing w:after="0" w:line="70" w:lineRule="exact"/>
        <w:rPr>
          <w:rFonts w:ascii="Arial" w:cs="Arial" w:eastAsia="Arial" w:hAnsi="Arial"/>
          <w:sz w:val="20"/>
          <w:szCs w:val="20"/>
          <w:color w:val="2A2A2A"/>
        </w:rPr>
      </w:pPr>
    </w:p>
    <w:p>
      <w:pPr>
        <w:ind w:left="1620" w:right="20" w:hanging="541"/>
        <w:spacing w:after="0" w:line="268"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He or she was employed by the company (except in the capacity of interim chairman of the board, chief executive officer or other executive officer, provided the interim employment did not last longer than one year);</w:t>
      </w:r>
    </w:p>
    <w:p>
      <w:pPr>
        <w:spacing w:after="0" w:line="9" w:lineRule="exact"/>
        <w:rPr>
          <w:rFonts w:ascii="Arial" w:cs="Arial" w:eastAsia="Arial" w:hAnsi="Arial"/>
          <w:sz w:val="20"/>
          <w:szCs w:val="20"/>
          <w:color w:val="2A2A2A"/>
        </w:rPr>
      </w:pPr>
    </w:p>
    <w:p>
      <w:pPr>
        <w:ind w:left="1620" w:hanging="541"/>
        <w:spacing w:after="0" w:line="259"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He or she received more than $120,000 during any twelve-month period in compensation from the company (other than (i) 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9" w:lineRule="exact"/>
        <w:rPr>
          <w:rFonts w:ascii="Arial" w:cs="Arial" w:eastAsia="Arial" w:hAnsi="Arial"/>
          <w:sz w:val="20"/>
          <w:szCs w:val="20"/>
          <w:color w:val="2A2A2A"/>
        </w:rPr>
      </w:pPr>
    </w:p>
    <w:p>
      <w:pPr>
        <w:ind w:left="1620" w:hanging="541"/>
        <w:spacing w:after="0"/>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A family member of the director was employed as an executive officer by the company;</w:t>
      </w:r>
    </w:p>
    <w:p>
      <w:pPr>
        <w:spacing w:after="0" w:line="70" w:lineRule="exact"/>
        <w:rPr>
          <w:rFonts w:ascii="Arial" w:cs="Arial" w:eastAsia="Arial" w:hAnsi="Arial"/>
          <w:sz w:val="20"/>
          <w:szCs w:val="20"/>
          <w:color w:val="2A2A2A"/>
        </w:rPr>
      </w:pPr>
    </w:p>
    <w:p>
      <w:pPr>
        <w:ind w:left="1620" w:right="20" w:hanging="541"/>
        <w:spacing w:after="0" w:line="268"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A family member of the director received more than $120,000 during any twelve-month period in compensation from the company (excluding compensation as a non-executive officer employee of the company);</w:t>
      </w:r>
    </w:p>
    <w:p>
      <w:pPr>
        <w:spacing w:after="0" w:line="9" w:lineRule="exact"/>
        <w:rPr>
          <w:rFonts w:ascii="Arial" w:cs="Arial" w:eastAsia="Arial" w:hAnsi="Arial"/>
          <w:sz w:val="20"/>
          <w:szCs w:val="20"/>
          <w:color w:val="2A2A2A"/>
        </w:rPr>
      </w:pPr>
    </w:p>
    <w:p>
      <w:pPr>
        <w:ind w:left="1620" w:right="340" w:hanging="541"/>
        <w:spacing w:after="0" w:line="287" w:lineRule="auto"/>
        <w:tabs>
          <w:tab w:leader="none" w:pos="1620" w:val="left"/>
        </w:tabs>
        <w:numPr>
          <w:ilvl w:val="1"/>
          <w:numId w:val="84"/>
        </w:numPr>
        <w:rPr>
          <w:rFonts w:ascii="Arial" w:cs="Arial" w:eastAsia="Arial" w:hAnsi="Arial"/>
          <w:sz w:val="20"/>
          <w:szCs w:val="20"/>
          <w:color w:val="2A2A2A"/>
        </w:rPr>
      </w:pPr>
      <w:r>
        <w:rPr>
          <w:rFonts w:ascii="Arial" w:cs="Arial" w:eastAsia="Arial" w:hAnsi="Arial"/>
          <w:sz w:val="20"/>
          <w:szCs w:val="20"/>
          <w:color w:val="2A2A2A"/>
        </w:rPr>
        <w:t>He or she was (but is no longer) a partner or employee of the company’s independent auditors and worked on the company’s audit within that time;</w:t>
      </w:r>
    </w:p>
    <w:p>
      <w:pPr>
        <w:sectPr>
          <w:pgSz w:w="12240" w:h="15840" w:orient="portrait"/>
          <w:cols w:equalWidth="0" w:num="1">
            <w:col w:w="10280"/>
          </w:cols>
          <w:pgMar w:left="980" w:top="664" w:right="980" w:bottom="33"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13</w:t>
      </w:r>
    </w:p>
    <w:p>
      <w:pPr>
        <w:sectPr>
          <w:pgSz w:w="12240" w:h="15840" w:orient="portrait"/>
          <w:cols w:equalWidth="0" w:num="1">
            <w:col w:w="10280"/>
          </w:cols>
          <w:pgMar w:left="980" w:top="664" w:right="980" w:bottom="33" w:gutter="0" w:footer="0" w:header="0"/>
          <w:type w:val="continuous"/>
        </w:sectPr>
      </w:pPr>
    </w:p>
    <w:bookmarkStart w:id="85" w:name="page86"/>
    <w:bookmarkEnd w:id="85"/>
    <w:p>
      <w:pPr>
        <w:ind w:left="1620" w:right="280" w:hanging="541"/>
        <w:spacing w:after="0" w:line="281" w:lineRule="auto"/>
        <w:tabs>
          <w:tab w:leader="none" w:pos="1620" w:val="left"/>
        </w:tabs>
        <w:numPr>
          <w:ilvl w:val="1"/>
          <w:numId w:val="85"/>
        </w:numPr>
        <w:rPr>
          <w:rFonts w:ascii="Arial" w:cs="Arial" w:eastAsia="Arial" w:hAnsi="Arial"/>
          <w:sz w:val="20"/>
          <w:szCs w:val="20"/>
          <w:color w:val="2A2A2A"/>
        </w:rPr>
      </w:pPr>
      <w:r>
        <w:rPr>
          <w:rFonts w:ascii="Arial" w:cs="Arial" w:eastAsia="Arial" w:hAnsi="Arial"/>
          <w:sz w:val="20"/>
          <w:szCs w:val="20"/>
          <w:color w:val="2A2A2A"/>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20"/>
          <w:szCs w:val="20"/>
          <w:color w:val="2A2A2A"/>
        </w:rPr>
      </w:pPr>
    </w:p>
    <w:p>
      <w:pPr>
        <w:ind w:left="1620" w:right="280" w:hanging="541"/>
        <w:spacing w:after="0" w:line="268" w:lineRule="auto"/>
        <w:tabs>
          <w:tab w:leader="none" w:pos="1620" w:val="left"/>
        </w:tabs>
        <w:numPr>
          <w:ilvl w:val="1"/>
          <w:numId w:val="85"/>
        </w:numPr>
        <w:rPr>
          <w:rFonts w:ascii="Arial" w:cs="Arial" w:eastAsia="Arial" w:hAnsi="Arial"/>
          <w:sz w:val="20"/>
          <w:szCs w:val="20"/>
          <w:color w:val="2A2A2A"/>
        </w:rPr>
      </w:pPr>
      <w:r>
        <w:rPr>
          <w:rFonts w:ascii="Arial" w:cs="Arial" w:eastAsia="Arial" w:hAnsi="Arial"/>
          <w:sz w:val="20"/>
          <w:szCs w:val="20"/>
          <w:color w:val="2A2A2A"/>
        </w:rPr>
        <w:t>He or she was an executive officer of another entity at which any of the company’s current executive officers at any time during the past three years served on that entity’s compensation committee; or</w:t>
      </w:r>
    </w:p>
    <w:p>
      <w:pPr>
        <w:spacing w:after="0" w:line="9" w:lineRule="exact"/>
        <w:rPr>
          <w:rFonts w:ascii="Arial" w:cs="Arial" w:eastAsia="Arial" w:hAnsi="Arial"/>
          <w:sz w:val="20"/>
          <w:szCs w:val="20"/>
          <w:color w:val="2A2A2A"/>
        </w:rPr>
      </w:pPr>
    </w:p>
    <w:p>
      <w:pPr>
        <w:ind w:left="1620" w:right="420" w:hanging="541"/>
        <w:spacing w:after="0" w:line="268" w:lineRule="auto"/>
        <w:tabs>
          <w:tab w:leader="none" w:pos="1620" w:val="left"/>
        </w:tabs>
        <w:numPr>
          <w:ilvl w:val="1"/>
          <w:numId w:val="85"/>
        </w:numPr>
        <w:rPr>
          <w:rFonts w:ascii="Arial" w:cs="Arial" w:eastAsia="Arial" w:hAnsi="Arial"/>
          <w:sz w:val="20"/>
          <w:szCs w:val="20"/>
          <w:color w:val="2A2A2A"/>
        </w:rPr>
      </w:pPr>
      <w:r>
        <w:rPr>
          <w:rFonts w:ascii="Arial" w:cs="Arial" w:eastAsia="Arial" w:hAnsi="Arial"/>
          <w:sz w:val="20"/>
          <w:szCs w:val="20"/>
          <w:color w:val="2A2A2A"/>
        </w:rPr>
        <w:t>A family member of the director was an executive officer of another entity at which any of the company’s current executive officers at any time during the past three years served on that entity’s compensation committee.</w:t>
      </w:r>
    </w:p>
    <w:p>
      <w:pPr>
        <w:spacing w:after="0" w:line="69" w:lineRule="exact"/>
        <w:rPr>
          <w:rFonts w:ascii="Arial" w:cs="Arial" w:eastAsia="Arial" w:hAnsi="Arial"/>
          <w:sz w:val="20"/>
          <w:szCs w:val="20"/>
          <w:color w:val="2A2A2A"/>
        </w:rPr>
      </w:pPr>
    </w:p>
    <w:p>
      <w:pPr>
        <w:ind w:left="1080" w:right="40" w:hanging="541"/>
        <w:spacing w:after="0" w:line="256" w:lineRule="auto"/>
        <w:tabs>
          <w:tab w:leader="none" w:pos="1080" w:val="left"/>
        </w:tabs>
        <w:numPr>
          <w:ilvl w:val="0"/>
          <w:numId w:val="86"/>
        </w:numPr>
        <w:rPr>
          <w:rFonts w:ascii="Arial" w:cs="Arial" w:eastAsia="Arial" w:hAnsi="Arial"/>
          <w:sz w:val="20"/>
          <w:szCs w:val="20"/>
          <w:color w:val="2A2A2A"/>
        </w:rPr>
      </w:pPr>
      <w:r>
        <w:rPr>
          <w:rFonts w:ascii="Arial" w:cs="Arial" w:eastAsia="Arial" w:hAnsi="Arial"/>
          <w:sz w:val="20"/>
          <w:szCs w:val="20"/>
          <w:color w:val="2A2A2A"/>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82" w:lineRule="exact"/>
        <w:rPr>
          <w:rFonts w:ascii="Arial" w:cs="Arial" w:eastAsia="Arial" w:hAnsi="Arial"/>
          <w:sz w:val="20"/>
          <w:szCs w:val="20"/>
          <w:color w:val="2A2A2A"/>
        </w:rPr>
      </w:pPr>
    </w:p>
    <w:p>
      <w:pPr>
        <w:ind w:left="1080" w:hanging="541"/>
        <w:spacing w:after="0" w:line="262" w:lineRule="auto"/>
        <w:tabs>
          <w:tab w:leader="none" w:pos="1080" w:val="left"/>
        </w:tabs>
        <w:numPr>
          <w:ilvl w:val="0"/>
          <w:numId w:val="86"/>
        </w:numPr>
        <w:rPr>
          <w:rFonts w:ascii="Arial" w:cs="Arial" w:eastAsia="Arial" w:hAnsi="Arial"/>
          <w:sz w:val="20"/>
          <w:szCs w:val="20"/>
          <w:color w:val="2A2A2A"/>
        </w:rPr>
      </w:pPr>
      <w:r>
        <w:rPr>
          <w:rFonts w:ascii="Arial" w:cs="Arial" w:eastAsia="Arial" w:hAnsi="Arial"/>
          <w:sz w:val="20"/>
          <w:szCs w:val="20"/>
          <w:color w:val="2A2A2A"/>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15" w:lineRule="exact"/>
        <w:rPr>
          <w:rFonts w:ascii="Arial" w:cs="Arial" w:eastAsia="Arial" w:hAnsi="Arial"/>
          <w:sz w:val="20"/>
          <w:szCs w:val="20"/>
          <w:color w:val="2A2A2A"/>
        </w:rPr>
      </w:pPr>
    </w:p>
    <w:p>
      <w:pPr>
        <w:ind w:left="1620" w:right="160" w:hanging="541"/>
        <w:spacing w:after="0" w:line="281" w:lineRule="auto"/>
        <w:tabs>
          <w:tab w:leader="none" w:pos="1620" w:val="left"/>
        </w:tabs>
        <w:numPr>
          <w:ilvl w:val="1"/>
          <w:numId w:val="86"/>
        </w:numPr>
        <w:rPr>
          <w:rFonts w:ascii="Arial" w:cs="Arial" w:eastAsia="Arial" w:hAnsi="Arial"/>
          <w:sz w:val="20"/>
          <w:szCs w:val="20"/>
          <w:color w:val="2A2A2A"/>
        </w:rPr>
      </w:pPr>
      <w:r>
        <w:rPr>
          <w:rFonts w:ascii="Arial" w:cs="Arial" w:eastAsia="Arial" w:hAnsi="Arial"/>
          <w:sz w:val="20"/>
          <w:szCs w:val="20"/>
          <w:color w:val="2A2A2A"/>
        </w:rPr>
        <w:t>The source of compensation of the director, including any consulting, advisory or compensatory fee paid by the company to the director; and</w:t>
      </w:r>
    </w:p>
    <w:p>
      <w:pPr>
        <w:spacing w:after="0" w:line="1" w:lineRule="exact"/>
        <w:rPr>
          <w:rFonts w:ascii="Arial" w:cs="Arial" w:eastAsia="Arial" w:hAnsi="Arial"/>
          <w:sz w:val="20"/>
          <w:szCs w:val="20"/>
          <w:color w:val="2A2A2A"/>
        </w:rPr>
      </w:pPr>
    </w:p>
    <w:p>
      <w:pPr>
        <w:ind w:left="1620" w:hanging="541"/>
        <w:spacing w:after="0" w:line="287" w:lineRule="auto"/>
        <w:tabs>
          <w:tab w:leader="none" w:pos="1620" w:val="left"/>
        </w:tabs>
        <w:numPr>
          <w:ilvl w:val="1"/>
          <w:numId w:val="86"/>
        </w:numPr>
        <w:rPr>
          <w:rFonts w:ascii="Arial" w:cs="Arial" w:eastAsia="Arial" w:hAnsi="Arial"/>
          <w:sz w:val="20"/>
          <w:szCs w:val="20"/>
          <w:color w:val="2A2A2A"/>
        </w:rPr>
      </w:pPr>
      <w:r>
        <w:rPr>
          <w:rFonts w:ascii="Arial" w:cs="Arial" w:eastAsia="Arial" w:hAnsi="Arial"/>
          <w:sz w:val="20"/>
          <w:szCs w:val="20"/>
          <w:color w:val="2A2A2A"/>
        </w:rPr>
        <w:t>Whether the director is affiliated with the company, a subsidiary of the company or an affiliate of a subsidiary of the company.</w:t>
      </w:r>
    </w:p>
    <w:p>
      <w:pPr>
        <w:spacing w:after="0" w:line="49" w:lineRule="exact"/>
        <w:rPr>
          <w:rFonts w:ascii="Arial" w:cs="Arial" w:eastAsia="Arial" w:hAnsi="Arial"/>
          <w:sz w:val="20"/>
          <w:szCs w:val="20"/>
          <w:color w:val="2A2A2A"/>
        </w:rPr>
      </w:pPr>
    </w:p>
    <w:p>
      <w:pPr>
        <w:jc w:val="both"/>
        <w:ind w:left="1080" w:right="20" w:hanging="541"/>
        <w:spacing w:after="0" w:line="262" w:lineRule="auto"/>
        <w:tabs>
          <w:tab w:leader="none" w:pos="1080" w:val="left"/>
        </w:tabs>
        <w:numPr>
          <w:ilvl w:val="0"/>
          <w:numId w:val="86"/>
        </w:numPr>
        <w:rPr>
          <w:rFonts w:ascii="Arial" w:cs="Arial" w:eastAsia="Arial" w:hAnsi="Arial"/>
          <w:sz w:val="20"/>
          <w:szCs w:val="20"/>
          <w:color w:val="2A2A2A"/>
        </w:rPr>
      </w:pPr>
      <w:r>
        <w:rPr>
          <w:rFonts w:ascii="Arial" w:cs="Arial" w:eastAsia="Arial" w:hAnsi="Arial"/>
          <w:sz w:val="20"/>
          <w:szCs w:val="20"/>
          <w:color w:val="2A2A2A"/>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96"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2A2A2A"/>
        </w:rPr>
        <w:t>For purposes of these independence determinations, “company” and “family member” will have the same meaning as under Nasdaq rules.</w:t>
      </w:r>
    </w:p>
    <w:p>
      <w:pPr>
        <w:sectPr>
          <w:pgSz w:w="12240" w:h="15840" w:orient="portrait"/>
          <w:cols w:equalWidth="0" w:num="1">
            <w:col w:w="10200"/>
          </w:cols>
          <w:pgMar w:left="980" w:top="664" w:right="10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14</w:t>
      </w:r>
    </w:p>
    <w:p>
      <w:pPr>
        <w:sectPr>
          <w:pgSz w:w="12240" w:h="15840" w:orient="portrait"/>
          <w:cols w:equalWidth="0" w:num="1">
            <w:col w:w="10200"/>
          </w:cols>
          <w:pgMar w:left="980" w:top="664" w:right="1060" w:bottom="33" w:gutter="0" w:footer="0" w:header="0"/>
          <w:type w:val="continuous"/>
        </w:sectPr>
      </w:pPr>
    </w:p>
    <w:bookmarkStart w:id="86" w:name="page87"/>
    <w:bookmarkEnd w:id="86"/>
    <w:p>
      <w:pPr>
        <w:ind w:left="1"/>
        <w:spacing w:after="0"/>
        <w:rPr>
          <w:sz w:val="20"/>
          <w:szCs w:val="20"/>
          <w:color w:val="auto"/>
        </w:rPr>
      </w:pPr>
      <w:r>
        <w:rPr>
          <w:rFonts w:ascii="Arial" w:cs="Arial" w:eastAsia="Arial" w:hAnsi="Arial"/>
          <w:sz w:val="22"/>
          <w:szCs w:val="22"/>
          <w:b w:val="1"/>
          <w:bCs w:val="1"/>
          <w:color w:val="2A2A2A"/>
        </w:rPr>
        <w:t>Board organization</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Board and committee meetings</w:t>
      </w:r>
    </w:p>
    <w:p>
      <w:pPr>
        <w:spacing w:after="0" w:line="257" w:lineRule="exact"/>
        <w:rPr>
          <w:sz w:val="20"/>
          <w:szCs w:val="20"/>
          <w:color w:val="auto"/>
        </w:rPr>
      </w:pPr>
    </w:p>
    <w:p>
      <w:pPr>
        <w:ind w:left="1" w:right="40"/>
        <w:spacing w:after="0" w:line="262" w:lineRule="auto"/>
        <w:rPr>
          <w:sz w:val="20"/>
          <w:szCs w:val="20"/>
          <w:color w:val="auto"/>
        </w:rPr>
      </w:pPr>
      <w:r>
        <w:rPr>
          <w:rFonts w:ascii="Arial" w:cs="Arial" w:eastAsia="Arial" w:hAnsi="Arial"/>
          <w:sz w:val="20"/>
          <w:szCs w:val="20"/>
          <w:color w:val="2A2A2A"/>
        </w:rPr>
        <w:t>During 2023, the board held six meetings. The board has three standing committees described below. The standing committees of the board collectively held 18 meetings in 2023. Each director attended at least 90% of the board and relevant committee meetings combined. Overall attendance at board and committee meetings was approximately 99%.</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500" w:type="dxa"/>
            <w:vAlign w:val="bottom"/>
          </w:tcPr>
          <w:p>
            <w:pPr>
              <w:jc w:val="center"/>
              <w:ind w:left="207"/>
              <w:spacing w:after="0"/>
              <w:rPr>
                <w:sz w:val="20"/>
                <w:szCs w:val="20"/>
                <w:color w:val="auto"/>
              </w:rPr>
            </w:pPr>
            <w:r>
              <w:rPr>
                <w:rFonts w:ascii="Arial" w:cs="Arial" w:eastAsia="Arial" w:hAnsi="Arial"/>
                <w:sz w:val="16"/>
                <w:szCs w:val="16"/>
                <w:b w:val="1"/>
                <w:bCs w:val="1"/>
                <w:color w:val="2A2A2A"/>
                <w:w w:val="97"/>
              </w:rPr>
              <w:t>Audit</w:t>
            </w:r>
          </w:p>
        </w:tc>
        <w:tc>
          <w:tcPr>
            <w:tcW w:w="2120" w:type="dxa"/>
            <w:vAlign w:val="bottom"/>
          </w:tcPr>
          <w:p>
            <w:pPr>
              <w:jc w:val="center"/>
              <w:ind w:left="247"/>
              <w:spacing w:after="0"/>
              <w:rPr>
                <w:sz w:val="20"/>
                <w:szCs w:val="20"/>
                <w:color w:val="auto"/>
              </w:rPr>
            </w:pPr>
            <w:r>
              <w:rPr>
                <w:rFonts w:ascii="Arial" w:cs="Arial" w:eastAsia="Arial" w:hAnsi="Arial"/>
                <w:sz w:val="16"/>
                <w:szCs w:val="16"/>
                <w:b w:val="1"/>
                <w:bCs w:val="1"/>
                <w:color w:val="2A2A2A"/>
                <w:w w:val="98"/>
              </w:rPr>
              <w:t>Compensation</w:t>
            </w:r>
          </w:p>
        </w:tc>
        <w:tc>
          <w:tcPr>
            <w:tcW w:w="2600" w:type="dxa"/>
            <w:vAlign w:val="bottom"/>
          </w:tcPr>
          <w:p>
            <w:pPr>
              <w:jc w:val="center"/>
              <w:ind w:left="168"/>
              <w:spacing w:after="0"/>
              <w:rPr>
                <w:sz w:val="20"/>
                <w:szCs w:val="20"/>
                <w:color w:val="auto"/>
              </w:rPr>
            </w:pPr>
            <w:r>
              <w:rPr>
                <w:rFonts w:ascii="Arial" w:cs="Arial" w:eastAsia="Arial" w:hAnsi="Arial"/>
                <w:sz w:val="16"/>
                <w:szCs w:val="16"/>
                <w:b w:val="1"/>
                <w:bCs w:val="1"/>
                <w:color w:val="2A2A2A"/>
                <w:w w:val="99"/>
              </w:rPr>
              <w:t>Governance and Stockholder</w:t>
            </w:r>
          </w:p>
        </w:tc>
      </w:tr>
      <w:tr>
        <w:trPr>
          <w:trHeight w:val="219"/>
        </w:trPr>
        <w:tc>
          <w:tcPr>
            <w:tcW w:w="30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Director</w:t>
            </w:r>
          </w:p>
        </w:tc>
        <w:tc>
          <w:tcPr>
            <w:tcW w:w="2500" w:type="dxa"/>
            <w:vAlign w:val="bottom"/>
            <w:tcBorders>
              <w:bottom w:val="single" w:sz="8" w:color="2A2A2A"/>
            </w:tcBorders>
          </w:tcPr>
          <w:p>
            <w:pPr>
              <w:jc w:val="center"/>
              <w:ind w:left="207"/>
              <w:spacing w:after="0"/>
              <w:rPr>
                <w:sz w:val="20"/>
                <w:szCs w:val="20"/>
                <w:color w:val="auto"/>
              </w:rPr>
            </w:pPr>
            <w:r>
              <w:rPr>
                <w:rFonts w:ascii="Arial" w:cs="Arial" w:eastAsia="Arial" w:hAnsi="Arial"/>
                <w:sz w:val="16"/>
                <w:szCs w:val="16"/>
                <w:b w:val="1"/>
                <w:bCs w:val="1"/>
                <w:color w:val="2A2A2A"/>
              </w:rPr>
              <w:t>Committee</w:t>
            </w:r>
          </w:p>
        </w:tc>
        <w:tc>
          <w:tcPr>
            <w:tcW w:w="2120" w:type="dxa"/>
            <w:vAlign w:val="bottom"/>
            <w:tcBorders>
              <w:bottom w:val="single" w:sz="8" w:color="2A2A2A"/>
            </w:tcBorders>
          </w:tcPr>
          <w:p>
            <w:pPr>
              <w:jc w:val="center"/>
              <w:ind w:left="247"/>
              <w:spacing w:after="0"/>
              <w:rPr>
                <w:sz w:val="20"/>
                <w:szCs w:val="20"/>
                <w:color w:val="auto"/>
              </w:rPr>
            </w:pPr>
            <w:r>
              <w:rPr>
                <w:rFonts w:ascii="Arial" w:cs="Arial" w:eastAsia="Arial" w:hAnsi="Arial"/>
                <w:sz w:val="16"/>
                <w:szCs w:val="16"/>
                <w:b w:val="1"/>
                <w:bCs w:val="1"/>
                <w:color w:val="2A2A2A"/>
                <w:w w:val="99"/>
              </w:rPr>
              <w:t>Committee</w:t>
            </w:r>
          </w:p>
        </w:tc>
        <w:tc>
          <w:tcPr>
            <w:tcW w:w="2600" w:type="dxa"/>
            <w:vAlign w:val="bottom"/>
            <w:tcBorders>
              <w:bottom w:val="single" w:sz="8" w:color="2A2A2A"/>
            </w:tcBorders>
          </w:tcPr>
          <w:p>
            <w:pPr>
              <w:jc w:val="center"/>
              <w:ind w:left="168"/>
              <w:spacing w:after="0"/>
              <w:rPr>
                <w:sz w:val="20"/>
                <w:szCs w:val="20"/>
                <w:color w:val="auto"/>
              </w:rPr>
            </w:pPr>
            <w:r>
              <w:rPr>
                <w:rFonts w:ascii="Arial" w:cs="Arial" w:eastAsia="Arial" w:hAnsi="Arial"/>
                <w:sz w:val="16"/>
                <w:szCs w:val="16"/>
                <w:b w:val="1"/>
                <w:bCs w:val="1"/>
                <w:color w:val="2A2A2A"/>
                <w:w w:val="99"/>
              </w:rPr>
              <w:t>Relations Committee</w:t>
            </w:r>
          </w:p>
        </w:tc>
      </w:tr>
      <w:tr>
        <w:trPr>
          <w:trHeight w:val="271"/>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A. Blinn</w:t>
            </w:r>
          </w:p>
        </w:tc>
        <w:tc>
          <w:tcPr>
            <w:tcW w:w="2500" w:type="dxa"/>
            <w:vAlign w:val="bottom"/>
            <w:shd w:val="clear" w:color="auto" w:fill="D7D7D7"/>
          </w:tcPr>
          <w:p>
            <w:pPr>
              <w:spacing w:after="0"/>
              <w:rPr>
                <w:sz w:val="23"/>
                <w:szCs w:val="23"/>
                <w:color w:val="auto"/>
              </w:rPr>
            </w:pPr>
          </w:p>
        </w:tc>
        <w:tc>
          <w:tcPr>
            <w:tcW w:w="2120" w:type="dxa"/>
            <w:vAlign w:val="bottom"/>
            <w:shd w:val="clear" w:color="auto" w:fill="D7D7D7"/>
          </w:tcPr>
          <w:p>
            <w:pPr>
              <w:jc w:val="center"/>
              <w:ind w:left="247"/>
              <w:spacing w:after="0"/>
              <w:rPr>
                <w:sz w:val="20"/>
                <w:szCs w:val="20"/>
                <w:color w:val="auto"/>
              </w:rPr>
            </w:pPr>
            <w:r>
              <w:rPr>
                <w:rFonts w:ascii="Arial" w:cs="Arial" w:eastAsia="Arial" w:hAnsi="Arial"/>
                <w:sz w:val="20"/>
                <w:szCs w:val="20"/>
                <w:color w:val="2A2A2A"/>
                <w:w w:val="85"/>
              </w:rPr>
              <w:t>•</w:t>
            </w:r>
          </w:p>
        </w:tc>
        <w:tc>
          <w:tcPr>
            <w:tcW w:w="2600" w:type="dxa"/>
            <w:vAlign w:val="bottom"/>
            <w:tcBorders>
              <w:right w:val="single" w:sz="8" w:color="D7D7D7"/>
            </w:tcBorders>
            <w:shd w:val="clear" w:color="auto" w:fill="D7D7D7"/>
          </w:tcPr>
          <w:p>
            <w:pPr>
              <w:spacing w:after="0"/>
              <w:rPr>
                <w:sz w:val="23"/>
                <w:szCs w:val="23"/>
                <w:color w:val="auto"/>
              </w:rPr>
            </w:pPr>
          </w:p>
        </w:tc>
      </w:tr>
      <w:tr>
        <w:trPr>
          <w:trHeight w:val="283"/>
        </w:trPr>
        <w:tc>
          <w:tcPr>
            <w:tcW w:w="3060" w:type="dxa"/>
            <w:vAlign w:val="bottom"/>
          </w:tcPr>
          <w:p>
            <w:pPr>
              <w:ind w:left="60"/>
              <w:spacing w:after="0"/>
              <w:rPr>
                <w:sz w:val="20"/>
                <w:szCs w:val="20"/>
                <w:color w:val="auto"/>
              </w:rPr>
            </w:pPr>
            <w:r>
              <w:rPr>
                <w:rFonts w:ascii="Arial" w:cs="Arial" w:eastAsia="Arial" w:hAnsi="Arial"/>
                <w:sz w:val="20"/>
                <w:szCs w:val="20"/>
                <w:color w:val="2A2A2A"/>
              </w:rPr>
              <w:t>Todd M. Bluedorn</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0" w:type="dxa"/>
            <w:vAlign w:val="bottom"/>
          </w:tcPr>
          <w:p>
            <w:pPr>
              <w:jc w:val="center"/>
              <w:ind w:left="188"/>
              <w:spacing w:after="0"/>
              <w:rPr>
                <w:sz w:val="20"/>
                <w:szCs w:val="20"/>
                <w:color w:val="auto"/>
              </w:rPr>
            </w:pPr>
            <w:r>
              <w:rPr>
                <w:rFonts w:ascii="Arial" w:cs="Arial" w:eastAsia="Arial" w:hAnsi="Arial"/>
                <w:sz w:val="20"/>
                <w:szCs w:val="20"/>
                <w:color w:val="2A2A2A"/>
              </w:rPr>
              <w:t>Chair</w:t>
            </w:r>
          </w:p>
        </w:tc>
      </w:tr>
      <w:tr>
        <w:trPr>
          <w:trHeight w:val="287"/>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Janet F. Clark</w:t>
            </w:r>
          </w:p>
        </w:tc>
        <w:tc>
          <w:tcPr>
            <w:tcW w:w="2500" w:type="dxa"/>
            <w:vAlign w:val="bottom"/>
            <w:shd w:val="clear" w:color="auto" w:fill="D7D7D7"/>
          </w:tcPr>
          <w:p>
            <w:pPr>
              <w:jc w:val="center"/>
              <w:ind w:left="207"/>
              <w:spacing w:after="0"/>
              <w:rPr>
                <w:sz w:val="20"/>
                <w:szCs w:val="20"/>
                <w:color w:val="auto"/>
              </w:rPr>
            </w:pPr>
            <w:r>
              <w:rPr>
                <w:rFonts w:ascii="Arial" w:cs="Arial" w:eastAsia="Arial" w:hAnsi="Arial"/>
                <w:sz w:val="20"/>
                <w:szCs w:val="20"/>
                <w:color w:val="2A2A2A"/>
              </w:rPr>
              <w:t>Chair</w:t>
            </w:r>
          </w:p>
        </w:tc>
        <w:tc>
          <w:tcPr>
            <w:tcW w:w="2120" w:type="dxa"/>
            <w:vAlign w:val="bottom"/>
            <w:shd w:val="clear" w:color="auto" w:fill="D7D7D7"/>
          </w:tcPr>
          <w:p>
            <w:pPr>
              <w:spacing w:after="0"/>
              <w:rPr>
                <w:sz w:val="24"/>
                <w:szCs w:val="24"/>
                <w:color w:val="auto"/>
              </w:rPr>
            </w:pPr>
          </w:p>
        </w:tc>
        <w:tc>
          <w:tcPr>
            <w:tcW w:w="2600" w:type="dxa"/>
            <w:vAlign w:val="bottom"/>
            <w:tcBorders>
              <w:right w:val="single" w:sz="8" w:color="D7D7D7"/>
            </w:tcBorders>
            <w:shd w:val="clear" w:color="auto" w:fill="D7D7D7"/>
          </w:tcPr>
          <w:p>
            <w:pPr>
              <w:spacing w:after="0"/>
              <w:rPr>
                <w:sz w:val="24"/>
                <w:szCs w:val="24"/>
                <w:color w:val="auto"/>
              </w:rPr>
            </w:pPr>
          </w:p>
        </w:tc>
      </w:tr>
      <w:tr>
        <w:trPr>
          <w:trHeight w:val="283"/>
        </w:trPr>
        <w:tc>
          <w:tcPr>
            <w:tcW w:w="3060" w:type="dxa"/>
            <w:vAlign w:val="bottom"/>
          </w:tcPr>
          <w:p>
            <w:pPr>
              <w:ind w:left="60"/>
              <w:spacing w:after="0"/>
              <w:rPr>
                <w:sz w:val="20"/>
                <w:szCs w:val="20"/>
                <w:color w:val="auto"/>
              </w:rPr>
            </w:pPr>
            <w:r>
              <w:rPr>
                <w:rFonts w:ascii="Arial" w:cs="Arial" w:eastAsia="Arial" w:hAnsi="Arial"/>
                <w:sz w:val="20"/>
                <w:szCs w:val="20"/>
                <w:color w:val="2A2A2A"/>
              </w:rPr>
              <w:t>Carrie S. Cox</w:t>
            </w:r>
          </w:p>
        </w:tc>
        <w:tc>
          <w:tcPr>
            <w:tcW w:w="2500" w:type="dxa"/>
            <w:vAlign w:val="bottom"/>
          </w:tcPr>
          <w:p>
            <w:pPr>
              <w:spacing w:after="0"/>
              <w:rPr>
                <w:sz w:val="24"/>
                <w:szCs w:val="24"/>
                <w:color w:val="auto"/>
              </w:rPr>
            </w:pPr>
          </w:p>
        </w:tc>
        <w:tc>
          <w:tcPr>
            <w:tcW w:w="2120" w:type="dxa"/>
            <w:vAlign w:val="bottom"/>
          </w:tcPr>
          <w:p>
            <w:pPr>
              <w:jc w:val="center"/>
              <w:ind w:left="247"/>
              <w:spacing w:after="0"/>
              <w:rPr>
                <w:sz w:val="20"/>
                <w:szCs w:val="20"/>
                <w:color w:val="auto"/>
              </w:rPr>
            </w:pPr>
            <w:r>
              <w:rPr>
                <w:rFonts w:ascii="Arial" w:cs="Arial" w:eastAsia="Arial" w:hAnsi="Arial"/>
                <w:sz w:val="20"/>
                <w:szCs w:val="20"/>
                <w:color w:val="2A2A2A"/>
                <w:w w:val="85"/>
              </w:rPr>
              <w:t>•</w:t>
            </w:r>
          </w:p>
        </w:tc>
        <w:tc>
          <w:tcPr>
            <w:tcW w:w="2600" w:type="dxa"/>
            <w:vAlign w:val="bottom"/>
          </w:tcPr>
          <w:p>
            <w:pPr>
              <w:spacing w:after="0"/>
              <w:rPr>
                <w:sz w:val="24"/>
                <w:szCs w:val="24"/>
                <w:color w:val="auto"/>
              </w:rPr>
            </w:pPr>
          </w:p>
        </w:tc>
      </w:tr>
      <w:tr>
        <w:trPr>
          <w:trHeight w:val="287"/>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Martin S. Craighead</w:t>
            </w:r>
          </w:p>
        </w:tc>
        <w:tc>
          <w:tcPr>
            <w:tcW w:w="2500" w:type="dxa"/>
            <w:vAlign w:val="bottom"/>
            <w:shd w:val="clear" w:color="auto" w:fill="D7D7D7"/>
          </w:tcPr>
          <w:p>
            <w:pPr>
              <w:spacing w:after="0"/>
              <w:rPr>
                <w:sz w:val="24"/>
                <w:szCs w:val="24"/>
                <w:color w:val="auto"/>
              </w:rPr>
            </w:pPr>
          </w:p>
        </w:tc>
        <w:tc>
          <w:tcPr>
            <w:tcW w:w="2120" w:type="dxa"/>
            <w:vAlign w:val="bottom"/>
            <w:shd w:val="clear" w:color="auto" w:fill="D7D7D7"/>
          </w:tcPr>
          <w:p>
            <w:pPr>
              <w:jc w:val="center"/>
              <w:ind w:left="227"/>
              <w:spacing w:after="0"/>
              <w:rPr>
                <w:sz w:val="20"/>
                <w:szCs w:val="20"/>
                <w:color w:val="auto"/>
              </w:rPr>
            </w:pPr>
            <w:r>
              <w:rPr>
                <w:rFonts w:ascii="Arial" w:cs="Arial" w:eastAsia="Arial" w:hAnsi="Arial"/>
                <w:sz w:val="20"/>
                <w:szCs w:val="20"/>
                <w:color w:val="2A2A2A"/>
              </w:rPr>
              <w:t>Chair</w:t>
            </w:r>
          </w:p>
        </w:tc>
        <w:tc>
          <w:tcPr>
            <w:tcW w:w="2600" w:type="dxa"/>
            <w:vAlign w:val="bottom"/>
            <w:tcBorders>
              <w:right w:val="single" w:sz="8" w:color="D7D7D7"/>
            </w:tcBorders>
            <w:shd w:val="clear" w:color="auto" w:fill="D7D7D7"/>
          </w:tcPr>
          <w:p>
            <w:pPr>
              <w:spacing w:after="0"/>
              <w:rPr>
                <w:sz w:val="24"/>
                <w:szCs w:val="24"/>
                <w:color w:val="auto"/>
              </w:rPr>
            </w:pPr>
          </w:p>
        </w:tc>
      </w:tr>
      <w:tr>
        <w:trPr>
          <w:trHeight w:val="283"/>
        </w:trPr>
        <w:tc>
          <w:tcPr>
            <w:tcW w:w="3060" w:type="dxa"/>
            <w:vAlign w:val="bottom"/>
          </w:tcPr>
          <w:p>
            <w:pPr>
              <w:ind w:left="60"/>
              <w:spacing w:after="0"/>
              <w:rPr>
                <w:sz w:val="20"/>
                <w:szCs w:val="20"/>
                <w:color w:val="auto"/>
              </w:rPr>
            </w:pPr>
            <w:r>
              <w:rPr>
                <w:rFonts w:ascii="Arial" w:cs="Arial" w:eastAsia="Arial" w:hAnsi="Arial"/>
                <w:sz w:val="20"/>
                <w:szCs w:val="20"/>
                <w:color w:val="2A2A2A"/>
              </w:rPr>
              <w:t>Reginald DesRoches *</w:t>
            </w:r>
          </w:p>
        </w:tc>
        <w:tc>
          <w:tcPr>
            <w:tcW w:w="2500" w:type="dxa"/>
            <w:vAlign w:val="bottom"/>
          </w:tcPr>
          <w:p>
            <w:pPr>
              <w:jc w:val="center"/>
              <w:ind w:left="207"/>
              <w:spacing w:after="0"/>
              <w:rPr>
                <w:sz w:val="20"/>
                <w:szCs w:val="20"/>
                <w:color w:val="auto"/>
              </w:rPr>
            </w:pPr>
            <w:r>
              <w:rPr>
                <w:rFonts w:ascii="Arial" w:cs="Arial" w:eastAsia="Arial" w:hAnsi="Arial"/>
                <w:sz w:val="20"/>
                <w:szCs w:val="20"/>
                <w:color w:val="2A2A2A"/>
              </w:rPr>
              <w:t>•</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87"/>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Curtis C. Farmer</w:t>
            </w:r>
          </w:p>
        </w:tc>
        <w:tc>
          <w:tcPr>
            <w:tcW w:w="2500" w:type="dxa"/>
            <w:vAlign w:val="bottom"/>
            <w:shd w:val="clear" w:color="auto" w:fill="D7D7D7"/>
          </w:tcPr>
          <w:p>
            <w:pPr>
              <w:jc w:val="center"/>
              <w:ind w:left="207"/>
              <w:spacing w:after="0"/>
              <w:rPr>
                <w:sz w:val="20"/>
                <w:szCs w:val="20"/>
                <w:color w:val="auto"/>
              </w:rPr>
            </w:pPr>
            <w:r>
              <w:rPr>
                <w:rFonts w:ascii="Arial" w:cs="Arial" w:eastAsia="Arial" w:hAnsi="Arial"/>
                <w:sz w:val="20"/>
                <w:szCs w:val="20"/>
                <w:color w:val="2A2A2A"/>
              </w:rPr>
              <w:t>•</w:t>
            </w:r>
          </w:p>
        </w:tc>
        <w:tc>
          <w:tcPr>
            <w:tcW w:w="2120" w:type="dxa"/>
            <w:vAlign w:val="bottom"/>
            <w:shd w:val="clear" w:color="auto" w:fill="D7D7D7"/>
          </w:tcPr>
          <w:p>
            <w:pPr>
              <w:spacing w:after="0"/>
              <w:rPr>
                <w:sz w:val="24"/>
                <w:szCs w:val="24"/>
                <w:color w:val="auto"/>
              </w:rPr>
            </w:pPr>
          </w:p>
        </w:tc>
        <w:tc>
          <w:tcPr>
            <w:tcW w:w="2600" w:type="dxa"/>
            <w:vAlign w:val="bottom"/>
            <w:tcBorders>
              <w:right w:val="single" w:sz="8" w:color="D7D7D7"/>
            </w:tcBorders>
            <w:shd w:val="clear" w:color="auto" w:fill="D7D7D7"/>
          </w:tcPr>
          <w:p>
            <w:pPr>
              <w:spacing w:after="0"/>
              <w:rPr>
                <w:sz w:val="24"/>
                <w:szCs w:val="24"/>
                <w:color w:val="auto"/>
              </w:rPr>
            </w:pPr>
          </w:p>
        </w:tc>
      </w:tr>
      <w:tr>
        <w:trPr>
          <w:trHeight w:val="283"/>
        </w:trPr>
        <w:tc>
          <w:tcPr>
            <w:tcW w:w="3060" w:type="dxa"/>
            <w:vAlign w:val="bottom"/>
          </w:tcPr>
          <w:p>
            <w:pPr>
              <w:ind w:left="60"/>
              <w:spacing w:after="0"/>
              <w:rPr>
                <w:sz w:val="20"/>
                <w:szCs w:val="20"/>
                <w:color w:val="auto"/>
              </w:rPr>
            </w:pPr>
            <w:r>
              <w:rPr>
                <w:rFonts w:ascii="Arial" w:cs="Arial" w:eastAsia="Arial" w:hAnsi="Arial"/>
                <w:sz w:val="20"/>
                <w:szCs w:val="20"/>
                <w:color w:val="2A2A2A"/>
              </w:rPr>
              <w:t>Jean M. Hobby</w:t>
            </w:r>
          </w:p>
        </w:tc>
        <w:tc>
          <w:tcPr>
            <w:tcW w:w="2500" w:type="dxa"/>
            <w:vAlign w:val="bottom"/>
          </w:tcPr>
          <w:p>
            <w:pPr>
              <w:jc w:val="center"/>
              <w:ind w:left="207"/>
              <w:spacing w:after="0"/>
              <w:rPr>
                <w:sz w:val="20"/>
                <w:szCs w:val="20"/>
                <w:color w:val="auto"/>
              </w:rPr>
            </w:pPr>
            <w:r>
              <w:rPr>
                <w:rFonts w:ascii="Arial" w:cs="Arial" w:eastAsia="Arial" w:hAnsi="Arial"/>
                <w:sz w:val="20"/>
                <w:szCs w:val="20"/>
                <w:color w:val="2A2A2A"/>
              </w:rPr>
              <w:t>•</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87"/>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2500" w:type="dxa"/>
            <w:vAlign w:val="bottom"/>
            <w:shd w:val="clear" w:color="auto" w:fill="D7D7D7"/>
          </w:tcPr>
          <w:p>
            <w:pPr>
              <w:spacing w:after="0"/>
              <w:rPr>
                <w:sz w:val="24"/>
                <w:szCs w:val="24"/>
                <w:color w:val="auto"/>
              </w:rPr>
            </w:pPr>
          </w:p>
        </w:tc>
        <w:tc>
          <w:tcPr>
            <w:tcW w:w="2120" w:type="dxa"/>
            <w:vAlign w:val="bottom"/>
            <w:shd w:val="clear" w:color="auto" w:fill="D7D7D7"/>
          </w:tcPr>
          <w:p>
            <w:pPr>
              <w:spacing w:after="0"/>
              <w:rPr>
                <w:sz w:val="24"/>
                <w:szCs w:val="24"/>
                <w:color w:val="auto"/>
              </w:rPr>
            </w:pPr>
          </w:p>
        </w:tc>
        <w:tc>
          <w:tcPr>
            <w:tcW w:w="2600" w:type="dxa"/>
            <w:vAlign w:val="bottom"/>
            <w:tcBorders>
              <w:right w:val="single" w:sz="8" w:color="D7D7D7"/>
            </w:tcBorders>
            <w:shd w:val="clear" w:color="auto" w:fill="D7D7D7"/>
          </w:tcPr>
          <w:p>
            <w:pPr>
              <w:spacing w:after="0"/>
              <w:rPr>
                <w:sz w:val="24"/>
                <w:szCs w:val="24"/>
                <w:color w:val="auto"/>
              </w:rPr>
            </w:pPr>
          </w:p>
        </w:tc>
      </w:tr>
      <w:tr>
        <w:trPr>
          <w:trHeight w:val="283"/>
        </w:trPr>
        <w:tc>
          <w:tcPr>
            <w:tcW w:w="3060" w:type="dxa"/>
            <w:vAlign w:val="bottom"/>
          </w:tcPr>
          <w:p>
            <w:pPr>
              <w:ind w:left="60"/>
              <w:spacing w:after="0"/>
              <w:rPr>
                <w:sz w:val="20"/>
                <w:szCs w:val="20"/>
                <w:color w:val="auto"/>
              </w:rPr>
            </w:pPr>
            <w:r>
              <w:rPr>
                <w:rFonts w:ascii="Arial" w:cs="Arial" w:eastAsia="Arial" w:hAnsi="Arial"/>
                <w:sz w:val="20"/>
                <w:szCs w:val="20"/>
                <w:color w:val="2A2A2A"/>
              </w:rPr>
              <w:t>Ronald Kirk</w:t>
            </w:r>
          </w:p>
        </w:tc>
        <w:tc>
          <w:tcPr>
            <w:tcW w:w="2500" w:type="dxa"/>
            <w:vAlign w:val="bottom"/>
          </w:tcPr>
          <w:p>
            <w:pPr>
              <w:spacing w:after="0"/>
              <w:rPr>
                <w:sz w:val="24"/>
                <w:szCs w:val="24"/>
                <w:color w:val="auto"/>
              </w:rPr>
            </w:pPr>
          </w:p>
        </w:tc>
        <w:tc>
          <w:tcPr>
            <w:tcW w:w="2120" w:type="dxa"/>
            <w:vAlign w:val="bottom"/>
          </w:tcPr>
          <w:p>
            <w:pPr>
              <w:jc w:val="center"/>
              <w:ind w:left="247"/>
              <w:spacing w:after="0"/>
              <w:rPr>
                <w:sz w:val="20"/>
                <w:szCs w:val="20"/>
                <w:color w:val="auto"/>
              </w:rPr>
            </w:pPr>
            <w:r>
              <w:rPr>
                <w:rFonts w:ascii="Arial" w:cs="Arial" w:eastAsia="Arial" w:hAnsi="Arial"/>
                <w:sz w:val="20"/>
                <w:szCs w:val="20"/>
                <w:color w:val="2A2A2A"/>
                <w:w w:val="85"/>
              </w:rPr>
              <w:t>•</w:t>
            </w:r>
          </w:p>
        </w:tc>
        <w:tc>
          <w:tcPr>
            <w:tcW w:w="2600" w:type="dxa"/>
            <w:vAlign w:val="bottom"/>
          </w:tcPr>
          <w:p>
            <w:pPr>
              <w:spacing w:after="0"/>
              <w:rPr>
                <w:sz w:val="24"/>
                <w:szCs w:val="24"/>
                <w:color w:val="auto"/>
              </w:rPr>
            </w:pPr>
          </w:p>
        </w:tc>
      </w:tr>
      <w:tr>
        <w:trPr>
          <w:trHeight w:val="287"/>
        </w:trPr>
        <w:tc>
          <w:tcPr>
            <w:tcW w:w="3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Pamela H. Patsley **</w:t>
            </w:r>
          </w:p>
        </w:tc>
        <w:tc>
          <w:tcPr>
            <w:tcW w:w="2500" w:type="dxa"/>
            <w:vAlign w:val="bottom"/>
            <w:shd w:val="clear" w:color="auto" w:fill="D7D7D7"/>
          </w:tcPr>
          <w:p>
            <w:pPr>
              <w:spacing w:after="0"/>
              <w:rPr>
                <w:sz w:val="24"/>
                <w:szCs w:val="24"/>
                <w:color w:val="auto"/>
              </w:rPr>
            </w:pPr>
          </w:p>
        </w:tc>
        <w:tc>
          <w:tcPr>
            <w:tcW w:w="2120" w:type="dxa"/>
            <w:vAlign w:val="bottom"/>
            <w:shd w:val="clear" w:color="auto" w:fill="D7D7D7"/>
          </w:tcPr>
          <w:p>
            <w:pPr>
              <w:spacing w:after="0"/>
              <w:rPr>
                <w:sz w:val="24"/>
                <w:szCs w:val="24"/>
                <w:color w:val="auto"/>
              </w:rPr>
            </w:pPr>
          </w:p>
        </w:tc>
        <w:tc>
          <w:tcPr>
            <w:tcW w:w="2600" w:type="dxa"/>
            <w:vAlign w:val="bottom"/>
            <w:tcBorders>
              <w:right w:val="single" w:sz="8" w:color="D7D7D7"/>
            </w:tcBorders>
            <w:shd w:val="clear" w:color="auto" w:fill="D7D7D7"/>
          </w:tcPr>
          <w:p>
            <w:pPr>
              <w:jc w:val="center"/>
              <w:ind w:left="168"/>
              <w:spacing w:after="0"/>
              <w:rPr>
                <w:sz w:val="20"/>
                <w:szCs w:val="20"/>
                <w:color w:val="auto"/>
              </w:rPr>
            </w:pPr>
            <w:r>
              <w:rPr>
                <w:rFonts w:ascii="Arial" w:cs="Arial" w:eastAsia="Arial" w:hAnsi="Arial"/>
                <w:sz w:val="20"/>
                <w:szCs w:val="20"/>
                <w:color w:val="2A2A2A"/>
                <w:w w:val="85"/>
              </w:rPr>
              <w:t>•</w:t>
            </w:r>
          </w:p>
        </w:tc>
      </w:tr>
      <w:tr>
        <w:trPr>
          <w:trHeight w:val="281"/>
        </w:trPr>
        <w:tc>
          <w:tcPr>
            <w:tcW w:w="3060" w:type="dxa"/>
            <w:vAlign w:val="bottom"/>
          </w:tcPr>
          <w:p>
            <w:pPr>
              <w:ind w:left="60"/>
              <w:spacing w:after="0"/>
              <w:rPr>
                <w:sz w:val="20"/>
                <w:szCs w:val="20"/>
                <w:color w:val="auto"/>
              </w:rPr>
            </w:pPr>
            <w:r>
              <w:rPr>
                <w:rFonts w:ascii="Arial" w:cs="Arial" w:eastAsia="Arial" w:hAnsi="Arial"/>
                <w:sz w:val="20"/>
                <w:szCs w:val="20"/>
                <w:color w:val="2A2A2A"/>
              </w:rPr>
              <w:t>Robert E. Sanchez</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0" w:type="dxa"/>
            <w:vAlign w:val="bottom"/>
          </w:tcPr>
          <w:p>
            <w:pPr>
              <w:jc w:val="center"/>
              <w:ind w:left="168"/>
              <w:spacing w:after="0"/>
              <w:rPr>
                <w:sz w:val="20"/>
                <w:szCs w:val="20"/>
                <w:color w:val="auto"/>
              </w:rPr>
            </w:pPr>
            <w:r>
              <w:rPr>
                <w:rFonts w:ascii="Arial" w:cs="Arial" w:eastAsia="Arial" w:hAnsi="Arial"/>
                <w:sz w:val="20"/>
                <w:szCs w:val="20"/>
                <w:color w:val="2A2A2A"/>
                <w:w w:val="85"/>
              </w:rPr>
              <w:t>•</w:t>
            </w:r>
          </w:p>
        </w:tc>
      </w:tr>
      <w:tr>
        <w:trPr>
          <w:trHeight w:val="289"/>
        </w:trPr>
        <w:tc>
          <w:tcPr>
            <w:tcW w:w="306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0" w:type="dxa"/>
            <w:vAlign w:val="bottom"/>
            <w:tcBorders>
              <w:right w:val="single" w:sz="8" w:color="D7D7D7"/>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-2366010</wp:posOffset>
            </wp:positionV>
            <wp:extent cx="6552565" cy="23806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52565" cy="2380615"/>
                    </a:xfrm>
                    <a:prstGeom prst="rect">
                      <a:avLst/>
                    </a:prstGeom>
                    <a:noFill/>
                  </pic:spPr>
                </pic:pic>
              </a:graphicData>
            </a:graphic>
          </wp:anchor>
        </w:drawing>
      </w:r>
    </w:p>
    <w:p>
      <w:pPr>
        <w:spacing w:after="0" w:line="145" w:lineRule="exact"/>
        <w:rPr>
          <w:sz w:val="20"/>
          <w:szCs w:val="20"/>
          <w:color w:val="auto"/>
        </w:rPr>
      </w:pPr>
    </w:p>
    <w:p>
      <w:pPr>
        <w:ind w:left="361" w:hanging="361"/>
        <w:spacing w:after="0"/>
        <w:tabs>
          <w:tab w:leader="none" w:pos="361" w:val="left"/>
        </w:tabs>
        <w:numPr>
          <w:ilvl w:val="0"/>
          <w:numId w:val="87"/>
        </w:numPr>
        <w:rPr>
          <w:rFonts w:ascii="Arial" w:cs="Arial" w:eastAsia="Arial" w:hAnsi="Arial"/>
          <w:sz w:val="20"/>
          <w:szCs w:val="20"/>
          <w:color w:val="2A2A2A"/>
        </w:rPr>
      </w:pPr>
      <w:r>
        <w:rPr>
          <w:rFonts w:ascii="Arial" w:cs="Arial" w:eastAsia="Arial" w:hAnsi="Arial"/>
          <w:sz w:val="20"/>
          <w:szCs w:val="20"/>
          <w:color w:val="2A2A2A"/>
        </w:rPr>
        <w:t>Effective March 1, 2024</w:t>
      </w:r>
    </w:p>
    <w:p>
      <w:pPr>
        <w:spacing w:after="0" w:line="130" w:lineRule="exact"/>
        <w:rPr>
          <w:rFonts w:ascii="Arial" w:cs="Arial" w:eastAsia="Arial" w:hAnsi="Arial"/>
          <w:sz w:val="20"/>
          <w:szCs w:val="20"/>
          <w:color w:val="2A2A2A"/>
        </w:rPr>
      </w:pPr>
    </w:p>
    <w:p>
      <w:pPr>
        <w:ind w:left="361" w:hanging="361"/>
        <w:spacing w:after="0"/>
        <w:tabs>
          <w:tab w:leader="none" w:pos="361" w:val="left"/>
        </w:tabs>
        <w:numPr>
          <w:ilvl w:val="0"/>
          <w:numId w:val="88"/>
        </w:numPr>
        <w:rPr>
          <w:rFonts w:ascii="Arial" w:cs="Arial" w:eastAsia="Arial" w:hAnsi="Arial"/>
          <w:sz w:val="20"/>
          <w:szCs w:val="20"/>
          <w:color w:val="2A2A2A"/>
        </w:rPr>
      </w:pPr>
      <w:r>
        <w:rPr>
          <w:rFonts w:ascii="Arial" w:cs="Arial" w:eastAsia="Arial" w:hAnsi="Arial"/>
          <w:sz w:val="20"/>
          <w:szCs w:val="20"/>
          <w:color w:val="2A2A2A"/>
        </w:rPr>
        <w:t>Lead director</w:t>
      </w:r>
    </w:p>
    <w:p>
      <w:pPr>
        <w:spacing w:after="0" w:line="244"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Committees of the board</w:t>
      </w:r>
    </w:p>
    <w:p>
      <w:pPr>
        <w:spacing w:after="0" w:line="253"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Audit committee</w:t>
      </w:r>
    </w:p>
    <w:p>
      <w:pPr>
        <w:spacing w:after="0" w:line="25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audit committee is a separately designated standing committee established in accordance with</w:t>
      </w:r>
    </w:p>
    <w:p>
      <w:pPr>
        <w:spacing w:after="0" w:line="30" w:lineRule="exact"/>
        <w:rPr>
          <w:sz w:val="20"/>
          <w:szCs w:val="20"/>
          <w:color w:val="auto"/>
        </w:rPr>
      </w:pPr>
    </w:p>
    <w:p>
      <w:pPr>
        <w:ind w:left="1" w:right="140"/>
        <w:spacing w:after="0" w:line="253" w:lineRule="auto"/>
        <w:rPr>
          <w:sz w:val="20"/>
          <w:szCs w:val="20"/>
          <w:color w:val="auto"/>
        </w:rPr>
      </w:pPr>
      <w:r>
        <w:rPr>
          <w:rFonts w:ascii="Arial" w:cs="Arial" w:eastAsia="Arial" w:hAnsi="Arial"/>
          <w:sz w:val="20"/>
          <w:szCs w:val="20"/>
          <w:color w:val="2A2A2A"/>
        </w:rPr>
        <w:t>Section 3(a)(58)(A) of the Securities Exchange Act of 1934, as amended. All members of the audit committee are independent under Nasdaq rules and the board’s corporate governance guidelines. From April 22, 2021 to April 26, 2023, the committee members were Ms. Clark (chair), Ms. Hobby and Mr. Hsu, with Mr. Farmer joining the audit committee effective April 1, 2023. From April 27, 2023 to February 29, 2024, the committee members were Ms. Clark (chair), Mr. Farmer and Ms. Hobby. Since March 1, 2024, the committee members have been Ms. Clark (chair), Dr. DesRoches, Mr. Farmer and Ms. Hobby. The audit committee is generally responsible for:</w:t>
      </w:r>
    </w:p>
    <w:p>
      <w:pPr>
        <w:spacing w:after="0" w:line="205" w:lineRule="exact"/>
        <w:rPr>
          <w:sz w:val="20"/>
          <w:szCs w:val="20"/>
          <w:color w:val="auto"/>
        </w:rPr>
      </w:pPr>
    </w:p>
    <w:p>
      <w:pPr>
        <w:ind w:left="721" w:hanging="361"/>
        <w:spacing w:after="0"/>
        <w:tabs>
          <w:tab w:leader="none" w:pos="721" w:val="left"/>
        </w:tabs>
        <w:numPr>
          <w:ilvl w:val="0"/>
          <w:numId w:val="89"/>
        </w:numPr>
        <w:rPr>
          <w:rFonts w:ascii="Arial" w:cs="Arial" w:eastAsia="Arial" w:hAnsi="Arial"/>
          <w:sz w:val="20"/>
          <w:szCs w:val="20"/>
          <w:color w:val="2A2A2A"/>
        </w:rPr>
      </w:pPr>
      <w:r>
        <w:rPr>
          <w:rFonts w:ascii="Arial" w:cs="Arial" w:eastAsia="Arial" w:hAnsi="Arial"/>
          <w:sz w:val="20"/>
          <w:szCs w:val="20"/>
          <w:color w:val="2A2A2A"/>
        </w:rPr>
        <w:t>Reviewing:</w:t>
      </w:r>
    </w:p>
    <w:p>
      <w:pPr>
        <w:spacing w:after="0" w:line="70" w:lineRule="exact"/>
        <w:rPr>
          <w:rFonts w:ascii="Arial" w:cs="Arial" w:eastAsia="Arial" w:hAnsi="Arial"/>
          <w:sz w:val="20"/>
          <w:szCs w:val="20"/>
          <w:color w:val="2A2A2A"/>
        </w:rPr>
      </w:pPr>
    </w:p>
    <w:p>
      <w:pPr>
        <w:ind w:left="1081" w:hanging="361"/>
        <w:spacing w:after="0"/>
        <w:tabs>
          <w:tab w:leader="none" w:pos="1081" w:val="left"/>
        </w:tabs>
        <w:numPr>
          <w:ilvl w:val="1"/>
          <w:numId w:val="89"/>
        </w:numPr>
        <w:rPr>
          <w:rFonts w:ascii="Arial" w:cs="Arial" w:eastAsia="Arial" w:hAnsi="Arial"/>
          <w:sz w:val="20"/>
          <w:szCs w:val="20"/>
          <w:color w:val="2A2A2A"/>
        </w:rPr>
      </w:pPr>
      <w:r>
        <w:rPr>
          <w:rFonts w:ascii="Arial" w:cs="Arial" w:eastAsia="Arial" w:hAnsi="Arial"/>
          <w:sz w:val="20"/>
          <w:szCs w:val="20"/>
          <w:color w:val="2A2A2A"/>
        </w:rPr>
        <w:t>The annual report of TI’s independent registered public accounting firm related to quality control.</w:t>
      </w:r>
    </w:p>
    <w:p>
      <w:pPr>
        <w:spacing w:after="0" w:line="70" w:lineRule="exact"/>
        <w:rPr>
          <w:rFonts w:ascii="Arial" w:cs="Arial" w:eastAsia="Arial" w:hAnsi="Arial"/>
          <w:sz w:val="20"/>
          <w:szCs w:val="20"/>
          <w:color w:val="2A2A2A"/>
        </w:rPr>
      </w:pPr>
    </w:p>
    <w:p>
      <w:pPr>
        <w:ind w:left="1081" w:right="100" w:hanging="361"/>
        <w:spacing w:after="0" w:line="296" w:lineRule="auto"/>
        <w:tabs>
          <w:tab w:leader="none" w:pos="1081" w:val="left"/>
        </w:tabs>
        <w:numPr>
          <w:ilvl w:val="1"/>
          <w:numId w:val="89"/>
        </w:numPr>
        <w:rPr>
          <w:rFonts w:ascii="Arial" w:cs="Arial" w:eastAsia="Arial" w:hAnsi="Arial"/>
          <w:sz w:val="19"/>
          <w:szCs w:val="19"/>
          <w:color w:val="2A2A2A"/>
        </w:rPr>
      </w:pPr>
      <w:r>
        <w:rPr>
          <w:rFonts w:ascii="Arial" w:cs="Arial" w:eastAsia="Arial" w:hAnsi="Arial"/>
          <w:sz w:val="19"/>
          <w:szCs w:val="19"/>
          <w:color w:val="2A2A2A"/>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9"/>
          <w:szCs w:val="19"/>
          <w:color w:val="2A2A2A"/>
        </w:rPr>
      </w:pPr>
    </w:p>
    <w:p>
      <w:pPr>
        <w:ind w:left="1081" w:hanging="361"/>
        <w:spacing w:after="0"/>
        <w:tabs>
          <w:tab w:leader="none" w:pos="1081" w:val="left"/>
        </w:tabs>
        <w:numPr>
          <w:ilvl w:val="1"/>
          <w:numId w:val="89"/>
        </w:numPr>
        <w:rPr>
          <w:rFonts w:ascii="Arial" w:cs="Arial" w:eastAsia="Arial" w:hAnsi="Arial"/>
          <w:sz w:val="20"/>
          <w:szCs w:val="20"/>
          <w:color w:val="2A2A2A"/>
        </w:rPr>
      </w:pPr>
      <w:r>
        <w:rPr>
          <w:rFonts w:ascii="Arial" w:cs="Arial" w:eastAsia="Arial" w:hAnsi="Arial"/>
          <w:sz w:val="20"/>
          <w:szCs w:val="20"/>
          <w:color w:val="2A2A2A"/>
        </w:rPr>
        <w:t>TI’s audit plans.</w:t>
      </w:r>
    </w:p>
    <w:p>
      <w:pPr>
        <w:spacing w:after="0" w:line="70" w:lineRule="exact"/>
        <w:rPr>
          <w:rFonts w:ascii="Arial" w:cs="Arial" w:eastAsia="Arial" w:hAnsi="Arial"/>
          <w:sz w:val="20"/>
          <w:szCs w:val="20"/>
          <w:color w:val="2A2A2A"/>
        </w:rPr>
      </w:pPr>
    </w:p>
    <w:p>
      <w:pPr>
        <w:ind w:left="1081" w:right="180" w:hanging="361"/>
        <w:spacing w:after="0" w:line="296" w:lineRule="auto"/>
        <w:tabs>
          <w:tab w:leader="none" w:pos="1081" w:val="left"/>
        </w:tabs>
        <w:numPr>
          <w:ilvl w:val="1"/>
          <w:numId w:val="89"/>
        </w:numPr>
        <w:rPr>
          <w:rFonts w:ascii="Arial" w:cs="Arial" w:eastAsia="Arial" w:hAnsi="Arial"/>
          <w:sz w:val="19"/>
          <w:szCs w:val="19"/>
          <w:color w:val="2A2A2A"/>
        </w:rPr>
      </w:pPr>
      <w:r>
        <w:rPr>
          <w:rFonts w:ascii="Arial" w:cs="Arial" w:eastAsia="Arial" w:hAnsi="Arial"/>
          <w:sz w:val="19"/>
          <w:szCs w:val="19"/>
          <w:color w:val="2A2A2A"/>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9"/>
          <w:szCs w:val="19"/>
          <w:color w:val="2A2A2A"/>
        </w:rPr>
      </w:pPr>
    </w:p>
    <w:p>
      <w:pPr>
        <w:ind w:left="1081" w:hanging="361"/>
        <w:spacing w:after="0"/>
        <w:tabs>
          <w:tab w:leader="none" w:pos="1081" w:val="left"/>
        </w:tabs>
        <w:numPr>
          <w:ilvl w:val="1"/>
          <w:numId w:val="89"/>
        </w:numPr>
        <w:rPr>
          <w:rFonts w:ascii="Arial" w:cs="Arial" w:eastAsia="Arial" w:hAnsi="Arial"/>
          <w:sz w:val="20"/>
          <w:szCs w:val="20"/>
          <w:color w:val="2A2A2A"/>
        </w:rPr>
      </w:pPr>
      <w:r>
        <w:rPr>
          <w:rFonts w:ascii="Arial" w:cs="Arial" w:eastAsia="Arial" w:hAnsi="Arial"/>
          <w:sz w:val="20"/>
          <w:szCs w:val="20"/>
          <w:color w:val="2A2A2A"/>
        </w:rPr>
        <w:t>Relationships between the independent registered public accounting firm and TI.</w:t>
      </w:r>
    </w:p>
    <w:p>
      <w:pPr>
        <w:spacing w:after="0" w:line="70" w:lineRule="exact"/>
        <w:rPr>
          <w:rFonts w:ascii="Arial" w:cs="Arial" w:eastAsia="Arial" w:hAnsi="Arial"/>
          <w:sz w:val="20"/>
          <w:szCs w:val="20"/>
          <w:color w:val="2A2A2A"/>
        </w:rPr>
      </w:pPr>
    </w:p>
    <w:p>
      <w:pPr>
        <w:ind w:left="1081" w:right="20" w:hanging="361"/>
        <w:spacing w:after="0" w:line="296" w:lineRule="auto"/>
        <w:tabs>
          <w:tab w:leader="none" w:pos="1081" w:val="left"/>
        </w:tabs>
        <w:numPr>
          <w:ilvl w:val="1"/>
          <w:numId w:val="89"/>
        </w:numPr>
        <w:rPr>
          <w:rFonts w:ascii="Arial" w:cs="Arial" w:eastAsia="Arial" w:hAnsi="Arial"/>
          <w:sz w:val="19"/>
          <w:szCs w:val="19"/>
          <w:color w:val="2A2A2A"/>
        </w:rPr>
      </w:pPr>
      <w:r>
        <w:rPr>
          <w:rFonts w:ascii="Arial" w:cs="Arial" w:eastAsia="Arial" w:hAnsi="Arial"/>
          <w:sz w:val="19"/>
          <w:szCs w:val="19"/>
          <w:color w:val="2A2A2A"/>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9"/>
          <w:szCs w:val="19"/>
          <w:color w:val="2A2A2A"/>
        </w:rPr>
      </w:pPr>
    </w:p>
    <w:p>
      <w:pPr>
        <w:ind w:left="1081" w:right="60" w:hanging="361"/>
        <w:spacing w:after="0" w:line="281" w:lineRule="auto"/>
        <w:tabs>
          <w:tab w:leader="none" w:pos="1081" w:val="left"/>
        </w:tabs>
        <w:numPr>
          <w:ilvl w:val="1"/>
          <w:numId w:val="89"/>
        </w:numPr>
        <w:rPr>
          <w:rFonts w:ascii="Arial" w:cs="Arial" w:eastAsia="Arial" w:hAnsi="Arial"/>
          <w:sz w:val="20"/>
          <w:szCs w:val="20"/>
          <w:color w:val="2A2A2A"/>
        </w:rPr>
      </w:pPr>
      <w:r>
        <w:rPr>
          <w:rFonts w:ascii="Arial" w:cs="Arial" w:eastAsia="Arial" w:hAnsi="Arial"/>
          <w:sz w:val="20"/>
          <w:szCs w:val="20"/>
          <w:color w:val="2A2A2A"/>
        </w:rPr>
        <w:t>TI’s risk assessment and risk management practices, including cybersecurity and environmental-related risks.</w:t>
      </w:r>
    </w:p>
    <w:p>
      <w:pPr>
        <w:spacing w:after="0" w:line="1" w:lineRule="exact"/>
        <w:rPr>
          <w:rFonts w:ascii="Arial" w:cs="Arial" w:eastAsia="Arial" w:hAnsi="Arial"/>
          <w:sz w:val="20"/>
          <w:szCs w:val="20"/>
          <w:color w:val="2A2A2A"/>
        </w:rPr>
      </w:pPr>
    </w:p>
    <w:p>
      <w:pPr>
        <w:ind w:left="1081" w:hanging="361"/>
        <w:spacing w:after="0"/>
        <w:tabs>
          <w:tab w:leader="none" w:pos="1081" w:val="left"/>
        </w:tabs>
        <w:numPr>
          <w:ilvl w:val="1"/>
          <w:numId w:val="89"/>
        </w:numPr>
        <w:rPr>
          <w:rFonts w:ascii="Arial" w:cs="Arial" w:eastAsia="Arial" w:hAnsi="Arial"/>
          <w:sz w:val="20"/>
          <w:szCs w:val="20"/>
          <w:color w:val="2A2A2A"/>
        </w:rPr>
      </w:pPr>
      <w:r>
        <w:rPr>
          <w:rFonts w:ascii="Arial" w:cs="Arial" w:eastAsia="Arial" w:hAnsi="Arial"/>
          <w:sz w:val="20"/>
          <w:szCs w:val="20"/>
          <w:color w:val="2A2A2A"/>
        </w:rPr>
        <w:t>TI’s compliance and ethics program.</w:t>
      </w:r>
    </w:p>
    <w:p>
      <w:pPr>
        <w:sectPr>
          <w:pgSz w:w="12240" w:h="15840" w:orient="portrait"/>
          <w:cols w:equalWidth="0" w:num="1">
            <w:col w:w="10281"/>
          </w:cols>
          <w:pgMar w:left="979"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15</w:t>
      </w:r>
    </w:p>
    <w:p>
      <w:pPr>
        <w:sectPr>
          <w:pgSz w:w="12240" w:h="15840" w:orient="portrait"/>
          <w:cols w:equalWidth="0" w:num="1">
            <w:col w:w="10281"/>
          </w:cols>
          <w:pgMar w:left="979" w:top="658" w:right="980" w:bottom="33" w:gutter="0" w:footer="0" w:header="0"/>
          <w:type w:val="continuous"/>
        </w:sectPr>
      </w:pPr>
    </w:p>
    <w:bookmarkStart w:id="87" w:name="page88"/>
    <w:bookmarkEnd w:id="87"/>
    <w:p>
      <w:pPr>
        <w:ind w:left="1080" w:right="20" w:hanging="361"/>
        <w:spacing w:after="0" w:line="281" w:lineRule="auto"/>
        <w:tabs>
          <w:tab w:leader="none" w:pos="1080" w:val="left"/>
        </w:tabs>
        <w:numPr>
          <w:ilvl w:val="1"/>
          <w:numId w:val="90"/>
        </w:numPr>
        <w:rPr>
          <w:rFonts w:ascii="Arial" w:cs="Arial" w:eastAsia="Arial" w:hAnsi="Arial"/>
          <w:sz w:val="20"/>
          <w:szCs w:val="20"/>
          <w:color w:val="2A2A2A"/>
        </w:rPr>
      </w:pPr>
      <w:r>
        <w:rPr>
          <w:rFonts w:ascii="Arial" w:cs="Arial" w:eastAsia="Arial" w:hAnsi="Arial"/>
          <w:sz w:val="20"/>
          <w:szCs w:val="20"/>
          <w:color w:val="2A2A2A"/>
        </w:rPr>
        <w:t>A report of compliance of management and operating personnel with TI’s code of conduct, including TI’s conflict of interest policy.</w:t>
      </w:r>
    </w:p>
    <w:p>
      <w:pPr>
        <w:spacing w:after="0" w:line="1" w:lineRule="exact"/>
        <w:rPr>
          <w:rFonts w:ascii="Arial" w:cs="Arial" w:eastAsia="Arial" w:hAnsi="Arial"/>
          <w:sz w:val="20"/>
          <w:szCs w:val="20"/>
          <w:color w:val="2A2A2A"/>
        </w:rPr>
      </w:pPr>
    </w:p>
    <w:p>
      <w:pPr>
        <w:ind w:left="1080" w:hanging="361"/>
        <w:spacing w:after="0"/>
        <w:tabs>
          <w:tab w:leader="none" w:pos="1080" w:val="left"/>
        </w:tabs>
        <w:numPr>
          <w:ilvl w:val="1"/>
          <w:numId w:val="90"/>
        </w:numPr>
        <w:rPr>
          <w:rFonts w:ascii="Arial" w:cs="Arial" w:eastAsia="Arial" w:hAnsi="Arial"/>
          <w:sz w:val="20"/>
          <w:szCs w:val="20"/>
          <w:color w:val="2A2A2A"/>
        </w:rPr>
      </w:pPr>
      <w:r>
        <w:rPr>
          <w:rFonts w:ascii="Arial" w:cs="Arial" w:eastAsia="Arial" w:hAnsi="Arial"/>
          <w:sz w:val="20"/>
          <w:szCs w:val="20"/>
          <w:color w:val="2A2A2A"/>
        </w:rPr>
        <w:t>TI’s non-employee-related insurance programs.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0"/>
        </w:numPr>
        <w:rPr>
          <w:rFonts w:ascii="Arial" w:cs="Arial" w:eastAsia="Arial" w:hAnsi="Arial"/>
          <w:sz w:val="20"/>
          <w:szCs w:val="20"/>
          <w:color w:val="2A2A2A"/>
        </w:rPr>
      </w:pPr>
      <w:r>
        <w:rPr>
          <w:rFonts w:ascii="Arial" w:cs="Arial" w:eastAsia="Arial" w:hAnsi="Arial"/>
          <w:sz w:val="20"/>
          <w:szCs w:val="20"/>
          <w:color w:val="2A2A2A"/>
        </w:rPr>
        <w:t>Changes, if any, in major accounting policies of the company.</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0"/>
        </w:numPr>
        <w:rPr>
          <w:rFonts w:ascii="Arial" w:cs="Arial" w:eastAsia="Arial" w:hAnsi="Arial"/>
          <w:sz w:val="20"/>
          <w:szCs w:val="20"/>
          <w:color w:val="2A2A2A"/>
        </w:rPr>
      </w:pPr>
      <w:r>
        <w:rPr>
          <w:rFonts w:ascii="Arial" w:cs="Arial" w:eastAsia="Arial" w:hAnsi="Arial"/>
          <w:sz w:val="20"/>
          <w:szCs w:val="20"/>
          <w:color w:val="2A2A2A"/>
        </w:rPr>
        <w:t>Trends in accounting policy changes that are relevant to the company.</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0"/>
        </w:numPr>
        <w:rPr>
          <w:rFonts w:ascii="Arial" w:cs="Arial" w:eastAsia="Arial" w:hAnsi="Arial"/>
          <w:sz w:val="20"/>
          <w:szCs w:val="20"/>
          <w:color w:val="2A2A2A"/>
        </w:rPr>
      </w:pPr>
      <w:r>
        <w:rPr>
          <w:rFonts w:ascii="Arial" w:cs="Arial" w:eastAsia="Arial" w:hAnsi="Arial"/>
          <w:sz w:val="20"/>
          <w:szCs w:val="20"/>
          <w:color w:val="2A2A2A"/>
        </w:rPr>
        <w:t>The company’s policy regarding investments and financial derivative products.</w:t>
      </w:r>
    </w:p>
    <w:p>
      <w:pPr>
        <w:spacing w:after="0" w:line="70" w:lineRule="exact"/>
        <w:rPr>
          <w:rFonts w:ascii="Arial" w:cs="Arial" w:eastAsia="Arial" w:hAnsi="Arial"/>
          <w:sz w:val="20"/>
          <w:szCs w:val="20"/>
          <w:color w:val="2A2A2A"/>
        </w:rPr>
      </w:pPr>
    </w:p>
    <w:p>
      <w:pPr>
        <w:ind w:left="720" w:right="340" w:hanging="361"/>
        <w:spacing w:after="0" w:line="268" w:lineRule="auto"/>
        <w:tabs>
          <w:tab w:leader="none" w:pos="720" w:val="left"/>
        </w:tabs>
        <w:numPr>
          <w:ilvl w:val="0"/>
          <w:numId w:val="90"/>
        </w:numPr>
        <w:rPr>
          <w:rFonts w:ascii="Arial" w:cs="Arial" w:eastAsia="Arial" w:hAnsi="Arial"/>
          <w:sz w:val="20"/>
          <w:szCs w:val="20"/>
          <w:color w:val="2A2A2A"/>
        </w:rPr>
      </w:pPr>
      <w:r>
        <w:rPr>
          <w:rFonts w:ascii="Arial" w:cs="Arial" w:eastAsia="Arial" w:hAnsi="Arial"/>
          <w:sz w:val="20"/>
          <w:szCs w:val="20"/>
          <w:color w:val="2A2A2A"/>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9" w:lineRule="exact"/>
        <w:rPr>
          <w:rFonts w:ascii="Arial" w:cs="Arial" w:eastAsia="Arial" w:hAnsi="Arial"/>
          <w:sz w:val="20"/>
          <w:szCs w:val="20"/>
          <w:color w:val="2A2A2A"/>
        </w:rPr>
      </w:pPr>
    </w:p>
    <w:p>
      <w:pPr>
        <w:ind w:left="720" w:hanging="361"/>
        <w:spacing w:after="0"/>
        <w:tabs>
          <w:tab w:leader="none" w:pos="720" w:val="left"/>
        </w:tabs>
        <w:numPr>
          <w:ilvl w:val="0"/>
          <w:numId w:val="90"/>
        </w:numPr>
        <w:rPr>
          <w:rFonts w:ascii="Arial" w:cs="Arial" w:eastAsia="Arial" w:hAnsi="Arial"/>
          <w:sz w:val="20"/>
          <w:szCs w:val="20"/>
          <w:color w:val="2A2A2A"/>
        </w:rPr>
      </w:pPr>
      <w:r>
        <w:rPr>
          <w:rFonts w:ascii="Arial" w:cs="Arial" w:eastAsia="Arial" w:hAnsi="Arial"/>
          <w:sz w:val="20"/>
          <w:szCs w:val="20"/>
          <w:color w:val="2A2A2A"/>
        </w:rPr>
        <w:t>Creating and periodically reviewing TI’s whistleblower policy.</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0"/>
        </w:numPr>
        <w:rPr>
          <w:rFonts w:ascii="Arial" w:cs="Arial" w:eastAsia="Arial" w:hAnsi="Arial"/>
          <w:sz w:val="20"/>
          <w:szCs w:val="20"/>
          <w:color w:val="2A2A2A"/>
        </w:rPr>
      </w:pPr>
      <w:r>
        <w:rPr>
          <w:rFonts w:ascii="Arial" w:cs="Arial" w:eastAsia="Arial" w:hAnsi="Arial"/>
          <w:sz w:val="20"/>
          <w:szCs w:val="20"/>
          <w:color w:val="2A2A2A"/>
        </w:rPr>
        <w:t>Appointing, compensating, retaining and overseeing TI’s independent registered public accounting firm.</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2A2A2A"/>
        </w:rPr>
        <w:t>The board has determined that all members of the audit committee are sufficiently proficient in reading and understanding fundamental financial statements, and three members meet the Nasdaq listing standard of financial sophistication. In addition, the board has designated Ms. Clark as the audit committee financial expert, as defined under the Securities and Exchange Commission’s rules.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20"/>
          <w:szCs w:val="20"/>
          <w:color w:val="2A2A2A"/>
        </w:rPr>
        <w:t>The audit committee met seven times in 2023. The audit committee holds regularly scheduled meetings and reports its activities to the board. The audit committee also continued its long-standing practice of meeting directly with our internal audit staff to discuss the audit plan and to allow for direct interaction between audit committee members and our internal auditors.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Compensation committee</w:t>
      </w:r>
    </w:p>
    <w:p>
      <w:pPr>
        <w:spacing w:after="0" w:line="255"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2A2A2A"/>
        </w:rPr>
        <w:t>All members of the compensation committee are independent. From April 22, 2021 to April 26, 2023, the committee members were Ms. Patsley (chair), Mr. Blinn, Ms. Cox and Mr. Craighead. Since April 27, 2023, the committee members have been Mr. Craighead (chair), Mr. Blinn, Ms. Cox and Mr. Kirk. The compensation committee is generally responsible for:</w:t>
      </w:r>
    </w:p>
    <w:p>
      <w:pPr>
        <w:spacing w:after="0" w:line="196" w:lineRule="exact"/>
        <w:rPr>
          <w:sz w:val="20"/>
          <w:szCs w:val="20"/>
          <w:color w:val="auto"/>
        </w:rPr>
      </w:pPr>
    </w:p>
    <w:p>
      <w:pPr>
        <w:ind w:left="720" w:hanging="361"/>
        <w:spacing w:after="0"/>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Reviewing the performance of the CEO and determining his compensation.</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Setting the compensation of the company’s other executive officers.</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Overseeing administration of employee benefit plans.</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Making recommendations to the board regarding:</w:t>
      </w:r>
    </w:p>
    <w:p>
      <w:pPr>
        <w:spacing w:after="0" w:line="70" w:lineRule="exact"/>
        <w:rPr>
          <w:rFonts w:ascii="Arial" w:cs="Arial" w:eastAsia="Arial" w:hAnsi="Arial"/>
          <w:sz w:val="20"/>
          <w:szCs w:val="20"/>
          <w:color w:val="2A2A2A"/>
        </w:rPr>
      </w:pPr>
    </w:p>
    <w:p>
      <w:pPr>
        <w:ind w:left="1080" w:right="380" w:hanging="361"/>
        <w:spacing w:after="0" w:line="262" w:lineRule="auto"/>
        <w:tabs>
          <w:tab w:leader="none" w:pos="1080" w:val="left"/>
        </w:tabs>
        <w:numPr>
          <w:ilvl w:val="1"/>
          <w:numId w:val="91"/>
        </w:numPr>
        <w:rPr>
          <w:rFonts w:ascii="Arial" w:cs="Arial" w:eastAsia="Arial" w:hAnsi="Arial"/>
          <w:sz w:val="20"/>
          <w:szCs w:val="20"/>
          <w:color w:val="2A2A2A"/>
        </w:rPr>
      </w:pPr>
      <w:r>
        <w:rPr>
          <w:rFonts w:ascii="Arial" w:cs="Arial" w:eastAsia="Arial" w:hAnsi="Arial"/>
          <w:sz w:val="20"/>
          <w:szCs w:val="20"/>
          <w:color w:val="2A2A2A"/>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15" w:lineRule="exact"/>
        <w:rPr>
          <w:rFonts w:ascii="Arial" w:cs="Arial" w:eastAsia="Arial" w:hAnsi="Arial"/>
          <w:sz w:val="20"/>
          <w:szCs w:val="20"/>
          <w:color w:val="2A2A2A"/>
        </w:rPr>
      </w:pPr>
    </w:p>
    <w:p>
      <w:pPr>
        <w:ind w:left="1080" w:right="280" w:hanging="361"/>
        <w:spacing w:after="0" w:line="281" w:lineRule="auto"/>
        <w:tabs>
          <w:tab w:leader="none" w:pos="1080" w:val="left"/>
        </w:tabs>
        <w:numPr>
          <w:ilvl w:val="1"/>
          <w:numId w:val="91"/>
        </w:numPr>
        <w:rPr>
          <w:rFonts w:ascii="Arial" w:cs="Arial" w:eastAsia="Arial" w:hAnsi="Arial"/>
          <w:sz w:val="20"/>
          <w:szCs w:val="20"/>
          <w:color w:val="2A2A2A"/>
        </w:rPr>
      </w:pPr>
      <w:r>
        <w:rPr>
          <w:rFonts w:ascii="Arial" w:cs="Arial" w:eastAsia="Arial" w:hAnsi="Arial"/>
          <w:sz w:val="20"/>
          <w:szCs w:val="20"/>
          <w:color w:val="2A2A2A"/>
        </w:rPr>
        <w:t>Reservation of company stock for use as awards of grants under plans or as contributions or sales to any trustee of any employee benefit plan.</w:t>
      </w:r>
    </w:p>
    <w:p>
      <w:pPr>
        <w:spacing w:after="0" w:line="1" w:lineRule="exact"/>
        <w:rPr>
          <w:rFonts w:ascii="Arial" w:cs="Arial" w:eastAsia="Arial" w:hAnsi="Arial"/>
          <w:sz w:val="20"/>
          <w:szCs w:val="20"/>
          <w:color w:val="2A2A2A"/>
        </w:rPr>
      </w:pPr>
    </w:p>
    <w:p>
      <w:pPr>
        <w:ind w:left="720" w:right="500" w:hanging="361"/>
        <w:spacing w:after="0" w:line="281" w:lineRule="auto"/>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20"/>
          <w:szCs w:val="20"/>
          <w:color w:val="2A2A2A"/>
        </w:rPr>
      </w:pPr>
    </w:p>
    <w:p>
      <w:pPr>
        <w:ind w:left="720" w:right="1240" w:hanging="361"/>
        <w:spacing w:after="0" w:line="287" w:lineRule="auto"/>
        <w:tabs>
          <w:tab w:leader="none" w:pos="720" w:val="left"/>
        </w:tabs>
        <w:numPr>
          <w:ilvl w:val="0"/>
          <w:numId w:val="91"/>
        </w:numPr>
        <w:rPr>
          <w:rFonts w:ascii="Arial" w:cs="Arial" w:eastAsia="Arial" w:hAnsi="Arial"/>
          <w:sz w:val="20"/>
          <w:szCs w:val="20"/>
          <w:color w:val="2A2A2A"/>
        </w:rPr>
      </w:pPr>
      <w:r>
        <w:rPr>
          <w:rFonts w:ascii="Arial" w:cs="Arial" w:eastAsia="Arial" w:hAnsi="Arial"/>
          <w:sz w:val="20"/>
          <w:szCs w:val="20"/>
          <w:color w:val="2A2A2A"/>
        </w:rPr>
        <w:t>Appointing, setting the compensation of, overseeing and considering the independence of any compensation consultant or other advisor.</w:t>
      </w:r>
    </w:p>
    <w:p>
      <w:pPr>
        <w:spacing w:after="0" w:line="170" w:lineRule="exact"/>
        <w:rPr>
          <w:sz w:val="20"/>
          <w:szCs w:val="20"/>
          <w:color w:val="auto"/>
        </w:rPr>
      </w:pPr>
    </w:p>
    <w:p>
      <w:pPr>
        <w:ind w:right="580"/>
        <w:spacing w:after="0" w:line="268" w:lineRule="auto"/>
        <w:rPr>
          <w:sz w:val="20"/>
          <w:szCs w:val="20"/>
          <w:color w:val="auto"/>
        </w:rPr>
      </w:pPr>
      <w:r>
        <w:rPr>
          <w:rFonts w:ascii="Arial" w:cs="Arial" w:eastAsia="Arial" w:hAnsi="Arial"/>
          <w:sz w:val="20"/>
          <w:szCs w:val="20"/>
          <w:color w:val="2A2A2A"/>
        </w:rPr>
        <w:t>The compensation committee met five times in 2023. The compensation committee holds regularly scheduled meetings, reports its activities to the board, and consults with the board before setting annual executive compensation.</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2A2A2A"/>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2023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16</w:t>
      </w:r>
    </w:p>
    <w:p>
      <w:pPr>
        <w:sectPr>
          <w:pgSz w:w="12240" w:h="15840" w:orient="portrait"/>
          <w:cols w:equalWidth="0" w:num="1">
            <w:col w:w="10260"/>
          </w:cols>
          <w:pgMar w:left="980" w:top="664" w:right="1000" w:bottom="33" w:gutter="0" w:footer="0" w:header="0"/>
          <w:type w:val="continuous"/>
        </w:sectPr>
      </w:pPr>
    </w:p>
    <w:bookmarkStart w:id="88" w:name="page89"/>
    <w:bookmarkEnd w:id="88"/>
    <w:p>
      <w:pPr>
        <w:ind w:right="540"/>
        <w:spacing w:after="0" w:line="287" w:lineRule="auto"/>
        <w:rPr>
          <w:sz w:val="20"/>
          <w:szCs w:val="20"/>
          <w:color w:val="auto"/>
        </w:rPr>
      </w:pPr>
      <w:r>
        <w:rPr>
          <w:rFonts w:ascii="Arial" w:cs="Arial" w:eastAsia="Arial" w:hAnsi="Arial"/>
          <w:sz w:val="20"/>
          <w:szCs w:val="20"/>
          <w:color w:val="2A2A2A"/>
        </w:rPr>
        <w:t>these matters with such items as peer-group assessment, analysis of the executive compensation market and compensation recommendations.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2A2A2A"/>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2023, the committee determined that its compensation consultant was independent of the company and had no conflict of interest.</w:t>
      </w:r>
    </w:p>
    <w:p>
      <w:pPr>
        <w:spacing w:after="0" w:line="199"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2A2A2A"/>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99"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2A2A2A"/>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2A2A2A"/>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Ilan. The special committee has no authority to grant, amend or terminate any form of compensation for TI’s executive officers. The compensation committee reviews all activity of the special committee.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Governance and Stockholder Relations committee</w:t>
      </w:r>
    </w:p>
    <w:p>
      <w:pPr>
        <w:spacing w:after="0" w:line="255"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All members of the GSR committee are independent. From April 23, 2020 to April 26, 2023, the committee members were Mr. Kirk (chair), Mr. Bluedorn and Mr. Sanchez. Since April 27, 2023, the committee members have been Mr. Bluedorn (chair), Ms. Patsley and Mr. Sanchez. The GSR committee is generally responsible for:</w:t>
      </w:r>
    </w:p>
    <w:p>
      <w:pPr>
        <w:spacing w:after="0" w:line="190" w:lineRule="exact"/>
        <w:rPr>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2A2A2A"/>
        </w:rPr>
      </w:pPr>
      <w:r>
        <w:rPr>
          <w:rFonts w:ascii="Arial" w:cs="Arial" w:eastAsia="Arial" w:hAnsi="Arial"/>
          <w:sz w:val="20"/>
          <w:szCs w:val="20"/>
          <w:color w:val="2A2A2A"/>
        </w:rPr>
        <w:t>Making recommendations to the board regarding:</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The development and revision of our corporate governance principles.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The size, composition and functioning of the board and board committees.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Candidates to fill board positions.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Nominees to be designated for election as directors.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Compensation of board members.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Organization and responsibilities of board committees.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Succession planning by the company.</w:t>
      </w:r>
    </w:p>
    <w:p>
      <w:pPr>
        <w:spacing w:after="0" w:line="70" w:lineRule="exact"/>
        <w:rPr>
          <w:rFonts w:ascii="Arial" w:cs="Arial" w:eastAsia="Arial" w:hAnsi="Arial"/>
          <w:sz w:val="20"/>
          <w:szCs w:val="20"/>
          <w:color w:val="2A2A2A"/>
        </w:rPr>
      </w:pPr>
    </w:p>
    <w:p>
      <w:pPr>
        <w:ind w:left="1080" w:right="1040" w:hanging="361"/>
        <w:spacing w:after="0" w:line="281" w:lineRule="auto"/>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Issues of potential conflicts of interest involving a board member raised under TI’s conflict of interest policy.</w:t>
      </w:r>
    </w:p>
    <w:p>
      <w:pPr>
        <w:spacing w:after="0" w:line="1"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Election of executive officers of the company.</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Topics affecting the relationship between the company and stockholders.</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2"/>
        </w:numPr>
        <w:rPr>
          <w:rFonts w:ascii="Arial" w:cs="Arial" w:eastAsia="Arial" w:hAnsi="Arial"/>
          <w:sz w:val="20"/>
          <w:szCs w:val="20"/>
          <w:color w:val="2A2A2A"/>
        </w:rPr>
      </w:pPr>
      <w:r>
        <w:rPr>
          <w:rFonts w:ascii="Arial" w:cs="Arial" w:eastAsia="Arial" w:hAnsi="Arial"/>
          <w:sz w:val="20"/>
          <w:szCs w:val="20"/>
          <w:color w:val="2A2A2A"/>
        </w:rPr>
        <w:t>Public issues likely to affect the company.</w:t>
      </w:r>
    </w:p>
    <w:p>
      <w:pPr>
        <w:sectPr>
          <w:pgSz w:w="12240" w:h="15840" w:orient="portrait"/>
          <w:cols w:equalWidth="0" w:num="1">
            <w:col w:w="10240"/>
          </w:cols>
          <w:pgMar w:left="980" w:top="664" w:right="1020" w:bottom="33" w:gutter="0" w:footer="0" w:header="0"/>
        </w:sect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2024 PROXY STATEMENT • PAGE 17</w:t>
      </w:r>
    </w:p>
    <w:p>
      <w:pPr>
        <w:sectPr>
          <w:pgSz w:w="12240" w:h="15840" w:orient="portrait"/>
          <w:cols w:equalWidth="0" w:num="1">
            <w:col w:w="10240"/>
          </w:cols>
          <w:pgMar w:left="980" w:top="664" w:right="1020" w:bottom="33" w:gutter="0" w:footer="0" w:header="0"/>
          <w:type w:val="continuous"/>
        </w:sectPr>
      </w:pPr>
    </w:p>
    <w:bookmarkStart w:id="89" w:name="page90"/>
    <w:bookmarkEnd w:id="89"/>
    <w:p>
      <w:pPr>
        <w:ind w:left="1080" w:hanging="361"/>
        <w:spacing w:after="0"/>
        <w:tabs>
          <w:tab w:leader="none" w:pos="1080" w:val="left"/>
        </w:tabs>
        <w:numPr>
          <w:ilvl w:val="1"/>
          <w:numId w:val="93"/>
        </w:numPr>
        <w:rPr>
          <w:rFonts w:ascii="Arial" w:cs="Arial" w:eastAsia="Arial" w:hAnsi="Arial"/>
          <w:sz w:val="20"/>
          <w:szCs w:val="20"/>
          <w:color w:val="2A2A2A"/>
        </w:rPr>
      </w:pPr>
      <w:r>
        <w:rPr>
          <w:rFonts w:ascii="Arial" w:cs="Arial" w:eastAsia="Arial" w:hAnsi="Arial"/>
          <w:sz w:val="20"/>
          <w:szCs w:val="20"/>
          <w:color w:val="2A2A2A"/>
        </w:rPr>
        <w:t>Responses to proposals submitted by stockholders.</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3"/>
        </w:numPr>
        <w:rPr>
          <w:rFonts w:ascii="Arial" w:cs="Arial" w:eastAsia="Arial" w:hAnsi="Arial"/>
          <w:sz w:val="20"/>
          <w:szCs w:val="20"/>
          <w:color w:val="2A2A2A"/>
        </w:rPr>
      </w:pPr>
      <w:r>
        <w:rPr>
          <w:rFonts w:ascii="Arial" w:cs="Arial" w:eastAsia="Arial" w:hAnsi="Arial"/>
          <w:sz w:val="20"/>
          <w:szCs w:val="20"/>
          <w:color w:val="2A2A2A"/>
        </w:rPr>
        <w:t>Reviewing:</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3"/>
        </w:numPr>
        <w:rPr>
          <w:rFonts w:ascii="Arial" w:cs="Arial" w:eastAsia="Arial" w:hAnsi="Arial"/>
          <w:sz w:val="20"/>
          <w:szCs w:val="20"/>
          <w:color w:val="2A2A2A"/>
        </w:rPr>
      </w:pPr>
      <w:r>
        <w:rPr>
          <w:rFonts w:ascii="Arial" w:cs="Arial" w:eastAsia="Arial" w:hAnsi="Arial"/>
          <w:sz w:val="20"/>
          <w:szCs w:val="20"/>
          <w:color w:val="2A2A2A"/>
        </w:rPr>
        <w:t>Contribution policies of the company and the TI Foundation.</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3"/>
        </w:numPr>
        <w:rPr>
          <w:rFonts w:ascii="Arial" w:cs="Arial" w:eastAsia="Arial" w:hAnsi="Arial"/>
          <w:sz w:val="20"/>
          <w:szCs w:val="20"/>
          <w:color w:val="2A2A2A"/>
        </w:rPr>
      </w:pPr>
      <w:r>
        <w:rPr>
          <w:rFonts w:ascii="Arial" w:cs="Arial" w:eastAsia="Arial" w:hAnsi="Arial"/>
          <w:sz w:val="20"/>
          <w:szCs w:val="20"/>
          <w:color w:val="2A2A2A"/>
        </w:rPr>
        <w:t>Scope of activities of the company’s political action committee.</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93"/>
        </w:numPr>
        <w:rPr>
          <w:rFonts w:ascii="Arial" w:cs="Arial" w:eastAsia="Arial" w:hAnsi="Arial"/>
          <w:sz w:val="20"/>
          <w:szCs w:val="20"/>
          <w:color w:val="2A2A2A"/>
        </w:rPr>
      </w:pPr>
      <w:r>
        <w:rPr>
          <w:rFonts w:ascii="Arial" w:cs="Arial" w:eastAsia="Arial" w:hAnsi="Arial"/>
          <w:sz w:val="20"/>
          <w:szCs w:val="20"/>
          <w:color w:val="2A2A2A"/>
        </w:rPr>
        <w:t>Revisions to TI’s code of conduct.</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3"/>
        </w:numPr>
        <w:rPr>
          <w:rFonts w:ascii="Arial" w:cs="Arial" w:eastAsia="Arial" w:hAnsi="Arial"/>
          <w:sz w:val="20"/>
          <w:szCs w:val="20"/>
          <w:color w:val="2A2A2A"/>
        </w:rPr>
      </w:pPr>
      <w:r>
        <w:rPr>
          <w:rFonts w:ascii="Arial" w:cs="Arial" w:eastAsia="Arial" w:hAnsi="Arial"/>
          <w:sz w:val="20"/>
          <w:szCs w:val="20"/>
          <w:color w:val="2A2A2A"/>
        </w:rPr>
        <w:t>Electing officers of the company other than the executive officers.</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3"/>
        </w:numPr>
        <w:rPr>
          <w:rFonts w:ascii="Arial" w:cs="Arial" w:eastAsia="Arial" w:hAnsi="Arial"/>
          <w:sz w:val="20"/>
          <w:szCs w:val="20"/>
          <w:color w:val="2A2A2A"/>
        </w:rPr>
      </w:pPr>
      <w:r>
        <w:rPr>
          <w:rFonts w:ascii="Arial" w:cs="Arial" w:eastAsia="Arial" w:hAnsi="Arial"/>
          <w:sz w:val="20"/>
          <w:szCs w:val="20"/>
          <w:color w:val="2A2A2A"/>
        </w:rPr>
        <w:t>Overseeing an annual evaluation of the board and the committee.</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2A2A2A"/>
        </w:rPr>
        <w:t>The GSR committee met six times in 2023. The GSR committee holds regularly scheduled meetings and reports its activities to the board.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Board evaluation process</w:t>
      </w:r>
    </w:p>
    <w:p>
      <w:pPr>
        <w:spacing w:after="0" w:line="257"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color w:val="2A2A2A"/>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99"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2A2A2A"/>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Board leadership structure</w:t>
      </w: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The board’s current leadership entails an executive chairman (former CEO) and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 (ii) holding an executive session of the independent directors at each board meeting), allows it to maintain the active engagement of independent directors and appropriate oversight of management.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A2A2A"/>
        </w:rPr>
        <w:t>The lead director is elected by the independent directors annually. The independent directors have elected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Ms. Patsley to serve as lead director. The duties of the lead director are to:</w:t>
      </w:r>
    </w:p>
    <w:p>
      <w:pPr>
        <w:spacing w:after="0" w:line="230" w:lineRule="exact"/>
        <w:rPr>
          <w:sz w:val="20"/>
          <w:szCs w:val="20"/>
          <w:color w:val="auto"/>
        </w:rPr>
      </w:pPr>
    </w:p>
    <w:p>
      <w:pPr>
        <w:ind w:left="720" w:right="300" w:hanging="361"/>
        <w:spacing w:after="0" w:line="281" w:lineRule="auto"/>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Preside at all meetings of the board at which the chairman is not present, including executive sessions of the independent directors;</w:t>
      </w:r>
    </w:p>
    <w:p>
      <w:pPr>
        <w:spacing w:after="0" w:line="1" w:lineRule="exact"/>
        <w:rPr>
          <w:rFonts w:ascii="Arial" w:cs="Arial" w:eastAsia="Arial" w:hAnsi="Arial"/>
          <w:sz w:val="20"/>
          <w:szCs w:val="20"/>
          <w:color w:val="2A2A2A"/>
        </w:rPr>
      </w:pPr>
    </w:p>
    <w:p>
      <w:pPr>
        <w:ind w:left="720" w:hanging="361"/>
        <w:spacing w:after="0"/>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Serve as liaison between the chairman and the independent directors;</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Approve information sent to the board;</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Approve meeting agendas for the board;</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Approve meeting schedules to assure that there is sufficient time for discussion of all agenda items; and</w:t>
      </w:r>
    </w:p>
    <w:p>
      <w:pPr>
        <w:spacing w:after="0" w:line="70" w:lineRule="exact"/>
        <w:rPr>
          <w:rFonts w:ascii="Arial" w:cs="Arial" w:eastAsia="Arial" w:hAnsi="Arial"/>
          <w:sz w:val="20"/>
          <w:szCs w:val="20"/>
          <w:color w:val="2A2A2A"/>
        </w:rPr>
      </w:pPr>
    </w:p>
    <w:p>
      <w:pPr>
        <w:ind w:left="720" w:right="1080" w:hanging="361"/>
        <w:spacing w:after="0" w:line="287" w:lineRule="auto"/>
        <w:tabs>
          <w:tab w:leader="none" w:pos="720" w:val="left"/>
        </w:tabs>
        <w:numPr>
          <w:ilvl w:val="0"/>
          <w:numId w:val="94"/>
        </w:numPr>
        <w:rPr>
          <w:rFonts w:ascii="Arial" w:cs="Arial" w:eastAsia="Arial" w:hAnsi="Arial"/>
          <w:sz w:val="20"/>
          <w:szCs w:val="20"/>
          <w:color w:val="2A2A2A"/>
        </w:rPr>
      </w:pPr>
      <w:r>
        <w:rPr>
          <w:rFonts w:ascii="Arial" w:cs="Arial" w:eastAsia="Arial" w:hAnsi="Arial"/>
          <w:sz w:val="20"/>
          <w:szCs w:val="20"/>
          <w:color w:val="2A2A2A"/>
        </w:rPr>
        <w:t>If requested by major shareholders, ensure that he or she is available for consultation and direct communication.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2A2A2A"/>
        </w:rPr>
        <w:t>In addition, the lead director has authority to call meetings of the independent directors.</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2A2A2A"/>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ectPr>
          <w:pgSz w:w="12240" w:h="15840" w:orient="portrait"/>
          <w:cols w:equalWidth="0" w:num="1">
            <w:col w:w="10280"/>
          </w:cols>
          <w:pgMar w:left="980" w:top="664" w:right="980" w:bottom="33"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18</w:t>
      </w:r>
    </w:p>
    <w:p>
      <w:pPr>
        <w:sectPr>
          <w:pgSz w:w="12240" w:h="15840" w:orient="portrait"/>
          <w:cols w:equalWidth="0" w:num="1">
            <w:col w:w="10280"/>
          </w:cols>
          <w:pgMar w:left="980" w:top="664" w:right="980" w:bottom="33" w:gutter="0" w:footer="0" w:header="0"/>
          <w:type w:val="continuous"/>
        </w:sectPr>
      </w:pPr>
    </w:p>
    <w:bookmarkStart w:id="90" w:name="page91"/>
    <w:bookmarkEnd w:id="90"/>
    <w:p>
      <w:pPr>
        <w:ind w:right="340"/>
        <w:spacing w:after="0" w:line="268" w:lineRule="auto"/>
        <w:rPr>
          <w:sz w:val="20"/>
          <w:szCs w:val="20"/>
          <w:color w:val="auto"/>
        </w:rPr>
      </w:pPr>
      <w:r>
        <w:rPr>
          <w:rFonts w:ascii="Arial" w:cs="Arial" w:eastAsia="Arial" w:hAnsi="Arial"/>
          <w:sz w:val="20"/>
          <w:szCs w:val="20"/>
          <w:color w:val="2A2A2A"/>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Risk oversight by the board</w:t>
      </w:r>
    </w:p>
    <w:p>
      <w:pPr>
        <w:spacing w:after="0" w:line="257"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color w:val="2A2A2A"/>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2A2A2A"/>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20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2A2A2A"/>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99" w:lineRule="exact"/>
        <w:rPr>
          <w:sz w:val="20"/>
          <w:szCs w:val="20"/>
          <w:color w:val="auto"/>
        </w:rPr>
      </w:pPr>
    </w:p>
    <w:p>
      <w:pPr>
        <w:jc w:val="both"/>
        <w:ind w:right="220"/>
        <w:spacing w:after="0" w:line="270" w:lineRule="auto"/>
        <w:rPr>
          <w:sz w:val="20"/>
          <w:szCs w:val="20"/>
          <w:color w:val="auto"/>
        </w:rPr>
      </w:pPr>
      <w:r>
        <w:rPr>
          <w:rFonts w:ascii="Arial" w:cs="Arial" w:eastAsia="Arial" w:hAnsi="Arial"/>
          <w:sz w:val="19"/>
          <w:szCs w:val="19"/>
          <w:color w:val="2A2A2A"/>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w:t>
      </w:r>
    </w:p>
    <w:p>
      <w:pPr>
        <w:spacing w:after="0" w:line="3" w:lineRule="exact"/>
        <w:rPr>
          <w:sz w:val="20"/>
          <w:szCs w:val="20"/>
          <w:color w:val="auto"/>
        </w:rPr>
      </w:pPr>
    </w:p>
    <w:p>
      <w:pPr>
        <w:jc w:val="both"/>
        <w:ind w:right="60"/>
        <w:spacing w:after="0" w:line="258" w:lineRule="auto"/>
        <w:rPr>
          <w:sz w:val="20"/>
          <w:szCs w:val="20"/>
          <w:color w:val="auto"/>
        </w:rPr>
      </w:pPr>
      <w:r>
        <w:rPr>
          <w:rFonts w:ascii="Arial" w:cs="Arial" w:eastAsia="Arial" w:hAnsi="Arial"/>
          <w:sz w:val="20"/>
          <w:szCs w:val="20"/>
          <w:color w:val="2A2A2A"/>
        </w:rPr>
        <w:t>Having the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Board oversight of environmental, social and governance (ESG) matters</w:t>
      </w: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A2A2A"/>
        </w:rPr>
        <w:t>Management implements ESG-related policies and practices under the board’s oversight, including by (i) establishing broad policies for guidance of the organization, such as those contained in the document “Living our Values: TI’s ambitions, values and code of conduct,” which was approved by the board; (ii) implementing those policies by delegation of authority and assigning responsibility to board committees, the chief executive officer, and other officers or employees as appropriate; and (iii) monitoring and evaluating performance to assure that the stated policies are being followed.</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vice president of worldwide environmental, safety and health.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19</w:t>
      </w:r>
    </w:p>
    <w:p>
      <w:pPr>
        <w:sectPr>
          <w:pgSz w:w="12240" w:h="15840" w:orient="portrait"/>
          <w:cols w:equalWidth="0" w:num="1">
            <w:col w:w="10260"/>
          </w:cols>
          <w:pgMar w:left="980" w:top="664" w:right="1000" w:bottom="33"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b w:val="1"/>
          <w:bCs w:val="1"/>
          <w:color w:val="2A2A2A"/>
        </w:rPr>
        <w:t>Proposal to approve the Texas Instruments 2024 Long-Term Incentive Plan</w:t>
      </w: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20"/>
          <w:szCs w:val="20"/>
          <w:color w:val="2A2A2A"/>
        </w:rPr>
        <w:t>The board asks stockholders to approve the Texas Instruments 2024 Long-Term Incentive Plan (the “2024 Plan”). Upon recommendation of the compensation committee, the board of directors adopted the 2024 Plan on January 18, 2024, subject to stockholder approval, to replace the Texas Instruments 2009 Long-Term Incentive Plan, as amended effective April 21, 2016 (the “2009 Plan”), which expires by its terms in April 2026. If approved by stockholders, the 2024 Plan will become effective on the date of the annual meeting (the “Effective Date”) and replace the 2009 Plan for all future equity grants. As of February 5, 2024, there were 19,397,411 shares available for grant under the 2009 Plan. No further awards would be granted pursuant to the 2009 Plan on or after the Effective Date. Awards previously granted under the 2009 Plan would be unaffected by the adoption of the 2024 Plan, and they would remain outstanding under the terms pursuant to which they were previously granted. If stockholders do not approve the 2024 Plan, the 2024 Plan will not be implemented and the 2009 Plan will remain in effect until its expiration date, and we may continue to grant awards under the 2009 Plan until then, to the extent shares remain available for grant thereunder.</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2A2A2A"/>
        </w:rPr>
        <w:t>We consider our long-term incentive plan a vital element of our employee compensation program and we believe that the continued ability to grant awards at competitive levels is in the best interest of the company and stockholders. The 2024 Plan is intended to enhance the company’s ability to attract and retain qualified individuals as employees and encourage them to acquire a proprietary interest in the growth and performance of the company, thereby aligning the interests of our employees with those of our stockholders. The 2024 Plan will be the only active plan under which we may grant equity awards to employees.</w:t>
      </w:r>
    </w:p>
    <w:p>
      <w:pPr>
        <w:spacing w:after="0" w:line="202" w:lineRule="exact"/>
        <w:rPr>
          <w:sz w:val="20"/>
          <w:szCs w:val="20"/>
          <w:color w:val="auto"/>
        </w:rPr>
      </w:pPr>
    </w:p>
    <w:p>
      <w:pPr>
        <w:ind w:right="660"/>
        <w:spacing w:after="0" w:line="287" w:lineRule="auto"/>
        <w:rPr>
          <w:sz w:val="20"/>
          <w:szCs w:val="20"/>
          <w:color w:val="auto"/>
        </w:rPr>
      </w:pPr>
      <w:r>
        <w:rPr>
          <w:rFonts w:ascii="Arial" w:cs="Arial" w:eastAsia="Arial" w:hAnsi="Arial"/>
          <w:sz w:val="20"/>
          <w:szCs w:val="20"/>
          <w:color w:val="2A2A2A"/>
        </w:rPr>
        <w:t>The 2024 Plan reflects responsible equity compensation practices that are consistent with the interests of our stockholders, including the following:</w:t>
      </w:r>
    </w:p>
    <w:p>
      <w:pPr>
        <w:spacing w:after="0" w:line="170" w:lineRule="exact"/>
        <w:rPr>
          <w:sz w:val="20"/>
          <w:szCs w:val="20"/>
          <w:color w:val="auto"/>
        </w:rPr>
      </w:pPr>
    </w:p>
    <w:p>
      <w:pPr>
        <w:jc w:val="both"/>
        <w:ind w:left="720" w:right="320" w:hanging="361"/>
        <w:spacing w:after="0" w:line="268"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“evergreen” provision </w:t>
      </w:r>
      <w:r>
        <w:rPr>
          <w:rFonts w:ascii="Arial" w:cs="Arial" w:eastAsia="Arial" w:hAnsi="Arial"/>
          <w:sz w:val="20"/>
          <w:szCs w:val="20"/>
          <w:color w:val="2A2A2A"/>
        </w:rPr>
        <w:t>– The 2024 Plan provides a specific maximum share limitation and does not</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provide for an annual or automatic increase in the 2024 Plan’s share. Stockholder approval is required to increase the share reserve.</w:t>
      </w:r>
    </w:p>
    <w:p>
      <w:pPr>
        <w:spacing w:after="0" w:line="9" w:lineRule="exact"/>
        <w:rPr>
          <w:rFonts w:ascii="Arial" w:cs="Arial" w:eastAsia="Arial" w:hAnsi="Arial"/>
          <w:sz w:val="20"/>
          <w:szCs w:val="20"/>
          <w:color w:val="2A2A2A"/>
        </w:rPr>
      </w:pPr>
    </w:p>
    <w:p>
      <w:pPr>
        <w:ind w:left="720" w:right="280" w:hanging="361"/>
        <w:spacing w:after="0" w:line="268"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liberal share counting provision </w:t>
      </w:r>
      <w:r>
        <w:rPr>
          <w:rFonts w:ascii="Arial" w:cs="Arial" w:eastAsia="Arial" w:hAnsi="Arial"/>
          <w:sz w:val="20"/>
          <w:szCs w:val="20"/>
          <w:color w:val="2A2A2A"/>
        </w:rPr>
        <w:t>– Shares tendered by grantees to pay the exercise price of a stock</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option or stock appreciation right (“SAR”) or satisfy tax obligations are not added back into the share reserve.</w:t>
      </w:r>
    </w:p>
    <w:p>
      <w:pPr>
        <w:spacing w:after="0" w:line="9" w:lineRule="exact"/>
        <w:rPr>
          <w:rFonts w:ascii="Arial" w:cs="Arial" w:eastAsia="Arial" w:hAnsi="Arial"/>
          <w:sz w:val="20"/>
          <w:szCs w:val="20"/>
          <w:color w:val="2A2A2A"/>
        </w:rPr>
      </w:pPr>
    </w:p>
    <w:p>
      <w:pPr>
        <w:ind w:left="720" w:right="20" w:hanging="361"/>
        <w:spacing w:after="0" w:line="257"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liberal change in control definition </w:t>
      </w:r>
      <w:r>
        <w:rPr>
          <w:rFonts w:ascii="Arial" w:cs="Arial" w:eastAsia="Arial" w:hAnsi="Arial"/>
          <w:sz w:val="20"/>
          <w:szCs w:val="20"/>
          <w:color w:val="2A2A2A"/>
        </w:rPr>
        <w:t>– The 2024 Plan’s definition of “change in control” is not</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considered “liberal.” As an example, mergers or consolidations are required to be consummated (with existing stockholders owning less than 50% of voting power after the transaction), rather than merely approved by stockholders. Likewise, the definition does not include the mere commencement or announcement of a tender or exchange offer for company common stock or a change in less than half of the board.</w:t>
      </w:r>
    </w:p>
    <w:p>
      <w:pPr>
        <w:spacing w:after="0" w:line="22" w:lineRule="exact"/>
        <w:rPr>
          <w:rFonts w:ascii="Arial" w:cs="Arial" w:eastAsia="Arial" w:hAnsi="Arial"/>
          <w:sz w:val="20"/>
          <w:szCs w:val="20"/>
          <w:color w:val="2A2A2A"/>
        </w:rPr>
      </w:pPr>
    </w:p>
    <w:p>
      <w:pPr>
        <w:ind w:left="720" w:hanging="361"/>
        <w:spacing w:after="0"/>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automatic grants </w:t>
      </w:r>
      <w:r>
        <w:rPr>
          <w:rFonts w:ascii="Arial" w:cs="Arial" w:eastAsia="Arial" w:hAnsi="Arial"/>
          <w:sz w:val="20"/>
          <w:szCs w:val="20"/>
          <w:color w:val="2A2A2A"/>
        </w:rPr>
        <w:t>– The 2024 Plan does not provide for automatic grants to any individual.</w:t>
      </w:r>
    </w:p>
    <w:p>
      <w:pPr>
        <w:spacing w:after="0" w:line="70" w:lineRule="exact"/>
        <w:rPr>
          <w:rFonts w:ascii="Arial" w:cs="Arial" w:eastAsia="Arial" w:hAnsi="Arial"/>
          <w:sz w:val="20"/>
          <w:szCs w:val="20"/>
          <w:color w:val="2A2A2A"/>
        </w:rPr>
      </w:pPr>
    </w:p>
    <w:p>
      <w:pPr>
        <w:ind w:left="720" w:right="160" w:hanging="361"/>
        <w:spacing w:after="0" w:line="268"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discounted stock options or SARs </w:t>
      </w:r>
      <w:r>
        <w:rPr>
          <w:rFonts w:ascii="Arial" w:cs="Arial" w:eastAsia="Arial" w:hAnsi="Arial"/>
          <w:sz w:val="20"/>
          <w:szCs w:val="20"/>
          <w:color w:val="2A2A2A"/>
        </w:rPr>
        <w:t>– The exercise price of stock options and SARs shall be no lower</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than the fair market value of shares on the date of grant (other than substitute awards if we assume or replace outstanding awards granted by a company that we acquire).</w:t>
      </w:r>
    </w:p>
    <w:p>
      <w:pPr>
        <w:spacing w:after="0" w:line="9" w:lineRule="exact"/>
        <w:rPr>
          <w:rFonts w:ascii="Arial" w:cs="Arial" w:eastAsia="Arial" w:hAnsi="Arial"/>
          <w:sz w:val="20"/>
          <w:szCs w:val="20"/>
          <w:color w:val="2A2A2A"/>
        </w:rPr>
      </w:pPr>
    </w:p>
    <w:p>
      <w:pPr>
        <w:ind w:left="720" w:right="380" w:hanging="361"/>
        <w:spacing w:after="0" w:line="281"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repricing of stock options or SARs </w:t>
      </w:r>
      <w:r>
        <w:rPr>
          <w:rFonts w:ascii="Arial" w:cs="Arial" w:eastAsia="Arial" w:hAnsi="Arial"/>
          <w:sz w:val="20"/>
          <w:szCs w:val="20"/>
          <w:color w:val="2A2A2A"/>
        </w:rPr>
        <w:t>– No repricing of stock options or SARs is permitted, except to</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adjust the exercise price due to a stock split, corporate restructuring or similar event.</w:t>
      </w:r>
    </w:p>
    <w:p>
      <w:pPr>
        <w:spacing w:after="0" w:line="1" w:lineRule="exact"/>
        <w:rPr>
          <w:rFonts w:ascii="Arial" w:cs="Arial" w:eastAsia="Arial" w:hAnsi="Arial"/>
          <w:sz w:val="20"/>
          <w:szCs w:val="20"/>
          <w:color w:val="2A2A2A"/>
        </w:rPr>
      </w:pPr>
    </w:p>
    <w:p>
      <w:pPr>
        <w:ind w:left="720" w:right="460" w:hanging="361"/>
        <w:spacing w:after="0" w:line="268"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Double-trigger change-in-control terms </w:t>
      </w:r>
      <w:r>
        <w:rPr>
          <w:rFonts w:ascii="Arial" w:cs="Arial" w:eastAsia="Arial" w:hAnsi="Arial"/>
          <w:sz w:val="20"/>
          <w:szCs w:val="20"/>
          <w:color w:val="2A2A2A"/>
        </w:rPr>
        <w:t>– Awards are generally subject to double-trigger change-in-control terms, under which full vesting of the award would be triggered not by a change in control of the company, but rather by employment termination if it occurred within 24 months after such event.</w:t>
      </w:r>
    </w:p>
    <w:p>
      <w:pPr>
        <w:spacing w:after="0" w:line="9" w:lineRule="exact"/>
        <w:rPr>
          <w:rFonts w:ascii="Arial" w:cs="Arial" w:eastAsia="Arial" w:hAnsi="Arial"/>
          <w:sz w:val="20"/>
          <w:szCs w:val="20"/>
          <w:color w:val="2A2A2A"/>
        </w:rPr>
      </w:pPr>
    </w:p>
    <w:p>
      <w:pPr>
        <w:ind w:left="720" w:right="820" w:hanging="361"/>
        <w:spacing w:after="0" w:line="281"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No tax gross-ups </w:t>
      </w:r>
      <w:r>
        <w:rPr>
          <w:rFonts w:ascii="Arial" w:cs="Arial" w:eastAsia="Arial" w:hAnsi="Arial"/>
          <w:sz w:val="20"/>
          <w:szCs w:val="20"/>
          <w:color w:val="2A2A2A"/>
        </w:rPr>
        <w:t>– The 2024 Plan does not provide for tax gross-ups to any individual, whether in</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connection with a change in control or otherwise.</w:t>
      </w:r>
    </w:p>
    <w:p>
      <w:pPr>
        <w:spacing w:after="0" w:line="1" w:lineRule="exact"/>
        <w:rPr>
          <w:rFonts w:ascii="Arial" w:cs="Arial" w:eastAsia="Arial" w:hAnsi="Arial"/>
          <w:sz w:val="20"/>
          <w:szCs w:val="20"/>
          <w:color w:val="2A2A2A"/>
        </w:rPr>
      </w:pPr>
    </w:p>
    <w:p>
      <w:pPr>
        <w:ind w:left="720" w:right="40" w:hanging="361"/>
        <w:spacing w:after="0" w:line="281" w:lineRule="auto"/>
        <w:tabs>
          <w:tab w:leader="none" w:pos="720" w:val="left"/>
        </w:tabs>
        <w:numPr>
          <w:ilvl w:val="0"/>
          <w:numId w:val="95"/>
        </w:numPr>
        <w:rPr>
          <w:rFonts w:ascii="Arial" w:cs="Arial" w:eastAsia="Arial" w:hAnsi="Arial"/>
          <w:sz w:val="20"/>
          <w:szCs w:val="20"/>
          <w:color w:val="2A2A2A"/>
        </w:rPr>
      </w:pPr>
      <w:r>
        <w:rPr>
          <w:rFonts w:ascii="Arial" w:cs="Arial" w:eastAsia="Arial" w:hAnsi="Arial"/>
          <w:sz w:val="20"/>
          <w:szCs w:val="20"/>
          <w:b w:val="1"/>
          <w:bCs w:val="1"/>
          <w:i w:val="1"/>
          <w:iCs w:val="1"/>
          <w:color w:val="2A2A2A"/>
        </w:rPr>
        <w:t xml:space="preserve">Administration </w:t>
      </w:r>
      <w:r>
        <w:rPr>
          <w:rFonts w:ascii="Arial" w:cs="Arial" w:eastAsia="Arial" w:hAnsi="Arial"/>
          <w:sz w:val="20"/>
          <w:szCs w:val="20"/>
          <w:color w:val="2A2A2A"/>
        </w:rPr>
        <w:t>– The 2024 Plan is administered by the board or, to the extent designated by the board, the</w:t>
      </w:r>
      <w:r>
        <w:rPr>
          <w:rFonts w:ascii="Arial" w:cs="Arial" w:eastAsia="Arial" w:hAnsi="Arial"/>
          <w:sz w:val="20"/>
          <w:szCs w:val="20"/>
          <w:b w:val="1"/>
          <w:bCs w:val="1"/>
          <w:i w:val="1"/>
          <w:iCs w:val="1"/>
          <w:color w:val="2A2A2A"/>
        </w:rPr>
        <w:t xml:space="preserve"> </w:t>
      </w:r>
      <w:r>
        <w:rPr>
          <w:rFonts w:ascii="Arial" w:cs="Arial" w:eastAsia="Arial" w:hAnsi="Arial"/>
          <w:sz w:val="20"/>
          <w:szCs w:val="20"/>
          <w:color w:val="2A2A2A"/>
        </w:rPr>
        <w:t>compensation committee, which is comprised solely of independent, non-employee directors.</w:t>
      </w:r>
    </w:p>
    <w:p>
      <w:pPr>
        <w:spacing w:after="0" w:line="1" w:lineRule="exact"/>
        <w:rPr>
          <w:rFonts w:ascii="Arial" w:cs="Arial" w:eastAsia="Arial" w:hAnsi="Arial"/>
          <w:sz w:val="20"/>
          <w:szCs w:val="20"/>
          <w:color w:val="2A2A2A"/>
        </w:rPr>
      </w:pPr>
    </w:p>
    <w:p>
      <w:pPr>
        <w:ind w:left="720" w:right="40" w:hanging="361"/>
        <w:spacing w:after="0" w:line="289" w:lineRule="auto"/>
        <w:tabs>
          <w:tab w:leader="none" w:pos="720" w:val="left"/>
        </w:tabs>
        <w:numPr>
          <w:ilvl w:val="0"/>
          <w:numId w:val="95"/>
        </w:numPr>
        <w:rPr>
          <w:rFonts w:ascii="Arial" w:cs="Arial" w:eastAsia="Arial" w:hAnsi="Arial"/>
          <w:sz w:val="19"/>
          <w:szCs w:val="19"/>
          <w:color w:val="2A2A2A"/>
        </w:rPr>
      </w:pPr>
      <w:r>
        <w:rPr>
          <w:rFonts w:ascii="Arial" w:cs="Arial" w:eastAsia="Arial" w:hAnsi="Arial"/>
          <w:sz w:val="19"/>
          <w:szCs w:val="19"/>
          <w:b w:val="1"/>
          <w:bCs w:val="1"/>
          <w:i w:val="1"/>
          <w:iCs w:val="1"/>
          <w:color w:val="2A2A2A"/>
        </w:rPr>
        <w:t xml:space="preserve">Certain awards are subject to clawback policy </w:t>
      </w:r>
      <w:r>
        <w:rPr>
          <w:rFonts w:ascii="Arial" w:cs="Arial" w:eastAsia="Arial" w:hAnsi="Arial"/>
          <w:sz w:val="19"/>
          <w:szCs w:val="19"/>
          <w:color w:val="2A2A2A"/>
        </w:rPr>
        <w:t>– The 2024 Plan provides that the board has the authority</w:t>
      </w:r>
      <w:r>
        <w:rPr>
          <w:rFonts w:ascii="Arial" w:cs="Arial" w:eastAsia="Arial" w:hAnsi="Arial"/>
          <w:sz w:val="19"/>
          <w:szCs w:val="19"/>
          <w:b w:val="1"/>
          <w:bCs w:val="1"/>
          <w:i w:val="1"/>
          <w:iCs w:val="1"/>
          <w:color w:val="2A2A2A"/>
        </w:rPr>
        <w:t xml:space="preserve"> </w:t>
      </w:r>
      <w:r>
        <w:rPr>
          <w:rFonts w:ascii="Arial" w:cs="Arial" w:eastAsia="Arial" w:hAnsi="Arial"/>
          <w:sz w:val="19"/>
          <w:szCs w:val="19"/>
          <w:color w:val="2A2A2A"/>
        </w:rPr>
        <w:t>upon the occurrence of specified events to cancel certain awards and require reimbursement of any payments and benefits with respect to previous awards granted to any current or former executive officer.</w:t>
      </w:r>
    </w:p>
    <w:p>
      <w:pPr>
        <w:sectPr>
          <w:pgSz w:w="12240" w:h="15840" w:orient="portrait"/>
          <w:cols w:equalWidth="0" w:num="1">
            <w:col w:w="10280"/>
          </w:cols>
          <w:pgMar w:left="980"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20</w:t>
      </w:r>
    </w:p>
    <w:p>
      <w:pPr>
        <w:sectPr>
          <w:pgSz w:w="12240" w:h="15840" w:orient="portrait"/>
          <w:cols w:equalWidth="0" w:num="1">
            <w:col w:w="10280"/>
          </w:cols>
          <w:pgMar w:left="980" w:top="658" w:right="980" w:bottom="33" w:gutter="0" w:footer="0" w:header="0"/>
          <w:type w:val="continuous"/>
        </w:sectPr>
      </w:pPr>
    </w:p>
    <w:bookmarkStart w:id="92" w:name="page93"/>
    <w:bookmarkEnd w:id="92"/>
    <w:p>
      <w:pPr>
        <w:ind w:left="1"/>
        <w:spacing w:after="0"/>
        <w:rPr>
          <w:sz w:val="20"/>
          <w:szCs w:val="20"/>
          <w:color w:val="auto"/>
        </w:rPr>
      </w:pPr>
      <w:r>
        <w:rPr>
          <w:rFonts w:ascii="Arial" w:cs="Arial" w:eastAsia="Arial" w:hAnsi="Arial"/>
          <w:sz w:val="22"/>
          <w:szCs w:val="22"/>
          <w:u w:val="single" w:color="auto"/>
          <w:color w:val="2A2A2A"/>
        </w:rPr>
        <w:t>Dilution and historical share usage</w:t>
      </w:r>
    </w:p>
    <w:p>
      <w:pPr>
        <w:spacing w:after="0" w:line="257" w:lineRule="exact"/>
        <w:rPr>
          <w:sz w:val="20"/>
          <w:szCs w:val="20"/>
          <w:color w:val="auto"/>
        </w:rPr>
      </w:pPr>
    </w:p>
    <w:p>
      <w:pPr>
        <w:ind w:left="1" w:right="60"/>
        <w:spacing w:after="0" w:line="280" w:lineRule="auto"/>
        <w:rPr>
          <w:sz w:val="20"/>
          <w:szCs w:val="20"/>
          <w:color w:val="auto"/>
        </w:rPr>
      </w:pPr>
      <w:r>
        <w:rPr>
          <w:rFonts w:ascii="Arial" w:cs="Arial" w:eastAsia="Arial" w:hAnsi="Arial"/>
          <w:sz w:val="19"/>
          <w:szCs w:val="19"/>
          <w:color w:val="2A2A2A"/>
        </w:rPr>
        <w:t>The company issued approximately 15,000,000 shares under its employee equity incentive plans over the last three fiscal years. The only active plan for granting equity awards to employees during this period was the 2009 Plan. In setting the proposed number of shares reserved and issuable under the 2024 Plan, the board and compensation committee considered several factors, including the company’s net annual dilution, burn rate and overhang.</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table below summarizes the company’s equity grant practices during the three most recent fiscal years.</w:t>
      </w:r>
    </w:p>
    <w:p>
      <w:pPr>
        <w:spacing w:after="0" w:line="39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20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Metric</w:t>
            </w:r>
          </w:p>
        </w:tc>
        <w:tc>
          <w:tcPr>
            <w:tcW w:w="2060" w:type="dxa"/>
            <w:vAlign w:val="bottom"/>
            <w:tcBorders>
              <w:bottom w:val="single" w:sz="8" w:color="2A2A2A"/>
            </w:tcBorders>
          </w:tcPr>
          <w:p>
            <w:pPr>
              <w:ind w:left="840"/>
              <w:spacing w:after="0"/>
              <w:rPr>
                <w:sz w:val="20"/>
                <w:szCs w:val="20"/>
                <w:color w:val="auto"/>
              </w:rPr>
            </w:pPr>
            <w:r>
              <w:rPr>
                <w:rFonts w:ascii="Arial" w:cs="Arial" w:eastAsia="Arial" w:hAnsi="Arial"/>
                <w:sz w:val="16"/>
                <w:szCs w:val="16"/>
                <w:b w:val="1"/>
                <w:bCs w:val="1"/>
                <w:color w:val="2A2A2A"/>
              </w:rPr>
              <w:t>2023</w:t>
            </w:r>
          </w:p>
        </w:tc>
        <w:tc>
          <w:tcPr>
            <w:tcW w:w="2060" w:type="dxa"/>
            <w:vAlign w:val="bottom"/>
            <w:tcBorders>
              <w:bottom w:val="single" w:sz="8" w:color="2A2A2A"/>
            </w:tcBorders>
          </w:tcPr>
          <w:p>
            <w:pPr>
              <w:ind w:left="840"/>
              <w:spacing w:after="0"/>
              <w:rPr>
                <w:sz w:val="20"/>
                <w:szCs w:val="20"/>
                <w:color w:val="auto"/>
              </w:rPr>
            </w:pPr>
            <w:r>
              <w:rPr>
                <w:rFonts w:ascii="Arial" w:cs="Arial" w:eastAsia="Arial" w:hAnsi="Arial"/>
                <w:sz w:val="16"/>
                <w:szCs w:val="16"/>
                <w:b w:val="1"/>
                <w:bCs w:val="1"/>
                <w:color w:val="2A2A2A"/>
              </w:rPr>
              <w:t>2022</w:t>
            </w:r>
          </w:p>
        </w:tc>
        <w:tc>
          <w:tcPr>
            <w:tcW w:w="1780" w:type="dxa"/>
            <w:vAlign w:val="bottom"/>
            <w:tcBorders>
              <w:bottom w:val="single" w:sz="8" w:color="2A2A2A"/>
            </w:tcBorders>
          </w:tcPr>
          <w:p>
            <w:pPr>
              <w:ind w:left="840"/>
              <w:spacing w:after="0"/>
              <w:rPr>
                <w:sz w:val="20"/>
                <w:szCs w:val="20"/>
                <w:color w:val="auto"/>
              </w:rPr>
            </w:pPr>
            <w:r>
              <w:rPr>
                <w:rFonts w:ascii="Arial" w:cs="Arial" w:eastAsia="Arial" w:hAnsi="Arial"/>
                <w:sz w:val="16"/>
                <w:szCs w:val="16"/>
                <w:b w:val="1"/>
                <w:bCs w:val="1"/>
                <w:color w:val="2A2A2A"/>
              </w:rPr>
              <w:t>2021</w:t>
            </w:r>
          </w:p>
        </w:tc>
        <w:tc>
          <w:tcPr>
            <w:tcW w:w="2320" w:type="dxa"/>
            <w:vAlign w:val="bottom"/>
            <w:tcBorders>
              <w:bottom w:val="single" w:sz="8" w:color="2A2A2A"/>
            </w:tcBorders>
          </w:tcPr>
          <w:p>
            <w:pPr>
              <w:jc w:val="center"/>
              <w:ind w:left="165"/>
              <w:spacing w:after="0"/>
              <w:rPr>
                <w:sz w:val="20"/>
                <w:szCs w:val="20"/>
                <w:color w:val="auto"/>
              </w:rPr>
            </w:pPr>
            <w:r>
              <w:rPr>
                <w:rFonts w:ascii="Arial" w:cs="Arial" w:eastAsia="Arial" w:hAnsi="Arial"/>
                <w:sz w:val="16"/>
                <w:szCs w:val="16"/>
                <w:b w:val="1"/>
                <w:bCs w:val="1"/>
                <w:color w:val="2A2A2A"/>
                <w:w w:val="99"/>
              </w:rPr>
              <w:t>Three-Year Average</w:t>
            </w:r>
          </w:p>
        </w:tc>
      </w:tr>
      <w:tr>
        <w:trPr>
          <w:trHeight w:val="281"/>
        </w:trPr>
        <w:tc>
          <w:tcPr>
            <w:tcW w:w="206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Dilution (1)</w:t>
            </w:r>
          </w:p>
        </w:tc>
        <w:tc>
          <w:tcPr>
            <w:tcW w:w="2060" w:type="dxa"/>
            <w:vAlign w:val="bottom"/>
            <w:tcBorders>
              <w:bottom w:val="single" w:sz="8" w:color="D7D7D7"/>
            </w:tcBorders>
            <w:shd w:val="clear" w:color="auto" w:fill="D7D7D7"/>
          </w:tcPr>
          <w:p>
            <w:pPr>
              <w:ind w:left="820"/>
              <w:spacing w:after="0"/>
              <w:rPr>
                <w:sz w:val="20"/>
                <w:szCs w:val="20"/>
                <w:color w:val="auto"/>
              </w:rPr>
            </w:pPr>
            <w:r>
              <w:rPr>
                <w:rFonts w:ascii="Arial" w:cs="Arial" w:eastAsia="Arial" w:hAnsi="Arial"/>
                <w:sz w:val="20"/>
                <w:szCs w:val="20"/>
                <w:color w:val="2A2A2A"/>
              </w:rPr>
              <w:t>0.5%</w:t>
            </w:r>
          </w:p>
        </w:tc>
        <w:tc>
          <w:tcPr>
            <w:tcW w:w="2060" w:type="dxa"/>
            <w:vAlign w:val="bottom"/>
            <w:tcBorders>
              <w:bottom w:val="single" w:sz="8" w:color="D7D7D7"/>
            </w:tcBorders>
            <w:shd w:val="clear" w:color="auto" w:fill="D7D7D7"/>
          </w:tcPr>
          <w:p>
            <w:pPr>
              <w:ind w:left="800"/>
              <w:spacing w:after="0"/>
              <w:rPr>
                <w:sz w:val="20"/>
                <w:szCs w:val="20"/>
                <w:color w:val="auto"/>
              </w:rPr>
            </w:pPr>
            <w:r>
              <w:rPr>
                <w:rFonts w:ascii="Arial" w:cs="Arial" w:eastAsia="Arial" w:hAnsi="Arial"/>
                <w:sz w:val="20"/>
                <w:szCs w:val="20"/>
                <w:color w:val="2A2A2A"/>
              </w:rPr>
              <w:t>0.6%</w:t>
            </w:r>
          </w:p>
        </w:tc>
        <w:tc>
          <w:tcPr>
            <w:tcW w:w="1780" w:type="dxa"/>
            <w:vAlign w:val="bottom"/>
            <w:tcBorders>
              <w:bottom w:val="single" w:sz="8" w:color="D7D7D7"/>
            </w:tcBorders>
            <w:shd w:val="clear" w:color="auto" w:fill="D7D7D7"/>
          </w:tcPr>
          <w:p>
            <w:pPr>
              <w:ind w:left="800"/>
              <w:spacing w:after="0"/>
              <w:rPr>
                <w:sz w:val="20"/>
                <w:szCs w:val="20"/>
                <w:color w:val="auto"/>
              </w:rPr>
            </w:pPr>
            <w:r>
              <w:rPr>
                <w:rFonts w:ascii="Arial" w:cs="Arial" w:eastAsia="Arial" w:hAnsi="Arial"/>
                <w:sz w:val="20"/>
                <w:szCs w:val="20"/>
                <w:color w:val="2A2A2A"/>
              </w:rPr>
              <w:t>0.3%</w:t>
            </w:r>
          </w:p>
        </w:tc>
        <w:tc>
          <w:tcPr>
            <w:tcW w:w="2320" w:type="dxa"/>
            <w:vAlign w:val="bottom"/>
            <w:tcBorders>
              <w:bottom w:val="single" w:sz="8" w:color="D7D7D7"/>
            </w:tcBorders>
            <w:shd w:val="clear" w:color="auto" w:fill="D7D7D7"/>
          </w:tcPr>
          <w:p>
            <w:pPr>
              <w:jc w:val="center"/>
              <w:ind w:left="205"/>
              <w:spacing w:after="0"/>
              <w:rPr>
                <w:sz w:val="20"/>
                <w:szCs w:val="20"/>
                <w:color w:val="auto"/>
              </w:rPr>
            </w:pPr>
            <w:r>
              <w:rPr>
                <w:rFonts w:ascii="Arial" w:cs="Arial" w:eastAsia="Arial" w:hAnsi="Arial"/>
                <w:sz w:val="20"/>
                <w:szCs w:val="20"/>
                <w:color w:val="2A2A2A"/>
              </w:rPr>
              <w:t>0.5%</w:t>
            </w:r>
          </w:p>
        </w:tc>
      </w:tr>
      <w:tr>
        <w:trPr>
          <w:trHeight w:val="285"/>
        </w:trPr>
        <w:tc>
          <w:tcPr>
            <w:tcW w:w="2060" w:type="dxa"/>
            <w:vAlign w:val="bottom"/>
          </w:tcPr>
          <w:p>
            <w:pPr>
              <w:ind w:left="60"/>
              <w:spacing w:after="0"/>
              <w:rPr>
                <w:sz w:val="20"/>
                <w:szCs w:val="20"/>
                <w:color w:val="auto"/>
              </w:rPr>
            </w:pPr>
            <w:r>
              <w:rPr>
                <w:rFonts w:ascii="Arial" w:cs="Arial" w:eastAsia="Arial" w:hAnsi="Arial"/>
                <w:sz w:val="20"/>
                <w:szCs w:val="20"/>
                <w:color w:val="2A2A2A"/>
              </w:rPr>
              <w:t>Burn rate (2)</w:t>
            </w:r>
          </w:p>
        </w:tc>
        <w:tc>
          <w:tcPr>
            <w:tcW w:w="2060" w:type="dxa"/>
            <w:vAlign w:val="bottom"/>
          </w:tcPr>
          <w:p>
            <w:pPr>
              <w:ind w:left="820"/>
              <w:spacing w:after="0"/>
              <w:rPr>
                <w:sz w:val="20"/>
                <w:szCs w:val="20"/>
                <w:color w:val="auto"/>
              </w:rPr>
            </w:pPr>
            <w:r>
              <w:rPr>
                <w:rFonts w:ascii="Arial" w:cs="Arial" w:eastAsia="Arial" w:hAnsi="Arial"/>
                <w:sz w:val="20"/>
                <w:szCs w:val="20"/>
                <w:color w:val="2A2A2A"/>
              </w:rPr>
              <w:t>0.6%</w:t>
            </w:r>
          </w:p>
        </w:tc>
        <w:tc>
          <w:tcPr>
            <w:tcW w:w="2060" w:type="dxa"/>
            <w:vAlign w:val="bottom"/>
          </w:tcPr>
          <w:p>
            <w:pPr>
              <w:ind w:left="800"/>
              <w:spacing w:after="0"/>
              <w:rPr>
                <w:sz w:val="20"/>
                <w:szCs w:val="20"/>
                <w:color w:val="auto"/>
              </w:rPr>
            </w:pPr>
            <w:r>
              <w:rPr>
                <w:rFonts w:ascii="Arial" w:cs="Arial" w:eastAsia="Arial" w:hAnsi="Arial"/>
                <w:sz w:val="20"/>
                <w:szCs w:val="20"/>
                <w:color w:val="2A2A2A"/>
              </w:rPr>
              <w:t>0.6%</w:t>
            </w:r>
          </w:p>
        </w:tc>
        <w:tc>
          <w:tcPr>
            <w:tcW w:w="1780" w:type="dxa"/>
            <w:vAlign w:val="bottom"/>
          </w:tcPr>
          <w:p>
            <w:pPr>
              <w:ind w:left="800"/>
              <w:spacing w:after="0"/>
              <w:rPr>
                <w:sz w:val="20"/>
                <w:szCs w:val="20"/>
                <w:color w:val="auto"/>
              </w:rPr>
            </w:pPr>
            <w:r>
              <w:rPr>
                <w:rFonts w:ascii="Arial" w:cs="Arial" w:eastAsia="Arial" w:hAnsi="Arial"/>
                <w:sz w:val="20"/>
                <w:szCs w:val="20"/>
                <w:color w:val="2A2A2A"/>
              </w:rPr>
              <w:t>0.4%</w:t>
            </w:r>
          </w:p>
        </w:tc>
        <w:tc>
          <w:tcPr>
            <w:tcW w:w="2320" w:type="dxa"/>
            <w:vAlign w:val="bottom"/>
          </w:tcPr>
          <w:p>
            <w:pPr>
              <w:jc w:val="center"/>
              <w:ind w:left="205"/>
              <w:spacing w:after="0"/>
              <w:rPr>
                <w:sz w:val="20"/>
                <w:szCs w:val="20"/>
                <w:color w:val="auto"/>
              </w:rPr>
            </w:pPr>
            <w:r>
              <w:rPr>
                <w:rFonts w:ascii="Arial" w:cs="Arial" w:eastAsia="Arial" w:hAnsi="Arial"/>
                <w:sz w:val="20"/>
                <w:szCs w:val="20"/>
                <w:color w:val="2A2A2A"/>
              </w:rPr>
              <w:t>0.5%</w:t>
            </w:r>
          </w:p>
        </w:tc>
      </w:tr>
      <w:tr>
        <w:trPr>
          <w:trHeight w:val="30"/>
        </w:trPr>
        <w:tc>
          <w:tcPr>
            <w:tcW w:w="2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85"/>
        </w:trPr>
        <w:tc>
          <w:tcPr>
            <w:tcW w:w="20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Overhang (3)</w:t>
            </w:r>
          </w:p>
        </w:tc>
        <w:tc>
          <w:tcPr>
            <w:tcW w:w="2060" w:type="dxa"/>
            <w:vAlign w:val="bottom"/>
            <w:shd w:val="clear" w:color="auto" w:fill="D7D7D7"/>
          </w:tcPr>
          <w:p>
            <w:pPr>
              <w:ind w:left="820"/>
              <w:spacing w:after="0"/>
              <w:rPr>
                <w:sz w:val="20"/>
                <w:szCs w:val="20"/>
                <w:color w:val="auto"/>
              </w:rPr>
            </w:pPr>
            <w:r>
              <w:rPr>
                <w:rFonts w:ascii="Arial" w:cs="Arial" w:eastAsia="Arial" w:hAnsi="Arial"/>
                <w:sz w:val="20"/>
                <w:szCs w:val="20"/>
                <w:color w:val="2A2A2A"/>
              </w:rPr>
              <w:t>6.4%</w:t>
            </w:r>
          </w:p>
        </w:tc>
        <w:tc>
          <w:tcPr>
            <w:tcW w:w="2060" w:type="dxa"/>
            <w:vAlign w:val="bottom"/>
            <w:shd w:val="clear" w:color="auto" w:fill="D7D7D7"/>
          </w:tcPr>
          <w:p>
            <w:pPr>
              <w:ind w:left="800"/>
              <w:spacing w:after="0"/>
              <w:rPr>
                <w:sz w:val="20"/>
                <w:szCs w:val="20"/>
                <w:color w:val="auto"/>
              </w:rPr>
            </w:pPr>
            <w:r>
              <w:rPr>
                <w:rFonts w:ascii="Arial" w:cs="Arial" w:eastAsia="Arial" w:hAnsi="Arial"/>
                <w:sz w:val="20"/>
                <w:szCs w:val="20"/>
                <w:color w:val="2A2A2A"/>
              </w:rPr>
              <w:t>6.9%</w:t>
            </w:r>
          </w:p>
        </w:tc>
        <w:tc>
          <w:tcPr>
            <w:tcW w:w="1780" w:type="dxa"/>
            <w:vAlign w:val="bottom"/>
            <w:shd w:val="clear" w:color="auto" w:fill="D7D7D7"/>
          </w:tcPr>
          <w:p>
            <w:pPr>
              <w:ind w:left="800"/>
              <w:spacing w:after="0"/>
              <w:rPr>
                <w:sz w:val="20"/>
                <w:szCs w:val="20"/>
                <w:color w:val="auto"/>
              </w:rPr>
            </w:pPr>
            <w:r>
              <w:rPr>
                <w:rFonts w:ascii="Arial" w:cs="Arial" w:eastAsia="Arial" w:hAnsi="Arial"/>
                <w:sz w:val="20"/>
                <w:szCs w:val="20"/>
                <w:color w:val="2A2A2A"/>
              </w:rPr>
              <w:t>7.2%</w:t>
            </w:r>
          </w:p>
        </w:tc>
        <w:tc>
          <w:tcPr>
            <w:tcW w:w="2320" w:type="dxa"/>
            <w:vAlign w:val="bottom"/>
            <w:shd w:val="clear" w:color="auto" w:fill="D7D7D7"/>
          </w:tcPr>
          <w:p>
            <w:pPr>
              <w:jc w:val="center"/>
              <w:ind w:left="205"/>
              <w:spacing w:after="0"/>
              <w:rPr>
                <w:sz w:val="20"/>
                <w:szCs w:val="20"/>
                <w:color w:val="auto"/>
              </w:rPr>
            </w:pPr>
            <w:r>
              <w:rPr>
                <w:rFonts w:ascii="Arial" w:cs="Arial" w:eastAsia="Arial" w:hAnsi="Arial"/>
                <w:sz w:val="20"/>
                <w:szCs w:val="20"/>
                <w:color w:val="2A2A2A"/>
              </w:rPr>
              <w:t>6.8%</w:t>
            </w:r>
          </w:p>
        </w:tc>
      </w:tr>
      <w:tr>
        <w:trPr>
          <w:trHeight w:val="30"/>
        </w:trPr>
        <w:tc>
          <w:tcPr>
            <w:tcW w:w="2060" w:type="dxa"/>
            <w:vAlign w:val="bottom"/>
            <w:shd w:val="clear" w:color="auto" w:fill="D7D7D7"/>
          </w:tcPr>
          <w:p>
            <w:pPr>
              <w:spacing w:after="0"/>
              <w:rPr>
                <w:sz w:val="2"/>
                <w:szCs w:val="2"/>
                <w:color w:val="auto"/>
              </w:rPr>
            </w:pPr>
          </w:p>
        </w:tc>
        <w:tc>
          <w:tcPr>
            <w:tcW w:w="2060" w:type="dxa"/>
            <w:vAlign w:val="bottom"/>
            <w:shd w:val="clear" w:color="auto" w:fill="D7D7D7"/>
          </w:tcPr>
          <w:p>
            <w:pPr>
              <w:spacing w:after="0"/>
              <w:rPr>
                <w:sz w:val="2"/>
                <w:szCs w:val="2"/>
                <w:color w:val="auto"/>
              </w:rPr>
            </w:pPr>
          </w:p>
        </w:tc>
        <w:tc>
          <w:tcPr>
            <w:tcW w:w="2060" w:type="dxa"/>
            <w:vAlign w:val="bottom"/>
            <w:shd w:val="clear" w:color="auto" w:fill="D7D7D7"/>
          </w:tcPr>
          <w:p>
            <w:pPr>
              <w:spacing w:after="0"/>
              <w:rPr>
                <w:sz w:val="2"/>
                <w:szCs w:val="2"/>
                <w:color w:val="auto"/>
              </w:rPr>
            </w:pPr>
          </w:p>
        </w:tc>
        <w:tc>
          <w:tcPr>
            <w:tcW w:w="1780" w:type="dxa"/>
            <w:vAlign w:val="bottom"/>
            <w:shd w:val="clear" w:color="auto" w:fill="D7D7D7"/>
          </w:tcPr>
          <w:p>
            <w:pPr>
              <w:spacing w:after="0"/>
              <w:rPr>
                <w:sz w:val="2"/>
                <w:szCs w:val="2"/>
                <w:color w:val="auto"/>
              </w:rPr>
            </w:pPr>
          </w:p>
        </w:tc>
        <w:tc>
          <w:tcPr>
            <w:tcW w:w="2320" w:type="dxa"/>
            <w:vAlign w:val="bottom"/>
            <w:shd w:val="clear" w:color="auto" w:fill="D7D7D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-613410</wp:posOffset>
            </wp:positionV>
            <wp:extent cx="6552565" cy="628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552565" cy="628015"/>
                    </a:xfrm>
                    <a:prstGeom prst="rect">
                      <a:avLst/>
                    </a:prstGeom>
                    <a:noFill/>
                  </pic:spPr>
                </pic:pic>
              </a:graphicData>
            </a:graphic>
          </wp:anchor>
        </w:drawing>
      </w:r>
    </w:p>
    <w:p>
      <w:pPr>
        <w:spacing w:after="0" w:line="205" w:lineRule="exact"/>
        <w:rPr>
          <w:sz w:val="20"/>
          <w:szCs w:val="20"/>
          <w:color w:val="auto"/>
        </w:rPr>
      </w:pPr>
    </w:p>
    <w:p>
      <w:pPr>
        <w:ind w:left="541" w:right="300" w:hanging="541"/>
        <w:spacing w:after="0" w:line="268" w:lineRule="auto"/>
        <w:tabs>
          <w:tab w:leader="none" w:pos="541" w:val="left"/>
        </w:tabs>
        <w:numPr>
          <w:ilvl w:val="0"/>
          <w:numId w:val="96"/>
        </w:numPr>
        <w:rPr>
          <w:rFonts w:ascii="Arial" w:cs="Arial" w:eastAsia="Arial" w:hAnsi="Arial"/>
          <w:sz w:val="20"/>
          <w:szCs w:val="20"/>
          <w:color w:val="2A2A2A"/>
        </w:rPr>
      </w:pPr>
      <w:r>
        <w:rPr>
          <w:rFonts w:ascii="Arial" w:cs="Arial" w:eastAsia="Arial" w:hAnsi="Arial"/>
          <w:sz w:val="20"/>
          <w:szCs w:val="20"/>
          <w:color w:val="2A2A2A"/>
        </w:rPr>
        <w:t>Calculated by dividing (a) the number of share underlying awards granted to all grantees during the year, minus award cancellations and forfeitures during the year, by (b) the number of shares outstanding at year-end.</w:t>
      </w:r>
    </w:p>
    <w:p>
      <w:pPr>
        <w:spacing w:after="0" w:line="83" w:lineRule="exact"/>
        <w:rPr>
          <w:rFonts w:ascii="Arial" w:cs="Arial" w:eastAsia="Arial" w:hAnsi="Arial"/>
          <w:sz w:val="20"/>
          <w:szCs w:val="20"/>
          <w:color w:val="2A2A2A"/>
        </w:rPr>
      </w:pPr>
    </w:p>
    <w:p>
      <w:pPr>
        <w:ind w:left="541" w:hanging="541"/>
        <w:spacing w:after="0"/>
        <w:tabs>
          <w:tab w:leader="none" w:pos="541" w:val="left"/>
        </w:tabs>
        <w:numPr>
          <w:ilvl w:val="0"/>
          <w:numId w:val="96"/>
        </w:numPr>
        <w:rPr>
          <w:rFonts w:ascii="Arial" w:cs="Arial" w:eastAsia="Arial" w:hAnsi="Arial"/>
          <w:sz w:val="22"/>
          <w:szCs w:val="22"/>
          <w:color w:val="2A2A2A"/>
        </w:rPr>
      </w:pPr>
      <w:r>
        <w:rPr>
          <w:rFonts w:ascii="Arial" w:cs="Arial" w:eastAsia="Arial" w:hAnsi="Arial"/>
          <w:sz w:val="20"/>
          <w:szCs w:val="20"/>
          <w:color w:val="2A2A2A"/>
        </w:rPr>
        <w:t>Calculated by dividing (a) the number of shares underlying awards granted to all grantees during the year, by</w:t>
      </w:r>
    </w:p>
    <w:p>
      <w:pPr>
        <w:spacing w:after="0" w:line="18" w:lineRule="exact"/>
        <w:rPr>
          <w:rFonts w:ascii="Arial" w:cs="Arial" w:eastAsia="Arial" w:hAnsi="Arial"/>
          <w:sz w:val="22"/>
          <w:szCs w:val="22"/>
          <w:color w:val="2A2A2A"/>
        </w:rPr>
      </w:pPr>
    </w:p>
    <w:p>
      <w:pPr>
        <w:ind w:left="541"/>
        <w:spacing w:after="0"/>
        <w:rPr>
          <w:rFonts w:ascii="Arial" w:cs="Arial" w:eastAsia="Arial" w:hAnsi="Arial"/>
          <w:sz w:val="22"/>
          <w:szCs w:val="22"/>
          <w:color w:val="2A2A2A"/>
        </w:rPr>
      </w:pPr>
      <w:r>
        <w:rPr>
          <w:rFonts w:ascii="Arial" w:cs="Arial" w:eastAsia="Arial" w:hAnsi="Arial"/>
          <w:sz w:val="20"/>
          <w:szCs w:val="20"/>
          <w:color w:val="2A2A2A"/>
        </w:rPr>
        <w:t>(b) the number of shares outstanding at year-end.</w:t>
      </w:r>
    </w:p>
    <w:p>
      <w:pPr>
        <w:spacing w:after="0" w:line="147" w:lineRule="exact"/>
        <w:rPr>
          <w:rFonts w:ascii="Arial" w:cs="Arial" w:eastAsia="Arial" w:hAnsi="Arial"/>
          <w:sz w:val="22"/>
          <w:szCs w:val="22"/>
          <w:color w:val="2A2A2A"/>
        </w:rPr>
      </w:pPr>
    </w:p>
    <w:p>
      <w:pPr>
        <w:ind w:left="541" w:right="460" w:hanging="541"/>
        <w:spacing w:after="0" w:line="288" w:lineRule="auto"/>
        <w:tabs>
          <w:tab w:leader="none" w:pos="541" w:val="left"/>
        </w:tabs>
        <w:numPr>
          <w:ilvl w:val="0"/>
          <w:numId w:val="96"/>
        </w:numPr>
        <w:rPr>
          <w:rFonts w:ascii="Arial" w:cs="Arial" w:eastAsia="Arial" w:hAnsi="Arial"/>
          <w:sz w:val="22"/>
          <w:szCs w:val="22"/>
          <w:color w:val="2A2A2A"/>
        </w:rPr>
      </w:pPr>
      <w:r>
        <w:rPr>
          <w:rFonts w:ascii="Arial" w:cs="Arial" w:eastAsia="Arial" w:hAnsi="Arial"/>
          <w:sz w:val="20"/>
          <w:szCs w:val="20"/>
          <w:color w:val="2A2A2A"/>
        </w:rPr>
        <w:t>Calculated by dividing the sum of (a) the number of shares underlying outstanding awards and (b) shares available for future awards, by (c) the number of shares outstanding, in each case at year-end.</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Outstanding awards</w:t>
      </w:r>
    </w:p>
    <w:p>
      <w:pPr>
        <w:spacing w:after="0" w:line="257" w:lineRule="exact"/>
        <w:rPr>
          <w:sz w:val="20"/>
          <w:szCs w:val="20"/>
          <w:color w:val="auto"/>
        </w:rPr>
      </w:pPr>
    </w:p>
    <w:p>
      <w:pPr>
        <w:ind w:left="1" w:right="60"/>
        <w:spacing w:after="0" w:line="287" w:lineRule="auto"/>
        <w:rPr>
          <w:sz w:val="20"/>
          <w:szCs w:val="20"/>
          <w:color w:val="auto"/>
        </w:rPr>
      </w:pPr>
      <w:r>
        <w:rPr>
          <w:rFonts w:ascii="Arial" w:cs="Arial" w:eastAsia="Arial" w:hAnsi="Arial"/>
          <w:sz w:val="20"/>
          <w:szCs w:val="20"/>
          <w:color w:val="2A2A2A"/>
        </w:rPr>
        <w:t>The table below summarizes information concerning outstanding awards under the below plans as of December 31, 2023.</w:t>
      </w:r>
    </w:p>
    <w:p>
      <w:pPr>
        <w:spacing w:after="0" w:line="316"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22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Metric</w:t>
            </w:r>
          </w:p>
        </w:tc>
        <w:tc>
          <w:tcPr>
            <w:tcW w:w="132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2009 Plan (3)</w:t>
            </w:r>
          </w:p>
        </w:tc>
        <w:tc>
          <w:tcPr>
            <w:tcW w:w="246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Director Plan (4)</w:t>
            </w:r>
          </w:p>
        </w:tc>
        <w:tc>
          <w:tcPr>
            <w:tcW w:w="2180" w:type="dxa"/>
            <w:vAlign w:val="bottom"/>
            <w:tcBorders>
              <w:bottom w:val="single" w:sz="8" w:color="2A2A2A"/>
            </w:tcBorders>
          </w:tcPr>
          <w:p>
            <w:pPr>
              <w:jc w:val="right"/>
              <w:ind w:right="325"/>
              <w:spacing w:after="0"/>
              <w:rPr>
                <w:sz w:val="20"/>
                <w:szCs w:val="20"/>
                <w:color w:val="auto"/>
              </w:rPr>
            </w:pPr>
            <w:r>
              <w:rPr>
                <w:rFonts w:ascii="Arial" w:cs="Arial" w:eastAsia="Arial" w:hAnsi="Arial"/>
                <w:sz w:val="16"/>
                <w:szCs w:val="16"/>
                <w:b w:val="1"/>
                <w:bCs w:val="1"/>
                <w:color w:val="2A2A2A"/>
              </w:rPr>
              <w:t>All Other Plans (5)</w:t>
            </w:r>
          </w:p>
        </w:tc>
        <w:tc>
          <w:tcPr>
            <w:tcW w:w="2100" w:type="dxa"/>
            <w:vAlign w:val="bottom"/>
            <w:tcBorders>
              <w:bottom w:val="single" w:sz="8" w:color="2A2A2A"/>
            </w:tcBorders>
          </w:tcPr>
          <w:p>
            <w:pPr>
              <w:jc w:val="right"/>
              <w:ind w:right="865"/>
              <w:spacing w:after="0"/>
              <w:rPr>
                <w:sz w:val="20"/>
                <w:szCs w:val="20"/>
                <w:color w:val="auto"/>
              </w:rPr>
            </w:pPr>
            <w:r>
              <w:rPr>
                <w:rFonts w:ascii="Arial" w:cs="Arial" w:eastAsia="Arial" w:hAnsi="Arial"/>
                <w:sz w:val="16"/>
                <w:szCs w:val="16"/>
                <w:b w:val="1"/>
                <w:bCs w:val="1"/>
                <w:color w:val="2A2A2A"/>
              </w:rPr>
              <w:t>Total</w:t>
            </w:r>
          </w:p>
        </w:tc>
      </w:tr>
      <w:tr>
        <w:trPr>
          <w:trHeight w:val="245"/>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Shares underlying</w:t>
            </w:r>
          </w:p>
        </w:tc>
        <w:tc>
          <w:tcPr>
            <w:tcW w:w="1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25,510,887</w:t>
            </w:r>
          </w:p>
        </w:tc>
        <w:tc>
          <w:tcPr>
            <w:tcW w:w="2460" w:type="dxa"/>
            <w:vAlign w:val="bottom"/>
            <w:shd w:val="clear" w:color="auto" w:fill="D7D7D7"/>
          </w:tcPr>
          <w:p>
            <w:pPr>
              <w:jc w:val="right"/>
              <w:ind w:right="565"/>
              <w:spacing w:after="0"/>
              <w:rPr>
                <w:sz w:val="20"/>
                <w:szCs w:val="20"/>
                <w:color w:val="auto"/>
              </w:rPr>
            </w:pPr>
            <w:r>
              <w:rPr>
                <w:rFonts w:ascii="Arial" w:cs="Arial" w:eastAsia="Arial" w:hAnsi="Arial"/>
                <w:sz w:val="20"/>
                <w:szCs w:val="20"/>
                <w:color w:val="2A2A2A"/>
              </w:rPr>
              <w:t>139,472</w:t>
            </w:r>
          </w:p>
        </w:tc>
        <w:tc>
          <w:tcPr>
            <w:tcW w:w="2180" w:type="dxa"/>
            <w:vAlign w:val="bottom"/>
            <w:shd w:val="clear" w:color="auto" w:fill="D7D7D7"/>
          </w:tcPr>
          <w:p>
            <w:pPr>
              <w:jc w:val="right"/>
              <w:ind w:right="605"/>
              <w:spacing w:after="0"/>
              <w:rPr>
                <w:sz w:val="20"/>
                <w:szCs w:val="20"/>
                <w:color w:val="auto"/>
              </w:rPr>
            </w:pPr>
            <w:r>
              <w:rPr>
                <w:rFonts w:ascii="Arial" w:cs="Arial" w:eastAsia="Arial" w:hAnsi="Arial"/>
                <w:sz w:val="20"/>
                <w:szCs w:val="20"/>
                <w:color w:val="2A2A2A"/>
              </w:rPr>
              <w:t>120,913</w:t>
            </w:r>
          </w:p>
        </w:tc>
        <w:tc>
          <w:tcPr>
            <w:tcW w:w="2100" w:type="dxa"/>
            <w:vAlign w:val="bottom"/>
            <w:shd w:val="clear" w:color="auto" w:fill="D7D7D7"/>
          </w:tcPr>
          <w:p>
            <w:pPr>
              <w:jc w:val="right"/>
              <w:ind w:right="585"/>
              <w:spacing w:after="0"/>
              <w:rPr>
                <w:sz w:val="20"/>
                <w:szCs w:val="20"/>
                <w:color w:val="auto"/>
              </w:rPr>
            </w:pPr>
            <w:r>
              <w:rPr>
                <w:rFonts w:ascii="Arial" w:cs="Arial" w:eastAsia="Arial" w:hAnsi="Arial"/>
                <w:sz w:val="20"/>
                <w:szCs w:val="20"/>
                <w:color w:val="2A2A2A"/>
              </w:rPr>
              <w:t>25,771,272</w:t>
            </w:r>
          </w:p>
        </w:tc>
      </w:tr>
      <w:tr>
        <w:trPr>
          <w:trHeight w:val="24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outstanding stock</w:t>
            </w:r>
          </w:p>
        </w:tc>
        <w:tc>
          <w:tcPr>
            <w:tcW w:w="1320" w:type="dxa"/>
            <w:vAlign w:val="bottom"/>
            <w:shd w:val="clear" w:color="auto" w:fill="D7D7D7"/>
          </w:tcPr>
          <w:p>
            <w:pPr>
              <w:spacing w:after="0"/>
              <w:rPr>
                <w:sz w:val="20"/>
                <w:szCs w:val="20"/>
                <w:color w:val="auto"/>
              </w:rPr>
            </w:pPr>
          </w:p>
        </w:tc>
        <w:tc>
          <w:tcPr>
            <w:tcW w:w="2460" w:type="dxa"/>
            <w:vAlign w:val="bottom"/>
            <w:shd w:val="clear" w:color="auto" w:fill="D7D7D7"/>
          </w:tcPr>
          <w:p>
            <w:pPr>
              <w:spacing w:after="0"/>
              <w:rPr>
                <w:sz w:val="20"/>
                <w:szCs w:val="20"/>
                <w:color w:val="auto"/>
              </w:rPr>
            </w:pPr>
          </w:p>
        </w:tc>
        <w:tc>
          <w:tcPr>
            <w:tcW w:w="2180" w:type="dxa"/>
            <w:vAlign w:val="bottom"/>
            <w:shd w:val="clear" w:color="auto" w:fill="D7D7D7"/>
          </w:tcPr>
          <w:p>
            <w:pPr>
              <w:spacing w:after="0"/>
              <w:rPr>
                <w:sz w:val="20"/>
                <w:szCs w:val="20"/>
                <w:color w:val="auto"/>
              </w:rPr>
            </w:pPr>
          </w:p>
        </w:tc>
        <w:tc>
          <w:tcPr>
            <w:tcW w:w="2100" w:type="dxa"/>
            <w:vAlign w:val="bottom"/>
            <w:shd w:val="clear" w:color="auto" w:fill="D7D7D7"/>
          </w:tcPr>
          <w:p>
            <w:pPr>
              <w:spacing w:after="0"/>
              <w:rPr>
                <w:sz w:val="20"/>
                <w:szCs w:val="20"/>
                <w:color w:val="auto"/>
              </w:rPr>
            </w:pPr>
          </w:p>
        </w:tc>
      </w:tr>
      <w:tr>
        <w:trPr>
          <w:trHeight w:val="275"/>
        </w:trPr>
        <w:tc>
          <w:tcPr>
            <w:tcW w:w="22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options (1)</w:t>
            </w:r>
          </w:p>
        </w:tc>
        <w:tc>
          <w:tcPr>
            <w:tcW w:w="1320" w:type="dxa"/>
            <w:vAlign w:val="bottom"/>
            <w:tcBorders>
              <w:bottom w:val="single" w:sz="8" w:color="D7D7D7"/>
            </w:tcBorders>
            <w:shd w:val="clear" w:color="auto" w:fill="D7D7D7"/>
          </w:tcPr>
          <w:p>
            <w:pPr>
              <w:spacing w:after="0"/>
              <w:rPr>
                <w:sz w:val="23"/>
                <w:szCs w:val="23"/>
                <w:color w:val="auto"/>
              </w:rPr>
            </w:pPr>
          </w:p>
        </w:tc>
        <w:tc>
          <w:tcPr>
            <w:tcW w:w="2460" w:type="dxa"/>
            <w:vAlign w:val="bottom"/>
            <w:tcBorders>
              <w:bottom w:val="single" w:sz="8" w:color="D7D7D7"/>
            </w:tcBorders>
            <w:shd w:val="clear" w:color="auto" w:fill="D7D7D7"/>
          </w:tcPr>
          <w:p>
            <w:pPr>
              <w:spacing w:after="0"/>
              <w:rPr>
                <w:sz w:val="23"/>
                <w:szCs w:val="23"/>
                <w:color w:val="auto"/>
              </w:rPr>
            </w:pPr>
          </w:p>
        </w:tc>
        <w:tc>
          <w:tcPr>
            <w:tcW w:w="2180" w:type="dxa"/>
            <w:vAlign w:val="bottom"/>
            <w:tcBorders>
              <w:bottom w:val="single" w:sz="8" w:color="D7D7D7"/>
            </w:tcBorders>
            <w:shd w:val="clear" w:color="auto" w:fill="D7D7D7"/>
          </w:tcPr>
          <w:p>
            <w:pPr>
              <w:spacing w:after="0"/>
              <w:rPr>
                <w:sz w:val="23"/>
                <w:szCs w:val="23"/>
                <w:color w:val="auto"/>
              </w:rPr>
            </w:pPr>
          </w:p>
        </w:tc>
        <w:tc>
          <w:tcPr>
            <w:tcW w:w="2100" w:type="dxa"/>
            <w:vAlign w:val="bottom"/>
            <w:tcBorders>
              <w:bottom w:val="single" w:sz="8" w:color="D7D7D7"/>
            </w:tcBorders>
            <w:shd w:val="clear" w:color="auto" w:fill="D7D7D7"/>
          </w:tcPr>
          <w:p>
            <w:pPr>
              <w:spacing w:after="0"/>
              <w:rPr>
                <w:sz w:val="23"/>
                <w:szCs w:val="23"/>
                <w:color w:val="auto"/>
              </w:rPr>
            </w:pPr>
          </w:p>
        </w:tc>
      </w:tr>
      <w:tr>
        <w:trPr>
          <w:trHeight w:val="260"/>
        </w:trPr>
        <w:tc>
          <w:tcPr>
            <w:tcW w:w="2220" w:type="dxa"/>
            <w:vAlign w:val="bottom"/>
          </w:tcPr>
          <w:p>
            <w:pPr>
              <w:ind w:left="60"/>
              <w:spacing w:after="0"/>
              <w:rPr>
                <w:sz w:val="20"/>
                <w:szCs w:val="20"/>
                <w:color w:val="auto"/>
              </w:rPr>
            </w:pPr>
            <w:r>
              <w:rPr>
                <w:rFonts w:ascii="Arial" w:cs="Arial" w:eastAsia="Arial" w:hAnsi="Arial"/>
                <w:sz w:val="20"/>
                <w:szCs w:val="20"/>
                <w:color w:val="2A2A2A"/>
              </w:rPr>
              <w:t>Shares underlying</w:t>
            </w:r>
          </w:p>
        </w:tc>
        <w:tc>
          <w:tcPr>
            <w:tcW w:w="1320" w:type="dxa"/>
            <w:vAlign w:val="bottom"/>
          </w:tcPr>
          <w:p>
            <w:pPr>
              <w:jc w:val="right"/>
              <w:spacing w:after="0"/>
              <w:rPr>
                <w:sz w:val="20"/>
                <w:szCs w:val="20"/>
                <w:color w:val="auto"/>
              </w:rPr>
            </w:pPr>
            <w:r>
              <w:rPr>
                <w:rFonts w:ascii="Arial" w:cs="Arial" w:eastAsia="Arial" w:hAnsi="Arial"/>
                <w:sz w:val="20"/>
                <w:szCs w:val="20"/>
                <w:color w:val="2A2A2A"/>
              </w:rPr>
              <w:t>5,021,967</w:t>
            </w:r>
          </w:p>
        </w:tc>
        <w:tc>
          <w:tcPr>
            <w:tcW w:w="2460" w:type="dxa"/>
            <w:vAlign w:val="bottom"/>
          </w:tcPr>
          <w:p>
            <w:pPr>
              <w:jc w:val="right"/>
              <w:ind w:right="565"/>
              <w:spacing w:after="0"/>
              <w:rPr>
                <w:sz w:val="20"/>
                <w:szCs w:val="20"/>
                <w:color w:val="auto"/>
              </w:rPr>
            </w:pPr>
            <w:r>
              <w:rPr>
                <w:rFonts w:ascii="Arial" w:cs="Arial" w:eastAsia="Arial" w:hAnsi="Arial"/>
                <w:sz w:val="20"/>
                <w:szCs w:val="20"/>
                <w:color w:val="2A2A2A"/>
              </w:rPr>
              <w:t>46,013</w:t>
            </w:r>
          </w:p>
        </w:tc>
        <w:tc>
          <w:tcPr>
            <w:tcW w:w="2180" w:type="dxa"/>
            <w:vAlign w:val="bottom"/>
          </w:tcPr>
          <w:p>
            <w:pPr>
              <w:jc w:val="right"/>
              <w:ind w:right="605"/>
              <w:spacing w:after="0"/>
              <w:rPr>
                <w:sz w:val="20"/>
                <w:szCs w:val="20"/>
                <w:color w:val="auto"/>
              </w:rPr>
            </w:pPr>
            <w:r>
              <w:rPr>
                <w:rFonts w:ascii="Arial" w:cs="Arial" w:eastAsia="Arial" w:hAnsi="Arial"/>
                <w:sz w:val="20"/>
                <w:szCs w:val="20"/>
                <w:color w:val="2A2A2A"/>
              </w:rPr>
              <w:t>251,843</w:t>
            </w:r>
          </w:p>
        </w:tc>
        <w:tc>
          <w:tcPr>
            <w:tcW w:w="2100" w:type="dxa"/>
            <w:vAlign w:val="bottom"/>
          </w:tcPr>
          <w:p>
            <w:pPr>
              <w:jc w:val="right"/>
              <w:ind w:right="585"/>
              <w:spacing w:after="0"/>
              <w:rPr>
                <w:sz w:val="20"/>
                <w:szCs w:val="20"/>
                <w:color w:val="auto"/>
              </w:rPr>
            </w:pPr>
            <w:r>
              <w:rPr>
                <w:rFonts w:ascii="Arial" w:cs="Arial" w:eastAsia="Arial" w:hAnsi="Arial"/>
                <w:sz w:val="20"/>
                <w:szCs w:val="20"/>
                <w:color w:val="2A2A2A"/>
              </w:rPr>
              <w:t>5,319,823</w:t>
            </w:r>
          </w:p>
        </w:tc>
      </w:tr>
      <w:tr>
        <w:trPr>
          <w:trHeight w:val="240"/>
        </w:trPr>
        <w:tc>
          <w:tcPr>
            <w:tcW w:w="2220" w:type="dxa"/>
            <w:vAlign w:val="bottom"/>
          </w:tcPr>
          <w:p>
            <w:pPr>
              <w:ind w:left="60"/>
              <w:spacing w:after="0"/>
              <w:rPr>
                <w:sz w:val="20"/>
                <w:szCs w:val="20"/>
                <w:color w:val="auto"/>
              </w:rPr>
            </w:pPr>
            <w:r>
              <w:rPr>
                <w:rFonts w:ascii="Arial" w:cs="Arial" w:eastAsia="Arial" w:hAnsi="Arial"/>
                <w:sz w:val="20"/>
                <w:szCs w:val="20"/>
                <w:color w:val="2A2A2A"/>
              </w:rPr>
              <w:t>outstanding restricted</w:t>
            </w:r>
          </w:p>
        </w:tc>
        <w:tc>
          <w:tcPr>
            <w:tcW w:w="1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65"/>
        </w:trPr>
        <w:tc>
          <w:tcPr>
            <w:tcW w:w="2220" w:type="dxa"/>
            <w:vAlign w:val="bottom"/>
          </w:tcPr>
          <w:p>
            <w:pPr>
              <w:ind w:left="60"/>
              <w:spacing w:after="0"/>
              <w:rPr>
                <w:sz w:val="20"/>
                <w:szCs w:val="20"/>
                <w:color w:val="auto"/>
              </w:rPr>
            </w:pPr>
            <w:r>
              <w:rPr>
                <w:rFonts w:ascii="Arial" w:cs="Arial" w:eastAsia="Arial" w:hAnsi="Arial"/>
                <w:sz w:val="20"/>
                <w:szCs w:val="20"/>
                <w:color w:val="2A2A2A"/>
              </w:rPr>
              <w:t>stock units (2)</w:t>
            </w:r>
          </w:p>
        </w:tc>
        <w:tc>
          <w:tcPr>
            <w:tcW w:w="13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30"/>
        </w:trPr>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shares</w:t>
            </w:r>
          </w:p>
        </w:tc>
        <w:tc>
          <w:tcPr>
            <w:tcW w:w="1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30,532,854</w:t>
            </w:r>
          </w:p>
        </w:tc>
        <w:tc>
          <w:tcPr>
            <w:tcW w:w="2460" w:type="dxa"/>
            <w:vAlign w:val="bottom"/>
            <w:shd w:val="clear" w:color="auto" w:fill="D7D7D7"/>
          </w:tcPr>
          <w:p>
            <w:pPr>
              <w:jc w:val="right"/>
              <w:ind w:right="565"/>
              <w:spacing w:after="0"/>
              <w:rPr>
                <w:sz w:val="20"/>
                <w:szCs w:val="20"/>
                <w:color w:val="auto"/>
              </w:rPr>
            </w:pPr>
            <w:r>
              <w:rPr>
                <w:rFonts w:ascii="Arial" w:cs="Arial" w:eastAsia="Arial" w:hAnsi="Arial"/>
                <w:sz w:val="20"/>
                <w:szCs w:val="20"/>
                <w:color w:val="2A2A2A"/>
              </w:rPr>
              <w:t>185,485</w:t>
            </w:r>
          </w:p>
        </w:tc>
        <w:tc>
          <w:tcPr>
            <w:tcW w:w="2180" w:type="dxa"/>
            <w:vAlign w:val="bottom"/>
            <w:shd w:val="clear" w:color="auto" w:fill="D7D7D7"/>
          </w:tcPr>
          <w:p>
            <w:pPr>
              <w:jc w:val="right"/>
              <w:ind w:right="605"/>
              <w:spacing w:after="0"/>
              <w:rPr>
                <w:sz w:val="20"/>
                <w:szCs w:val="20"/>
                <w:color w:val="auto"/>
              </w:rPr>
            </w:pPr>
            <w:r>
              <w:rPr>
                <w:rFonts w:ascii="Arial" w:cs="Arial" w:eastAsia="Arial" w:hAnsi="Arial"/>
                <w:sz w:val="20"/>
                <w:szCs w:val="20"/>
                <w:color w:val="2A2A2A"/>
              </w:rPr>
              <w:t>372,756</w:t>
            </w:r>
          </w:p>
        </w:tc>
        <w:tc>
          <w:tcPr>
            <w:tcW w:w="2100" w:type="dxa"/>
            <w:vAlign w:val="bottom"/>
            <w:shd w:val="clear" w:color="auto" w:fill="D7D7D7"/>
          </w:tcPr>
          <w:p>
            <w:pPr>
              <w:jc w:val="right"/>
              <w:ind w:right="585"/>
              <w:spacing w:after="0"/>
              <w:rPr>
                <w:sz w:val="20"/>
                <w:szCs w:val="20"/>
                <w:color w:val="auto"/>
              </w:rPr>
            </w:pPr>
            <w:r>
              <w:rPr>
                <w:rFonts w:ascii="Arial" w:cs="Arial" w:eastAsia="Arial" w:hAnsi="Arial"/>
                <w:sz w:val="20"/>
                <w:szCs w:val="20"/>
                <w:color w:val="2A2A2A"/>
              </w:rPr>
              <w:t>31,091,095</w:t>
            </w:r>
          </w:p>
        </w:tc>
      </w:tr>
      <w:tr>
        <w:trPr>
          <w:trHeight w:val="24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underlying</w:t>
            </w:r>
          </w:p>
        </w:tc>
        <w:tc>
          <w:tcPr>
            <w:tcW w:w="1320" w:type="dxa"/>
            <w:vAlign w:val="bottom"/>
            <w:shd w:val="clear" w:color="auto" w:fill="D7D7D7"/>
          </w:tcPr>
          <w:p>
            <w:pPr>
              <w:spacing w:after="0"/>
              <w:rPr>
                <w:sz w:val="20"/>
                <w:szCs w:val="20"/>
                <w:color w:val="auto"/>
              </w:rPr>
            </w:pPr>
          </w:p>
        </w:tc>
        <w:tc>
          <w:tcPr>
            <w:tcW w:w="2460" w:type="dxa"/>
            <w:vAlign w:val="bottom"/>
            <w:shd w:val="clear" w:color="auto" w:fill="D7D7D7"/>
          </w:tcPr>
          <w:p>
            <w:pPr>
              <w:spacing w:after="0"/>
              <w:rPr>
                <w:sz w:val="20"/>
                <w:szCs w:val="20"/>
                <w:color w:val="auto"/>
              </w:rPr>
            </w:pPr>
          </w:p>
        </w:tc>
        <w:tc>
          <w:tcPr>
            <w:tcW w:w="2180" w:type="dxa"/>
            <w:vAlign w:val="bottom"/>
            <w:shd w:val="clear" w:color="auto" w:fill="D7D7D7"/>
          </w:tcPr>
          <w:p>
            <w:pPr>
              <w:spacing w:after="0"/>
              <w:rPr>
                <w:sz w:val="20"/>
                <w:szCs w:val="20"/>
                <w:color w:val="auto"/>
              </w:rPr>
            </w:pPr>
          </w:p>
        </w:tc>
        <w:tc>
          <w:tcPr>
            <w:tcW w:w="2100" w:type="dxa"/>
            <w:vAlign w:val="bottom"/>
            <w:shd w:val="clear" w:color="auto" w:fill="D7D7D7"/>
          </w:tcPr>
          <w:p>
            <w:pPr>
              <w:spacing w:after="0"/>
              <w:rPr>
                <w:sz w:val="20"/>
                <w:szCs w:val="20"/>
                <w:color w:val="auto"/>
              </w:rPr>
            </w:pPr>
          </w:p>
        </w:tc>
      </w:tr>
      <w:tr>
        <w:trPr>
          <w:trHeight w:val="265"/>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outstanding awards</w:t>
            </w:r>
          </w:p>
        </w:tc>
        <w:tc>
          <w:tcPr>
            <w:tcW w:w="1320" w:type="dxa"/>
            <w:vAlign w:val="bottom"/>
            <w:shd w:val="clear" w:color="auto" w:fill="D7D7D7"/>
          </w:tcPr>
          <w:p>
            <w:pPr>
              <w:spacing w:after="0"/>
              <w:rPr>
                <w:sz w:val="23"/>
                <w:szCs w:val="23"/>
                <w:color w:val="auto"/>
              </w:rPr>
            </w:pPr>
          </w:p>
        </w:tc>
        <w:tc>
          <w:tcPr>
            <w:tcW w:w="2460" w:type="dxa"/>
            <w:vAlign w:val="bottom"/>
            <w:shd w:val="clear" w:color="auto" w:fill="D7D7D7"/>
          </w:tcPr>
          <w:p>
            <w:pPr>
              <w:spacing w:after="0"/>
              <w:rPr>
                <w:sz w:val="23"/>
                <w:szCs w:val="23"/>
                <w:color w:val="auto"/>
              </w:rPr>
            </w:pPr>
          </w:p>
        </w:tc>
        <w:tc>
          <w:tcPr>
            <w:tcW w:w="2180" w:type="dxa"/>
            <w:vAlign w:val="bottom"/>
            <w:shd w:val="clear" w:color="auto" w:fill="D7D7D7"/>
          </w:tcPr>
          <w:p>
            <w:pPr>
              <w:spacing w:after="0"/>
              <w:rPr>
                <w:sz w:val="23"/>
                <w:szCs w:val="23"/>
                <w:color w:val="auto"/>
              </w:rPr>
            </w:pPr>
          </w:p>
        </w:tc>
        <w:tc>
          <w:tcPr>
            <w:tcW w:w="2100" w:type="dxa"/>
            <w:vAlign w:val="bottom"/>
            <w:shd w:val="clear" w:color="auto" w:fill="D7D7D7"/>
          </w:tcPr>
          <w:p>
            <w:pPr>
              <w:spacing w:after="0"/>
              <w:rPr>
                <w:sz w:val="23"/>
                <w:szCs w:val="23"/>
                <w:color w:val="auto"/>
              </w:rPr>
            </w:pPr>
          </w:p>
        </w:tc>
      </w:tr>
      <w:tr>
        <w:trPr>
          <w:trHeight w:val="30"/>
        </w:trPr>
        <w:tc>
          <w:tcPr>
            <w:tcW w:w="2220" w:type="dxa"/>
            <w:vAlign w:val="bottom"/>
            <w:shd w:val="clear" w:color="auto" w:fill="D7D7D7"/>
          </w:tcPr>
          <w:p>
            <w:pPr>
              <w:spacing w:after="0"/>
              <w:rPr>
                <w:sz w:val="2"/>
                <w:szCs w:val="2"/>
                <w:color w:val="auto"/>
              </w:rPr>
            </w:pPr>
          </w:p>
        </w:tc>
        <w:tc>
          <w:tcPr>
            <w:tcW w:w="1320" w:type="dxa"/>
            <w:vAlign w:val="bottom"/>
            <w:shd w:val="clear" w:color="auto" w:fill="D7D7D7"/>
          </w:tcPr>
          <w:p>
            <w:pPr>
              <w:spacing w:after="0"/>
              <w:rPr>
                <w:sz w:val="2"/>
                <w:szCs w:val="2"/>
                <w:color w:val="auto"/>
              </w:rPr>
            </w:pPr>
          </w:p>
        </w:tc>
        <w:tc>
          <w:tcPr>
            <w:tcW w:w="2460" w:type="dxa"/>
            <w:vAlign w:val="bottom"/>
            <w:shd w:val="clear" w:color="auto" w:fill="D7D7D7"/>
          </w:tcPr>
          <w:p>
            <w:pPr>
              <w:spacing w:after="0"/>
              <w:rPr>
                <w:sz w:val="2"/>
                <w:szCs w:val="2"/>
                <w:color w:val="auto"/>
              </w:rPr>
            </w:pPr>
          </w:p>
        </w:tc>
        <w:tc>
          <w:tcPr>
            <w:tcW w:w="2180" w:type="dxa"/>
            <w:vAlign w:val="bottom"/>
            <w:shd w:val="clear" w:color="auto" w:fill="D7D7D7"/>
          </w:tcPr>
          <w:p>
            <w:pPr>
              <w:spacing w:after="0"/>
              <w:rPr>
                <w:sz w:val="2"/>
                <w:szCs w:val="2"/>
                <w:color w:val="auto"/>
              </w:rPr>
            </w:pPr>
          </w:p>
        </w:tc>
        <w:tc>
          <w:tcPr>
            <w:tcW w:w="2100" w:type="dxa"/>
            <w:vAlign w:val="bottom"/>
            <w:shd w:val="clear" w:color="auto" w:fill="D7D7D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-518160</wp:posOffset>
            </wp:positionV>
            <wp:extent cx="27940" cy="532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940" cy="532765"/>
                    </a:xfrm>
                    <a:prstGeom prst="rect">
                      <a:avLst/>
                    </a:prstGeom>
                    <a:noFill/>
                  </pic:spPr>
                </pic:pic>
              </a:graphicData>
            </a:graphic>
          </wp:anchor>
        </w:drawing>
        <w:drawing>
          <wp:anchor simplePos="0" relativeHeight="251657728" behindDoc="1" locked="0" layoutInCell="0" allowOverlap="1">
            <wp:simplePos x="0" y="0"/>
            <wp:positionH relativeFrom="column">
              <wp:posOffset>6510655</wp:posOffset>
            </wp:positionH>
            <wp:positionV relativeFrom="paragraph">
              <wp:posOffset>-1527810</wp:posOffset>
            </wp:positionV>
            <wp:extent cx="27940" cy="1542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940" cy="1542415"/>
                    </a:xfrm>
                    <a:prstGeom prst="rect">
                      <a:avLst/>
                    </a:prstGeom>
                    <a:noFill/>
                  </pic:spPr>
                </pic:pic>
              </a:graphicData>
            </a:graphic>
          </wp:anchor>
        </w:drawing>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Weighted average exercise price of all outstanding stock options: $119.60</w:t>
      </w:r>
    </w:p>
    <w:p>
      <w:pPr>
        <w:spacing w:after="0" w:line="7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Weighted average remaining contractual life of all outstanding stock options: 5.3</w:t>
      </w:r>
    </w:p>
    <w:p>
      <w:pPr>
        <w:spacing w:after="0" w:line="250" w:lineRule="exact"/>
        <w:rPr>
          <w:sz w:val="20"/>
          <w:szCs w:val="20"/>
          <w:color w:val="auto"/>
        </w:rPr>
      </w:pPr>
    </w:p>
    <w:p>
      <w:pPr>
        <w:ind w:left="541" w:hanging="541"/>
        <w:spacing w:after="0"/>
        <w:tabs>
          <w:tab w:leader="none" w:pos="541" w:val="left"/>
        </w:tabs>
        <w:numPr>
          <w:ilvl w:val="0"/>
          <w:numId w:val="97"/>
        </w:numPr>
        <w:rPr>
          <w:rFonts w:ascii="Arial" w:cs="Arial" w:eastAsia="Arial" w:hAnsi="Arial"/>
          <w:sz w:val="20"/>
          <w:szCs w:val="20"/>
          <w:color w:val="2A2A2A"/>
        </w:rPr>
      </w:pPr>
      <w:r>
        <w:rPr>
          <w:rFonts w:ascii="Arial" w:cs="Arial" w:eastAsia="Arial" w:hAnsi="Arial"/>
          <w:sz w:val="20"/>
          <w:szCs w:val="20"/>
          <w:color w:val="2A2A2A"/>
        </w:rPr>
        <w:t>The company has granted no SARs.</w:t>
      </w:r>
    </w:p>
    <w:p>
      <w:pPr>
        <w:spacing w:after="0" w:line="130" w:lineRule="exact"/>
        <w:rPr>
          <w:rFonts w:ascii="Arial" w:cs="Arial" w:eastAsia="Arial" w:hAnsi="Arial"/>
          <w:sz w:val="20"/>
          <w:szCs w:val="20"/>
          <w:color w:val="2A2A2A"/>
        </w:rPr>
      </w:pPr>
    </w:p>
    <w:p>
      <w:pPr>
        <w:ind w:left="541" w:right="500" w:hanging="541"/>
        <w:spacing w:after="0" w:line="287" w:lineRule="auto"/>
        <w:tabs>
          <w:tab w:leader="none" w:pos="541" w:val="left"/>
        </w:tabs>
        <w:numPr>
          <w:ilvl w:val="0"/>
          <w:numId w:val="97"/>
        </w:numPr>
        <w:rPr>
          <w:rFonts w:ascii="Arial" w:cs="Arial" w:eastAsia="Arial" w:hAnsi="Arial"/>
          <w:sz w:val="20"/>
          <w:szCs w:val="20"/>
          <w:color w:val="2A2A2A"/>
        </w:rPr>
      </w:pPr>
      <w:r>
        <w:rPr>
          <w:rFonts w:ascii="Arial" w:cs="Arial" w:eastAsia="Arial" w:hAnsi="Arial"/>
          <w:sz w:val="20"/>
          <w:szCs w:val="20"/>
          <w:color w:val="2A2A2A"/>
        </w:rPr>
        <w:t>The company has no restricted stock awards outstanding. All outstanding full-value awards are restricted stock units.</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97"/>
        </w:numPr>
        <w:rPr>
          <w:rFonts w:ascii="Arial" w:cs="Arial" w:eastAsia="Arial" w:hAnsi="Arial"/>
          <w:sz w:val="20"/>
          <w:szCs w:val="20"/>
          <w:color w:val="2A2A2A"/>
        </w:rPr>
      </w:pPr>
      <w:r>
        <w:rPr>
          <w:rFonts w:ascii="Arial" w:cs="Arial" w:eastAsia="Arial" w:hAnsi="Arial"/>
          <w:sz w:val="20"/>
          <w:szCs w:val="20"/>
          <w:color w:val="2A2A2A"/>
        </w:rPr>
        <w:t>As of December 31, 2023, 25,296,767 shares remained available for issuance under the 2009 Plan.</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97"/>
        </w:numPr>
        <w:rPr>
          <w:rFonts w:ascii="Arial" w:cs="Arial" w:eastAsia="Arial" w:hAnsi="Arial"/>
          <w:sz w:val="20"/>
          <w:szCs w:val="20"/>
          <w:color w:val="2A2A2A"/>
        </w:rPr>
      </w:pPr>
      <w:r>
        <w:rPr>
          <w:rFonts w:ascii="Arial" w:cs="Arial" w:eastAsia="Arial" w:hAnsi="Arial"/>
          <w:sz w:val="20"/>
          <w:szCs w:val="20"/>
          <w:color w:val="2A2A2A"/>
        </w:rPr>
        <w:t>As of December 31, 2023, 1,786,785 shares remained available for issuance under the Director Plan.</w:t>
      </w:r>
    </w:p>
    <w:p>
      <w:pPr>
        <w:spacing w:after="0" w:line="130" w:lineRule="exact"/>
        <w:rPr>
          <w:rFonts w:ascii="Arial" w:cs="Arial" w:eastAsia="Arial" w:hAnsi="Arial"/>
          <w:sz w:val="20"/>
          <w:szCs w:val="20"/>
          <w:color w:val="2A2A2A"/>
        </w:rPr>
      </w:pPr>
    </w:p>
    <w:p>
      <w:pPr>
        <w:ind w:left="541" w:right="480" w:hanging="541"/>
        <w:spacing w:after="0" w:line="268" w:lineRule="auto"/>
        <w:tabs>
          <w:tab w:leader="none" w:pos="541" w:val="left"/>
        </w:tabs>
        <w:numPr>
          <w:ilvl w:val="0"/>
          <w:numId w:val="97"/>
        </w:numPr>
        <w:rPr>
          <w:rFonts w:ascii="Arial" w:cs="Arial" w:eastAsia="Arial" w:hAnsi="Arial"/>
          <w:sz w:val="20"/>
          <w:szCs w:val="20"/>
          <w:color w:val="2A2A2A"/>
        </w:rPr>
      </w:pPr>
      <w:r>
        <w:rPr>
          <w:rFonts w:ascii="Arial" w:cs="Arial" w:eastAsia="Arial" w:hAnsi="Arial"/>
          <w:sz w:val="20"/>
          <w:szCs w:val="20"/>
          <w:color w:val="2A2A2A"/>
        </w:rPr>
        <w:t>Consists of the Texas Instruments Long-Term Incentive Plan, the Texas Instruments 2003 Director Compensation Plan and the Texas Instruments 2009 Director Compensation Plan. Each of these plans is closed to future granting activity. This does not include the TI Employees 2014 Stock Purchase Plan.</w:t>
      </w:r>
    </w:p>
    <w:p>
      <w:pPr>
        <w:sectPr>
          <w:pgSz w:w="12240" w:h="15840" w:orient="portrait"/>
          <w:cols w:equalWidth="0" w:num="1">
            <w:col w:w="10281"/>
          </w:cols>
          <w:pgMar w:left="979"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21</w:t>
      </w:r>
    </w:p>
    <w:p>
      <w:pPr>
        <w:sectPr>
          <w:pgSz w:w="12240" w:h="15840" w:orient="portrait"/>
          <w:cols w:equalWidth="0" w:num="1">
            <w:col w:w="10281"/>
          </w:cols>
          <w:pgMar w:left="979" w:top="658" w:right="980" w:bottom="33" w:gutter="0" w:footer="0" w:header="0"/>
          <w:type w:val="continuous"/>
        </w:sectPr>
      </w:pPr>
    </w:p>
    <w:bookmarkStart w:id="93" w:name="page94"/>
    <w:bookmarkEnd w:id="93"/>
    <w:p>
      <w:pPr>
        <w:ind w:left="1" w:right="300"/>
        <w:spacing w:after="0" w:line="287" w:lineRule="auto"/>
        <w:rPr>
          <w:sz w:val="20"/>
          <w:szCs w:val="20"/>
          <w:color w:val="auto"/>
        </w:rPr>
      </w:pPr>
      <w:r>
        <w:rPr>
          <w:rFonts w:ascii="Arial" w:cs="Arial" w:eastAsia="Arial" w:hAnsi="Arial"/>
          <w:sz w:val="20"/>
          <w:szCs w:val="20"/>
          <w:color w:val="2A2A2A"/>
        </w:rPr>
        <w:t>The table below summarizes information concerning outstanding awards under the below plans as of February 5, 2024.</w:t>
      </w:r>
    </w:p>
    <w:p>
      <w:pPr>
        <w:spacing w:after="0" w:line="316"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22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Metric</w:t>
            </w:r>
          </w:p>
        </w:tc>
        <w:tc>
          <w:tcPr>
            <w:tcW w:w="1300" w:type="dxa"/>
            <w:vAlign w:val="bottom"/>
            <w:tcBorders>
              <w:bottom w:val="single" w:sz="8" w:color="2A2A2A"/>
            </w:tcBorders>
          </w:tcPr>
          <w:p>
            <w:pPr>
              <w:jc w:val="right"/>
              <w:spacing w:after="0"/>
              <w:rPr>
                <w:sz w:val="20"/>
                <w:szCs w:val="20"/>
                <w:color w:val="auto"/>
              </w:rPr>
            </w:pPr>
            <w:r>
              <w:rPr>
                <w:rFonts w:ascii="Arial" w:cs="Arial" w:eastAsia="Arial" w:hAnsi="Arial"/>
                <w:sz w:val="16"/>
                <w:szCs w:val="16"/>
                <w:b w:val="1"/>
                <w:bCs w:val="1"/>
                <w:color w:val="2A2A2A"/>
              </w:rPr>
              <w:t>2009 Plan (3)</w:t>
            </w:r>
          </w:p>
        </w:tc>
        <w:tc>
          <w:tcPr>
            <w:tcW w:w="2480" w:type="dxa"/>
            <w:vAlign w:val="bottom"/>
            <w:tcBorders>
              <w:bottom w:val="single" w:sz="8" w:color="2A2A2A"/>
            </w:tcBorders>
          </w:tcPr>
          <w:p>
            <w:pPr>
              <w:jc w:val="right"/>
              <w:ind w:right="265"/>
              <w:spacing w:after="0"/>
              <w:rPr>
                <w:sz w:val="20"/>
                <w:szCs w:val="20"/>
                <w:color w:val="auto"/>
              </w:rPr>
            </w:pPr>
            <w:r>
              <w:rPr>
                <w:rFonts w:ascii="Arial" w:cs="Arial" w:eastAsia="Arial" w:hAnsi="Arial"/>
                <w:sz w:val="16"/>
                <w:szCs w:val="16"/>
                <w:b w:val="1"/>
                <w:bCs w:val="1"/>
                <w:color w:val="2A2A2A"/>
              </w:rPr>
              <w:t>Director Plan (4)</w:t>
            </w:r>
          </w:p>
        </w:tc>
        <w:tc>
          <w:tcPr>
            <w:tcW w:w="2180" w:type="dxa"/>
            <w:vAlign w:val="bottom"/>
            <w:tcBorders>
              <w:bottom w:val="single" w:sz="8" w:color="2A2A2A"/>
            </w:tcBorders>
          </w:tcPr>
          <w:p>
            <w:pPr>
              <w:jc w:val="right"/>
              <w:ind w:right="325"/>
              <w:spacing w:after="0"/>
              <w:rPr>
                <w:sz w:val="20"/>
                <w:szCs w:val="20"/>
                <w:color w:val="auto"/>
              </w:rPr>
            </w:pPr>
            <w:r>
              <w:rPr>
                <w:rFonts w:ascii="Arial" w:cs="Arial" w:eastAsia="Arial" w:hAnsi="Arial"/>
                <w:sz w:val="16"/>
                <w:szCs w:val="16"/>
                <w:b w:val="1"/>
                <w:bCs w:val="1"/>
                <w:color w:val="2A2A2A"/>
              </w:rPr>
              <w:t>All Other Plans (5)</w:t>
            </w:r>
          </w:p>
        </w:tc>
        <w:tc>
          <w:tcPr>
            <w:tcW w:w="2100" w:type="dxa"/>
            <w:vAlign w:val="bottom"/>
            <w:tcBorders>
              <w:bottom w:val="single" w:sz="8" w:color="2A2A2A"/>
            </w:tcBorders>
          </w:tcPr>
          <w:p>
            <w:pPr>
              <w:jc w:val="right"/>
              <w:ind w:right="865"/>
              <w:spacing w:after="0"/>
              <w:rPr>
                <w:sz w:val="20"/>
                <w:szCs w:val="20"/>
                <w:color w:val="auto"/>
              </w:rPr>
            </w:pPr>
            <w:r>
              <w:rPr>
                <w:rFonts w:ascii="Arial" w:cs="Arial" w:eastAsia="Arial" w:hAnsi="Arial"/>
                <w:sz w:val="16"/>
                <w:szCs w:val="16"/>
                <w:b w:val="1"/>
                <w:bCs w:val="1"/>
                <w:color w:val="2A2A2A"/>
              </w:rPr>
              <w:t>Total</w:t>
            </w:r>
          </w:p>
        </w:tc>
      </w:tr>
      <w:tr>
        <w:trPr>
          <w:trHeight w:val="25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Shares underlying</w:t>
            </w:r>
          </w:p>
        </w:tc>
        <w:tc>
          <w:tcPr>
            <w:tcW w:w="1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29,298,731</w:t>
            </w:r>
          </w:p>
        </w:tc>
        <w:tc>
          <w:tcPr>
            <w:tcW w:w="2480" w:type="dxa"/>
            <w:vAlign w:val="bottom"/>
            <w:shd w:val="clear" w:color="auto" w:fill="D7D7D7"/>
          </w:tcPr>
          <w:p>
            <w:pPr>
              <w:jc w:val="right"/>
              <w:ind w:right="565"/>
              <w:spacing w:after="0"/>
              <w:rPr>
                <w:sz w:val="20"/>
                <w:szCs w:val="20"/>
                <w:color w:val="auto"/>
              </w:rPr>
            </w:pPr>
            <w:r>
              <w:rPr>
                <w:rFonts w:ascii="Arial" w:cs="Arial" w:eastAsia="Arial" w:hAnsi="Arial"/>
                <w:sz w:val="20"/>
                <w:szCs w:val="20"/>
                <w:color w:val="2A2A2A"/>
              </w:rPr>
              <w:t>169,154</w:t>
            </w:r>
          </w:p>
        </w:tc>
        <w:tc>
          <w:tcPr>
            <w:tcW w:w="2180" w:type="dxa"/>
            <w:vAlign w:val="bottom"/>
            <w:shd w:val="clear" w:color="auto" w:fill="D7D7D7"/>
          </w:tcPr>
          <w:p>
            <w:pPr>
              <w:jc w:val="right"/>
              <w:ind w:right="605"/>
              <w:spacing w:after="0"/>
              <w:rPr>
                <w:sz w:val="20"/>
                <w:szCs w:val="20"/>
                <w:color w:val="auto"/>
              </w:rPr>
            </w:pPr>
            <w:r>
              <w:rPr>
                <w:rFonts w:ascii="Arial" w:cs="Arial" w:eastAsia="Arial" w:hAnsi="Arial"/>
                <w:sz w:val="20"/>
                <w:szCs w:val="20"/>
                <w:color w:val="2A2A2A"/>
              </w:rPr>
              <w:t>120,913</w:t>
            </w:r>
          </w:p>
        </w:tc>
        <w:tc>
          <w:tcPr>
            <w:tcW w:w="2100" w:type="dxa"/>
            <w:vAlign w:val="bottom"/>
            <w:shd w:val="clear" w:color="auto" w:fill="D7D7D7"/>
          </w:tcPr>
          <w:p>
            <w:pPr>
              <w:jc w:val="right"/>
              <w:ind w:right="585"/>
              <w:spacing w:after="0"/>
              <w:rPr>
                <w:sz w:val="20"/>
                <w:szCs w:val="20"/>
                <w:color w:val="auto"/>
              </w:rPr>
            </w:pPr>
            <w:r>
              <w:rPr>
                <w:rFonts w:ascii="Arial" w:cs="Arial" w:eastAsia="Arial" w:hAnsi="Arial"/>
                <w:sz w:val="20"/>
                <w:szCs w:val="20"/>
                <w:color w:val="2A2A2A"/>
              </w:rPr>
              <w:t>29,588,798</w:t>
            </w:r>
          </w:p>
        </w:tc>
      </w:tr>
      <w:tr>
        <w:trPr>
          <w:trHeight w:val="24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outstanding stock</w:t>
            </w:r>
          </w:p>
        </w:tc>
        <w:tc>
          <w:tcPr>
            <w:tcW w:w="1300" w:type="dxa"/>
            <w:vAlign w:val="bottom"/>
            <w:shd w:val="clear" w:color="auto" w:fill="D7D7D7"/>
          </w:tcPr>
          <w:p>
            <w:pPr>
              <w:spacing w:after="0"/>
              <w:rPr>
                <w:sz w:val="20"/>
                <w:szCs w:val="20"/>
                <w:color w:val="auto"/>
              </w:rPr>
            </w:pPr>
          </w:p>
        </w:tc>
        <w:tc>
          <w:tcPr>
            <w:tcW w:w="2480" w:type="dxa"/>
            <w:vAlign w:val="bottom"/>
            <w:shd w:val="clear" w:color="auto" w:fill="D7D7D7"/>
          </w:tcPr>
          <w:p>
            <w:pPr>
              <w:spacing w:after="0"/>
              <w:rPr>
                <w:sz w:val="20"/>
                <w:szCs w:val="20"/>
                <w:color w:val="auto"/>
              </w:rPr>
            </w:pPr>
          </w:p>
        </w:tc>
        <w:tc>
          <w:tcPr>
            <w:tcW w:w="2180" w:type="dxa"/>
            <w:vAlign w:val="bottom"/>
            <w:shd w:val="clear" w:color="auto" w:fill="D7D7D7"/>
          </w:tcPr>
          <w:p>
            <w:pPr>
              <w:spacing w:after="0"/>
              <w:rPr>
                <w:sz w:val="20"/>
                <w:szCs w:val="20"/>
                <w:color w:val="auto"/>
              </w:rPr>
            </w:pPr>
          </w:p>
        </w:tc>
        <w:tc>
          <w:tcPr>
            <w:tcW w:w="2100" w:type="dxa"/>
            <w:vAlign w:val="bottom"/>
            <w:shd w:val="clear" w:color="auto" w:fill="D7D7D7"/>
          </w:tcPr>
          <w:p>
            <w:pPr>
              <w:spacing w:after="0"/>
              <w:rPr>
                <w:sz w:val="20"/>
                <w:szCs w:val="20"/>
                <w:color w:val="auto"/>
              </w:rPr>
            </w:pPr>
          </w:p>
        </w:tc>
      </w:tr>
      <w:tr>
        <w:trPr>
          <w:trHeight w:val="275"/>
        </w:trPr>
        <w:tc>
          <w:tcPr>
            <w:tcW w:w="22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options (1)</w:t>
            </w:r>
          </w:p>
        </w:tc>
        <w:tc>
          <w:tcPr>
            <w:tcW w:w="1300" w:type="dxa"/>
            <w:vAlign w:val="bottom"/>
            <w:tcBorders>
              <w:bottom w:val="single" w:sz="8" w:color="D7D7D7"/>
            </w:tcBorders>
            <w:shd w:val="clear" w:color="auto" w:fill="D7D7D7"/>
          </w:tcPr>
          <w:p>
            <w:pPr>
              <w:spacing w:after="0"/>
              <w:rPr>
                <w:sz w:val="23"/>
                <w:szCs w:val="23"/>
                <w:color w:val="auto"/>
              </w:rPr>
            </w:pPr>
          </w:p>
        </w:tc>
        <w:tc>
          <w:tcPr>
            <w:tcW w:w="2480" w:type="dxa"/>
            <w:vAlign w:val="bottom"/>
            <w:tcBorders>
              <w:bottom w:val="single" w:sz="8" w:color="D7D7D7"/>
            </w:tcBorders>
            <w:shd w:val="clear" w:color="auto" w:fill="D7D7D7"/>
          </w:tcPr>
          <w:p>
            <w:pPr>
              <w:spacing w:after="0"/>
              <w:rPr>
                <w:sz w:val="23"/>
                <w:szCs w:val="23"/>
                <w:color w:val="auto"/>
              </w:rPr>
            </w:pPr>
          </w:p>
        </w:tc>
        <w:tc>
          <w:tcPr>
            <w:tcW w:w="2180" w:type="dxa"/>
            <w:vAlign w:val="bottom"/>
            <w:tcBorders>
              <w:bottom w:val="single" w:sz="8" w:color="D7D7D7"/>
            </w:tcBorders>
            <w:shd w:val="clear" w:color="auto" w:fill="D7D7D7"/>
          </w:tcPr>
          <w:p>
            <w:pPr>
              <w:spacing w:after="0"/>
              <w:rPr>
                <w:sz w:val="23"/>
                <w:szCs w:val="23"/>
                <w:color w:val="auto"/>
              </w:rPr>
            </w:pPr>
          </w:p>
        </w:tc>
        <w:tc>
          <w:tcPr>
            <w:tcW w:w="2100" w:type="dxa"/>
            <w:vAlign w:val="bottom"/>
            <w:tcBorders>
              <w:bottom w:val="single" w:sz="8" w:color="D7D7D7"/>
            </w:tcBorders>
            <w:shd w:val="clear" w:color="auto" w:fill="D7D7D7"/>
          </w:tcPr>
          <w:p>
            <w:pPr>
              <w:spacing w:after="0"/>
              <w:rPr>
                <w:sz w:val="23"/>
                <w:szCs w:val="23"/>
                <w:color w:val="auto"/>
              </w:rPr>
            </w:pPr>
          </w:p>
        </w:tc>
      </w:tr>
      <w:tr>
        <w:trPr>
          <w:trHeight w:val="260"/>
        </w:trPr>
        <w:tc>
          <w:tcPr>
            <w:tcW w:w="2220" w:type="dxa"/>
            <w:vAlign w:val="bottom"/>
          </w:tcPr>
          <w:p>
            <w:pPr>
              <w:ind w:left="60"/>
              <w:spacing w:after="0"/>
              <w:rPr>
                <w:sz w:val="20"/>
                <w:szCs w:val="20"/>
                <w:color w:val="auto"/>
              </w:rPr>
            </w:pPr>
            <w:r>
              <w:rPr>
                <w:rFonts w:ascii="Arial" w:cs="Arial" w:eastAsia="Arial" w:hAnsi="Arial"/>
                <w:sz w:val="20"/>
                <w:szCs w:val="20"/>
                <w:color w:val="2A2A2A"/>
              </w:rPr>
              <w:t>Shares underlying</w:t>
            </w:r>
          </w:p>
        </w:tc>
        <w:tc>
          <w:tcPr>
            <w:tcW w:w="1300" w:type="dxa"/>
            <w:vAlign w:val="bottom"/>
          </w:tcPr>
          <w:p>
            <w:pPr>
              <w:jc w:val="right"/>
              <w:spacing w:after="0"/>
              <w:rPr>
                <w:sz w:val="20"/>
                <w:szCs w:val="20"/>
                <w:color w:val="auto"/>
              </w:rPr>
            </w:pPr>
            <w:r>
              <w:rPr>
                <w:rFonts w:ascii="Arial" w:cs="Arial" w:eastAsia="Arial" w:hAnsi="Arial"/>
                <w:sz w:val="20"/>
                <w:szCs w:val="20"/>
                <w:color w:val="2A2A2A"/>
              </w:rPr>
              <w:t>5,424,522</w:t>
            </w:r>
          </w:p>
        </w:tc>
        <w:tc>
          <w:tcPr>
            <w:tcW w:w="2480" w:type="dxa"/>
            <w:vAlign w:val="bottom"/>
          </w:tcPr>
          <w:p>
            <w:pPr>
              <w:jc w:val="right"/>
              <w:ind w:right="565"/>
              <w:spacing w:after="0"/>
              <w:rPr>
                <w:sz w:val="20"/>
                <w:szCs w:val="20"/>
                <w:color w:val="auto"/>
              </w:rPr>
            </w:pPr>
            <w:r>
              <w:rPr>
                <w:rFonts w:ascii="Arial" w:cs="Arial" w:eastAsia="Arial" w:hAnsi="Arial"/>
                <w:sz w:val="20"/>
                <w:szCs w:val="20"/>
                <w:color w:val="2A2A2A"/>
              </w:rPr>
              <w:t>47,511</w:t>
            </w:r>
          </w:p>
        </w:tc>
        <w:tc>
          <w:tcPr>
            <w:tcW w:w="2180" w:type="dxa"/>
            <w:vAlign w:val="bottom"/>
          </w:tcPr>
          <w:p>
            <w:pPr>
              <w:jc w:val="right"/>
              <w:ind w:right="605"/>
              <w:spacing w:after="0"/>
              <w:rPr>
                <w:sz w:val="20"/>
                <w:szCs w:val="20"/>
                <w:color w:val="auto"/>
              </w:rPr>
            </w:pPr>
            <w:r>
              <w:rPr>
                <w:rFonts w:ascii="Arial" w:cs="Arial" w:eastAsia="Arial" w:hAnsi="Arial"/>
                <w:sz w:val="20"/>
                <w:szCs w:val="20"/>
                <w:color w:val="2A2A2A"/>
              </w:rPr>
              <w:t>251,843</w:t>
            </w:r>
          </w:p>
        </w:tc>
        <w:tc>
          <w:tcPr>
            <w:tcW w:w="2100" w:type="dxa"/>
            <w:vAlign w:val="bottom"/>
          </w:tcPr>
          <w:p>
            <w:pPr>
              <w:jc w:val="right"/>
              <w:ind w:right="585"/>
              <w:spacing w:after="0"/>
              <w:rPr>
                <w:sz w:val="20"/>
                <w:szCs w:val="20"/>
                <w:color w:val="auto"/>
              </w:rPr>
            </w:pPr>
            <w:r>
              <w:rPr>
                <w:rFonts w:ascii="Arial" w:cs="Arial" w:eastAsia="Arial" w:hAnsi="Arial"/>
                <w:sz w:val="20"/>
                <w:szCs w:val="20"/>
                <w:color w:val="2A2A2A"/>
              </w:rPr>
              <w:t>5,723,876</w:t>
            </w:r>
          </w:p>
        </w:tc>
      </w:tr>
      <w:tr>
        <w:trPr>
          <w:trHeight w:val="240"/>
        </w:trPr>
        <w:tc>
          <w:tcPr>
            <w:tcW w:w="2220" w:type="dxa"/>
            <w:vAlign w:val="bottom"/>
          </w:tcPr>
          <w:p>
            <w:pPr>
              <w:ind w:left="60"/>
              <w:spacing w:after="0"/>
              <w:rPr>
                <w:sz w:val="20"/>
                <w:szCs w:val="20"/>
                <w:color w:val="auto"/>
              </w:rPr>
            </w:pPr>
            <w:r>
              <w:rPr>
                <w:rFonts w:ascii="Arial" w:cs="Arial" w:eastAsia="Arial" w:hAnsi="Arial"/>
                <w:sz w:val="20"/>
                <w:szCs w:val="20"/>
                <w:color w:val="2A2A2A"/>
              </w:rPr>
              <w:t>outstanding restricted</w:t>
            </w:r>
          </w:p>
        </w:tc>
        <w:tc>
          <w:tcPr>
            <w:tcW w:w="1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65"/>
        </w:trPr>
        <w:tc>
          <w:tcPr>
            <w:tcW w:w="2220" w:type="dxa"/>
            <w:vAlign w:val="bottom"/>
          </w:tcPr>
          <w:p>
            <w:pPr>
              <w:ind w:left="60"/>
              <w:spacing w:after="0"/>
              <w:rPr>
                <w:sz w:val="20"/>
                <w:szCs w:val="20"/>
                <w:color w:val="auto"/>
              </w:rPr>
            </w:pPr>
            <w:r>
              <w:rPr>
                <w:rFonts w:ascii="Arial" w:cs="Arial" w:eastAsia="Arial" w:hAnsi="Arial"/>
                <w:sz w:val="20"/>
                <w:szCs w:val="20"/>
                <w:color w:val="2A2A2A"/>
              </w:rPr>
              <w:t>stock units (2)</w:t>
            </w:r>
          </w:p>
        </w:tc>
        <w:tc>
          <w:tcPr>
            <w:tcW w:w="13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30"/>
        </w:trPr>
        <w:tc>
          <w:tcPr>
            <w:tcW w:w="2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shares</w:t>
            </w:r>
          </w:p>
        </w:tc>
        <w:tc>
          <w:tcPr>
            <w:tcW w:w="1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34,723,253</w:t>
            </w:r>
          </w:p>
        </w:tc>
        <w:tc>
          <w:tcPr>
            <w:tcW w:w="2480" w:type="dxa"/>
            <w:vAlign w:val="bottom"/>
            <w:shd w:val="clear" w:color="auto" w:fill="D7D7D7"/>
          </w:tcPr>
          <w:p>
            <w:pPr>
              <w:jc w:val="right"/>
              <w:ind w:right="565"/>
              <w:spacing w:after="0"/>
              <w:rPr>
                <w:sz w:val="20"/>
                <w:szCs w:val="20"/>
                <w:color w:val="auto"/>
              </w:rPr>
            </w:pPr>
            <w:r>
              <w:rPr>
                <w:rFonts w:ascii="Arial" w:cs="Arial" w:eastAsia="Arial" w:hAnsi="Arial"/>
                <w:sz w:val="20"/>
                <w:szCs w:val="20"/>
                <w:color w:val="2A2A2A"/>
              </w:rPr>
              <w:t>216,665</w:t>
            </w:r>
          </w:p>
        </w:tc>
        <w:tc>
          <w:tcPr>
            <w:tcW w:w="2180" w:type="dxa"/>
            <w:vAlign w:val="bottom"/>
            <w:shd w:val="clear" w:color="auto" w:fill="D7D7D7"/>
          </w:tcPr>
          <w:p>
            <w:pPr>
              <w:jc w:val="right"/>
              <w:ind w:right="605"/>
              <w:spacing w:after="0"/>
              <w:rPr>
                <w:sz w:val="20"/>
                <w:szCs w:val="20"/>
                <w:color w:val="auto"/>
              </w:rPr>
            </w:pPr>
            <w:r>
              <w:rPr>
                <w:rFonts w:ascii="Arial" w:cs="Arial" w:eastAsia="Arial" w:hAnsi="Arial"/>
                <w:sz w:val="20"/>
                <w:szCs w:val="20"/>
                <w:color w:val="2A2A2A"/>
              </w:rPr>
              <w:t>372,756</w:t>
            </w:r>
          </w:p>
        </w:tc>
        <w:tc>
          <w:tcPr>
            <w:tcW w:w="2100" w:type="dxa"/>
            <w:vAlign w:val="bottom"/>
            <w:shd w:val="clear" w:color="auto" w:fill="D7D7D7"/>
          </w:tcPr>
          <w:p>
            <w:pPr>
              <w:jc w:val="right"/>
              <w:ind w:right="585"/>
              <w:spacing w:after="0"/>
              <w:rPr>
                <w:sz w:val="20"/>
                <w:szCs w:val="20"/>
                <w:color w:val="auto"/>
              </w:rPr>
            </w:pPr>
            <w:r>
              <w:rPr>
                <w:rFonts w:ascii="Arial" w:cs="Arial" w:eastAsia="Arial" w:hAnsi="Arial"/>
                <w:sz w:val="20"/>
                <w:szCs w:val="20"/>
                <w:color w:val="2A2A2A"/>
              </w:rPr>
              <w:t>35,312,674</w:t>
            </w:r>
          </w:p>
        </w:tc>
      </w:tr>
      <w:tr>
        <w:trPr>
          <w:trHeight w:val="240"/>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underlying</w:t>
            </w:r>
          </w:p>
        </w:tc>
        <w:tc>
          <w:tcPr>
            <w:tcW w:w="1300" w:type="dxa"/>
            <w:vAlign w:val="bottom"/>
            <w:shd w:val="clear" w:color="auto" w:fill="D7D7D7"/>
          </w:tcPr>
          <w:p>
            <w:pPr>
              <w:spacing w:after="0"/>
              <w:rPr>
                <w:sz w:val="20"/>
                <w:szCs w:val="20"/>
                <w:color w:val="auto"/>
              </w:rPr>
            </w:pPr>
          </w:p>
        </w:tc>
        <w:tc>
          <w:tcPr>
            <w:tcW w:w="2480" w:type="dxa"/>
            <w:vAlign w:val="bottom"/>
            <w:shd w:val="clear" w:color="auto" w:fill="D7D7D7"/>
          </w:tcPr>
          <w:p>
            <w:pPr>
              <w:spacing w:after="0"/>
              <w:rPr>
                <w:sz w:val="20"/>
                <w:szCs w:val="20"/>
                <w:color w:val="auto"/>
              </w:rPr>
            </w:pPr>
          </w:p>
        </w:tc>
        <w:tc>
          <w:tcPr>
            <w:tcW w:w="2180" w:type="dxa"/>
            <w:vAlign w:val="bottom"/>
            <w:shd w:val="clear" w:color="auto" w:fill="D7D7D7"/>
          </w:tcPr>
          <w:p>
            <w:pPr>
              <w:spacing w:after="0"/>
              <w:rPr>
                <w:sz w:val="20"/>
                <w:szCs w:val="20"/>
                <w:color w:val="auto"/>
              </w:rPr>
            </w:pPr>
          </w:p>
        </w:tc>
        <w:tc>
          <w:tcPr>
            <w:tcW w:w="2100" w:type="dxa"/>
            <w:vAlign w:val="bottom"/>
            <w:shd w:val="clear" w:color="auto" w:fill="D7D7D7"/>
          </w:tcPr>
          <w:p>
            <w:pPr>
              <w:spacing w:after="0"/>
              <w:rPr>
                <w:sz w:val="20"/>
                <w:szCs w:val="20"/>
                <w:color w:val="auto"/>
              </w:rPr>
            </w:pPr>
          </w:p>
        </w:tc>
      </w:tr>
      <w:tr>
        <w:trPr>
          <w:trHeight w:val="265"/>
        </w:trPr>
        <w:tc>
          <w:tcPr>
            <w:tcW w:w="22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outstanding awards</w:t>
            </w:r>
          </w:p>
        </w:tc>
        <w:tc>
          <w:tcPr>
            <w:tcW w:w="1300" w:type="dxa"/>
            <w:vAlign w:val="bottom"/>
            <w:shd w:val="clear" w:color="auto" w:fill="D7D7D7"/>
          </w:tcPr>
          <w:p>
            <w:pPr>
              <w:spacing w:after="0"/>
              <w:rPr>
                <w:sz w:val="23"/>
                <w:szCs w:val="23"/>
                <w:color w:val="auto"/>
              </w:rPr>
            </w:pPr>
          </w:p>
        </w:tc>
        <w:tc>
          <w:tcPr>
            <w:tcW w:w="2480" w:type="dxa"/>
            <w:vAlign w:val="bottom"/>
            <w:shd w:val="clear" w:color="auto" w:fill="D7D7D7"/>
          </w:tcPr>
          <w:p>
            <w:pPr>
              <w:spacing w:after="0"/>
              <w:rPr>
                <w:sz w:val="23"/>
                <w:szCs w:val="23"/>
                <w:color w:val="auto"/>
              </w:rPr>
            </w:pPr>
          </w:p>
        </w:tc>
        <w:tc>
          <w:tcPr>
            <w:tcW w:w="2180" w:type="dxa"/>
            <w:vAlign w:val="bottom"/>
            <w:shd w:val="clear" w:color="auto" w:fill="D7D7D7"/>
          </w:tcPr>
          <w:p>
            <w:pPr>
              <w:spacing w:after="0"/>
              <w:rPr>
                <w:sz w:val="23"/>
                <w:szCs w:val="23"/>
                <w:color w:val="auto"/>
              </w:rPr>
            </w:pPr>
          </w:p>
        </w:tc>
        <w:tc>
          <w:tcPr>
            <w:tcW w:w="2100" w:type="dxa"/>
            <w:vAlign w:val="bottom"/>
            <w:shd w:val="clear" w:color="auto" w:fill="D7D7D7"/>
          </w:tcPr>
          <w:p>
            <w:pPr>
              <w:spacing w:after="0"/>
              <w:rPr>
                <w:sz w:val="23"/>
                <w:szCs w:val="23"/>
                <w:color w:val="auto"/>
              </w:rPr>
            </w:pPr>
          </w:p>
        </w:tc>
      </w:tr>
      <w:tr>
        <w:trPr>
          <w:trHeight w:val="30"/>
        </w:trPr>
        <w:tc>
          <w:tcPr>
            <w:tcW w:w="2220" w:type="dxa"/>
            <w:vAlign w:val="bottom"/>
            <w:shd w:val="clear" w:color="auto" w:fill="D7D7D7"/>
          </w:tcPr>
          <w:p>
            <w:pPr>
              <w:spacing w:after="0"/>
              <w:rPr>
                <w:sz w:val="2"/>
                <w:szCs w:val="2"/>
                <w:color w:val="auto"/>
              </w:rPr>
            </w:pPr>
          </w:p>
        </w:tc>
        <w:tc>
          <w:tcPr>
            <w:tcW w:w="1300" w:type="dxa"/>
            <w:vAlign w:val="bottom"/>
            <w:shd w:val="clear" w:color="auto" w:fill="D7D7D7"/>
          </w:tcPr>
          <w:p>
            <w:pPr>
              <w:spacing w:after="0"/>
              <w:rPr>
                <w:sz w:val="2"/>
                <w:szCs w:val="2"/>
                <w:color w:val="auto"/>
              </w:rPr>
            </w:pPr>
          </w:p>
        </w:tc>
        <w:tc>
          <w:tcPr>
            <w:tcW w:w="2480" w:type="dxa"/>
            <w:vAlign w:val="bottom"/>
            <w:shd w:val="clear" w:color="auto" w:fill="D7D7D7"/>
          </w:tcPr>
          <w:p>
            <w:pPr>
              <w:spacing w:after="0"/>
              <w:rPr>
                <w:sz w:val="2"/>
                <w:szCs w:val="2"/>
                <w:color w:val="auto"/>
              </w:rPr>
            </w:pPr>
          </w:p>
        </w:tc>
        <w:tc>
          <w:tcPr>
            <w:tcW w:w="2180" w:type="dxa"/>
            <w:vAlign w:val="bottom"/>
            <w:shd w:val="clear" w:color="auto" w:fill="D7D7D7"/>
          </w:tcPr>
          <w:p>
            <w:pPr>
              <w:spacing w:after="0"/>
              <w:rPr>
                <w:sz w:val="2"/>
                <w:szCs w:val="2"/>
                <w:color w:val="auto"/>
              </w:rPr>
            </w:pPr>
          </w:p>
        </w:tc>
        <w:tc>
          <w:tcPr>
            <w:tcW w:w="2100" w:type="dxa"/>
            <w:vAlign w:val="bottom"/>
            <w:shd w:val="clear" w:color="auto" w:fill="D7D7D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-516890</wp:posOffset>
            </wp:positionV>
            <wp:extent cx="25400" cy="530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00" cy="53022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-1526540</wp:posOffset>
            </wp:positionV>
            <wp:extent cx="25400" cy="1539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00" cy="1539875"/>
                    </a:xfrm>
                    <a:prstGeom prst="rect">
                      <a:avLst/>
                    </a:prstGeom>
                    <a:noFill/>
                  </pic:spPr>
                </pic:pic>
              </a:graphicData>
            </a:graphic>
          </wp:anchor>
        </w:drawing>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Weighted average exercise price of all outstanding stock options: $119.60</w:t>
      </w:r>
    </w:p>
    <w:p>
      <w:pPr>
        <w:spacing w:after="0" w:line="7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Weighted average remaining contractual life of all outstanding stock options: 5.3</w:t>
      </w:r>
    </w:p>
    <w:p>
      <w:pPr>
        <w:spacing w:after="0" w:line="250" w:lineRule="exact"/>
        <w:rPr>
          <w:sz w:val="20"/>
          <w:szCs w:val="20"/>
          <w:color w:val="auto"/>
        </w:rPr>
      </w:pPr>
    </w:p>
    <w:p>
      <w:pPr>
        <w:ind w:left="541" w:hanging="541"/>
        <w:spacing w:after="0"/>
        <w:tabs>
          <w:tab w:leader="none" w:pos="541" w:val="left"/>
        </w:tabs>
        <w:numPr>
          <w:ilvl w:val="0"/>
          <w:numId w:val="98"/>
        </w:numPr>
        <w:rPr>
          <w:rFonts w:ascii="Arial" w:cs="Arial" w:eastAsia="Arial" w:hAnsi="Arial"/>
          <w:sz w:val="20"/>
          <w:szCs w:val="20"/>
          <w:color w:val="2A2A2A"/>
        </w:rPr>
      </w:pPr>
      <w:r>
        <w:rPr>
          <w:rFonts w:ascii="Arial" w:cs="Arial" w:eastAsia="Arial" w:hAnsi="Arial"/>
          <w:sz w:val="20"/>
          <w:szCs w:val="20"/>
          <w:color w:val="2A2A2A"/>
        </w:rPr>
        <w:t>The company has granted no SARs.</w:t>
      </w:r>
    </w:p>
    <w:p>
      <w:pPr>
        <w:spacing w:after="0" w:line="130" w:lineRule="exact"/>
        <w:rPr>
          <w:rFonts w:ascii="Arial" w:cs="Arial" w:eastAsia="Arial" w:hAnsi="Arial"/>
          <w:sz w:val="20"/>
          <w:szCs w:val="20"/>
          <w:color w:val="2A2A2A"/>
        </w:rPr>
      </w:pPr>
    </w:p>
    <w:p>
      <w:pPr>
        <w:ind w:left="541" w:right="500" w:hanging="541"/>
        <w:spacing w:after="0" w:line="287" w:lineRule="auto"/>
        <w:tabs>
          <w:tab w:leader="none" w:pos="541" w:val="left"/>
        </w:tabs>
        <w:numPr>
          <w:ilvl w:val="0"/>
          <w:numId w:val="98"/>
        </w:numPr>
        <w:rPr>
          <w:rFonts w:ascii="Arial" w:cs="Arial" w:eastAsia="Arial" w:hAnsi="Arial"/>
          <w:sz w:val="20"/>
          <w:szCs w:val="20"/>
          <w:color w:val="2A2A2A"/>
        </w:rPr>
      </w:pPr>
      <w:r>
        <w:rPr>
          <w:rFonts w:ascii="Arial" w:cs="Arial" w:eastAsia="Arial" w:hAnsi="Arial"/>
          <w:sz w:val="20"/>
          <w:szCs w:val="20"/>
          <w:color w:val="2A2A2A"/>
        </w:rPr>
        <w:t>The company has no restricted stock awards outstanding. All outstanding full-value awards are restricted stock units.</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98"/>
        </w:numPr>
        <w:rPr>
          <w:rFonts w:ascii="Arial" w:cs="Arial" w:eastAsia="Arial" w:hAnsi="Arial"/>
          <w:sz w:val="20"/>
          <w:szCs w:val="20"/>
          <w:color w:val="2A2A2A"/>
        </w:rPr>
      </w:pPr>
      <w:r>
        <w:rPr>
          <w:rFonts w:ascii="Arial" w:cs="Arial" w:eastAsia="Arial" w:hAnsi="Arial"/>
          <w:sz w:val="20"/>
          <w:szCs w:val="20"/>
          <w:color w:val="2A2A2A"/>
        </w:rPr>
        <w:t>As of February 5, 2024, 19,397,411 shares remain available for issuance under the 2009 Plan.</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98"/>
        </w:numPr>
        <w:rPr>
          <w:rFonts w:ascii="Arial" w:cs="Arial" w:eastAsia="Arial" w:hAnsi="Arial"/>
          <w:sz w:val="20"/>
          <w:szCs w:val="20"/>
          <w:color w:val="2A2A2A"/>
        </w:rPr>
      </w:pPr>
      <w:r>
        <w:rPr>
          <w:rFonts w:ascii="Arial" w:cs="Arial" w:eastAsia="Arial" w:hAnsi="Arial"/>
          <w:sz w:val="20"/>
          <w:szCs w:val="20"/>
          <w:color w:val="2A2A2A"/>
        </w:rPr>
        <w:t>As of February 5, 2024, 1,749,265 shares remain available for issuance under the Director Plan.</w:t>
      </w:r>
    </w:p>
    <w:p>
      <w:pPr>
        <w:spacing w:after="0" w:line="130" w:lineRule="exact"/>
        <w:rPr>
          <w:rFonts w:ascii="Arial" w:cs="Arial" w:eastAsia="Arial" w:hAnsi="Arial"/>
          <w:sz w:val="20"/>
          <w:szCs w:val="20"/>
          <w:color w:val="2A2A2A"/>
        </w:rPr>
      </w:pPr>
    </w:p>
    <w:p>
      <w:pPr>
        <w:ind w:left="541" w:right="480" w:hanging="541"/>
        <w:spacing w:after="0" w:line="268" w:lineRule="auto"/>
        <w:tabs>
          <w:tab w:leader="none" w:pos="541" w:val="left"/>
        </w:tabs>
        <w:numPr>
          <w:ilvl w:val="0"/>
          <w:numId w:val="98"/>
        </w:numPr>
        <w:rPr>
          <w:rFonts w:ascii="Arial" w:cs="Arial" w:eastAsia="Arial" w:hAnsi="Arial"/>
          <w:sz w:val="20"/>
          <w:szCs w:val="20"/>
          <w:color w:val="2A2A2A"/>
        </w:rPr>
      </w:pPr>
      <w:r>
        <w:rPr>
          <w:rFonts w:ascii="Arial" w:cs="Arial" w:eastAsia="Arial" w:hAnsi="Arial"/>
          <w:sz w:val="20"/>
          <w:szCs w:val="20"/>
          <w:color w:val="2A2A2A"/>
        </w:rPr>
        <w:t>Consists of the Texas Instruments Long-Term Incentive Plan, the Texas Instruments 2003 Director Compensation Plan and the Texas Instruments 2009 Director Compensation Plan. Each of these plans is closed to future granting activity. This does not include the TI Employees 2014 Stock Purchase Plan.</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Key features of the 2024 Plan</w:t>
      </w:r>
    </w:p>
    <w:p>
      <w:pPr>
        <w:spacing w:after="0" w:line="257" w:lineRule="exact"/>
        <w:rPr>
          <w:sz w:val="20"/>
          <w:szCs w:val="20"/>
          <w:color w:val="auto"/>
        </w:rPr>
      </w:pPr>
    </w:p>
    <w:p>
      <w:pPr>
        <w:ind w:left="1" w:right="100"/>
        <w:spacing w:after="0" w:line="268" w:lineRule="auto"/>
        <w:rPr>
          <w:sz w:val="20"/>
          <w:szCs w:val="20"/>
          <w:color w:val="auto"/>
        </w:rPr>
      </w:pPr>
      <w:r>
        <w:rPr>
          <w:rFonts w:ascii="Arial" w:cs="Arial" w:eastAsia="Arial" w:hAnsi="Arial"/>
          <w:sz w:val="20"/>
          <w:szCs w:val="20"/>
          <w:color w:val="2A2A2A"/>
        </w:rPr>
        <w:t>The full text of the proposed 2024 Plan is set forth in Appendix A to this proxy statement. The principal features of the 2024 Plan are summarized below. The description below is qualified in its entirety by reference to the text of the 2024 Plan.</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Administration</w:t>
      </w:r>
    </w:p>
    <w:p>
      <w:pPr>
        <w:spacing w:after="0" w:line="255" w:lineRule="exact"/>
        <w:rPr>
          <w:sz w:val="20"/>
          <w:szCs w:val="20"/>
          <w:color w:val="auto"/>
        </w:rPr>
      </w:pPr>
    </w:p>
    <w:p>
      <w:pPr>
        <w:ind w:left="1" w:right="60"/>
        <w:spacing w:after="0" w:line="256" w:lineRule="auto"/>
        <w:rPr>
          <w:sz w:val="20"/>
          <w:szCs w:val="20"/>
          <w:color w:val="auto"/>
        </w:rPr>
      </w:pPr>
      <w:r>
        <w:rPr>
          <w:rFonts w:ascii="Arial" w:cs="Arial" w:eastAsia="Arial" w:hAnsi="Arial"/>
          <w:sz w:val="20"/>
          <w:szCs w:val="20"/>
          <w:color w:val="2A2A2A"/>
        </w:rPr>
        <w:t>The 2024 Plan will be administered by a committee of the board designated by the board (the “Committee”). As of the Effective Date, the board intends to designate the compensation committee to administer the 2024 Plan. The Committee will determine grantees, the types of awards to be granted and the applicable terms, provisions and restrictions of such awards. The Committee will also have, among other powers, the power to interpret and construe any provision of the 2024 Plan, adopt rules and regulations for administering the 2024 Plan and perform other acts relating to the 2024 Plan, including, at the Committee’s discretion, the delegation of any administrative responsibilities. Decisions of the Committee will be final and binding on all parties.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Types of awards</w:t>
      </w:r>
    </w:p>
    <w:p>
      <w:pPr>
        <w:spacing w:after="0" w:line="25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2024 Plan provides for the grant of the same types of awards as the 2009 Plan (i) stock options, (ii) SARs,</w:t>
      </w:r>
    </w:p>
    <w:p>
      <w:pPr>
        <w:spacing w:after="0" w:line="30" w:lineRule="exact"/>
        <w:rPr>
          <w:sz w:val="20"/>
          <w:szCs w:val="20"/>
          <w:color w:val="auto"/>
        </w:rPr>
      </w:pPr>
    </w:p>
    <w:p>
      <w:pPr>
        <w:ind w:left="321" w:hanging="321"/>
        <w:spacing w:after="0"/>
        <w:tabs>
          <w:tab w:leader="none" w:pos="321" w:val="left"/>
        </w:tabs>
        <w:numPr>
          <w:ilvl w:val="0"/>
          <w:numId w:val="99"/>
        </w:numPr>
        <w:rPr>
          <w:rFonts w:ascii="Arial" w:cs="Arial" w:eastAsia="Arial" w:hAnsi="Arial"/>
          <w:sz w:val="20"/>
          <w:szCs w:val="20"/>
          <w:color w:val="2A2A2A"/>
        </w:rPr>
      </w:pPr>
      <w:r>
        <w:rPr>
          <w:rFonts w:ascii="Arial" w:cs="Arial" w:eastAsia="Arial" w:hAnsi="Arial"/>
          <w:sz w:val="20"/>
          <w:szCs w:val="20"/>
          <w:color w:val="2A2A2A"/>
        </w:rPr>
        <w:t>restricted stock and restricted stock units, (iv) performance units and (iv) other stock-based awards.</w:t>
      </w:r>
    </w:p>
    <w:p>
      <w:pPr>
        <w:spacing w:after="0" w:line="230" w:lineRule="exact"/>
        <w:rPr>
          <w:rFonts w:ascii="Arial" w:cs="Arial" w:eastAsia="Arial" w:hAnsi="Arial"/>
          <w:sz w:val="20"/>
          <w:szCs w:val="20"/>
          <w:color w:val="2A2A2A"/>
        </w:rPr>
      </w:pPr>
    </w:p>
    <w:p>
      <w:pPr>
        <w:ind w:left="721" w:right="80" w:hanging="361"/>
        <w:spacing w:after="0" w:line="262" w:lineRule="auto"/>
        <w:tabs>
          <w:tab w:leader="none" w:pos="721" w:val="left"/>
        </w:tabs>
        <w:numPr>
          <w:ilvl w:val="1"/>
          <w:numId w:val="99"/>
        </w:numPr>
        <w:rPr>
          <w:rFonts w:ascii="Arial" w:cs="Arial" w:eastAsia="Arial" w:hAnsi="Arial"/>
          <w:sz w:val="20"/>
          <w:szCs w:val="20"/>
          <w:color w:val="2A2A2A"/>
        </w:rPr>
      </w:pPr>
      <w:r>
        <w:rPr>
          <w:rFonts w:ascii="Arial" w:cs="Arial" w:eastAsia="Arial" w:hAnsi="Arial"/>
          <w:sz w:val="20"/>
          <w:szCs w:val="20"/>
          <w:i w:val="1"/>
          <w:iCs w:val="1"/>
          <w:color w:val="2A2A2A"/>
        </w:rPr>
        <w:t xml:space="preserve">Stock options </w:t>
      </w:r>
      <w:r>
        <w:rPr>
          <w:rFonts w:ascii="Arial" w:cs="Arial" w:eastAsia="Arial" w:hAnsi="Arial"/>
          <w:sz w:val="20"/>
          <w:szCs w:val="20"/>
          <w:color w:val="2A2A2A"/>
        </w:rPr>
        <w:t>– Stock options are rights to purchase shares of common stock at a price and during a period</w:t>
      </w:r>
      <w:r>
        <w:rPr>
          <w:rFonts w:ascii="Arial" w:cs="Arial" w:eastAsia="Arial" w:hAnsi="Arial"/>
          <w:sz w:val="20"/>
          <w:szCs w:val="20"/>
          <w:i w:val="1"/>
          <w:iCs w:val="1"/>
          <w:color w:val="2A2A2A"/>
        </w:rPr>
        <w:t xml:space="preserve"> </w:t>
      </w:r>
      <w:r>
        <w:rPr>
          <w:rFonts w:ascii="Arial" w:cs="Arial" w:eastAsia="Arial" w:hAnsi="Arial"/>
          <w:sz w:val="20"/>
          <w:szCs w:val="20"/>
          <w:color w:val="2A2A2A"/>
        </w:rPr>
        <w:t>determined by the Committee. The exercise price of an option will not be less than the fair market value of the common stock on the date of the option grant. Options generally expire no later than 10 years after the date of grant except that the Committee may provide for a longer term to comply with local law.</w:t>
      </w:r>
    </w:p>
    <w:p>
      <w:pPr>
        <w:spacing w:after="0" w:line="15" w:lineRule="exact"/>
        <w:rPr>
          <w:rFonts w:ascii="Arial" w:cs="Arial" w:eastAsia="Arial" w:hAnsi="Arial"/>
          <w:sz w:val="20"/>
          <w:szCs w:val="20"/>
          <w:color w:val="2A2A2A"/>
        </w:rPr>
      </w:pPr>
    </w:p>
    <w:p>
      <w:pPr>
        <w:ind w:left="721" w:right="220" w:hanging="361"/>
        <w:spacing w:after="0" w:line="289" w:lineRule="auto"/>
        <w:tabs>
          <w:tab w:leader="none" w:pos="721" w:val="left"/>
        </w:tabs>
        <w:numPr>
          <w:ilvl w:val="1"/>
          <w:numId w:val="99"/>
        </w:numPr>
        <w:rPr>
          <w:rFonts w:ascii="Arial" w:cs="Arial" w:eastAsia="Arial" w:hAnsi="Arial"/>
          <w:sz w:val="19"/>
          <w:szCs w:val="19"/>
          <w:color w:val="2A2A2A"/>
        </w:rPr>
      </w:pPr>
      <w:r>
        <w:rPr>
          <w:rFonts w:ascii="Arial" w:cs="Arial" w:eastAsia="Arial" w:hAnsi="Arial"/>
          <w:sz w:val="19"/>
          <w:szCs w:val="19"/>
          <w:i w:val="1"/>
          <w:iCs w:val="1"/>
          <w:color w:val="2A2A2A"/>
        </w:rPr>
        <w:t xml:space="preserve">Stock appreciation rights </w:t>
      </w:r>
      <w:r>
        <w:rPr>
          <w:rFonts w:ascii="Arial" w:cs="Arial" w:eastAsia="Arial" w:hAnsi="Arial"/>
          <w:sz w:val="19"/>
          <w:szCs w:val="19"/>
          <w:color w:val="2A2A2A"/>
        </w:rPr>
        <w:t>– A SAR entitled a participant to receive, upon exercise, an amount equal to the</w:t>
      </w:r>
      <w:r>
        <w:rPr>
          <w:rFonts w:ascii="Arial" w:cs="Arial" w:eastAsia="Arial" w:hAnsi="Arial"/>
          <w:sz w:val="19"/>
          <w:szCs w:val="19"/>
          <w:i w:val="1"/>
          <w:iCs w:val="1"/>
          <w:color w:val="2A2A2A"/>
        </w:rPr>
        <w:t xml:space="preserve"> </w:t>
      </w:r>
      <w:r>
        <w:rPr>
          <w:rFonts w:ascii="Arial" w:cs="Arial" w:eastAsia="Arial" w:hAnsi="Arial"/>
          <w:sz w:val="19"/>
          <w:szCs w:val="19"/>
          <w:color w:val="2A2A2A"/>
        </w:rPr>
        <w:t>excess of (i) the fair market value of one share of common stock on the date of exercise (or any date or dates during a specified period before the date of exercise) over (ii) the grant price of the SAR on the date</w:t>
      </w:r>
    </w:p>
    <w:p>
      <w:pPr>
        <w:sectPr>
          <w:pgSz w:w="12240" w:h="15840" w:orient="portrait"/>
          <w:cols w:equalWidth="0" w:num="1">
            <w:col w:w="10281"/>
          </w:cols>
          <w:pgMar w:left="979" w:top="664" w:right="980" w:bottom="33"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22</w:t>
      </w:r>
    </w:p>
    <w:p>
      <w:pPr>
        <w:sectPr>
          <w:pgSz w:w="12240" w:h="15840" w:orient="portrait"/>
          <w:cols w:equalWidth="0" w:num="1">
            <w:col w:w="10281"/>
          </w:cols>
          <w:pgMar w:left="979" w:top="664" w:right="980" w:bottom="33" w:gutter="0" w:footer="0" w:header="0"/>
          <w:type w:val="continuous"/>
        </w:sectPr>
      </w:pPr>
    </w:p>
    <w:bookmarkStart w:id="94" w:name="page95"/>
    <w:bookmarkEnd w:id="94"/>
    <w:p>
      <w:pPr>
        <w:ind w:left="720" w:right="20"/>
        <w:spacing w:after="0" w:line="281" w:lineRule="auto"/>
        <w:rPr>
          <w:sz w:val="20"/>
          <w:szCs w:val="20"/>
          <w:color w:val="auto"/>
        </w:rPr>
      </w:pPr>
      <w:r>
        <w:rPr>
          <w:rFonts w:ascii="Arial" w:cs="Arial" w:eastAsia="Arial" w:hAnsi="Arial"/>
          <w:sz w:val="20"/>
          <w:szCs w:val="20"/>
          <w:color w:val="2A2A2A"/>
        </w:rPr>
        <w:t>of grant. SARs generally expire no later than 10 years after the date of grant except that the Committee may provide for a longer term to comply with local law.</w:t>
      </w:r>
    </w:p>
    <w:p>
      <w:pPr>
        <w:spacing w:after="0" w:line="1" w:lineRule="exact"/>
        <w:rPr>
          <w:sz w:val="20"/>
          <w:szCs w:val="20"/>
          <w:color w:val="auto"/>
        </w:rPr>
      </w:pPr>
    </w:p>
    <w:p>
      <w:pPr>
        <w:ind w:left="720" w:right="160" w:hanging="361"/>
        <w:spacing w:after="0" w:line="257" w:lineRule="auto"/>
        <w:tabs>
          <w:tab w:leader="none" w:pos="720" w:val="left"/>
        </w:tabs>
        <w:numPr>
          <w:ilvl w:val="0"/>
          <w:numId w:val="100"/>
        </w:numPr>
        <w:rPr>
          <w:rFonts w:ascii="Arial" w:cs="Arial" w:eastAsia="Arial" w:hAnsi="Arial"/>
          <w:sz w:val="20"/>
          <w:szCs w:val="20"/>
          <w:color w:val="2A2A2A"/>
        </w:rPr>
      </w:pPr>
      <w:r>
        <w:rPr>
          <w:rFonts w:ascii="Arial" w:cs="Arial" w:eastAsia="Arial" w:hAnsi="Arial"/>
          <w:sz w:val="20"/>
          <w:szCs w:val="20"/>
          <w:i w:val="1"/>
          <w:iCs w:val="1"/>
          <w:color w:val="2A2A2A"/>
        </w:rPr>
        <w:t xml:space="preserve">Restricted stock and restricted stock units </w:t>
      </w:r>
      <w:r>
        <w:rPr>
          <w:rFonts w:ascii="Arial" w:cs="Arial" w:eastAsia="Arial" w:hAnsi="Arial"/>
          <w:sz w:val="20"/>
          <w:szCs w:val="20"/>
          <w:color w:val="2A2A2A"/>
        </w:rPr>
        <w:t>– Restricted stock is any share of common stock issued with the</w:t>
      </w:r>
      <w:r>
        <w:rPr>
          <w:rFonts w:ascii="Arial" w:cs="Arial" w:eastAsia="Arial" w:hAnsi="Arial"/>
          <w:sz w:val="20"/>
          <w:szCs w:val="20"/>
          <w:i w:val="1"/>
          <w:iCs w:val="1"/>
          <w:color w:val="2A2A2A"/>
        </w:rPr>
        <w:t xml:space="preserve"> </w:t>
      </w:r>
      <w:r>
        <w:rPr>
          <w:rFonts w:ascii="Arial" w:cs="Arial" w:eastAsia="Arial" w:hAnsi="Arial"/>
          <w:sz w:val="20"/>
          <w:szCs w:val="20"/>
          <w:color w:val="2A2A2A"/>
        </w:rPr>
        <w:t>restrictions that the Committee, in its sole discretion, may impose. Restricted Stock Units (“RSUs”) represent the right to receive shares of common stock in the future, with the right to future delivery of the shares also subject to restrictions that the Committee, in its sole discretion, may impose. Restrictions on restricted stock and RSUs may lapse separately or in combination at such times, in installments or otherwise, as the Committee deems appropriate.</w:t>
      </w:r>
    </w:p>
    <w:p>
      <w:pPr>
        <w:spacing w:after="0" w:line="22" w:lineRule="exact"/>
        <w:rPr>
          <w:rFonts w:ascii="Arial" w:cs="Arial" w:eastAsia="Arial" w:hAnsi="Arial"/>
          <w:sz w:val="20"/>
          <w:szCs w:val="20"/>
          <w:color w:val="2A2A2A"/>
        </w:rPr>
      </w:pPr>
    </w:p>
    <w:p>
      <w:pPr>
        <w:ind w:left="720" w:right="120" w:hanging="361"/>
        <w:spacing w:after="0" w:line="280" w:lineRule="auto"/>
        <w:tabs>
          <w:tab w:leader="none" w:pos="720" w:val="left"/>
        </w:tabs>
        <w:numPr>
          <w:ilvl w:val="0"/>
          <w:numId w:val="100"/>
        </w:numPr>
        <w:rPr>
          <w:rFonts w:ascii="Arial" w:cs="Arial" w:eastAsia="Arial" w:hAnsi="Arial"/>
          <w:sz w:val="19"/>
          <w:szCs w:val="19"/>
          <w:color w:val="2A2A2A"/>
        </w:rPr>
      </w:pPr>
      <w:r>
        <w:rPr>
          <w:rFonts w:ascii="Arial" w:cs="Arial" w:eastAsia="Arial" w:hAnsi="Arial"/>
          <w:sz w:val="19"/>
          <w:szCs w:val="19"/>
          <w:i w:val="1"/>
          <w:iCs w:val="1"/>
          <w:color w:val="2A2A2A"/>
        </w:rPr>
        <w:t xml:space="preserve">Performance units </w:t>
      </w:r>
      <w:r>
        <w:rPr>
          <w:rFonts w:ascii="Arial" w:cs="Arial" w:eastAsia="Arial" w:hAnsi="Arial"/>
          <w:sz w:val="19"/>
          <w:szCs w:val="19"/>
          <w:color w:val="2A2A2A"/>
        </w:rPr>
        <w:t>– The 2024 Plan authorizes the grant of awards in the form of performance units,</w:t>
      </w:r>
      <w:r>
        <w:rPr>
          <w:rFonts w:ascii="Arial" w:cs="Arial" w:eastAsia="Arial" w:hAnsi="Arial"/>
          <w:sz w:val="19"/>
          <w:szCs w:val="19"/>
          <w:i w:val="1"/>
          <w:iCs w:val="1"/>
          <w:color w:val="2A2A2A"/>
        </w:rPr>
        <w:t xml:space="preserve"> </w:t>
      </w:r>
      <w:r>
        <w:rPr>
          <w:rFonts w:ascii="Arial" w:cs="Arial" w:eastAsia="Arial" w:hAnsi="Arial"/>
          <w:sz w:val="19"/>
          <w:szCs w:val="19"/>
          <w:color w:val="2A2A2A"/>
        </w:rPr>
        <w:t>denominated or payable in cash, shares, or other awards provided under the 2024 Plan, which are payable or exercisable by the holder of such performance unit, in whole or in part, upon the achievement of such performance goals during such performance period as determined by the Committee in its sole discretion.</w:t>
      </w:r>
    </w:p>
    <w:p>
      <w:pPr>
        <w:ind w:left="720" w:right="100" w:hanging="361"/>
        <w:spacing w:after="0" w:line="262" w:lineRule="auto"/>
        <w:tabs>
          <w:tab w:leader="none" w:pos="720" w:val="left"/>
        </w:tabs>
        <w:numPr>
          <w:ilvl w:val="0"/>
          <w:numId w:val="100"/>
        </w:numPr>
        <w:rPr>
          <w:rFonts w:ascii="Arial" w:cs="Arial" w:eastAsia="Arial" w:hAnsi="Arial"/>
          <w:sz w:val="20"/>
          <w:szCs w:val="20"/>
          <w:color w:val="2A2A2A"/>
        </w:rPr>
      </w:pPr>
      <w:r>
        <w:rPr>
          <w:rFonts w:ascii="Arial" w:cs="Arial" w:eastAsia="Arial" w:hAnsi="Arial"/>
          <w:sz w:val="20"/>
          <w:szCs w:val="20"/>
          <w:i w:val="1"/>
          <w:iCs w:val="1"/>
          <w:color w:val="2A2A2A"/>
        </w:rPr>
        <w:t xml:space="preserve">Other stock-based awards </w:t>
      </w:r>
      <w:r>
        <w:rPr>
          <w:rFonts w:ascii="Arial" w:cs="Arial" w:eastAsia="Arial" w:hAnsi="Arial"/>
          <w:sz w:val="20"/>
          <w:szCs w:val="20"/>
          <w:color w:val="2A2A2A"/>
        </w:rPr>
        <w:t>– The 2024 Plan authorizes the grant of awards in the form of stock-based</w:t>
      </w:r>
      <w:r>
        <w:rPr>
          <w:rFonts w:ascii="Arial" w:cs="Arial" w:eastAsia="Arial" w:hAnsi="Arial"/>
          <w:sz w:val="20"/>
          <w:szCs w:val="20"/>
          <w:i w:val="1"/>
          <w:iCs w:val="1"/>
          <w:color w:val="2A2A2A"/>
        </w:rPr>
        <w:t xml:space="preserve"> </w:t>
      </w:r>
      <w:r>
        <w:rPr>
          <w:rFonts w:ascii="Arial" w:cs="Arial" w:eastAsia="Arial" w:hAnsi="Arial"/>
          <w:sz w:val="20"/>
          <w:szCs w:val="20"/>
          <w:color w:val="2A2A2A"/>
        </w:rPr>
        <w:t>awards, as valued in whole or in part by reference to or otherwise based on common stock of the company, and as deemed to be consistent with the purposes of the 2024 Plan. The Committee will determine the terms and conditions of such awards.</w:t>
      </w:r>
    </w:p>
    <w:p>
      <w:pPr>
        <w:spacing w:after="0" w:line="196" w:lineRule="exact"/>
        <w:rPr>
          <w:sz w:val="20"/>
          <w:szCs w:val="20"/>
          <w:color w:val="auto"/>
        </w:rPr>
      </w:pPr>
    </w:p>
    <w:p>
      <w:pPr>
        <w:ind w:right="580"/>
        <w:spacing w:after="0" w:line="268" w:lineRule="auto"/>
        <w:rPr>
          <w:sz w:val="20"/>
          <w:szCs w:val="20"/>
          <w:color w:val="auto"/>
        </w:rPr>
      </w:pPr>
      <w:r>
        <w:rPr>
          <w:rFonts w:ascii="Arial" w:cs="Arial" w:eastAsia="Arial" w:hAnsi="Arial"/>
          <w:sz w:val="20"/>
          <w:szCs w:val="20"/>
          <w:color w:val="2A2A2A"/>
        </w:rPr>
        <w:t>Any awards under the 2024 Plan may, but need not, be subject to the satisfaction of one or more performance goals. Awards will be made subject to one or more performance goals if the Committee determines that such awards are in the best interest of the company and its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Share reserve</w:t>
      </w: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Under the 2024 Plan, the number of shares of common stock available for issuance will be 33,000,000 shares, subject to adjustment by the Committee for stock splits, recapitalization, dividend or other distribution, reorganization and other corporate events or transactions as set forth in the 2024 Plan, plus any shares under awards granted under the 2009 Plan that expire or are forfeited or cancelled. For any awards granted under 2009 Plan after February 5, 2024 and prior to the Effective Date, we will reduce the initial share reserve under the 2024 Plan on a share per share basis. Shares underlying awards that the company makes in assumption of, or in substitution for, awards previously granted by a company that the company acquires (“Substitute Awards”) will not count against the shares authorized for issuance under the 2024 Plan.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2A2A2A"/>
        </w:rPr>
        <w:t>If our stockholders approve the 2024 Plan, we will file with the U.S. Securities Exchange Commission a registration statement on Form S-8, as soon as reasonably practicable after the approval, to register the shares available for issuance under the 2024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Exercise price</w:t>
      </w: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2A2A2A"/>
        </w:rPr>
        <w:t>Except in the case of Substitute Awards and except as a result of a corporate adjustment event described above, stock options, SARs and similar stock-based awards under the 2024 Plan with an exercise or purchase price will not have an exercise or a purchase price (or equivalent) of less than 100% of the fair market value of the stock on the date the Committee grants the stock option or award. Determinations of fair market value under the 2024 Plan are made in accordance with methods or procedures established by the Committee.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Eligibility and participation</w:t>
      </w: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A2A2A"/>
        </w:rPr>
        <w:t>Any employee of the company and its subsidiaries and affiliates, including any officer or employee-director, and any individual who provides services to the company or its subsidiaries and affiliates as an independent contractor will be eligible to receive awards under the 2024 Plan. Non-employee directors will not be eligible for awards under the 2024 Plan. As of February 5, 2024, the company had approximately 34,000 employees who are eligible to be considered for awards under the 2024 Plan, including officers and employee-directors. The company may also grant awards to any individual who provides services to the company as an independent contractor. The basis for participation in the 2024 Plan is the Committee’s decision, in its sole discretion, that an award to an eligible participant will further the 2024 Plan’s purposes of enhancing the ability of the company to attract and retain exceptionally qualified individuals and to encourage them to acquire a proprietary interest in the growth and performance of the company.</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23</w:t>
      </w:r>
    </w:p>
    <w:p>
      <w:pPr>
        <w:sectPr>
          <w:pgSz w:w="12240" w:h="15840" w:orient="portrait"/>
          <w:cols w:equalWidth="0" w:num="1">
            <w:col w:w="10280"/>
          </w:cols>
          <w:pgMar w:left="980" w:top="664" w:right="980" w:bottom="33" w:gutter="0" w:footer="0" w:header="0"/>
          <w:type w:val="continuous"/>
        </w:sectPr>
      </w:pPr>
    </w:p>
    <w:bookmarkStart w:id="95" w:name="page96"/>
    <w:bookmarkEnd w:id="95"/>
    <w:p>
      <w:pPr>
        <w:spacing w:after="0"/>
        <w:rPr>
          <w:sz w:val="20"/>
          <w:szCs w:val="20"/>
          <w:color w:val="auto"/>
        </w:rPr>
      </w:pPr>
      <w:r>
        <w:rPr>
          <w:rFonts w:ascii="Arial" w:cs="Arial" w:eastAsia="Arial" w:hAnsi="Arial"/>
          <w:sz w:val="22"/>
          <w:szCs w:val="22"/>
          <w:i w:val="1"/>
          <w:iCs w:val="1"/>
          <w:color w:val="2A2A2A"/>
        </w:rPr>
        <w:t>Term, amendment and termination</w:t>
      </w: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The 2024 Plan will become effective on the Effective Date and will terminate on the 10th anniversary of the Effective Date, subject to any extension that may be approved by the board and the stockholders prior to or on such date. No award may be made under the 2024 Plan after its termination date. The board may amend or terminate the 2024 Plan at any time and for any reason, provided that any such amendment or termination will be subject to stockholder approval to the extent required by applicable laws, regulations or rules. No action by the board regarding amendment or termination of the 2024 Plan may materially adversely affect the rights of any participants under any outstanding awards under the 2024 Plan without the consent of the affected participant, unless the board determines that such action is necessary or desirable to facilitate compliance with applicable laws, rules or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Change in control</w:t>
      </w:r>
    </w:p>
    <w:p>
      <w:pPr>
        <w:spacing w:after="0" w:line="255" w:lineRule="exact"/>
        <w:rPr>
          <w:sz w:val="20"/>
          <w:szCs w:val="20"/>
          <w:color w:val="auto"/>
        </w:rPr>
      </w:pPr>
    </w:p>
    <w:p>
      <w:pPr>
        <w:ind w:right="380"/>
        <w:spacing w:after="0" w:line="256" w:lineRule="auto"/>
        <w:rPr>
          <w:sz w:val="20"/>
          <w:szCs w:val="20"/>
          <w:color w:val="auto"/>
        </w:rPr>
      </w:pPr>
      <w:r>
        <w:rPr>
          <w:rFonts w:ascii="Arial" w:cs="Arial" w:eastAsia="Arial" w:hAnsi="Arial"/>
          <w:sz w:val="20"/>
          <w:szCs w:val="20"/>
          <w:color w:val="2A2A2A"/>
        </w:rPr>
        <w:t>If a grantee is involuntarily terminated from employment with the company within 24 months after a change in control of the company, then unless specifically provided to the contrary in the award agreement or otherwise determined by the Committee, (i) awards held by the grantee will become fully vested and exercisable and any restrictions applicable to the awards will lapse and (ii) to the extent permitted without additional tax or penalty by Section 409A of the Code (defined below), the shares underlying restricted stock units will be issued as soon as practicable after the grantee’s involuntary termination (or if additional tax or penalty would apply to accelerated issuance, the shares will not be issued until the issuance date specified in the award agreement).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Recoupment/Clawback</w:t>
      </w:r>
    </w:p>
    <w:p>
      <w:pPr>
        <w:spacing w:after="0" w:line="25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A2A2A"/>
        </w:rPr>
        <w:t>Awards granted under the 2024 Plan will be subject to any provisions of applicable law providing for the recoupment or clawback of incentive compensation, such as provisions imposed pursuant to the Dodd-Frank Wall Street Reform and Consumer Protection Act, the terms of any company recoupment, clawback or similar policy in effect at the time of grant of the award and any recoupment, clawback or similar provisions that may be included in the applicable award agreement. The company’s clawback policy requires that any incentive compensation paid to any current or former executive officer is subject to clawback if the incentive compensation was calculated based on financial statements that were required to be restated due to material noncompliance with financial reporting requirements and that such noncompliance resulted in overpayment of the incentive compensation within the three fiscal years preceding the date the restatement was required. Any incentive compensation that the executive should not have received if the financial statements that were required to be restated due to material noncompliance with financial reporting requirements had been reported properly is subject to clawback. In addition, the company may determine whether and to what extent additional recoupment of any executive compensation is appropriate, including with respect to fraud or willful misconduct. The company’s clawback policy does not limit the ability of the company to pursue forfeiture or reclaim payments under other legal rights.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New plan benefits</w:t>
      </w: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A new plan benefits table for the 2024 Plan and the benefits or amounts that would have been received by or allocated to participants for the last completed year under the 2024 Plan if the 2024 Plan was then in effect, as described in the federal proxy rules, are not provided because all awards under the 2024 Plan may be made at the discretion of the Committee, and any awards that may be made and any benefits and amounts that may be received or allocated under the 2024 Plan in the future are not determinable at this time. As of the date of this proxy statement, no awards have been granted under the 2024 Plan. Please refer to the Summary Compensation Table for the preceding fiscal year in this proxy statement which sets forth certain information regarding awards granted to our named executive officers during the preceding fiscal year.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Tax matters</w:t>
      </w:r>
    </w:p>
    <w:p>
      <w:pPr>
        <w:spacing w:after="0" w:line="257" w:lineRule="exact"/>
        <w:rPr>
          <w:sz w:val="20"/>
          <w:szCs w:val="20"/>
          <w:color w:val="auto"/>
        </w:rPr>
      </w:pPr>
    </w:p>
    <w:p>
      <w:pPr>
        <w:ind w:right="340"/>
        <w:spacing w:after="0" w:line="287" w:lineRule="auto"/>
        <w:rPr>
          <w:sz w:val="20"/>
          <w:szCs w:val="20"/>
          <w:color w:val="auto"/>
        </w:rPr>
      </w:pPr>
      <w:r>
        <w:rPr>
          <w:rFonts w:ascii="Arial" w:cs="Arial" w:eastAsia="Arial" w:hAnsi="Arial"/>
          <w:sz w:val="20"/>
          <w:szCs w:val="20"/>
          <w:color w:val="2A2A2A"/>
        </w:rPr>
        <w:t>The following summary is limited to the U.S. federal tax laws. It does not include the tax laws of any municipality, state or foreign country in which the participant resides.</w:t>
      </w:r>
    </w:p>
    <w:p>
      <w:pPr>
        <w:sectPr>
          <w:pgSz w:w="12240" w:h="15840" w:orient="portrait"/>
          <w:cols w:equalWidth="0" w:num="1">
            <w:col w:w="10260"/>
          </w:cols>
          <w:pgMar w:left="980" w:top="660"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24</w:t>
      </w:r>
    </w:p>
    <w:p>
      <w:pPr>
        <w:sectPr>
          <w:pgSz w:w="12240" w:h="15840" w:orient="portrait"/>
          <w:cols w:equalWidth="0" w:num="1">
            <w:col w:w="10260"/>
          </w:cols>
          <w:pgMar w:left="980" w:top="660" w:right="1000" w:bottom="33" w:gutter="0" w:footer="0" w:header="0"/>
          <w:type w:val="continuous"/>
        </w:sectPr>
      </w:pPr>
    </w:p>
    <w:bookmarkStart w:id="96" w:name="page97"/>
    <w:bookmarkEnd w:id="96"/>
    <w:p>
      <w:pPr>
        <w:spacing w:after="0"/>
        <w:rPr>
          <w:sz w:val="20"/>
          <w:szCs w:val="20"/>
          <w:color w:val="auto"/>
        </w:rPr>
      </w:pPr>
      <w:r>
        <w:rPr>
          <w:rFonts w:ascii="Arial" w:cs="Arial" w:eastAsia="Arial" w:hAnsi="Arial"/>
          <w:sz w:val="22"/>
          <w:szCs w:val="22"/>
          <w:i w:val="1"/>
          <w:iCs w:val="1"/>
          <w:color w:val="2A2A2A"/>
        </w:rPr>
        <w:t>Stock options</w:t>
      </w:r>
    </w:p>
    <w:p>
      <w:pPr>
        <w:spacing w:after="0" w:line="255" w:lineRule="exact"/>
        <w:rPr>
          <w:sz w:val="20"/>
          <w:szCs w:val="20"/>
          <w:color w:val="auto"/>
        </w:rPr>
      </w:pPr>
    </w:p>
    <w:p>
      <w:pPr>
        <w:spacing w:after="0" w:line="252" w:lineRule="auto"/>
        <w:rPr>
          <w:sz w:val="20"/>
          <w:szCs w:val="20"/>
          <w:color w:val="auto"/>
        </w:rPr>
      </w:pPr>
      <w:r>
        <w:rPr>
          <w:rFonts w:ascii="Arial" w:cs="Arial" w:eastAsia="Arial" w:hAnsi="Arial"/>
          <w:sz w:val="20"/>
          <w:szCs w:val="20"/>
          <w:color w:val="2A2A2A"/>
        </w:rPr>
        <w:t>Counsel for the company has advised that a participant will recognize no income under the Internal Revenue Code, as amended (the “Code”) upon the receipt of any stock option award. In the case of an incentive stock option, if a participant exercises the stock option during or within three months of employment and does not dispose of the shares within two years of the date of grant or one year after the transfer of the shares to the participant, the participant will be entitled for federal income tax purposes to treat any profit which may be recognized upon the disposition of the shares as a long-term capital gain. In contrast, a participant who receives a stock option under the 2024 Plan that is not an incentive stock option or who does not comply with the conditions noted above will generally recognize ordinary income at the time of exercise in the amount of the excess, if any, of the fair market value of the stock on the date of exercise over the stock option price. Such ordinary income generally is subject to withholding of income and employment taxes. The company should be entitled to a deduction for federal income tax purposes equal to the amount of ordinary income, if any, recognized by a participant who (i) exercises a stock option that is not an incentive stock option, or (ii) disposes of stock that was acquired pursuant to the exercise of an incentive stock option prior to the end of the required holding period described above, except to the extent such tax deduction is limited by applicable provisions of the Code. In the case of incentive stock options, any excess of the fair market value of the stock at the time of exercise over the stock option price would be an item of income for purposes of the participant’s alternative minimum tax.</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Stock appreciation rights</w:t>
      </w:r>
    </w:p>
    <w:p>
      <w:pPr>
        <w:spacing w:after="0" w:line="255"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Counsel for the company has advised that a participant will recognize no income under the Code upon the receipt of a stock appreciation right. Upon receipt of shares pursuant to the exercise of a stock appreciation right, participants will recognize ordinary income in the year of receipt in an amount equal to the fair market value of any shares received. Such ordinary income generally is subject to withholding of income and employment taxes.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Restricted stock units and stock-based awards</w:t>
      </w: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Counsel for the company has advised that a participant will recognize no income under the Code upon the receipt of an unvested restricted stock unit award or stock-based award. Upon the settlement of a restricted stock unit or stock-based award, participants will recognize ordinary income in the year of receipt in an amount equal to the fair market value of any shares received. Such ordinary income generally is subject to withholding of income and employment taxes. Upon the sale of any shares received, any gain or loss, based on the difference between the sale price and the fair market value on the date of settlement, will be taxed as capital gain or loss. The company should be entitled to a deduction for federal income tax purposes equal to the amount of ordinary income recognized by the participant on the determination date, except to the extent such deduction is limited by applicable provisions of the Code.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The board of directors recommends a vote For the Texas Instruments 2024 Long-Term Incentive Plan.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Director compensation</w:t>
      </w:r>
    </w:p>
    <w:p>
      <w:pPr>
        <w:spacing w:after="0" w:line="257"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2A2A2A"/>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A2A2A"/>
        </w:rPr>
        <w:t>The compensation arrangements in 2023 for the non-employee directors were:</w:t>
      </w:r>
    </w:p>
    <w:p>
      <w:pPr>
        <w:spacing w:after="0" w:line="250" w:lineRule="exact"/>
        <w:rPr>
          <w:sz w:val="20"/>
          <w:szCs w:val="20"/>
          <w:color w:val="auto"/>
        </w:rPr>
      </w:pPr>
    </w:p>
    <w:p>
      <w:pPr>
        <w:ind w:left="720" w:hanging="361"/>
        <w:spacing w:after="0"/>
        <w:tabs>
          <w:tab w:leader="none" w:pos="720" w:val="left"/>
        </w:tabs>
        <w:numPr>
          <w:ilvl w:val="0"/>
          <w:numId w:val="101"/>
        </w:numPr>
        <w:rPr>
          <w:rFonts w:ascii="Arial" w:cs="Arial" w:eastAsia="Arial" w:hAnsi="Arial"/>
          <w:sz w:val="20"/>
          <w:szCs w:val="20"/>
          <w:color w:val="2A2A2A"/>
        </w:rPr>
      </w:pPr>
      <w:r>
        <w:rPr>
          <w:rFonts w:ascii="Arial" w:cs="Arial" w:eastAsia="Arial" w:hAnsi="Arial"/>
          <w:sz w:val="20"/>
          <w:szCs w:val="20"/>
          <w:color w:val="2A2A2A"/>
        </w:rPr>
        <w:t>Annual retainer of $110,000 for board and committee service.</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101"/>
        </w:numPr>
        <w:rPr>
          <w:rFonts w:ascii="Arial" w:cs="Arial" w:eastAsia="Arial" w:hAnsi="Arial"/>
          <w:sz w:val="20"/>
          <w:szCs w:val="20"/>
          <w:color w:val="2A2A2A"/>
        </w:rPr>
      </w:pPr>
      <w:r>
        <w:rPr>
          <w:rFonts w:ascii="Arial" w:cs="Arial" w:eastAsia="Arial" w:hAnsi="Arial"/>
          <w:sz w:val="20"/>
          <w:szCs w:val="20"/>
          <w:color w:val="2A2A2A"/>
        </w:rPr>
        <w:t>Additional annual retainer of $40,000 for service as the lead director.</w:t>
      </w:r>
    </w:p>
    <w:p>
      <w:pPr>
        <w:sectPr>
          <w:pgSz w:w="12240" w:h="15840" w:orient="portrait"/>
          <w:cols w:equalWidth="0" w:num="1">
            <w:col w:w="10260"/>
          </w:cols>
          <w:pgMar w:left="980" w:top="660"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25</w:t>
      </w:r>
    </w:p>
    <w:p>
      <w:pPr>
        <w:sectPr>
          <w:pgSz w:w="12240" w:h="15840" w:orient="portrait"/>
          <w:cols w:equalWidth="0" w:num="1">
            <w:col w:w="10260"/>
          </w:cols>
          <w:pgMar w:left="980" w:top="660" w:right="1000" w:bottom="33" w:gutter="0" w:footer="0" w:header="0"/>
          <w:type w:val="continuous"/>
        </w:sectPr>
      </w:pPr>
    </w:p>
    <w:bookmarkStart w:id="97" w:name="page98"/>
    <w:bookmarkEnd w:id="97"/>
    <w:p>
      <w:pPr>
        <w:ind w:left="720" w:right="460" w:hanging="361"/>
        <w:spacing w:after="0" w:line="281" w:lineRule="auto"/>
        <w:tabs>
          <w:tab w:leader="none" w:pos="720" w:val="left"/>
        </w:tabs>
        <w:numPr>
          <w:ilvl w:val="0"/>
          <w:numId w:val="102"/>
        </w:numPr>
        <w:rPr>
          <w:rFonts w:ascii="Arial" w:cs="Arial" w:eastAsia="Arial" w:hAnsi="Arial"/>
          <w:sz w:val="20"/>
          <w:szCs w:val="20"/>
          <w:color w:val="2A2A2A"/>
        </w:rPr>
      </w:pPr>
      <w:r>
        <w:rPr>
          <w:rFonts w:ascii="Arial" w:cs="Arial" w:eastAsia="Arial" w:hAnsi="Arial"/>
          <w:sz w:val="20"/>
          <w:szCs w:val="20"/>
          <w:color w:val="2A2A2A"/>
        </w:rPr>
        <w:t>Additional annual retainer of $35,000 for service as chair of the audit committee; $25,000 for service as chair of the compensation committee; and $20,000 for service as chair of the GSR committee.</w:t>
      </w:r>
    </w:p>
    <w:p>
      <w:pPr>
        <w:spacing w:after="0" w:line="1" w:lineRule="exact"/>
        <w:rPr>
          <w:rFonts w:ascii="Arial" w:cs="Arial" w:eastAsia="Arial" w:hAnsi="Arial"/>
          <w:sz w:val="20"/>
          <w:szCs w:val="20"/>
          <w:color w:val="2A2A2A"/>
        </w:rPr>
      </w:pPr>
    </w:p>
    <w:p>
      <w:pPr>
        <w:ind w:left="720" w:right="20" w:hanging="361"/>
        <w:spacing w:after="0" w:line="253" w:lineRule="auto"/>
        <w:tabs>
          <w:tab w:leader="none" w:pos="720" w:val="left"/>
        </w:tabs>
        <w:numPr>
          <w:ilvl w:val="0"/>
          <w:numId w:val="102"/>
        </w:numPr>
        <w:rPr>
          <w:rFonts w:ascii="Arial" w:cs="Arial" w:eastAsia="Arial" w:hAnsi="Arial"/>
          <w:sz w:val="20"/>
          <w:szCs w:val="20"/>
          <w:color w:val="2A2A2A"/>
        </w:rPr>
      </w:pPr>
      <w:r>
        <w:rPr>
          <w:rFonts w:ascii="Arial" w:cs="Arial" w:eastAsia="Arial" w:hAnsi="Arial"/>
          <w:sz w:val="20"/>
          <w:szCs w:val="20"/>
          <w:color w:val="2A2A2A"/>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30" w:lineRule="exact"/>
        <w:rPr>
          <w:rFonts w:ascii="Arial" w:cs="Arial" w:eastAsia="Arial" w:hAnsi="Arial"/>
          <w:sz w:val="20"/>
          <w:szCs w:val="20"/>
          <w:color w:val="2A2A2A"/>
        </w:rPr>
      </w:pPr>
    </w:p>
    <w:p>
      <w:pPr>
        <w:ind w:left="720" w:hanging="361"/>
        <w:spacing w:after="0" w:line="254" w:lineRule="auto"/>
        <w:tabs>
          <w:tab w:leader="none" w:pos="720" w:val="left"/>
        </w:tabs>
        <w:numPr>
          <w:ilvl w:val="0"/>
          <w:numId w:val="102"/>
        </w:numPr>
        <w:rPr>
          <w:rFonts w:ascii="Arial" w:cs="Arial" w:eastAsia="Arial" w:hAnsi="Arial"/>
          <w:sz w:val="20"/>
          <w:szCs w:val="20"/>
          <w:color w:val="2A2A2A"/>
        </w:rPr>
      </w:pPr>
      <w:r>
        <w:rPr>
          <w:rFonts w:ascii="Arial" w:cs="Arial" w:eastAsia="Arial" w:hAnsi="Arial"/>
          <w:sz w:val="20"/>
          <w:szCs w:val="20"/>
          <w:color w:val="2A2A2A"/>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26" w:lineRule="exact"/>
        <w:rPr>
          <w:rFonts w:ascii="Arial" w:cs="Arial" w:eastAsia="Arial" w:hAnsi="Arial"/>
          <w:sz w:val="20"/>
          <w:szCs w:val="20"/>
          <w:color w:val="2A2A2A"/>
        </w:rPr>
      </w:pPr>
    </w:p>
    <w:p>
      <w:pPr>
        <w:ind w:left="720" w:hanging="361"/>
        <w:spacing w:after="0"/>
        <w:tabs>
          <w:tab w:leader="none" w:pos="720" w:val="left"/>
        </w:tabs>
        <w:numPr>
          <w:ilvl w:val="0"/>
          <w:numId w:val="102"/>
        </w:numPr>
        <w:rPr>
          <w:rFonts w:ascii="Arial" w:cs="Arial" w:eastAsia="Arial" w:hAnsi="Arial"/>
          <w:sz w:val="20"/>
          <w:szCs w:val="20"/>
          <w:color w:val="2A2A2A"/>
        </w:rPr>
      </w:pPr>
      <w:r>
        <w:rPr>
          <w:rFonts w:ascii="Arial" w:cs="Arial" w:eastAsia="Arial" w:hAnsi="Arial"/>
          <w:sz w:val="20"/>
          <w:szCs w:val="20"/>
          <w:color w:val="2A2A2A"/>
        </w:rPr>
        <w:t>$1,000 per day compensation for other activities designated by the chairman.</w:t>
      </w:r>
    </w:p>
    <w:p>
      <w:pPr>
        <w:spacing w:after="0" w:line="70" w:lineRule="exact"/>
        <w:rPr>
          <w:rFonts w:ascii="Arial" w:cs="Arial" w:eastAsia="Arial" w:hAnsi="Arial"/>
          <w:sz w:val="20"/>
          <w:szCs w:val="20"/>
          <w:color w:val="2A2A2A"/>
        </w:rPr>
      </w:pPr>
    </w:p>
    <w:p>
      <w:pPr>
        <w:ind w:left="720" w:right="860" w:hanging="361"/>
        <w:spacing w:after="0" w:line="287" w:lineRule="auto"/>
        <w:tabs>
          <w:tab w:leader="none" w:pos="720" w:val="left"/>
        </w:tabs>
        <w:numPr>
          <w:ilvl w:val="0"/>
          <w:numId w:val="102"/>
        </w:numPr>
        <w:rPr>
          <w:rFonts w:ascii="Arial" w:cs="Arial" w:eastAsia="Arial" w:hAnsi="Arial"/>
          <w:sz w:val="20"/>
          <w:szCs w:val="20"/>
          <w:color w:val="2A2A2A"/>
        </w:rPr>
      </w:pPr>
      <w:r>
        <w:rPr>
          <w:rFonts w:ascii="Arial" w:cs="Arial" w:eastAsia="Arial" w:hAnsi="Arial"/>
          <w:sz w:val="20"/>
          <w:szCs w:val="20"/>
          <w:color w:val="2A2A2A"/>
        </w:rPr>
        <w:t>A one-time grant of restricted stock units with a grant date value of approximately $200,000 upon a director’s initial election to the board.</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9"/>
          <w:szCs w:val="19"/>
          <w:color w:val="2A2A2A"/>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71"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2A2A2A"/>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96"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2A2A2A"/>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2A2A2A"/>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2023, that rate was 4.91%.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2" w:lineRule="exact"/>
        <w:rPr>
          <w:sz w:val="20"/>
          <w:szCs w:val="20"/>
          <w:color w:val="auto"/>
        </w:rPr>
      </w:pPr>
    </w:p>
    <w:p>
      <w:pPr>
        <w:ind w:right="600"/>
        <w:spacing w:after="0" w:line="268" w:lineRule="auto"/>
        <w:rPr>
          <w:sz w:val="20"/>
          <w:szCs w:val="20"/>
          <w:color w:val="auto"/>
        </w:rPr>
      </w:pPr>
      <w:r>
        <w:rPr>
          <w:rFonts w:ascii="Arial" w:cs="Arial" w:eastAsia="Arial" w:hAnsi="Arial"/>
          <w:sz w:val="20"/>
          <w:szCs w:val="20"/>
          <w:color w:val="2A2A2A"/>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Non-employee directors are not eligible to participate in any TI-sponsored pension plan.</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26</w:t>
      </w:r>
    </w:p>
    <w:p>
      <w:pPr>
        <w:sectPr>
          <w:pgSz w:w="12240" w:h="15840" w:orient="portrait"/>
          <w:cols w:equalWidth="0" w:num="1">
            <w:col w:w="10280"/>
          </w:cols>
          <w:pgMar w:left="980" w:top="664" w:right="980" w:bottom="33" w:gutter="0" w:footer="0" w:header="0"/>
          <w:type w:val="continuous"/>
        </w:sectPr>
      </w:pPr>
    </w:p>
    <w:bookmarkStart w:id="98" w:name="page99"/>
    <w:bookmarkEnd w:id="98"/>
    <w:p>
      <w:pPr>
        <w:ind w:left="1"/>
        <w:spacing w:after="0"/>
        <w:rPr>
          <w:sz w:val="20"/>
          <w:szCs w:val="20"/>
          <w:color w:val="auto"/>
        </w:rPr>
      </w:pPr>
      <w:r>
        <w:rPr>
          <w:rFonts w:ascii="Arial" w:cs="Arial" w:eastAsia="Arial" w:hAnsi="Arial"/>
          <w:sz w:val="22"/>
          <w:szCs w:val="22"/>
          <w:u w:val="single" w:color="auto"/>
          <w:color w:val="2A2A2A"/>
        </w:rPr>
        <w:t>2023 director compensation</w:t>
      </w:r>
    </w:p>
    <w:p>
      <w:pPr>
        <w:spacing w:after="0" w:line="257" w:lineRule="exact"/>
        <w:rPr>
          <w:sz w:val="20"/>
          <w:szCs w:val="20"/>
          <w:color w:val="auto"/>
        </w:rPr>
      </w:pPr>
    </w:p>
    <w:p>
      <w:pPr>
        <w:ind w:left="1" w:right="260"/>
        <w:spacing w:after="0" w:line="287" w:lineRule="auto"/>
        <w:rPr>
          <w:sz w:val="20"/>
          <w:szCs w:val="20"/>
          <w:color w:val="auto"/>
        </w:rPr>
      </w:pPr>
      <w:r>
        <w:rPr>
          <w:rFonts w:ascii="Arial" w:cs="Arial" w:eastAsia="Arial" w:hAnsi="Arial"/>
          <w:sz w:val="20"/>
          <w:szCs w:val="20"/>
          <w:color w:val="2A2A2A"/>
        </w:rPr>
        <w:t>The following table shows the compensation of all persons who were non-employee members of the board during 2023 for services in all capacities to TI in 2023.</w:t>
      </w: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Change in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Pension Value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center"/>
              <w:ind w:right="282"/>
              <w:spacing w:after="0"/>
              <w:rPr>
                <w:sz w:val="20"/>
                <w:szCs w:val="20"/>
                <w:color w:val="auto"/>
              </w:rPr>
            </w:pPr>
            <w:r>
              <w:rPr>
                <w:rFonts w:ascii="Arial" w:cs="Arial" w:eastAsia="Arial" w:hAnsi="Arial"/>
                <w:sz w:val="16"/>
                <w:szCs w:val="16"/>
                <w:b w:val="1"/>
                <w:bCs w:val="1"/>
                <w:color w:val="2A2A2A"/>
                <w:w w:val="98"/>
              </w:rPr>
              <w:t>and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140" w:type="dxa"/>
            <w:vAlign w:val="bottom"/>
          </w:tcPr>
          <w:p>
            <w:pPr>
              <w:spacing w:after="0"/>
              <w:rPr>
                <w:sz w:val="16"/>
                <w:szCs w:val="16"/>
                <w:color w:val="auto"/>
              </w:rPr>
            </w:pPr>
          </w:p>
        </w:tc>
        <w:tc>
          <w:tcPr>
            <w:tcW w:w="1240" w:type="dxa"/>
            <w:vAlign w:val="bottom"/>
          </w:tcPr>
          <w:p>
            <w:pPr>
              <w:jc w:val="center"/>
              <w:ind w:left="105"/>
              <w:spacing w:after="0"/>
              <w:rPr>
                <w:sz w:val="20"/>
                <w:szCs w:val="20"/>
                <w:color w:val="auto"/>
              </w:rPr>
            </w:pPr>
            <w:r>
              <w:rPr>
                <w:rFonts w:ascii="Arial" w:cs="Arial" w:eastAsia="Arial" w:hAnsi="Arial"/>
                <w:sz w:val="16"/>
                <w:szCs w:val="16"/>
                <w:b w:val="1"/>
                <w:bCs w:val="1"/>
                <w:color w:val="2A2A2A"/>
                <w:w w:val="98"/>
              </w:rPr>
              <w:t>Fees</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Non-qualified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2140" w:type="dxa"/>
            <w:vAlign w:val="bottom"/>
          </w:tcPr>
          <w:p>
            <w:pPr>
              <w:spacing w:after="0"/>
              <w:rPr>
                <w:sz w:val="16"/>
                <w:szCs w:val="16"/>
                <w:color w:val="auto"/>
              </w:rPr>
            </w:pPr>
          </w:p>
        </w:tc>
        <w:tc>
          <w:tcPr>
            <w:tcW w:w="1240" w:type="dxa"/>
            <w:vAlign w:val="bottom"/>
          </w:tcPr>
          <w:p>
            <w:pPr>
              <w:jc w:val="center"/>
              <w:ind w:left="85"/>
              <w:spacing w:after="0"/>
              <w:rPr>
                <w:sz w:val="20"/>
                <w:szCs w:val="20"/>
                <w:color w:val="auto"/>
              </w:rPr>
            </w:pPr>
            <w:r>
              <w:rPr>
                <w:rFonts w:ascii="Arial" w:cs="Arial" w:eastAsia="Arial" w:hAnsi="Arial"/>
                <w:sz w:val="16"/>
                <w:szCs w:val="16"/>
                <w:b w:val="1"/>
                <w:bCs w:val="1"/>
                <w:color w:val="2A2A2A"/>
                <w:w w:val="99"/>
              </w:rPr>
              <w:t>Earned or</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2A2A2A"/>
                <w:w w:val="98"/>
              </w:rPr>
              <w:t>Non-Equity</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Deferred</w:t>
            </w:r>
          </w:p>
        </w:tc>
        <w:tc>
          <w:tcPr>
            <w:tcW w:w="260" w:type="dxa"/>
            <w:vAlign w:val="bottom"/>
          </w:tcPr>
          <w:p>
            <w:pPr>
              <w:spacing w:after="0"/>
              <w:rPr>
                <w:sz w:val="16"/>
                <w:szCs w:val="16"/>
                <w:color w:val="auto"/>
              </w:rPr>
            </w:pPr>
          </w:p>
        </w:tc>
        <w:tc>
          <w:tcPr>
            <w:tcW w:w="960" w:type="dxa"/>
            <w:vAlign w:val="bottom"/>
          </w:tcPr>
          <w:p>
            <w:pPr>
              <w:jc w:val="center"/>
              <w:ind w:right="183"/>
              <w:spacing w:after="0"/>
              <w:rPr>
                <w:sz w:val="20"/>
                <w:szCs w:val="20"/>
                <w:color w:val="auto"/>
              </w:rPr>
            </w:pPr>
            <w:r>
              <w:rPr>
                <w:rFonts w:ascii="Arial" w:cs="Arial" w:eastAsia="Arial" w:hAnsi="Arial"/>
                <w:sz w:val="16"/>
                <w:szCs w:val="16"/>
                <w:b w:val="1"/>
                <w:bCs w:val="1"/>
                <w:color w:val="2A2A2A"/>
              </w:rPr>
              <w:t>All Other</w:t>
            </w:r>
          </w:p>
        </w:tc>
        <w:tc>
          <w:tcPr>
            <w:tcW w:w="1020" w:type="dxa"/>
            <w:vAlign w:val="bottom"/>
          </w:tcPr>
          <w:p>
            <w:pPr>
              <w:spacing w:after="0"/>
              <w:rPr>
                <w:sz w:val="16"/>
                <w:szCs w:val="16"/>
                <w:color w:val="auto"/>
              </w:rPr>
            </w:pPr>
          </w:p>
        </w:tc>
      </w:tr>
      <w:tr>
        <w:trPr>
          <w:trHeight w:val="192"/>
        </w:trPr>
        <w:tc>
          <w:tcPr>
            <w:tcW w:w="2140" w:type="dxa"/>
            <w:vAlign w:val="bottom"/>
          </w:tcPr>
          <w:p>
            <w:pPr>
              <w:spacing w:after="0"/>
              <w:rPr>
                <w:sz w:val="16"/>
                <w:szCs w:val="16"/>
                <w:color w:val="auto"/>
              </w:rPr>
            </w:pPr>
          </w:p>
        </w:tc>
        <w:tc>
          <w:tcPr>
            <w:tcW w:w="1240" w:type="dxa"/>
            <w:vAlign w:val="bottom"/>
          </w:tcPr>
          <w:p>
            <w:pPr>
              <w:jc w:val="center"/>
              <w:ind w:left="105"/>
              <w:spacing w:after="0"/>
              <w:rPr>
                <w:sz w:val="20"/>
                <w:szCs w:val="20"/>
                <w:color w:val="auto"/>
              </w:rPr>
            </w:pPr>
            <w:r>
              <w:rPr>
                <w:rFonts w:ascii="Arial" w:cs="Arial" w:eastAsia="Arial" w:hAnsi="Arial"/>
                <w:sz w:val="16"/>
                <w:szCs w:val="16"/>
                <w:b w:val="1"/>
                <w:bCs w:val="1"/>
                <w:color w:val="2A2A2A"/>
                <w:w w:val="99"/>
              </w:rPr>
              <w:t>Paid in</w:t>
            </w:r>
          </w:p>
        </w:tc>
        <w:tc>
          <w:tcPr>
            <w:tcW w:w="1060" w:type="dxa"/>
            <w:vAlign w:val="bottom"/>
          </w:tcPr>
          <w:p>
            <w:pPr>
              <w:ind w:left="300"/>
              <w:spacing w:after="0"/>
              <w:rPr>
                <w:sz w:val="20"/>
                <w:szCs w:val="20"/>
                <w:color w:val="auto"/>
              </w:rPr>
            </w:pPr>
            <w:r>
              <w:rPr>
                <w:rFonts w:ascii="Arial" w:cs="Arial" w:eastAsia="Arial" w:hAnsi="Arial"/>
                <w:sz w:val="16"/>
                <w:szCs w:val="16"/>
                <w:b w:val="1"/>
                <w:bCs w:val="1"/>
                <w:color w:val="2A2A2A"/>
              </w:rPr>
              <w:t>Stock</w:t>
            </w:r>
          </w:p>
        </w:tc>
        <w:tc>
          <w:tcPr>
            <w:tcW w:w="260" w:type="dxa"/>
            <w:vAlign w:val="bottom"/>
          </w:tcPr>
          <w:p>
            <w:pPr>
              <w:spacing w:after="0"/>
              <w:rPr>
                <w:sz w:val="16"/>
                <w:szCs w:val="16"/>
                <w:color w:val="auto"/>
              </w:rPr>
            </w:pPr>
          </w:p>
        </w:tc>
        <w:tc>
          <w:tcPr>
            <w:tcW w:w="820" w:type="dxa"/>
            <w:vAlign w:val="bottom"/>
          </w:tcPr>
          <w:p>
            <w:pPr>
              <w:jc w:val="right"/>
              <w:ind w:right="162"/>
              <w:spacing w:after="0"/>
              <w:rPr>
                <w:sz w:val="20"/>
                <w:szCs w:val="20"/>
                <w:color w:val="auto"/>
              </w:rPr>
            </w:pPr>
            <w:r>
              <w:rPr>
                <w:rFonts w:ascii="Arial" w:cs="Arial" w:eastAsia="Arial" w:hAnsi="Arial"/>
                <w:sz w:val="16"/>
                <w:szCs w:val="16"/>
                <w:b w:val="1"/>
                <w:bCs w:val="1"/>
                <w:color w:val="2A2A2A"/>
              </w:rPr>
              <w:t>Option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2A2A2A"/>
              </w:rPr>
              <w:t>Incentive Plan</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Compensation</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Compensation</w:t>
            </w:r>
          </w:p>
        </w:tc>
        <w:tc>
          <w:tcPr>
            <w:tcW w:w="1020" w:type="dxa"/>
            <w:vAlign w:val="bottom"/>
          </w:tcPr>
          <w:p>
            <w:pPr>
              <w:spacing w:after="0"/>
              <w:rPr>
                <w:sz w:val="16"/>
                <w:szCs w:val="16"/>
                <w:color w:val="auto"/>
              </w:rPr>
            </w:pPr>
          </w:p>
        </w:tc>
      </w:tr>
      <w:tr>
        <w:trPr>
          <w:trHeight w:val="219"/>
        </w:trPr>
        <w:tc>
          <w:tcPr>
            <w:tcW w:w="21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 (1)</w:t>
            </w:r>
          </w:p>
        </w:tc>
        <w:tc>
          <w:tcPr>
            <w:tcW w:w="1240" w:type="dxa"/>
            <w:vAlign w:val="bottom"/>
            <w:tcBorders>
              <w:bottom w:val="single" w:sz="8" w:color="2A2A2A"/>
            </w:tcBorders>
          </w:tcPr>
          <w:p>
            <w:pPr>
              <w:jc w:val="center"/>
              <w:ind w:left="105"/>
              <w:spacing w:after="0"/>
              <w:rPr>
                <w:sz w:val="20"/>
                <w:szCs w:val="20"/>
                <w:color w:val="auto"/>
              </w:rPr>
            </w:pPr>
            <w:r>
              <w:rPr>
                <w:rFonts w:ascii="Arial" w:cs="Arial" w:eastAsia="Arial" w:hAnsi="Arial"/>
                <w:sz w:val="16"/>
                <w:szCs w:val="16"/>
                <w:b w:val="1"/>
                <w:bCs w:val="1"/>
                <w:color w:val="2A2A2A"/>
              </w:rPr>
              <w:t>Cash (4)</w:t>
            </w:r>
          </w:p>
        </w:tc>
        <w:tc>
          <w:tcPr>
            <w:tcW w:w="1060" w:type="dxa"/>
            <w:vAlign w:val="bottom"/>
            <w:tcBorders>
              <w:bottom w:val="single" w:sz="8" w:color="2A2A2A"/>
            </w:tcBorders>
          </w:tcPr>
          <w:p>
            <w:pPr>
              <w:ind w:left="120"/>
              <w:spacing w:after="0"/>
              <w:rPr>
                <w:sz w:val="20"/>
                <w:szCs w:val="20"/>
                <w:color w:val="auto"/>
              </w:rPr>
            </w:pPr>
            <w:r>
              <w:rPr>
                <w:rFonts w:ascii="Arial" w:cs="Arial" w:eastAsia="Arial" w:hAnsi="Arial"/>
                <w:sz w:val="16"/>
                <w:szCs w:val="16"/>
                <w:b w:val="1"/>
                <w:bCs w:val="1"/>
                <w:color w:val="2A2A2A"/>
              </w:rPr>
              <w:t>Awards (5)</w:t>
            </w:r>
          </w:p>
        </w:tc>
        <w:tc>
          <w:tcPr>
            <w:tcW w:w="1080" w:type="dxa"/>
            <w:vAlign w:val="bottom"/>
            <w:tcBorders>
              <w:bottom w:val="single" w:sz="8" w:color="2A2A2A"/>
            </w:tcBorders>
            <w:gridSpan w:val="2"/>
          </w:tcPr>
          <w:p>
            <w:pPr>
              <w:jc w:val="right"/>
              <w:ind w:right="2"/>
              <w:spacing w:after="0"/>
              <w:rPr>
                <w:sz w:val="20"/>
                <w:szCs w:val="20"/>
                <w:color w:val="auto"/>
              </w:rPr>
            </w:pPr>
            <w:r>
              <w:rPr>
                <w:rFonts w:ascii="Arial" w:cs="Arial" w:eastAsia="Arial" w:hAnsi="Arial"/>
                <w:sz w:val="16"/>
                <w:szCs w:val="16"/>
                <w:b w:val="1"/>
                <w:bCs w:val="1"/>
                <w:color w:val="2A2A2A"/>
              </w:rPr>
              <w:t>Awards (6)</w:t>
            </w:r>
          </w:p>
        </w:tc>
        <w:tc>
          <w:tcPr>
            <w:tcW w:w="12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Compensation</w:t>
            </w:r>
          </w:p>
        </w:tc>
        <w:tc>
          <w:tcPr>
            <w:tcW w:w="126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Earnings (7)</w:t>
            </w:r>
          </w:p>
        </w:tc>
        <w:tc>
          <w:tcPr>
            <w:tcW w:w="260" w:type="dxa"/>
            <w:vAlign w:val="bottom"/>
            <w:tcBorders>
              <w:bottom w:val="single" w:sz="8" w:color="2A2A2A"/>
            </w:tcBorders>
          </w:tcPr>
          <w:p>
            <w:pPr>
              <w:spacing w:after="0"/>
              <w:rPr>
                <w:sz w:val="19"/>
                <w:szCs w:val="19"/>
                <w:color w:val="auto"/>
              </w:rPr>
            </w:pPr>
          </w:p>
        </w:tc>
        <w:tc>
          <w:tcPr>
            <w:tcW w:w="960" w:type="dxa"/>
            <w:vAlign w:val="bottom"/>
            <w:tcBorders>
              <w:bottom w:val="single" w:sz="8" w:color="2A2A2A"/>
            </w:tcBorders>
          </w:tcPr>
          <w:p>
            <w:pPr>
              <w:jc w:val="center"/>
              <w:ind w:right="183"/>
              <w:spacing w:after="0"/>
              <w:rPr>
                <w:sz w:val="20"/>
                <w:szCs w:val="20"/>
                <w:color w:val="auto"/>
              </w:rPr>
            </w:pPr>
            <w:r>
              <w:rPr>
                <w:rFonts w:ascii="Arial" w:cs="Arial" w:eastAsia="Arial" w:hAnsi="Arial"/>
                <w:sz w:val="16"/>
                <w:szCs w:val="16"/>
                <w:b w:val="1"/>
                <w:bCs w:val="1"/>
                <w:color w:val="2A2A2A"/>
              </w:rPr>
              <w:t>(8)</w:t>
            </w:r>
          </w:p>
        </w:tc>
        <w:tc>
          <w:tcPr>
            <w:tcW w:w="10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Total</w:t>
            </w:r>
          </w:p>
        </w:tc>
      </w:tr>
      <w:tr>
        <w:trPr>
          <w:trHeight w:val="271"/>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A. Blinn</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$110,000</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3"/>
                <w:szCs w:val="23"/>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3,040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$ 312,958</w:t>
            </w:r>
          </w:p>
        </w:tc>
      </w:tr>
      <w:tr>
        <w:trPr>
          <w:trHeight w:val="283"/>
        </w:trPr>
        <w:tc>
          <w:tcPr>
            <w:tcW w:w="2140" w:type="dxa"/>
            <w:vAlign w:val="bottom"/>
          </w:tcPr>
          <w:p>
            <w:pPr>
              <w:ind w:left="60"/>
              <w:spacing w:after="0"/>
              <w:rPr>
                <w:sz w:val="20"/>
                <w:szCs w:val="20"/>
                <w:color w:val="auto"/>
              </w:rPr>
            </w:pPr>
            <w:r>
              <w:rPr>
                <w:rFonts w:ascii="Arial" w:cs="Arial" w:eastAsia="Arial" w:hAnsi="Arial"/>
                <w:sz w:val="20"/>
                <w:szCs w:val="20"/>
                <w:color w:val="2A2A2A"/>
              </w:rPr>
              <w:t>Todd M. Bluedorn</w:t>
            </w:r>
          </w:p>
        </w:tc>
        <w:tc>
          <w:tcPr>
            <w:tcW w:w="1240" w:type="dxa"/>
            <w:vAlign w:val="bottom"/>
          </w:tcPr>
          <w:p>
            <w:pPr>
              <w:ind w:left="300"/>
              <w:spacing w:after="0"/>
              <w:rPr>
                <w:sz w:val="20"/>
                <w:szCs w:val="20"/>
                <w:color w:val="auto"/>
              </w:rPr>
            </w:pPr>
            <w:r>
              <w:rPr>
                <w:rFonts w:ascii="Arial" w:cs="Arial" w:eastAsia="Arial" w:hAnsi="Arial"/>
                <w:sz w:val="20"/>
                <w:szCs w:val="20"/>
                <w:color w:val="2A2A2A"/>
              </w:rPr>
              <w:t>$123,333</w:t>
            </w:r>
          </w:p>
        </w:tc>
        <w:tc>
          <w:tcPr>
            <w:tcW w:w="1060" w:type="dxa"/>
            <w:vAlign w:val="bottom"/>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ind w:right="103"/>
              <w:spacing w:after="0"/>
              <w:rPr>
                <w:sz w:val="20"/>
                <w:szCs w:val="20"/>
                <w:color w:val="auto"/>
              </w:rPr>
            </w:pPr>
            <w:r>
              <w:rPr>
                <w:rFonts w:ascii="Arial" w:cs="Arial" w:eastAsia="Arial" w:hAnsi="Arial"/>
                <w:sz w:val="20"/>
                <w:szCs w:val="20"/>
                <w:color w:val="2A2A2A"/>
              </w:rPr>
              <w:t>20,040</w:t>
            </w:r>
          </w:p>
        </w:tc>
        <w:tc>
          <w:tcPr>
            <w:tcW w:w="1020" w:type="dxa"/>
            <w:vAlign w:val="bottom"/>
          </w:tcPr>
          <w:p>
            <w:pPr>
              <w:jc w:val="center"/>
              <w:spacing w:after="0"/>
              <w:rPr>
                <w:sz w:val="20"/>
                <w:szCs w:val="20"/>
                <w:color w:val="auto"/>
              </w:rPr>
            </w:pPr>
            <w:r>
              <w:rPr>
                <w:rFonts w:ascii="Arial" w:cs="Arial" w:eastAsia="Arial" w:hAnsi="Arial"/>
                <w:sz w:val="20"/>
                <w:szCs w:val="20"/>
                <w:color w:val="2A2A2A"/>
                <w:w w:val="98"/>
              </w:rPr>
              <w:t>$ 343,291</w:t>
            </w:r>
          </w:p>
        </w:tc>
      </w:tr>
      <w:tr>
        <w:trPr>
          <w:trHeight w:val="287"/>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Janet F. Clark</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$145,000</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4"/>
                <w:szCs w:val="24"/>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30,040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$ 374,958</w:t>
            </w:r>
          </w:p>
        </w:tc>
      </w:tr>
      <w:tr>
        <w:trPr>
          <w:trHeight w:val="283"/>
        </w:trPr>
        <w:tc>
          <w:tcPr>
            <w:tcW w:w="2140" w:type="dxa"/>
            <w:vAlign w:val="bottom"/>
          </w:tcPr>
          <w:p>
            <w:pPr>
              <w:ind w:left="60"/>
              <w:spacing w:after="0"/>
              <w:rPr>
                <w:sz w:val="20"/>
                <w:szCs w:val="20"/>
                <w:color w:val="auto"/>
              </w:rPr>
            </w:pPr>
            <w:r>
              <w:rPr>
                <w:rFonts w:ascii="Arial" w:cs="Arial" w:eastAsia="Arial" w:hAnsi="Arial"/>
                <w:sz w:val="20"/>
                <w:szCs w:val="20"/>
                <w:color w:val="2A2A2A"/>
              </w:rPr>
              <w:t>Carrie S. Cox</w:t>
            </w:r>
          </w:p>
        </w:tc>
        <w:tc>
          <w:tcPr>
            <w:tcW w:w="1240" w:type="dxa"/>
            <w:vAlign w:val="bottom"/>
          </w:tcPr>
          <w:p>
            <w:pPr>
              <w:ind w:left="300"/>
              <w:spacing w:after="0"/>
              <w:rPr>
                <w:sz w:val="20"/>
                <w:szCs w:val="20"/>
                <w:color w:val="auto"/>
              </w:rPr>
            </w:pPr>
            <w:r>
              <w:rPr>
                <w:rFonts w:ascii="Arial" w:cs="Arial" w:eastAsia="Arial" w:hAnsi="Arial"/>
                <w:sz w:val="20"/>
                <w:szCs w:val="20"/>
                <w:color w:val="2A2A2A"/>
              </w:rPr>
              <w:t>$110,000</w:t>
            </w:r>
          </w:p>
        </w:tc>
        <w:tc>
          <w:tcPr>
            <w:tcW w:w="1060" w:type="dxa"/>
            <w:vAlign w:val="bottom"/>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tcPr>
          <w:p>
            <w:pPr>
              <w:jc w:val="right"/>
              <w:spacing w:after="0"/>
              <w:rPr>
                <w:sz w:val="20"/>
                <w:szCs w:val="20"/>
                <w:color w:val="auto"/>
              </w:rPr>
            </w:pPr>
            <w:r>
              <w:rPr>
                <w:rFonts w:ascii="Arial" w:cs="Arial" w:eastAsia="Arial" w:hAnsi="Arial"/>
                <w:sz w:val="20"/>
                <w:szCs w:val="20"/>
                <w:color w:val="2A2A2A"/>
              </w:rPr>
              <w:t>$</w:t>
            </w:r>
          </w:p>
        </w:tc>
        <w:tc>
          <w:tcPr>
            <w:tcW w:w="860" w:type="dxa"/>
            <w:vAlign w:val="bottom"/>
          </w:tcPr>
          <w:p>
            <w:pPr>
              <w:jc w:val="right"/>
              <w:ind w:right="2"/>
              <w:spacing w:after="0"/>
              <w:rPr>
                <w:sz w:val="20"/>
                <w:szCs w:val="20"/>
                <w:color w:val="auto"/>
              </w:rPr>
            </w:pPr>
            <w:r>
              <w:rPr>
                <w:rFonts w:ascii="Arial" w:cs="Arial" w:eastAsia="Arial" w:hAnsi="Arial"/>
                <w:sz w:val="20"/>
                <w:szCs w:val="20"/>
                <w:color w:val="2A2A2A"/>
              </w:rPr>
              <w:t>12,311</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ind w:right="103"/>
              <w:spacing w:after="0"/>
              <w:rPr>
                <w:sz w:val="20"/>
                <w:szCs w:val="20"/>
                <w:color w:val="auto"/>
              </w:rPr>
            </w:pPr>
            <w:r>
              <w:rPr>
                <w:rFonts w:ascii="Arial" w:cs="Arial" w:eastAsia="Arial" w:hAnsi="Arial"/>
                <w:sz w:val="20"/>
                <w:szCs w:val="20"/>
                <w:color w:val="2A2A2A"/>
              </w:rPr>
              <w:t>25,040</w:t>
            </w:r>
          </w:p>
        </w:tc>
        <w:tc>
          <w:tcPr>
            <w:tcW w:w="1020" w:type="dxa"/>
            <w:vAlign w:val="bottom"/>
          </w:tcPr>
          <w:p>
            <w:pPr>
              <w:jc w:val="center"/>
              <w:spacing w:after="0"/>
              <w:rPr>
                <w:sz w:val="20"/>
                <w:szCs w:val="20"/>
                <w:color w:val="auto"/>
              </w:rPr>
            </w:pPr>
            <w:r>
              <w:rPr>
                <w:rFonts w:ascii="Arial" w:cs="Arial" w:eastAsia="Arial" w:hAnsi="Arial"/>
                <w:sz w:val="20"/>
                <w:szCs w:val="20"/>
                <w:color w:val="2A2A2A"/>
                <w:w w:val="98"/>
              </w:rPr>
              <w:t>$ 347,269</w:t>
            </w:r>
          </w:p>
        </w:tc>
      </w:tr>
      <w:tr>
        <w:trPr>
          <w:trHeight w:val="287"/>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Martin S. Craighead</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$126,667</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4"/>
                <w:szCs w:val="24"/>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25,040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$ 351,625</w:t>
            </w:r>
          </w:p>
        </w:tc>
      </w:tr>
      <w:tr>
        <w:trPr>
          <w:trHeight w:val="285"/>
        </w:trPr>
        <w:tc>
          <w:tcPr>
            <w:tcW w:w="2140" w:type="dxa"/>
            <w:vAlign w:val="bottom"/>
          </w:tcPr>
          <w:p>
            <w:pPr>
              <w:ind w:left="60"/>
              <w:spacing w:after="0"/>
              <w:rPr>
                <w:sz w:val="20"/>
                <w:szCs w:val="20"/>
                <w:color w:val="auto"/>
              </w:rPr>
            </w:pPr>
            <w:r>
              <w:rPr>
                <w:rFonts w:ascii="Arial" w:cs="Arial" w:eastAsia="Arial" w:hAnsi="Arial"/>
                <w:sz w:val="20"/>
                <w:szCs w:val="20"/>
                <w:color w:val="2A2A2A"/>
              </w:rPr>
              <w:t>Curtis C. Farmer (2)</w:t>
            </w:r>
          </w:p>
        </w:tc>
        <w:tc>
          <w:tcPr>
            <w:tcW w:w="1240" w:type="dxa"/>
            <w:vAlign w:val="bottom"/>
          </w:tcPr>
          <w:p>
            <w:pPr>
              <w:ind w:left="300"/>
              <w:spacing w:after="0"/>
              <w:rPr>
                <w:sz w:val="20"/>
                <w:szCs w:val="20"/>
                <w:color w:val="auto"/>
              </w:rPr>
            </w:pPr>
            <w:r>
              <w:rPr>
                <w:rFonts w:ascii="Arial" w:cs="Arial" w:eastAsia="Arial" w:hAnsi="Arial"/>
                <w:sz w:val="20"/>
                <w:szCs w:val="20"/>
                <w:color w:val="2A2A2A"/>
              </w:rPr>
              <w:t>$ 82,500</w:t>
            </w:r>
          </w:p>
        </w:tc>
        <w:tc>
          <w:tcPr>
            <w:tcW w:w="1060" w:type="dxa"/>
            <w:vAlign w:val="bottom"/>
          </w:tcPr>
          <w:p>
            <w:pPr>
              <w:ind w:left="100"/>
              <w:spacing w:after="0"/>
              <w:rPr>
                <w:sz w:val="20"/>
                <w:szCs w:val="20"/>
                <w:color w:val="auto"/>
              </w:rPr>
            </w:pPr>
            <w:r>
              <w:rPr>
                <w:rFonts w:ascii="Arial" w:cs="Arial" w:eastAsia="Arial" w:hAnsi="Arial"/>
                <w:sz w:val="20"/>
                <w:szCs w:val="20"/>
                <w:color w:val="2A2A2A"/>
              </w:rPr>
              <w:t>$199,998</w:t>
            </w:r>
          </w:p>
        </w:tc>
        <w:tc>
          <w:tcPr>
            <w:tcW w:w="26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20"/>
                <w:szCs w:val="20"/>
                <w:color w:val="2A2A2A"/>
              </w:rPr>
              <w:t>—</w:t>
            </w:r>
          </w:p>
        </w:tc>
        <w:tc>
          <w:tcPr>
            <w:tcW w:w="1260" w:type="dxa"/>
            <w:vAlign w:val="bottom"/>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ind w:right="103"/>
              <w:spacing w:after="0"/>
              <w:rPr>
                <w:sz w:val="20"/>
                <w:szCs w:val="20"/>
                <w:color w:val="auto"/>
              </w:rPr>
            </w:pPr>
            <w:r>
              <w:rPr>
                <w:rFonts w:ascii="Arial" w:cs="Arial" w:eastAsia="Arial" w:hAnsi="Arial"/>
                <w:sz w:val="20"/>
                <w:szCs w:val="20"/>
                <w:color w:val="2A2A2A"/>
              </w:rPr>
              <w:t>40</w:t>
            </w:r>
          </w:p>
        </w:tc>
        <w:tc>
          <w:tcPr>
            <w:tcW w:w="1020" w:type="dxa"/>
            <w:vAlign w:val="bottom"/>
          </w:tcPr>
          <w:p>
            <w:pPr>
              <w:jc w:val="center"/>
              <w:spacing w:after="0"/>
              <w:rPr>
                <w:sz w:val="20"/>
                <w:szCs w:val="20"/>
                <w:color w:val="auto"/>
              </w:rPr>
            </w:pPr>
            <w:r>
              <w:rPr>
                <w:rFonts w:ascii="Arial" w:cs="Arial" w:eastAsia="Arial" w:hAnsi="Arial"/>
                <w:sz w:val="20"/>
                <w:szCs w:val="20"/>
                <w:color w:val="2A2A2A"/>
                <w:w w:val="98"/>
              </w:rPr>
              <w:t>$ 282,538</w:t>
            </w:r>
          </w:p>
        </w:tc>
      </w:tr>
      <w:tr>
        <w:trPr>
          <w:trHeight w:val="285"/>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Jean M. Hobby</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$110,000</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4"/>
                <w:szCs w:val="24"/>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$ 309,958</w:t>
            </w:r>
          </w:p>
        </w:tc>
      </w:tr>
      <w:tr>
        <w:trPr>
          <w:trHeight w:val="283"/>
        </w:trPr>
        <w:tc>
          <w:tcPr>
            <w:tcW w:w="2140" w:type="dxa"/>
            <w:vAlign w:val="bottom"/>
          </w:tcPr>
          <w:p>
            <w:pPr>
              <w:ind w:left="60"/>
              <w:spacing w:after="0"/>
              <w:rPr>
                <w:sz w:val="20"/>
                <w:szCs w:val="20"/>
                <w:color w:val="auto"/>
              </w:rPr>
            </w:pPr>
            <w:r>
              <w:rPr>
                <w:rFonts w:ascii="Arial" w:cs="Arial" w:eastAsia="Arial" w:hAnsi="Arial"/>
                <w:sz w:val="20"/>
                <w:szCs w:val="20"/>
                <w:color w:val="2A2A2A"/>
              </w:rPr>
              <w:t>Michael D. Hsu (3)</w:t>
            </w:r>
          </w:p>
        </w:tc>
        <w:tc>
          <w:tcPr>
            <w:tcW w:w="1240" w:type="dxa"/>
            <w:vAlign w:val="bottom"/>
          </w:tcPr>
          <w:p>
            <w:pPr>
              <w:ind w:left="300"/>
              <w:spacing w:after="0"/>
              <w:rPr>
                <w:sz w:val="20"/>
                <w:szCs w:val="20"/>
                <w:color w:val="auto"/>
              </w:rPr>
            </w:pPr>
            <w:r>
              <w:rPr>
                <w:rFonts w:ascii="Arial" w:cs="Arial" w:eastAsia="Arial" w:hAnsi="Arial"/>
                <w:sz w:val="20"/>
                <w:szCs w:val="20"/>
                <w:color w:val="2A2A2A"/>
              </w:rPr>
              <w:t>$ 36,667</w:t>
            </w:r>
          </w:p>
        </w:tc>
        <w:tc>
          <w:tcPr>
            <w:tcW w:w="1060" w:type="dxa"/>
            <w:vAlign w:val="bottom"/>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ind w:right="103"/>
              <w:spacing w:after="0"/>
              <w:rPr>
                <w:sz w:val="20"/>
                <w:szCs w:val="20"/>
                <w:color w:val="auto"/>
              </w:rPr>
            </w:pPr>
            <w:r>
              <w:rPr>
                <w:rFonts w:ascii="Arial" w:cs="Arial" w:eastAsia="Arial" w:hAnsi="Arial"/>
                <w:sz w:val="20"/>
                <w:szCs w:val="20"/>
                <w:color w:val="2A2A2A"/>
              </w:rPr>
              <w:t>40</w:t>
            </w:r>
          </w:p>
        </w:tc>
        <w:tc>
          <w:tcPr>
            <w:tcW w:w="1020" w:type="dxa"/>
            <w:vAlign w:val="bottom"/>
          </w:tcPr>
          <w:p>
            <w:pPr>
              <w:jc w:val="center"/>
              <w:spacing w:after="0"/>
              <w:rPr>
                <w:sz w:val="20"/>
                <w:szCs w:val="20"/>
                <w:color w:val="auto"/>
              </w:rPr>
            </w:pPr>
            <w:r>
              <w:rPr>
                <w:rFonts w:ascii="Arial" w:cs="Arial" w:eastAsia="Arial" w:hAnsi="Arial"/>
                <w:sz w:val="20"/>
                <w:szCs w:val="20"/>
                <w:color w:val="2A2A2A"/>
                <w:w w:val="98"/>
              </w:rPr>
              <w:t>$ 236,625</w:t>
            </w:r>
          </w:p>
        </w:tc>
      </w:tr>
      <w:tr>
        <w:trPr>
          <w:trHeight w:val="287"/>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Ronald Kirk</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$116,667</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4"/>
                <w:szCs w:val="24"/>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$ 316,625</w:t>
            </w:r>
          </w:p>
        </w:tc>
      </w:tr>
      <w:tr>
        <w:trPr>
          <w:trHeight w:val="283"/>
        </w:trPr>
        <w:tc>
          <w:tcPr>
            <w:tcW w:w="2140" w:type="dxa"/>
            <w:vAlign w:val="bottom"/>
          </w:tcPr>
          <w:p>
            <w:pPr>
              <w:ind w:left="60"/>
              <w:spacing w:after="0"/>
              <w:rPr>
                <w:sz w:val="20"/>
                <w:szCs w:val="20"/>
                <w:color w:val="auto"/>
              </w:rPr>
            </w:pPr>
            <w:r>
              <w:rPr>
                <w:rFonts w:ascii="Arial" w:cs="Arial" w:eastAsia="Arial" w:hAnsi="Arial"/>
                <w:sz w:val="20"/>
                <w:szCs w:val="20"/>
                <w:color w:val="2A2A2A"/>
              </w:rPr>
              <w:t>Pamela H. Patsley</w:t>
            </w:r>
          </w:p>
        </w:tc>
        <w:tc>
          <w:tcPr>
            <w:tcW w:w="1240" w:type="dxa"/>
            <w:vAlign w:val="bottom"/>
          </w:tcPr>
          <w:p>
            <w:pPr>
              <w:ind w:left="300"/>
              <w:spacing w:after="0"/>
              <w:rPr>
                <w:sz w:val="20"/>
                <w:szCs w:val="20"/>
                <w:color w:val="auto"/>
              </w:rPr>
            </w:pPr>
            <w:r>
              <w:rPr>
                <w:rFonts w:ascii="Arial" w:cs="Arial" w:eastAsia="Arial" w:hAnsi="Arial"/>
                <w:sz w:val="20"/>
                <w:szCs w:val="20"/>
                <w:color w:val="2A2A2A"/>
              </w:rPr>
              <w:t>$158,333</w:t>
            </w:r>
          </w:p>
        </w:tc>
        <w:tc>
          <w:tcPr>
            <w:tcW w:w="1060" w:type="dxa"/>
            <w:vAlign w:val="bottom"/>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820" w:type="dxa"/>
            <w:vAlign w:val="bottom"/>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ind w:right="103"/>
              <w:spacing w:after="0"/>
              <w:rPr>
                <w:sz w:val="20"/>
                <w:szCs w:val="20"/>
                <w:color w:val="auto"/>
              </w:rPr>
            </w:pPr>
            <w:r>
              <w:rPr>
                <w:rFonts w:ascii="Arial" w:cs="Arial" w:eastAsia="Arial" w:hAnsi="Arial"/>
                <w:sz w:val="20"/>
                <w:szCs w:val="20"/>
                <w:color w:val="2A2A2A"/>
              </w:rPr>
              <w:t>30,040</w:t>
            </w:r>
          </w:p>
        </w:tc>
        <w:tc>
          <w:tcPr>
            <w:tcW w:w="1020" w:type="dxa"/>
            <w:vAlign w:val="bottom"/>
          </w:tcPr>
          <w:p>
            <w:pPr>
              <w:jc w:val="center"/>
              <w:spacing w:after="0"/>
              <w:rPr>
                <w:sz w:val="20"/>
                <w:szCs w:val="20"/>
                <w:color w:val="auto"/>
              </w:rPr>
            </w:pPr>
            <w:r>
              <w:rPr>
                <w:rFonts w:ascii="Arial" w:cs="Arial" w:eastAsia="Arial" w:hAnsi="Arial"/>
                <w:sz w:val="20"/>
                <w:szCs w:val="20"/>
                <w:color w:val="2A2A2A"/>
                <w:w w:val="98"/>
              </w:rPr>
              <w:t>$ 388,291</w:t>
            </w:r>
          </w:p>
        </w:tc>
      </w:tr>
      <w:tr>
        <w:trPr>
          <w:trHeight w:val="287"/>
        </w:trPr>
        <w:tc>
          <w:tcPr>
            <w:tcW w:w="21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Robert E. Sanchez</w:t>
            </w:r>
          </w:p>
        </w:tc>
        <w:tc>
          <w:tcPr>
            <w:tcW w:w="1240" w:type="dxa"/>
            <w:vAlign w:val="bottom"/>
            <w:shd w:val="clear" w:color="auto" w:fill="D7D7D7"/>
          </w:tcPr>
          <w:p>
            <w:pPr>
              <w:ind w:left="300"/>
              <w:spacing w:after="0"/>
              <w:rPr>
                <w:sz w:val="20"/>
                <w:szCs w:val="20"/>
                <w:color w:val="auto"/>
              </w:rPr>
            </w:pPr>
            <w:r>
              <w:rPr>
                <w:rFonts w:ascii="Arial" w:cs="Arial" w:eastAsia="Arial" w:hAnsi="Arial"/>
                <w:sz w:val="20"/>
                <w:szCs w:val="20"/>
                <w:color w:val="2A2A2A"/>
              </w:rPr>
              <w:t>$110,000</w:t>
            </w:r>
          </w:p>
        </w:tc>
        <w:tc>
          <w:tcPr>
            <w:tcW w:w="1060" w:type="dxa"/>
            <w:vAlign w:val="bottom"/>
            <w:shd w:val="clear" w:color="auto" w:fill="D7D7D7"/>
          </w:tcPr>
          <w:p>
            <w:pPr>
              <w:ind w:left="100"/>
              <w:spacing w:after="0"/>
              <w:rPr>
                <w:sz w:val="20"/>
                <w:szCs w:val="20"/>
                <w:color w:val="auto"/>
              </w:rPr>
            </w:pPr>
            <w:r>
              <w:rPr>
                <w:rFonts w:ascii="Arial" w:cs="Arial" w:eastAsia="Arial" w:hAnsi="Arial"/>
                <w:sz w:val="20"/>
                <w:szCs w:val="20"/>
                <w:color w:val="2A2A2A"/>
              </w:rPr>
              <w:t>$ 99,933</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82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99,985</w:t>
            </w:r>
          </w:p>
        </w:tc>
        <w:tc>
          <w:tcPr>
            <w:tcW w:w="126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9"/>
              </w:rPr>
              <w:t>—</w:t>
            </w:r>
          </w:p>
        </w:tc>
        <w:tc>
          <w:tcPr>
            <w:tcW w:w="400" w:type="dxa"/>
            <w:vAlign w:val="bottom"/>
            <w:shd w:val="clear" w:color="auto" w:fill="D7D7D7"/>
          </w:tcPr>
          <w:p>
            <w:pPr>
              <w:spacing w:after="0"/>
              <w:rPr>
                <w:sz w:val="24"/>
                <w:szCs w:val="24"/>
                <w:color w:val="auto"/>
              </w:rPr>
            </w:pPr>
          </w:p>
        </w:tc>
        <w:tc>
          <w:tcPr>
            <w:tcW w:w="860" w:type="dxa"/>
            <w:vAlign w:val="bottom"/>
            <w:shd w:val="clear" w:color="auto" w:fill="D7D7D7"/>
          </w:tcPr>
          <w:p>
            <w:pPr>
              <w:jc w:val="right"/>
              <w:ind w:right="2"/>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ind w:right="103"/>
              <w:spacing w:after="0"/>
              <w:rPr>
                <w:sz w:val="20"/>
                <w:szCs w:val="20"/>
                <w:color w:val="auto"/>
              </w:rPr>
            </w:pPr>
            <w:r>
              <w:rPr>
                <w:rFonts w:ascii="Arial" w:cs="Arial" w:eastAsia="Arial" w:hAnsi="Arial"/>
                <w:sz w:val="20"/>
                <w:szCs w:val="20"/>
                <w:color w:val="2A2A2A"/>
              </w:rPr>
              <w:t>30,040</w:t>
            </w:r>
          </w:p>
        </w:tc>
        <w:tc>
          <w:tcPr>
            <w:tcW w:w="1020" w:type="dxa"/>
            <w:vAlign w:val="bottom"/>
            <w:shd w:val="clear" w:color="auto" w:fill="D7D7D7"/>
          </w:tcPr>
          <w:p>
            <w:pPr>
              <w:jc w:val="center"/>
              <w:spacing w:after="0"/>
              <w:rPr>
                <w:sz w:val="20"/>
                <w:szCs w:val="20"/>
                <w:color w:val="auto"/>
              </w:rPr>
            </w:pPr>
            <w:r>
              <w:rPr>
                <w:rFonts w:ascii="Arial" w:cs="Arial" w:eastAsia="Arial" w:hAnsi="Arial"/>
                <w:sz w:val="20"/>
                <w:szCs w:val="20"/>
                <w:color w:val="2A2A2A"/>
                <w:w w:val="98"/>
              </w:rPr>
              <w:t>$ 339,958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-2004060</wp:posOffset>
            </wp:positionV>
            <wp:extent cx="655256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52565" cy="27940"/>
                    </a:xfrm>
                    <a:prstGeom prst="rect">
                      <a:avLst/>
                    </a:prstGeom>
                    <a:noFill/>
                  </pic:spPr>
                </pic:pic>
              </a:graphicData>
            </a:graphic>
          </wp:anchor>
        </w:drawing>
      </w:r>
    </w:p>
    <w:p>
      <w:pPr>
        <w:spacing w:after="0" w:line="265" w:lineRule="exact"/>
        <w:rPr>
          <w:sz w:val="20"/>
          <w:szCs w:val="20"/>
          <w:color w:val="auto"/>
        </w:rPr>
      </w:pPr>
    </w:p>
    <w:p>
      <w:pPr>
        <w:ind w:left="541" w:right="140" w:hanging="541"/>
        <w:spacing w:after="0" w:line="287" w:lineRule="auto"/>
        <w:tabs>
          <w:tab w:leader="none" w:pos="541" w:val="left"/>
        </w:tabs>
        <w:numPr>
          <w:ilvl w:val="0"/>
          <w:numId w:val="103"/>
        </w:numPr>
        <w:rPr>
          <w:rFonts w:ascii="Arial" w:cs="Arial" w:eastAsia="Arial" w:hAnsi="Arial"/>
          <w:sz w:val="20"/>
          <w:szCs w:val="20"/>
          <w:color w:val="2A2A2A"/>
        </w:rPr>
      </w:pPr>
      <w:r>
        <w:rPr>
          <w:rFonts w:ascii="Arial" w:cs="Arial" w:eastAsia="Arial" w:hAnsi="Arial"/>
          <w:sz w:val="20"/>
          <w:szCs w:val="20"/>
          <w:color w:val="2A2A2A"/>
        </w:rPr>
        <w:t>Dr. DesRoches was elected to the board effective March 1, 2024, and accordingly received no compensation for services as a TI director in 2023.</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103"/>
        </w:numPr>
        <w:rPr>
          <w:rFonts w:ascii="Arial" w:cs="Arial" w:eastAsia="Arial" w:hAnsi="Arial"/>
          <w:sz w:val="20"/>
          <w:szCs w:val="20"/>
          <w:color w:val="2A2A2A"/>
        </w:rPr>
      </w:pPr>
      <w:r>
        <w:rPr>
          <w:rFonts w:ascii="Arial" w:cs="Arial" w:eastAsia="Arial" w:hAnsi="Arial"/>
          <w:sz w:val="20"/>
          <w:szCs w:val="20"/>
          <w:color w:val="2A2A2A"/>
        </w:rPr>
        <w:t>Mr. Farmer was elected to the board effective April 1, 2023.</w:t>
      </w:r>
    </w:p>
    <w:p>
      <w:pPr>
        <w:spacing w:after="0" w:line="130" w:lineRule="exact"/>
        <w:rPr>
          <w:rFonts w:ascii="Arial" w:cs="Arial" w:eastAsia="Arial" w:hAnsi="Arial"/>
          <w:sz w:val="20"/>
          <w:szCs w:val="20"/>
          <w:color w:val="2A2A2A"/>
        </w:rPr>
      </w:pPr>
    </w:p>
    <w:p>
      <w:pPr>
        <w:ind w:left="541" w:right="100" w:hanging="541"/>
        <w:spacing w:after="0" w:line="287" w:lineRule="auto"/>
        <w:tabs>
          <w:tab w:leader="none" w:pos="541" w:val="left"/>
        </w:tabs>
        <w:numPr>
          <w:ilvl w:val="0"/>
          <w:numId w:val="103"/>
        </w:numPr>
        <w:rPr>
          <w:rFonts w:ascii="Arial" w:cs="Arial" w:eastAsia="Arial" w:hAnsi="Arial"/>
          <w:sz w:val="20"/>
          <w:szCs w:val="20"/>
          <w:color w:val="2A2A2A"/>
        </w:rPr>
      </w:pPr>
      <w:r>
        <w:rPr>
          <w:rFonts w:ascii="Arial" w:cs="Arial" w:eastAsia="Arial" w:hAnsi="Arial"/>
          <w:sz w:val="20"/>
          <w:szCs w:val="20"/>
          <w:color w:val="2A2A2A"/>
        </w:rPr>
        <w:t>Mr. Hsu served on the board until April 27, 2023. Upon his departure, the equity awards granted in 2023 were forfeited.</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103"/>
        </w:numPr>
        <w:rPr>
          <w:rFonts w:ascii="Arial" w:cs="Arial" w:eastAsia="Arial" w:hAnsi="Arial"/>
          <w:sz w:val="20"/>
          <w:szCs w:val="20"/>
          <w:color w:val="2A2A2A"/>
        </w:rPr>
      </w:pPr>
      <w:r>
        <w:rPr>
          <w:rFonts w:ascii="Arial" w:cs="Arial" w:eastAsia="Arial" w:hAnsi="Arial"/>
          <w:sz w:val="20"/>
          <w:szCs w:val="20"/>
          <w:color w:val="2A2A2A"/>
        </w:rPr>
        <w:t>Includes amounts deferred at the director’s election.</w:t>
      </w:r>
    </w:p>
    <w:p>
      <w:pPr>
        <w:spacing w:after="0" w:line="130" w:lineRule="exact"/>
        <w:rPr>
          <w:rFonts w:ascii="Arial" w:cs="Arial" w:eastAsia="Arial" w:hAnsi="Arial"/>
          <w:sz w:val="20"/>
          <w:szCs w:val="20"/>
          <w:color w:val="2A2A2A"/>
        </w:rPr>
      </w:pPr>
    </w:p>
    <w:p>
      <w:pPr>
        <w:ind w:left="541" w:right="20" w:hanging="541"/>
        <w:spacing w:after="0" w:line="254" w:lineRule="auto"/>
        <w:tabs>
          <w:tab w:leader="none" w:pos="541" w:val="left"/>
        </w:tabs>
        <w:numPr>
          <w:ilvl w:val="0"/>
          <w:numId w:val="103"/>
        </w:numPr>
        <w:rPr>
          <w:rFonts w:ascii="Arial" w:cs="Arial" w:eastAsia="Arial" w:hAnsi="Arial"/>
          <w:sz w:val="20"/>
          <w:szCs w:val="20"/>
          <w:color w:val="2A2A2A"/>
        </w:rPr>
      </w:pPr>
      <w:r>
        <w:rPr>
          <w:rFonts w:ascii="Arial" w:cs="Arial" w:eastAsia="Arial" w:hAnsi="Arial"/>
          <w:sz w:val="20"/>
          <w:szCs w:val="20"/>
          <w:color w:val="2A2A2A"/>
        </w:rPr>
        <w:t>Shown is the aggregate grant date fair value of restricted stock units granted in 2023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2023 financial statements”) in TI’s annual report on Form 10-K for the year ended December 31, 2023. Each restricted stock unit represents the right to receive one share of TI common stock. For restricted stock units granted prior to 2007, shares are issued at the time of mandatory retirement from the board (age 75) or upon the earlier of termination of service from the board after completing eight years of service or death or disability. For information regarding share issuances under restricted stock units granted after 2006, see the discussion on page 50.</w:t>
      </w:r>
    </w:p>
    <w:p>
      <w:pPr>
        <w:sectPr>
          <w:pgSz w:w="12240" w:h="15840" w:orient="portrait"/>
          <w:cols w:equalWidth="0" w:num="1">
            <w:col w:w="10281"/>
          </w:cols>
          <w:pgMar w:left="979"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27</w:t>
      </w:r>
    </w:p>
    <w:p>
      <w:pPr>
        <w:sectPr>
          <w:pgSz w:w="12240" w:h="15840" w:orient="portrait"/>
          <w:cols w:equalWidth="0" w:num="1">
            <w:col w:w="10281"/>
          </w:cols>
          <w:pgMar w:left="979" w:top="658" w:right="980" w:bottom="33" w:gutter="0" w:footer="0" w:header="0"/>
          <w:type w:val="continuous"/>
        </w:sectPr>
      </w:pPr>
    </w:p>
    <w:bookmarkStart w:id="99" w:name="page100"/>
    <w:bookmarkEnd w:id="99"/>
    <w:p>
      <w:pPr>
        <w:ind w:left="541"/>
        <w:spacing w:after="0" w:line="287" w:lineRule="auto"/>
        <w:rPr>
          <w:sz w:val="20"/>
          <w:szCs w:val="20"/>
          <w:color w:val="auto"/>
        </w:rPr>
      </w:pPr>
      <w:r>
        <w:rPr>
          <w:rFonts w:ascii="Arial" w:cs="Arial" w:eastAsia="Arial" w:hAnsi="Arial"/>
          <w:sz w:val="20"/>
          <w:szCs w:val="20"/>
          <w:color w:val="2A2A2A"/>
        </w:rPr>
        <w:t>The table below shows the aggregate number of shares underlying outstanding restricted stock units held by the named individuals as of December 31, 2023.</w:t>
      </w:r>
    </w:p>
    <w:p>
      <w:pPr>
        <w:spacing w:after="0" w:line="46" w:lineRule="exact"/>
        <w:rPr>
          <w:sz w:val="20"/>
          <w:szCs w:val="20"/>
          <w:color w:val="auto"/>
        </w:rPr>
      </w:pPr>
    </w:p>
    <w:tbl>
      <w:tblPr>
        <w:tblLayout w:type="fixed"/>
        <w:tblInd w:w="541" w:type="dxa"/>
        <w:tblCellMar>
          <w:top w:w="0" w:type="dxa"/>
          <w:left w:w="0" w:type="dxa"/>
          <w:bottom w:w="0" w:type="dxa"/>
          <w:right w:w="0" w:type="dxa"/>
        </w:tblCellMar>
      </w:tblPr>
      <w:tr>
        <w:trPr>
          <w:trHeight w:val="214"/>
        </w:trPr>
        <w:tc>
          <w:tcPr>
            <w:tcW w:w="468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4400" w:type="dxa"/>
            <w:vAlign w:val="bottom"/>
            <w:tcBorders>
              <w:bottom w:val="single" w:sz="8" w:color="2A2A2A"/>
            </w:tcBorders>
          </w:tcPr>
          <w:p>
            <w:pPr>
              <w:jc w:val="right"/>
              <w:ind w:right="322"/>
              <w:spacing w:after="0"/>
              <w:rPr>
                <w:sz w:val="20"/>
                <w:szCs w:val="20"/>
                <w:color w:val="auto"/>
              </w:rPr>
            </w:pPr>
            <w:r>
              <w:rPr>
                <w:rFonts w:ascii="Arial" w:cs="Arial" w:eastAsia="Arial" w:hAnsi="Arial"/>
                <w:sz w:val="16"/>
                <w:szCs w:val="16"/>
                <w:b w:val="1"/>
                <w:bCs w:val="1"/>
                <w:color w:val="2A2A2A"/>
              </w:rPr>
              <w:t>RSUs (Shares)</w:t>
            </w:r>
          </w:p>
        </w:tc>
      </w:tr>
      <w:tr>
        <w:trPr>
          <w:trHeight w:val="275"/>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A. Blinn</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11,773</w:t>
            </w:r>
          </w:p>
        </w:tc>
      </w:tr>
      <w:tr>
        <w:trPr>
          <w:trHeight w:val="283"/>
        </w:trPr>
        <w:tc>
          <w:tcPr>
            <w:tcW w:w="4680" w:type="dxa"/>
            <w:vAlign w:val="bottom"/>
          </w:tcPr>
          <w:p>
            <w:pPr>
              <w:ind w:left="60"/>
              <w:spacing w:after="0"/>
              <w:rPr>
                <w:sz w:val="20"/>
                <w:szCs w:val="20"/>
                <w:color w:val="auto"/>
              </w:rPr>
            </w:pPr>
            <w:r>
              <w:rPr>
                <w:rFonts w:ascii="Arial" w:cs="Arial" w:eastAsia="Arial" w:hAnsi="Arial"/>
                <w:sz w:val="20"/>
                <w:szCs w:val="20"/>
                <w:color w:val="2A2A2A"/>
              </w:rPr>
              <w:t>Todd M. Bluedorn</w:t>
            </w:r>
          </w:p>
        </w:tc>
        <w:tc>
          <w:tcPr>
            <w:tcW w:w="4400" w:type="dxa"/>
            <w:vAlign w:val="bottom"/>
          </w:tcPr>
          <w:p>
            <w:pPr>
              <w:jc w:val="right"/>
              <w:ind w:right="462"/>
              <w:spacing w:after="0"/>
              <w:rPr>
                <w:sz w:val="20"/>
                <w:szCs w:val="20"/>
                <w:color w:val="auto"/>
              </w:rPr>
            </w:pPr>
            <w:r>
              <w:rPr>
                <w:rFonts w:ascii="Arial" w:cs="Arial" w:eastAsia="Arial" w:hAnsi="Arial"/>
                <w:sz w:val="20"/>
                <w:szCs w:val="20"/>
                <w:color w:val="2A2A2A"/>
              </w:rPr>
              <w:t>2,502</w:t>
            </w:r>
          </w:p>
        </w:tc>
      </w:tr>
      <w:tr>
        <w:trPr>
          <w:trHeight w:val="287"/>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Janet F. Clark</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9,516</w:t>
            </w:r>
          </w:p>
        </w:tc>
      </w:tr>
      <w:tr>
        <w:trPr>
          <w:trHeight w:val="283"/>
        </w:trPr>
        <w:tc>
          <w:tcPr>
            <w:tcW w:w="4680" w:type="dxa"/>
            <w:vAlign w:val="bottom"/>
          </w:tcPr>
          <w:p>
            <w:pPr>
              <w:ind w:left="60"/>
              <w:spacing w:after="0"/>
              <w:rPr>
                <w:sz w:val="20"/>
                <w:szCs w:val="20"/>
                <w:color w:val="auto"/>
              </w:rPr>
            </w:pPr>
            <w:r>
              <w:rPr>
                <w:rFonts w:ascii="Arial" w:cs="Arial" w:eastAsia="Arial" w:hAnsi="Arial"/>
                <w:sz w:val="20"/>
                <w:szCs w:val="20"/>
                <w:color w:val="2A2A2A"/>
              </w:rPr>
              <w:t>Carrie S. Cox</w:t>
            </w:r>
          </w:p>
        </w:tc>
        <w:tc>
          <w:tcPr>
            <w:tcW w:w="4400" w:type="dxa"/>
            <w:vAlign w:val="bottom"/>
          </w:tcPr>
          <w:p>
            <w:pPr>
              <w:jc w:val="right"/>
              <w:ind w:right="462"/>
              <w:spacing w:after="0"/>
              <w:rPr>
                <w:sz w:val="20"/>
                <w:szCs w:val="20"/>
                <w:color w:val="auto"/>
              </w:rPr>
            </w:pPr>
            <w:r>
              <w:rPr>
                <w:rFonts w:ascii="Arial" w:cs="Arial" w:eastAsia="Arial" w:hAnsi="Arial"/>
                <w:sz w:val="20"/>
                <w:szCs w:val="20"/>
                <w:color w:val="2A2A2A"/>
              </w:rPr>
              <w:t>32,662</w:t>
            </w:r>
          </w:p>
        </w:tc>
      </w:tr>
      <w:tr>
        <w:trPr>
          <w:trHeight w:val="287"/>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Martin S. Craighead</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2,502</w:t>
            </w:r>
          </w:p>
        </w:tc>
      </w:tr>
      <w:tr>
        <w:trPr>
          <w:trHeight w:val="283"/>
        </w:trPr>
        <w:tc>
          <w:tcPr>
            <w:tcW w:w="4680" w:type="dxa"/>
            <w:vAlign w:val="bottom"/>
          </w:tcPr>
          <w:p>
            <w:pPr>
              <w:ind w:left="60"/>
              <w:spacing w:after="0"/>
              <w:rPr>
                <w:sz w:val="20"/>
                <w:szCs w:val="20"/>
                <w:color w:val="auto"/>
              </w:rPr>
            </w:pPr>
            <w:r>
              <w:rPr>
                <w:rFonts w:ascii="Arial" w:cs="Arial" w:eastAsia="Arial" w:hAnsi="Arial"/>
                <w:sz w:val="20"/>
                <w:szCs w:val="20"/>
                <w:color w:val="2A2A2A"/>
              </w:rPr>
              <w:t>Curtis C. Farmer</w:t>
            </w:r>
          </w:p>
        </w:tc>
        <w:tc>
          <w:tcPr>
            <w:tcW w:w="4400" w:type="dxa"/>
            <w:vAlign w:val="bottom"/>
          </w:tcPr>
          <w:p>
            <w:pPr>
              <w:jc w:val="right"/>
              <w:ind w:right="462"/>
              <w:spacing w:after="0"/>
              <w:rPr>
                <w:sz w:val="20"/>
                <w:szCs w:val="20"/>
                <w:color w:val="auto"/>
              </w:rPr>
            </w:pPr>
            <w:r>
              <w:rPr>
                <w:rFonts w:ascii="Arial" w:cs="Arial" w:eastAsia="Arial" w:hAnsi="Arial"/>
                <w:sz w:val="20"/>
                <w:szCs w:val="20"/>
                <w:color w:val="2A2A2A"/>
              </w:rPr>
              <w:t>1,086</w:t>
            </w:r>
          </w:p>
        </w:tc>
      </w:tr>
      <w:tr>
        <w:trPr>
          <w:trHeight w:val="287"/>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Jean M. Hobby</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2,502</w:t>
            </w:r>
          </w:p>
        </w:tc>
      </w:tr>
      <w:tr>
        <w:trPr>
          <w:trHeight w:val="283"/>
        </w:trPr>
        <w:tc>
          <w:tcPr>
            <w:tcW w:w="4680" w:type="dxa"/>
            <w:vAlign w:val="bottom"/>
          </w:tcPr>
          <w:p>
            <w:pPr>
              <w:ind w:left="60"/>
              <w:spacing w:after="0"/>
              <w:rPr>
                <w:sz w:val="20"/>
                <w:szCs w:val="20"/>
                <w:color w:val="auto"/>
              </w:rPr>
            </w:pPr>
            <w:r>
              <w:rPr>
                <w:rFonts w:ascii="Arial" w:cs="Arial" w:eastAsia="Arial" w:hAnsi="Arial"/>
                <w:sz w:val="20"/>
                <w:szCs w:val="20"/>
                <w:color w:val="2A2A2A"/>
              </w:rPr>
              <w:t>Michael D. Hsu</w:t>
            </w:r>
          </w:p>
        </w:tc>
        <w:tc>
          <w:tcPr>
            <w:tcW w:w="4400" w:type="dxa"/>
            <w:vAlign w:val="bottom"/>
          </w:tcPr>
          <w:p>
            <w:pPr>
              <w:jc w:val="right"/>
              <w:ind w:right="422"/>
              <w:spacing w:after="0"/>
              <w:rPr>
                <w:sz w:val="20"/>
                <w:szCs w:val="20"/>
                <w:color w:val="auto"/>
              </w:rPr>
            </w:pPr>
            <w:r>
              <w:rPr>
                <w:rFonts w:ascii="Arial" w:cs="Arial" w:eastAsia="Arial" w:hAnsi="Arial"/>
                <w:sz w:val="20"/>
                <w:szCs w:val="20"/>
                <w:color w:val="2A2A2A"/>
              </w:rPr>
              <w:t>—</w:t>
            </w:r>
          </w:p>
        </w:tc>
      </w:tr>
      <w:tr>
        <w:trPr>
          <w:trHeight w:val="287"/>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Ronald Kirk</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2,502</w:t>
            </w:r>
          </w:p>
        </w:tc>
      </w:tr>
      <w:tr>
        <w:trPr>
          <w:trHeight w:val="283"/>
        </w:trPr>
        <w:tc>
          <w:tcPr>
            <w:tcW w:w="4680" w:type="dxa"/>
            <w:vAlign w:val="bottom"/>
          </w:tcPr>
          <w:p>
            <w:pPr>
              <w:ind w:left="60"/>
              <w:spacing w:after="0"/>
              <w:rPr>
                <w:sz w:val="20"/>
                <w:szCs w:val="20"/>
                <w:color w:val="auto"/>
              </w:rPr>
            </w:pPr>
            <w:r>
              <w:rPr>
                <w:rFonts w:ascii="Arial" w:cs="Arial" w:eastAsia="Arial" w:hAnsi="Arial"/>
                <w:sz w:val="20"/>
                <w:szCs w:val="20"/>
                <w:color w:val="2A2A2A"/>
              </w:rPr>
              <w:t>Pamela H. Patsley</w:t>
            </w:r>
          </w:p>
        </w:tc>
        <w:tc>
          <w:tcPr>
            <w:tcW w:w="4400" w:type="dxa"/>
            <w:vAlign w:val="bottom"/>
          </w:tcPr>
          <w:p>
            <w:pPr>
              <w:jc w:val="right"/>
              <w:ind w:right="462"/>
              <w:spacing w:after="0"/>
              <w:rPr>
                <w:sz w:val="20"/>
                <w:szCs w:val="20"/>
                <w:color w:val="auto"/>
              </w:rPr>
            </w:pPr>
            <w:r>
              <w:rPr>
                <w:rFonts w:ascii="Arial" w:cs="Arial" w:eastAsia="Arial" w:hAnsi="Arial"/>
                <w:sz w:val="20"/>
                <w:szCs w:val="20"/>
                <w:color w:val="2A2A2A"/>
              </w:rPr>
              <w:t>4,502</w:t>
            </w:r>
          </w:p>
        </w:tc>
      </w:tr>
      <w:tr>
        <w:trPr>
          <w:trHeight w:val="287"/>
        </w:trPr>
        <w:tc>
          <w:tcPr>
            <w:tcW w:w="46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Robert E. Sanchez</w:t>
            </w:r>
          </w:p>
        </w:tc>
        <w:tc>
          <w:tcPr>
            <w:tcW w:w="440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9,369</w:t>
            </w:r>
          </w:p>
        </w:tc>
      </w:tr>
    </w:tbl>
    <w:p>
      <w:pPr>
        <w:spacing w:after="0" w:line="285" w:lineRule="exact"/>
        <w:rPr>
          <w:sz w:val="20"/>
          <w:szCs w:val="20"/>
          <w:color w:val="auto"/>
        </w:rPr>
      </w:pPr>
    </w:p>
    <w:p>
      <w:pPr>
        <w:ind w:left="541" w:right="60" w:hanging="541"/>
        <w:spacing w:after="0" w:line="259" w:lineRule="auto"/>
        <w:tabs>
          <w:tab w:leader="none" w:pos="541" w:val="left"/>
        </w:tabs>
        <w:numPr>
          <w:ilvl w:val="0"/>
          <w:numId w:val="104"/>
        </w:numPr>
        <w:rPr>
          <w:rFonts w:ascii="Arial" w:cs="Arial" w:eastAsia="Arial" w:hAnsi="Arial"/>
          <w:sz w:val="20"/>
          <w:szCs w:val="20"/>
          <w:color w:val="2A2A2A"/>
        </w:rPr>
      </w:pPr>
      <w:r>
        <w:rPr>
          <w:rFonts w:ascii="Arial" w:cs="Arial" w:eastAsia="Arial" w:hAnsi="Arial"/>
          <w:sz w:val="20"/>
          <w:szCs w:val="20"/>
          <w:color w:val="2A2A2A"/>
        </w:rPr>
        <w:t>Shown is the aggregate grant date fair value of options granted in 2023 calculated in accordance with ASC 718. The discussion of the assumptions used for purposes of calculating the grant date fair value appears in Note 3 to the 2023 financial statements. The terms of these options are as set forth on page 25. The table below shows the aggregate number of shares underlying outstanding stock options held by the named individuals as of December 31, 2023.</w:t>
      </w:r>
    </w:p>
    <w:p>
      <w:pPr>
        <w:spacing w:after="0" w:line="75" w:lineRule="exact"/>
        <w:rPr>
          <w:sz w:val="20"/>
          <w:szCs w:val="20"/>
          <w:color w:val="auto"/>
        </w:rPr>
      </w:pPr>
    </w:p>
    <w:tbl>
      <w:tblPr>
        <w:tblLayout w:type="fixed"/>
        <w:tblInd w:w="541" w:type="dxa"/>
        <w:tblCellMar>
          <w:top w:w="0" w:type="dxa"/>
          <w:left w:w="0" w:type="dxa"/>
          <w:bottom w:w="0" w:type="dxa"/>
          <w:right w:w="0" w:type="dxa"/>
        </w:tblCellMar>
      </w:tblPr>
      <w:tr>
        <w:trPr>
          <w:trHeight w:val="214"/>
        </w:trPr>
        <w:tc>
          <w:tcPr>
            <w:tcW w:w="46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4440" w:type="dxa"/>
            <w:vAlign w:val="bottom"/>
            <w:tcBorders>
              <w:bottom w:val="single" w:sz="8" w:color="2A2A2A"/>
            </w:tcBorders>
          </w:tcPr>
          <w:p>
            <w:pPr>
              <w:jc w:val="right"/>
              <w:ind w:right="242"/>
              <w:spacing w:after="0"/>
              <w:rPr>
                <w:sz w:val="20"/>
                <w:szCs w:val="20"/>
                <w:color w:val="auto"/>
              </w:rPr>
            </w:pPr>
            <w:r>
              <w:rPr>
                <w:rFonts w:ascii="Arial" w:cs="Arial" w:eastAsia="Arial" w:hAnsi="Arial"/>
                <w:sz w:val="16"/>
                <w:szCs w:val="16"/>
                <w:b w:val="1"/>
                <w:bCs w:val="1"/>
                <w:color w:val="2A2A2A"/>
              </w:rPr>
              <w:t>Options (Shares)</w:t>
            </w:r>
          </w:p>
        </w:tc>
      </w:tr>
      <w:tr>
        <w:trPr>
          <w:trHeight w:val="275"/>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A. Blinn</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8,106</w:t>
            </w:r>
          </w:p>
        </w:tc>
      </w:tr>
      <w:tr>
        <w:trPr>
          <w:trHeight w:val="283"/>
        </w:trPr>
        <w:tc>
          <w:tcPr>
            <w:tcW w:w="4640" w:type="dxa"/>
            <w:vAlign w:val="bottom"/>
          </w:tcPr>
          <w:p>
            <w:pPr>
              <w:ind w:left="60"/>
              <w:spacing w:after="0"/>
              <w:rPr>
                <w:sz w:val="20"/>
                <w:szCs w:val="20"/>
                <w:color w:val="auto"/>
              </w:rPr>
            </w:pPr>
            <w:r>
              <w:rPr>
                <w:rFonts w:ascii="Arial" w:cs="Arial" w:eastAsia="Arial" w:hAnsi="Arial"/>
                <w:sz w:val="20"/>
                <w:szCs w:val="20"/>
                <w:color w:val="2A2A2A"/>
              </w:rPr>
              <w:t>Todd M. Bluedorn</w:t>
            </w:r>
          </w:p>
        </w:tc>
        <w:tc>
          <w:tcPr>
            <w:tcW w:w="4440" w:type="dxa"/>
            <w:vAlign w:val="bottom"/>
          </w:tcPr>
          <w:p>
            <w:pPr>
              <w:jc w:val="right"/>
              <w:ind w:right="462"/>
              <w:spacing w:after="0"/>
              <w:rPr>
                <w:sz w:val="20"/>
                <w:szCs w:val="20"/>
                <w:color w:val="auto"/>
              </w:rPr>
            </w:pPr>
            <w:r>
              <w:rPr>
                <w:rFonts w:ascii="Arial" w:cs="Arial" w:eastAsia="Arial" w:hAnsi="Arial"/>
                <w:sz w:val="20"/>
                <w:szCs w:val="20"/>
                <w:color w:val="2A2A2A"/>
              </w:rPr>
              <w:t>19,877</w:t>
            </w:r>
          </w:p>
        </w:tc>
      </w:tr>
      <w:tr>
        <w:trPr>
          <w:trHeight w:val="287"/>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Janet F. Clark</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25,942</w:t>
            </w:r>
          </w:p>
        </w:tc>
      </w:tr>
      <w:tr>
        <w:trPr>
          <w:trHeight w:val="283"/>
        </w:trPr>
        <w:tc>
          <w:tcPr>
            <w:tcW w:w="4640" w:type="dxa"/>
            <w:vAlign w:val="bottom"/>
          </w:tcPr>
          <w:p>
            <w:pPr>
              <w:ind w:left="60"/>
              <w:spacing w:after="0"/>
              <w:rPr>
                <w:sz w:val="20"/>
                <w:szCs w:val="20"/>
                <w:color w:val="auto"/>
              </w:rPr>
            </w:pPr>
            <w:r>
              <w:rPr>
                <w:rFonts w:ascii="Arial" w:cs="Arial" w:eastAsia="Arial" w:hAnsi="Arial"/>
                <w:sz w:val="20"/>
                <w:szCs w:val="20"/>
                <w:color w:val="2A2A2A"/>
              </w:rPr>
              <w:t>Carrie. S. Cox</w:t>
            </w:r>
          </w:p>
        </w:tc>
        <w:tc>
          <w:tcPr>
            <w:tcW w:w="4440" w:type="dxa"/>
            <w:vAlign w:val="bottom"/>
          </w:tcPr>
          <w:p>
            <w:pPr>
              <w:jc w:val="right"/>
              <w:ind w:right="462"/>
              <w:spacing w:after="0"/>
              <w:rPr>
                <w:sz w:val="20"/>
                <w:szCs w:val="20"/>
                <w:color w:val="auto"/>
              </w:rPr>
            </w:pPr>
            <w:r>
              <w:rPr>
                <w:rFonts w:ascii="Arial" w:cs="Arial" w:eastAsia="Arial" w:hAnsi="Arial"/>
                <w:sz w:val="20"/>
                <w:szCs w:val="20"/>
                <w:color w:val="2A2A2A"/>
              </w:rPr>
              <w:t>19,877</w:t>
            </w:r>
          </w:p>
        </w:tc>
      </w:tr>
      <w:tr>
        <w:trPr>
          <w:trHeight w:val="287"/>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Martin S. Craighead</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15,571</w:t>
            </w:r>
          </w:p>
        </w:tc>
      </w:tr>
      <w:tr>
        <w:trPr>
          <w:trHeight w:val="283"/>
        </w:trPr>
        <w:tc>
          <w:tcPr>
            <w:tcW w:w="4640" w:type="dxa"/>
            <w:vAlign w:val="bottom"/>
          </w:tcPr>
          <w:p>
            <w:pPr>
              <w:ind w:left="60"/>
              <w:spacing w:after="0"/>
              <w:rPr>
                <w:sz w:val="20"/>
                <w:szCs w:val="20"/>
                <w:color w:val="auto"/>
              </w:rPr>
            </w:pPr>
            <w:r>
              <w:rPr>
                <w:rFonts w:ascii="Arial" w:cs="Arial" w:eastAsia="Arial" w:hAnsi="Arial"/>
                <w:sz w:val="20"/>
                <w:szCs w:val="20"/>
                <w:color w:val="2A2A2A"/>
              </w:rPr>
              <w:t>Curtis C. Farmer</w:t>
            </w:r>
          </w:p>
        </w:tc>
        <w:tc>
          <w:tcPr>
            <w:tcW w:w="4440" w:type="dxa"/>
            <w:vAlign w:val="bottom"/>
          </w:tcPr>
          <w:p>
            <w:pPr>
              <w:jc w:val="right"/>
              <w:ind w:right="462"/>
              <w:spacing w:after="0"/>
              <w:rPr>
                <w:sz w:val="20"/>
                <w:szCs w:val="20"/>
                <w:color w:val="auto"/>
              </w:rPr>
            </w:pPr>
            <w:r>
              <w:rPr>
                <w:rFonts w:ascii="Arial" w:cs="Arial" w:eastAsia="Arial" w:hAnsi="Arial"/>
                <w:sz w:val="20"/>
                <w:szCs w:val="20"/>
                <w:color w:val="2A2A2A"/>
              </w:rPr>
              <w:t>—</w:t>
            </w:r>
          </w:p>
        </w:tc>
      </w:tr>
      <w:tr>
        <w:trPr>
          <w:trHeight w:val="287"/>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Jean M. Hobby</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25,942</w:t>
            </w:r>
          </w:p>
        </w:tc>
      </w:tr>
      <w:tr>
        <w:trPr>
          <w:trHeight w:val="283"/>
        </w:trPr>
        <w:tc>
          <w:tcPr>
            <w:tcW w:w="4640" w:type="dxa"/>
            <w:vAlign w:val="bottom"/>
          </w:tcPr>
          <w:p>
            <w:pPr>
              <w:ind w:left="60"/>
              <w:spacing w:after="0"/>
              <w:rPr>
                <w:sz w:val="20"/>
                <w:szCs w:val="20"/>
                <w:color w:val="auto"/>
              </w:rPr>
            </w:pPr>
            <w:r>
              <w:rPr>
                <w:rFonts w:ascii="Arial" w:cs="Arial" w:eastAsia="Arial" w:hAnsi="Arial"/>
                <w:sz w:val="20"/>
                <w:szCs w:val="20"/>
                <w:color w:val="2A2A2A"/>
              </w:rPr>
              <w:t>Michael D. Hsu</w:t>
            </w:r>
          </w:p>
        </w:tc>
        <w:tc>
          <w:tcPr>
            <w:tcW w:w="4440" w:type="dxa"/>
            <w:vAlign w:val="bottom"/>
          </w:tcPr>
          <w:p>
            <w:pPr>
              <w:jc w:val="right"/>
              <w:ind w:right="422"/>
              <w:spacing w:after="0"/>
              <w:rPr>
                <w:sz w:val="20"/>
                <w:szCs w:val="20"/>
                <w:color w:val="auto"/>
              </w:rPr>
            </w:pPr>
            <w:r>
              <w:rPr>
                <w:rFonts w:ascii="Arial" w:cs="Arial" w:eastAsia="Arial" w:hAnsi="Arial"/>
                <w:sz w:val="20"/>
                <w:szCs w:val="20"/>
                <w:color w:val="2A2A2A"/>
              </w:rPr>
              <w:t>—</w:t>
            </w:r>
          </w:p>
        </w:tc>
      </w:tr>
      <w:tr>
        <w:trPr>
          <w:trHeight w:val="287"/>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Ronald Kirk</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46,471</w:t>
            </w:r>
          </w:p>
        </w:tc>
      </w:tr>
      <w:tr>
        <w:trPr>
          <w:trHeight w:val="283"/>
        </w:trPr>
        <w:tc>
          <w:tcPr>
            <w:tcW w:w="4640" w:type="dxa"/>
            <w:vAlign w:val="bottom"/>
          </w:tcPr>
          <w:p>
            <w:pPr>
              <w:ind w:left="60"/>
              <w:spacing w:after="0"/>
              <w:rPr>
                <w:sz w:val="20"/>
                <w:szCs w:val="20"/>
                <w:color w:val="auto"/>
              </w:rPr>
            </w:pPr>
            <w:r>
              <w:rPr>
                <w:rFonts w:ascii="Arial" w:cs="Arial" w:eastAsia="Arial" w:hAnsi="Arial"/>
                <w:sz w:val="20"/>
                <w:szCs w:val="20"/>
                <w:color w:val="2A2A2A"/>
              </w:rPr>
              <w:t>Pamela H. Patsley</w:t>
            </w:r>
          </w:p>
        </w:tc>
        <w:tc>
          <w:tcPr>
            <w:tcW w:w="4440" w:type="dxa"/>
            <w:vAlign w:val="bottom"/>
          </w:tcPr>
          <w:p>
            <w:pPr>
              <w:jc w:val="right"/>
              <w:ind w:right="462"/>
              <w:spacing w:after="0"/>
              <w:rPr>
                <w:sz w:val="20"/>
                <w:szCs w:val="20"/>
                <w:color w:val="auto"/>
              </w:rPr>
            </w:pPr>
            <w:r>
              <w:rPr>
                <w:rFonts w:ascii="Arial" w:cs="Arial" w:eastAsia="Arial" w:hAnsi="Arial"/>
                <w:sz w:val="20"/>
                <w:szCs w:val="20"/>
                <w:color w:val="2A2A2A"/>
              </w:rPr>
              <w:t>35,932</w:t>
            </w:r>
          </w:p>
        </w:tc>
      </w:tr>
      <w:tr>
        <w:trPr>
          <w:trHeight w:val="287"/>
        </w:trPr>
        <w:tc>
          <w:tcPr>
            <w:tcW w:w="46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Robert E. Sanchez</w:t>
            </w:r>
          </w:p>
        </w:tc>
        <w:tc>
          <w:tcPr>
            <w:tcW w:w="4440" w:type="dxa"/>
            <w:vAlign w:val="bottom"/>
            <w:shd w:val="clear" w:color="auto" w:fill="D7D7D7"/>
          </w:tcPr>
          <w:p>
            <w:pPr>
              <w:jc w:val="right"/>
              <w:ind w:right="462"/>
              <w:spacing w:after="0"/>
              <w:rPr>
                <w:sz w:val="20"/>
                <w:szCs w:val="20"/>
                <w:color w:val="auto"/>
              </w:rPr>
            </w:pPr>
            <w:r>
              <w:rPr>
                <w:rFonts w:ascii="Arial" w:cs="Arial" w:eastAsia="Arial" w:hAnsi="Arial"/>
                <w:sz w:val="20"/>
                <w:szCs w:val="20"/>
                <w:color w:val="2A2A2A"/>
              </w:rPr>
              <w:t>46,471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-2002790</wp:posOffset>
            </wp:positionV>
            <wp:extent cx="578802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88025" cy="25400"/>
                    </a:xfrm>
                    <a:prstGeom prst="rect">
                      <a:avLst/>
                    </a:prstGeom>
                    <a:noFill/>
                  </pic:spPr>
                </pic:pic>
              </a:graphicData>
            </a:graphic>
          </wp:anchor>
        </w:drawing>
      </w:r>
    </w:p>
    <w:p>
      <w:pPr>
        <w:spacing w:after="0" w:line="259" w:lineRule="exact"/>
        <w:rPr>
          <w:sz w:val="20"/>
          <w:szCs w:val="20"/>
          <w:color w:val="auto"/>
        </w:rPr>
      </w:pPr>
    </w:p>
    <w:p>
      <w:pPr>
        <w:ind w:left="541" w:right="60" w:hanging="541"/>
        <w:spacing w:after="0" w:line="257" w:lineRule="auto"/>
        <w:tabs>
          <w:tab w:leader="none" w:pos="541" w:val="left"/>
        </w:tabs>
        <w:numPr>
          <w:ilvl w:val="0"/>
          <w:numId w:val="105"/>
        </w:numPr>
        <w:rPr>
          <w:rFonts w:ascii="Arial" w:cs="Arial" w:eastAsia="Arial" w:hAnsi="Arial"/>
          <w:sz w:val="20"/>
          <w:szCs w:val="20"/>
          <w:color w:val="2A2A2A"/>
        </w:rPr>
      </w:pPr>
      <w:r>
        <w:rPr>
          <w:rFonts w:ascii="Arial" w:cs="Arial" w:eastAsia="Arial" w:hAnsi="Arial"/>
          <w:sz w:val="20"/>
          <w:szCs w:val="20"/>
          <w:color w:val="2A2A2A"/>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2023, this interest rate exceeded the Federal Rate by 1.20 percentage points. Shown is the amount of interest earned on the directors’ deferred compensation accounts that was in excess of the Federal Rate.</w:t>
      </w:r>
    </w:p>
    <w:p>
      <w:pPr>
        <w:spacing w:after="0" w:line="82" w:lineRule="exact"/>
        <w:rPr>
          <w:rFonts w:ascii="Arial" w:cs="Arial" w:eastAsia="Arial" w:hAnsi="Arial"/>
          <w:sz w:val="20"/>
          <w:szCs w:val="20"/>
          <w:color w:val="2A2A2A"/>
        </w:rPr>
      </w:pPr>
    </w:p>
    <w:p>
      <w:pPr>
        <w:ind w:left="541" w:right="160" w:hanging="541"/>
        <w:spacing w:after="0" w:line="262" w:lineRule="auto"/>
        <w:tabs>
          <w:tab w:leader="none" w:pos="541" w:val="left"/>
        </w:tabs>
        <w:numPr>
          <w:ilvl w:val="0"/>
          <w:numId w:val="105"/>
        </w:numPr>
        <w:rPr>
          <w:rFonts w:ascii="Arial" w:cs="Arial" w:eastAsia="Arial" w:hAnsi="Arial"/>
          <w:sz w:val="20"/>
          <w:szCs w:val="20"/>
          <w:color w:val="2A2A2A"/>
        </w:rPr>
      </w:pPr>
      <w:r>
        <w:rPr>
          <w:rFonts w:ascii="Arial" w:cs="Arial" w:eastAsia="Arial" w:hAnsi="Arial"/>
          <w:sz w:val="20"/>
          <w:szCs w:val="20"/>
          <w:color w:val="2A2A2A"/>
        </w:rPr>
        <w:t>Consists of (i) the annual cost ($40 per director) of premiums for travel and accident insurance policies and (ii) contributions under the TI Foundation matching gift program of $3,000 for Mr. Blinn, $20,000 for Mr. Bluedorn, $30,000 for Ms. Clark, $25,000 for Ms. Cox, $25,000 for Mr. Craighead, $30,000 for Ms. Patsley and $30,000 for Mr. Sanchez.</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Executive compensation</w:t>
      </w:r>
    </w:p>
    <w:p>
      <w:pPr>
        <w:spacing w:after="0" w:line="263" w:lineRule="exact"/>
        <w:rPr>
          <w:sz w:val="20"/>
          <w:szCs w:val="20"/>
          <w:color w:val="auto"/>
        </w:rPr>
      </w:pPr>
    </w:p>
    <w:p>
      <w:pPr>
        <w:ind w:left="1" w:right="40"/>
        <w:spacing w:after="0" w:line="287" w:lineRule="auto"/>
        <w:rPr>
          <w:sz w:val="20"/>
          <w:szCs w:val="20"/>
          <w:color w:val="auto"/>
        </w:rPr>
      </w:pPr>
      <w:r>
        <w:rPr>
          <w:rFonts w:ascii="Arial" w:cs="Arial" w:eastAsia="Arial" w:hAnsi="Arial"/>
          <w:sz w:val="20"/>
          <w:szCs w:val="20"/>
          <w:color w:val="2A2A2A"/>
        </w:rPr>
        <w:t>We are providing shareholders the opportunity to cast advisory votes on named executive officer compensation as required by Section 14A of the Securities Exchange Act.</w:t>
      </w:r>
    </w:p>
    <w:p>
      <w:pPr>
        <w:sectPr>
          <w:pgSz w:w="12240" w:h="15840" w:orient="portrait"/>
          <w:cols w:equalWidth="0" w:num="1">
            <w:col w:w="10121"/>
          </w:cols>
          <w:pgMar w:left="979" w:top="664" w:right="11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383838"/>
        </w:rPr>
        <w:t>2024 PROXY STATEMENT • PAGE 28</w:t>
      </w:r>
    </w:p>
    <w:p>
      <w:pPr>
        <w:sectPr>
          <w:pgSz w:w="12240" w:h="15840" w:orient="portrait"/>
          <w:cols w:equalWidth="0" w:num="1">
            <w:col w:w="10121"/>
          </w:cols>
          <w:pgMar w:left="979" w:top="664" w:right="1140" w:bottom="33" w:gutter="0" w:footer="0" w:header="0"/>
          <w:type w:val="continuous"/>
        </w:sectPr>
      </w:pPr>
    </w:p>
    <w:bookmarkStart w:id="100" w:name="page101"/>
    <w:bookmarkEnd w:id="100"/>
    <w:p>
      <w:pPr>
        <w:spacing w:after="0"/>
        <w:rPr>
          <w:sz w:val="20"/>
          <w:szCs w:val="20"/>
          <w:color w:val="auto"/>
        </w:rPr>
      </w:pPr>
      <w:r>
        <w:rPr>
          <w:rFonts w:ascii="Arial" w:cs="Arial" w:eastAsia="Arial" w:hAnsi="Arial"/>
          <w:sz w:val="22"/>
          <w:szCs w:val="22"/>
          <w:b w:val="1"/>
          <w:bCs w:val="1"/>
          <w:color w:val="2A2A2A"/>
        </w:rPr>
        <w:t>Proposal regarding advisory approval of the company’s executive compensation</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color w:val="2A2A2A"/>
        </w:rPr>
        <w:t>The “named executive officers” are the chief executive officer, the chief financial officer and the three other most highly compensated executive officers, as named in the compensation tables on pages 45-58.</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2A2A2A"/>
        </w:rPr>
        <w:t>We ask shareholders to approve the following resolution:</w:t>
      </w:r>
    </w:p>
    <w:p>
      <w:pPr>
        <w:spacing w:after="0" w:line="250" w:lineRule="exact"/>
        <w:rPr>
          <w:sz w:val="20"/>
          <w:szCs w:val="20"/>
          <w:color w:val="auto"/>
        </w:rPr>
      </w:pPr>
    </w:p>
    <w:p>
      <w:pPr>
        <w:ind w:left="540" w:right="20"/>
        <w:spacing w:after="0" w:line="262" w:lineRule="auto"/>
        <w:rPr>
          <w:sz w:val="20"/>
          <w:szCs w:val="20"/>
          <w:color w:val="auto"/>
        </w:rPr>
      </w:pPr>
      <w:r>
        <w:rPr>
          <w:rFonts w:ascii="Arial" w:cs="Arial" w:eastAsia="Arial" w:hAnsi="Arial"/>
          <w:sz w:val="20"/>
          <w:szCs w:val="20"/>
          <w:color w:val="2A2A2A"/>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29-58 of this proxy statement, is hereby approved.</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2A2A2A"/>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2023. We believe that the policies and programs serve the interests of our shareholders and that the compensation received by the named executive officers is commensurate with the performance and strategic position of the company.</w:t>
      </w:r>
    </w:p>
    <w:p>
      <w:pPr>
        <w:spacing w:after="0" w:line="199"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2A2A2A"/>
        </w:rPr>
        <w:t>Although the outcome of this annual vote is not binding on the company or the board, the compensation committee of the board will consider it when setting future compensation for the executive officers.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20"/>
          <w:szCs w:val="20"/>
          <w:b w:val="1"/>
          <w:bCs w:val="1"/>
          <w:color w:val="2A2A2A"/>
        </w:rPr>
        <w:t>The board of directors recommends a vote For the annual resolution approving the named executive officer compensation for 2023, as disclosed in this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Compensation discussion and analysis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This section describes TI’s compensation program for executive officers. It will provide insight into the following:</w:t>
      </w:r>
    </w:p>
    <w:p>
      <w:pPr>
        <w:spacing w:after="0" w:line="250" w:lineRule="exact"/>
        <w:rPr>
          <w:sz w:val="20"/>
          <w:szCs w:val="20"/>
          <w:color w:val="auto"/>
        </w:rPr>
      </w:pPr>
    </w:p>
    <w:p>
      <w:pPr>
        <w:ind w:left="720" w:right="680" w:hanging="361"/>
        <w:spacing w:after="0" w:line="281" w:lineRule="auto"/>
        <w:tabs>
          <w:tab w:leader="none" w:pos="720" w:val="left"/>
        </w:tabs>
        <w:numPr>
          <w:ilvl w:val="0"/>
          <w:numId w:val="106"/>
        </w:numPr>
        <w:rPr>
          <w:rFonts w:ascii="Arial" w:cs="Arial" w:eastAsia="Arial" w:hAnsi="Arial"/>
          <w:sz w:val="20"/>
          <w:szCs w:val="20"/>
          <w:color w:val="2A2A2A"/>
        </w:rPr>
      </w:pPr>
      <w:r>
        <w:rPr>
          <w:rFonts w:ascii="Arial" w:cs="Arial" w:eastAsia="Arial" w:hAnsi="Arial"/>
          <w:sz w:val="20"/>
          <w:szCs w:val="20"/>
          <w:color w:val="2A2A2A"/>
        </w:rPr>
        <w:t>The elements of the 2023 compensation program, why we selected them and how they relate to one another; and</w:t>
      </w:r>
    </w:p>
    <w:p>
      <w:pPr>
        <w:spacing w:after="0" w:line="1" w:lineRule="exact"/>
        <w:rPr>
          <w:rFonts w:ascii="Arial" w:cs="Arial" w:eastAsia="Arial" w:hAnsi="Arial"/>
          <w:sz w:val="20"/>
          <w:szCs w:val="20"/>
          <w:color w:val="2A2A2A"/>
        </w:rPr>
      </w:pPr>
    </w:p>
    <w:p>
      <w:pPr>
        <w:ind w:left="720" w:hanging="361"/>
        <w:spacing w:after="0"/>
        <w:tabs>
          <w:tab w:leader="none" w:pos="720" w:val="left"/>
        </w:tabs>
        <w:numPr>
          <w:ilvl w:val="0"/>
          <w:numId w:val="106"/>
        </w:numPr>
        <w:rPr>
          <w:rFonts w:ascii="Arial" w:cs="Arial" w:eastAsia="Arial" w:hAnsi="Arial"/>
          <w:sz w:val="20"/>
          <w:szCs w:val="20"/>
          <w:color w:val="2A2A2A"/>
        </w:rPr>
      </w:pPr>
      <w:r>
        <w:rPr>
          <w:rFonts w:ascii="Arial" w:cs="Arial" w:eastAsia="Arial" w:hAnsi="Arial"/>
          <w:sz w:val="20"/>
          <w:szCs w:val="20"/>
          <w:color w:val="2A2A2A"/>
        </w:rPr>
        <w:t>How we determined the amount of compensation for 2023.</w:t>
      </w: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2A2A2A"/>
        </w:rPr>
        <w:t>The executive officers of the company have the broadest job responsibilities and policy-making authority in the company. We hold them accountable for the company’s performance and for maintaining a culture of strong ethics and compliance. Details of compensation for both individuals who served as CEO during 2023, our CFO and the three other highest paid individuals who were executive officers in 2023 (collectively called the “named executive officers” (NEOs)) can be found in the tables following the compensation committee report.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Executive summary</w:t>
      </w:r>
    </w:p>
    <w:p>
      <w:pPr>
        <w:spacing w:after="0" w:line="257" w:lineRule="exact"/>
        <w:rPr>
          <w:sz w:val="20"/>
          <w:szCs w:val="20"/>
          <w:color w:val="auto"/>
        </w:rPr>
      </w:pPr>
    </w:p>
    <w:p>
      <w:pPr>
        <w:ind w:left="720" w:hanging="361"/>
        <w:spacing w:after="0" w:line="267" w:lineRule="auto"/>
        <w:tabs>
          <w:tab w:leader="none" w:pos="720" w:val="left"/>
        </w:tabs>
        <w:numPr>
          <w:ilvl w:val="0"/>
          <w:numId w:val="107"/>
        </w:numPr>
        <w:rPr>
          <w:rFonts w:ascii="Arial" w:cs="Arial" w:eastAsia="Arial" w:hAnsi="Arial"/>
          <w:sz w:val="19"/>
          <w:szCs w:val="19"/>
          <w:b w:val="1"/>
          <w:bCs w:val="1"/>
          <w:color w:val="2A2A2A"/>
        </w:rPr>
      </w:pPr>
      <w:r>
        <w:rPr>
          <w:rFonts w:ascii="Arial" w:cs="Arial" w:eastAsia="Arial" w:hAnsi="Arial"/>
          <w:sz w:val="19"/>
          <w:szCs w:val="19"/>
          <w:b w:val="1"/>
          <w:bCs w:val="1"/>
          <w:color w:val="2A2A2A"/>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w:t>
      </w:r>
    </w:p>
    <w:p>
      <w:pPr>
        <w:spacing w:after="0" w:line="1" w:lineRule="exact"/>
        <w:rPr>
          <w:rFonts w:ascii="Arial" w:cs="Arial" w:eastAsia="Arial" w:hAnsi="Arial"/>
          <w:sz w:val="19"/>
          <w:szCs w:val="19"/>
          <w:b w:val="1"/>
          <w:bCs w:val="1"/>
          <w:color w:val="2A2A2A"/>
        </w:rPr>
      </w:pPr>
    </w:p>
    <w:p>
      <w:pPr>
        <w:ind w:left="720"/>
        <w:spacing w:after="0"/>
        <w:rPr>
          <w:rFonts w:ascii="Arial" w:cs="Arial" w:eastAsia="Arial" w:hAnsi="Arial"/>
          <w:sz w:val="19"/>
          <w:szCs w:val="19"/>
          <w:b w:val="1"/>
          <w:bCs w:val="1"/>
          <w:color w:val="2A2A2A"/>
        </w:rPr>
      </w:pPr>
      <w:r>
        <w:rPr>
          <w:rFonts w:ascii="Arial" w:cs="Arial" w:eastAsia="Arial" w:hAnsi="Arial"/>
          <w:sz w:val="20"/>
          <w:szCs w:val="20"/>
          <w:b w:val="1"/>
          <w:bCs w:val="1"/>
          <w:color w:val="2A2A2A"/>
        </w:rPr>
        <w:t>of TI.</w:t>
      </w:r>
    </w:p>
    <w:p>
      <w:pPr>
        <w:spacing w:after="0" w:line="50" w:lineRule="exact"/>
        <w:rPr>
          <w:rFonts w:ascii="Arial" w:cs="Arial" w:eastAsia="Arial" w:hAnsi="Arial"/>
          <w:sz w:val="19"/>
          <w:szCs w:val="19"/>
          <w:b w:val="1"/>
          <w:bCs w:val="1"/>
          <w:color w:val="2A2A2A"/>
        </w:rPr>
      </w:pPr>
    </w:p>
    <w:p>
      <w:pPr>
        <w:ind w:left="720" w:right="720" w:hanging="361"/>
        <w:spacing w:after="0" w:line="281" w:lineRule="auto"/>
        <w:tabs>
          <w:tab w:leader="none" w:pos="720" w:val="left"/>
        </w:tabs>
        <w:numPr>
          <w:ilvl w:val="0"/>
          <w:numId w:val="107"/>
        </w:numPr>
        <w:rPr>
          <w:rFonts w:ascii="Arial" w:cs="Arial" w:eastAsia="Arial" w:hAnsi="Arial"/>
          <w:sz w:val="20"/>
          <w:szCs w:val="20"/>
          <w:color w:val="2A2A2A"/>
        </w:rPr>
      </w:pPr>
      <w:r>
        <w:rPr>
          <w:rFonts w:ascii="Arial" w:cs="Arial" w:eastAsia="Arial" w:hAnsi="Arial"/>
          <w:sz w:val="20"/>
          <w:szCs w:val="20"/>
          <w:color w:val="2A2A2A"/>
        </w:rPr>
        <w:t>Haviv Ilan was elected president and chief executive officer, effective April 1, 2023, succeeding Rich Templeton, who continued in his role as chairman of the board.</w:t>
      </w:r>
    </w:p>
    <w:p>
      <w:pPr>
        <w:spacing w:after="0" w:line="1" w:lineRule="exact"/>
        <w:rPr>
          <w:rFonts w:ascii="Arial" w:cs="Arial" w:eastAsia="Arial" w:hAnsi="Arial"/>
          <w:sz w:val="20"/>
          <w:szCs w:val="20"/>
          <w:color w:val="2A2A2A"/>
        </w:rPr>
      </w:pPr>
    </w:p>
    <w:p>
      <w:pPr>
        <w:ind w:left="720" w:hanging="361"/>
        <w:spacing w:after="0" w:line="270" w:lineRule="auto"/>
        <w:tabs>
          <w:tab w:leader="none" w:pos="720" w:val="left"/>
        </w:tabs>
        <w:numPr>
          <w:ilvl w:val="0"/>
          <w:numId w:val="107"/>
        </w:numPr>
        <w:rPr>
          <w:rFonts w:ascii="Arial" w:cs="Arial" w:eastAsia="Arial" w:hAnsi="Arial"/>
          <w:sz w:val="19"/>
          <w:szCs w:val="19"/>
          <w:color w:val="2A2A2A"/>
        </w:rPr>
      </w:pPr>
      <w:r>
        <w:rPr>
          <w:rFonts w:ascii="Arial" w:cs="Arial" w:eastAsia="Arial" w:hAnsi="Arial"/>
          <w:sz w:val="19"/>
          <w:szCs w:val="19"/>
          <w:color w:val="2A2A2A"/>
        </w:rPr>
        <w:t>The compensation committee assesses TI’s results using quantitative and qualitative measures on an absolute and relative basis, as well as TI’s strategic progress. For 2023, TI’s operating profit margin remained positive and above median relative to Semiconductor Peers (as defined below in “Analysis of compensation determinations – Bonus”). Revenue declined, and relative performance was below median. TSR was positive on an absolute basis, but below median relative to Semiconductor Peers. In addition to these year-on-year results,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w:t>
      </w:r>
    </w:p>
    <w:p>
      <w:pPr>
        <w:sectPr>
          <w:pgSz w:w="12240" w:h="15840" w:orient="portrait"/>
          <w:cols w:equalWidth="0" w:num="1">
            <w:col w:w="10260"/>
          </w:cols>
          <w:pgMar w:left="980" w:top="658" w:right="1000" w:bottom="33"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29</w:t>
      </w:r>
    </w:p>
    <w:p>
      <w:pPr>
        <w:sectPr>
          <w:pgSz w:w="12240" w:h="15840" w:orient="portrait"/>
          <w:cols w:equalWidth="0" w:num="1">
            <w:col w:w="10260"/>
          </w:cols>
          <w:pgMar w:left="980" w:top="658" w:right="1000" w:bottom="33" w:gutter="0" w:footer="0" w:header="0"/>
          <w:type w:val="continuous"/>
        </w:sectPr>
      </w:pPr>
    </w:p>
    <w:bookmarkStart w:id="101" w:name="page102"/>
    <w:bookmarkEnd w:id="101"/>
    <w:p>
      <w:pPr>
        <w:ind w:left="720" w:right="260"/>
        <w:spacing w:after="0" w:line="281" w:lineRule="auto"/>
        <w:rPr>
          <w:sz w:val="20"/>
          <w:szCs w:val="20"/>
          <w:color w:val="auto"/>
        </w:rPr>
      </w:pPr>
      <w:r>
        <w:rPr>
          <w:rFonts w:ascii="Arial" w:cs="Arial" w:eastAsia="Arial" w:hAnsi="Arial"/>
          <w:sz w:val="20"/>
          <w:szCs w:val="20"/>
          <w:color w:val="2A2A2A"/>
        </w:rPr>
        <w:t>future revenue growth and provide customers with geopolitically dependable, low-cost 300mm capacity at scale.</w:t>
      </w:r>
    </w:p>
    <w:p>
      <w:pPr>
        <w:spacing w:after="0" w:line="1" w:lineRule="exact"/>
        <w:rPr>
          <w:sz w:val="20"/>
          <w:szCs w:val="20"/>
          <w:color w:val="auto"/>
        </w:rPr>
      </w:pPr>
    </w:p>
    <w:p>
      <w:pPr>
        <w:ind w:left="720" w:right="20" w:hanging="361"/>
        <w:spacing w:after="0" w:line="287" w:lineRule="auto"/>
        <w:tabs>
          <w:tab w:leader="none" w:pos="720" w:val="left"/>
        </w:tabs>
        <w:numPr>
          <w:ilvl w:val="0"/>
          <w:numId w:val="108"/>
        </w:numPr>
        <w:rPr>
          <w:rFonts w:ascii="Arial" w:cs="Arial" w:eastAsia="Arial" w:hAnsi="Arial"/>
          <w:sz w:val="20"/>
          <w:szCs w:val="20"/>
          <w:b w:val="1"/>
          <w:bCs w:val="1"/>
          <w:color w:val="2A2A2A"/>
        </w:rPr>
      </w:pPr>
      <w:r>
        <w:rPr>
          <w:rFonts w:ascii="Arial" w:cs="Arial" w:eastAsia="Arial" w:hAnsi="Arial"/>
          <w:sz w:val="20"/>
          <w:szCs w:val="20"/>
          <w:color w:val="2A2A2A"/>
        </w:rPr>
        <w:t>Based on this year’s performance assessment, the compensation committee determined executive bonuses payable in February 2024 should be down 10% year-on-year.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92075</wp:posOffset>
            </wp:positionV>
            <wp:extent cx="6092825" cy="10160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92825" cy="1016000"/>
                    </a:xfrm>
                    <a:prstGeom prst="rect">
                      <a:avLst/>
                    </a:prstGeom>
                    <a:noFill/>
                  </pic:spPr>
                </pic:pic>
              </a:graphicData>
            </a:graphic>
          </wp:anchor>
        </w:drawing>
      </w:r>
    </w:p>
    <w:p>
      <w:pPr>
        <w:spacing w:after="0" w:line="115" w:lineRule="exact"/>
        <w:rPr>
          <w:sz w:val="20"/>
          <w:szCs w:val="20"/>
          <w:color w:val="auto"/>
        </w:rPr>
      </w:pPr>
    </w:p>
    <w:tbl>
      <w:tblPr>
        <w:tblLayout w:type="fixed"/>
        <w:tblInd w:w="710" w:type="dxa"/>
        <w:tblCellMar>
          <w:top w:w="0" w:type="dxa"/>
          <w:left w:w="0" w:type="dxa"/>
          <w:bottom w:w="0" w:type="dxa"/>
          <w:right w:w="0" w:type="dxa"/>
        </w:tblCellMar>
      </w:tblPr>
      <w:tr>
        <w:trPr>
          <w:trHeight w:val="285"/>
        </w:trPr>
        <w:tc>
          <w:tcPr>
            <w:tcW w:w="4780" w:type="dxa"/>
            <w:vAlign w:val="bottom"/>
            <w:tcBorders>
              <w:bottom w:val="single" w:sz="8" w:color="2A2A2A"/>
              <w:right w:val="single" w:sz="8" w:color="2A2A2A"/>
            </w:tcBorders>
          </w:tcPr>
          <w:p>
            <w:pPr>
              <w:spacing w:after="0"/>
              <w:rPr>
                <w:sz w:val="24"/>
                <w:szCs w:val="24"/>
                <w:color w:val="auto"/>
              </w:rPr>
            </w:pPr>
          </w:p>
        </w:tc>
        <w:tc>
          <w:tcPr>
            <w:tcW w:w="2420" w:type="dxa"/>
            <w:vAlign w:val="bottom"/>
            <w:tcBorders>
              <w:top w:val="single" w:sz="8" w:color="2A2A2A"/>
              <w:bottom w:val="single" w:sz="8" w:color="2A2A2A"/>
              <w:right w:val="single" w:sz="8" w:color="2A2A2A"/>
            </w:tcBorders>
            <w:shd w:val="clear" w:color="auto" w:fill="D7D7D7"/>
          </w:tcPr>
          <w:p>
            <w:pPr>
              <w:jc w:val="right"/>
              <w:ind w:right="64"/>
              <w:spacing w:after="0"/>
              <w:rPr>
                <w:sz w:val="20"/>
                <w:szCs w:val="20"/>
                <w:color w:val="auto"/>
              </w:rPr>
            </w:pPr>
            <w:r>
              <w:rPr>
                <w:rFonts w:ascii="Arial" w:cs="Arial" w:eastAsia="Arial" w:hAnsi="Arial"/>
                <w:sz w:val="16"/>
                <w:szCs w:val="16"/>
                <w:b w:val="1"/>
                <w:bCs w:val="1"/>
                <w:color w:val="2A2A2A"/>
              </w:rPr>
              <w:t>2023 Absolute Performance</w:t>
            </w:r>
          </w:p>
        </w:tc>
        <w:tc>
          <w:tcPr>
            <w:tcW w:w="2380" w:type="dxa"/>
            <w:vAlign w:val="bottom"/>
            <w:tcBorders>
              <w:top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2023 Relative Performance *</w:t>
            </w:r>
          </w:p>
        </w:tc>
        <w:tc>
          <w:tcPr>
            <w:tcW w:w="0" w:type="dxa"/>
            <w:vAlign w:val="bottom"/>
          </w:tcPr>
          <w:p>
            <w:pPr>
              <w:spacing w:after="0"/>
              <w:rPr>
                <w:sz w:val="1"/>
                <w:szCs w:val="1"/>
                <w:color w:val="auto"/>
              </w:rPr>
            </w:pPr>
          </w:p>
        </w:tc>
      </w:tr>
      <w:tr>
        <w:trPr>
          <w:trHeight w:val="308"/>
        </w:trPr>
        <w:tc>
          <w:tcPr>
            <w:tcW w:w="4780" w:type="dxa"/>
            <w:vAlign w:val="bottom"/>
            <w:tcBorders>
              <w:left w:val="single" w:sz="8" w:color="2A2A2A"/>
              <w:right w:val="single" w:sz="8" w:color="2A2A2A"/>
            </w:tcBorders>
          </w:tcPr>
          <w:p>
            <w:pPr>
              <w:ind w:left="200"/>
              <w:spacing w:after="0"/>
              <w:rPr>
                <w:sz w:val="20"/>
                <w:szCs w:val="20"/>
                <w:color w:val="auto"/>
              </w:rPr>
            </w:pPr>
            <w:r>
              <w:rPr>
                <w:rFonts w:ascii="Arial" w:cs="Arial" w:eastAsia="Arial" w:hAnsi="Arial"/>
                <w:sz w:val="20"/>
                <w:szCs w:val="20"/>
                <w:color w:val="2A2A2A"/>
              </w:rPr>
              <w:t>Revenue Growth: Total TI</w:t>
            </w:r>
          </w:p>
        </w:tc>
        <w:tc>
          <w:tcPr>
            <w:tcW w:w="2420" w:type="dxa"/>
            <w:vAlign w:val="bottom"/>
            <w:tcBorders>
              <w:right w:val="single" w:sz="8" w:color="2A2A2A"/>
            </w:tcBorders>
          </w:tcPr>
          <w:p>
            <w:pPr>
              <w:jc w:val="right"/>
              <w:ind w:right="784"/>
              <w:spacing w:after="0"/>
              <w:rPr>
                <w:sz w:val="20"/>
                <w:szCs w:val="20"/>
                <w:color w:val="auto"/>
              </w:rPr>
            </w:pPr>
            <w:r>
              <w:rPr>
                <w:rFonts w:ascii="Arial" w:cs="Arial" w:eastAsia="Arial" w:hAnsi="Arial"/>
                <w:sz w:val="20"/>
                <w:szCs w:val="20"/>
                <w:color w:val="2A2A2A"/>
              </w:rPr>
              <w:t>-12.5%</w:t>
            </w:r>
          </w:p>
        </w:tc>
        <w:tc>
          <w:tcPr>
            <w:tcW w:w="2380" w:type="dxa"/>
            <w:vAlign w:val="bottom"/>
            <w:tcBorders>
              <w:right w:val="single" w:sz="8" w:color="2A2A2A"/>
            </w:tcBorders>
          </w:tcPr>
          <w:p>
            <w:pPr>
              <w:jc w:val="center"/>
              <w:spacing w:after="0"/>
              <w:rPr>
                <w:sz w:val="20"/>
                <w:szCs w:val="20"/>
                <w:color w:val="auto"/>
              </w:rPr>
            </w:pPr>
            <w:r>
              <w:rPr>
                <w:rFonts w:ascii="Arial" w:cs="Arial" w:eastAsia="Arial" w:hAnsi="Arial"/>
                <w:sz w:val="20"/>
                <w:szCs w:val="20"/>
                <w:color w:val="2A2A2A"/>
                <w:w w:val="98"/>
              </w:rPr>
              <w:t>Below median</w:t>
            </w:r>
          </w:p>
        </w:tc>
        <w:tc>
          <w:tcPr>
            <w:tcW w:w="0" w:type="dxa"/>
            <w:vAlign w:val="bottom"/>
          </w:tcPr>
          <w:p>
            <w:pPr>
              <w:spacing w:after="0"/>
              <w:rPr>
                <w:sz w:val="1"/>
                <w:szCs w:val="1"/>
                <w:color w:val="auto"/>
              </w:rPr>
            </w:pPr>
          </w:p>
        </w:tc>
      </w:tr>
      <w:tr>
        <w:trPr>
          <w:trHeight w:val="32"/>
        </w:trPr>
        <w:tc>
          <w:tcPr>
            <w:tcW w:w="4780" w:type="dxa"/>
            <w:vAlign w:val="bottom"/>
            <w:tcBorders>
              <w:left w:val="single" w:sz="8" w:color="2A2A2A"/>
              <w:bottom w:val="single" w:sz="8" w:color="2A2A2A"/>
              <w:right w:val="single" w:sz="8" w:color="2A2A2A"/>
            </w:tcBorders>
          </w:tcPr>
          <w:p>
            <w:pPr>
              <w:spacing w:after="0"/>
              <w:rPr>
                <w:sz w:val="2"/>
                <w:szCs w:val="2"/>
                <w:color w:val="auto"/>
              </w:rPr>
            </w:pPr>
          </w:p>
        </w:tc>
        <w:tc>
          <w:tcPr>
            <w:tcW w:w="2420" w:type="dxa"/>
            <w:vAlign w:val="bottom"/>
            <w:tcBorders>
              <w:bottom w:val="single" w:sz="8" w:color="2A2A2A"/>
              <w:right w:val="single" w:sz="8" w:color="2A2A2A"/>
            </w:tcBorders>
          </w:tcPr>
          <w:p>
            <w:pPr>
              <w:spacing w:after="0"/>
              <w:rPr>
                <w:sz w:val="2"/>
                <w:szCs w:val="2"/>
                <w:color w:val="auto"/>
              </w:rPr>
            </w:pPr>
          </w:p>
        </w:tc>
        <w:tc>
          <w:tcPr>
            <w:tcW w:w="2380" w:type="dxa"/>
            <w:vAlign w:val="bottom"/>
            <w:tcBorders>
              <w:bottom w:val="single" w:sz="8" w:color="2A2A2A"/>
              <w:right w:val="single" w:sz="8" w:color="2A2A2A"/>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780" w:type="dxa"/>
            <w:vAlign w:val="bottom"/>
            <w:tcBorders>
              <w:left w:val="single" w:sz="8" w:color="2A2A2A"/>
              <w:right w:val="single" w:sz="8" w:color="2A2A2A"/>
            </w:tcBorders>
          </w:tcPr>
          <w:p>
            <w:pPr>
              <w:ind w:left="200"/>
              <w:spacing w:after="0"/>
              <w:rPr>
                <w:sz w:val="20"/>
                <w:szCs w:val="20"/>
                <w:color w:val="auto"/>
              </w:rPr>
            </w:pPr>
            <w:r>
              <w:rPr>
                <w:rFonts w:ascii="Arial" w:cs="Arial" w:eastAsia="Arial" w:hAnsi="Arial"/>
                <w:sz w:val="20"/>
                <w:szCs w:val="20"/>
                <w:color w:val="2A2A2A"/>
              </w:rPr>
              <w:t>Profit from Operations as a % of Revenue</w:t>
            </w:r>
          </w:p>
        </w:tc>
        <w:tc>
          <w:tcPr>
            <w:tcW w:w="2420" w:type="dxa"/>
            <w:vAlign w:val="bottom"/>
            <w:tcBorders>
              <w:right w:val="single" w:sz="8" w:color="2A2A2A"/>
            </w:tcBorders>
            <w:vMerge w:val="restart"/>
          </w:tcPr>
          <w:p>
            <w:pPr>
              <w:jc w:val="right"/>
              <w:ind w:right="804"/>
              <w:spacing w:after="0"/>
              <w:rPr>
                <w:sz w:val="20"/>
                <w:szCs w:val="20"/>
                <w:color w:val="auto"/>
              </w:rPr>
            </w:pPr>
            <w:r>
              <w:rPr>
                <w:rFonts w:ascii="Arial" w:cs="Arial" w:eastAsia="Arial" w:hAnsi="Arial"/>
                <w:sz w:val="20"/>
                <w:szCs w:val="20"/>
                <w:color w:val="2A2A2A"/>
              </w:rPr>
              <w:t>41.8%</w:t>
            </w:r>
          </w:p>
        </w:tc>
        <w:tc>
          <w:tcPr>
            <w:tcW w:w="2380" w:type="dxa"/>
            <w:vAlign w:val="bottom"/>
            <w:tcBorders>
              <w:right w:val="single" w:sz="8" w:color="2A2A2A"/>
            </w:tcBorders>
            <w:vMerge w:val="restart"/>
          </w:tcPr>
          <w:p>
            <w:pPr>
              <w:jc w:val="center"/>
              <w:spacing w:after="0"/>
              <w:rPr>
                <w:sz w:val="20"/>
                <w:szCs w:val="20"/>
                <w:color w:val="auto"/>
              </w:rPr>
            </w:pPr>
            <w:r>
              <w:rPr>
                <w:rFonts w:ascii="Arial" w:cs="Arial" w:eastAsia="Arial" w:hAnsi="Arial"/>
                <w:sz w:val="20"/>
                <w:szCs w:val="20"/>
                <w:color w:val="2A2A2A"/>
              </w:rPr>
              <w:t>Above median</w:t>
            </w:r>
          </w:p>
        </w:tc>
        <w:tc>
          <w:tcPr>
            <w:tcW w:w="0" w:type="dxa"/>
            <w:vAlign w:val="bottom"/>
          </w:tcPr>
          <w:p>
            <w:pPr>
              <w:spacing w:after="0"/>
              <w:rPr>
                <w:sz w:val="1"/>
                <w:szCs w:val="1"/>
                <w:color w:val="auto"/>
              </w:rPr>
            </w:pPr>
          </w:p>
        </w:tc>
      </w:tr>
      <w:tr>
        <w:trPr>
          <w:trHeight w:val="145"/>
        </w:trPr>
        <w:tc>
          <w:tcPr>
            <w:tcW w:w="4780" w:type="dxa"/>
            <w:vAlign w:val="bottom"/>
            <w:tcBorders>
              <w:left w:val="single" w:sz="8" w:color="2A2A2A"/>
              <w:right w:val="single" w:sz="8" w:color="2A2A2A"/>
            </w:tcBorders>
            <w:vMerge w:val="restart"/>
          </w:tcPr>
          <w:p>
            <w:pPr>
              <w:ind w:left="200"/>
              <w:spacing w:after="0"/>
              <w:rPr>
                <w:sz w:val="20"/>
                <w:szCs w:val="20"/>
                <w:color w:val="auto"/>
              </w:rPr>
            </w:pPr>
            <w:r>
              <w:rPr>
                <w:rFonts w:ascii="Arial" w:cs="Arial" w:eastAsia="Arial" w:hAnsi="Arial"/>
                <w:sz w:val="20"/>
                <w:szCs w:val="20"/>
                <w:color w:val="2A2A2A"/>
              </w:rPr>
              <w:t>(Operating Profit Margin)</w:t>
            </w:r>
          </w:p>
        </w:tc>
        <w:tc>
          <w:tcPr>
            <w:tcW w:w="2420" w:type="dxa"/>
            <w:vAlign w:val="bottom"/>
            <w:tcBorders>
              <w:right w:val="single" w:sz="8" w:color="2A2A2A"/>
            </w:tcBorders>
            <w:vMerge w:val="continue"/>
          </w:tcPr>
          <w:p>
            <w:pPr>
              <w:spacing w:after="0"/>
              <w:rPr>
                <w:sz w:val="12"/>
                <w:szCs w:val="12"/>
                <w:color w:val="auto"/>
              </w:rPr>
            </w:pPr>
          </w:p>
        </w:tc>
        <w:tc>
          <w:tcPr>
            <w:tcW w:w="2380" w:type="dxa"/>
            <w:vAlign w:val="bottom"/>
            <w:tcBorders>
              <w:right w:val="single" w:sz="8" w:color="2A2A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tcBorders>
              <w:left w:val="single" w:sz="8" w:color="2A2A2A"/>
              <w:bottom w:val="single" w:sz="8" w:color="2A2A2A"/>
              <w:right w:val="single" w:sz="8" w:color="2A2A2A"/>
            </w:tcBorders>
            <w:vMerge w:val="continue"/>
          </w:tcPr>
          <w:p>
            <w:pPr>
              <w:spacing w:after="0"/>
              <w:rPr>
                <w:sz w:val="11"/>
                <w:szCs w:val="11"/>
                <w:color w:val="auto"/>
              </w:rPr>
            </w:pPr>
          </w:p>
        </w:tc>
        <w:tc>
          <w:tcPr>
            <w:tcW w:w="2420" w:type="dxa"/>
            <w:vAlign w:val="bottom"/>
            <w:tcBorders>
              <w:bottom w:val="single" w:sz="8" w:color="2A2A2A"/>
              <w:right w:val="single" w:sz="8" w:color="2A2A2A"/>
            </w:tcBorders>
          </w:tcPr>
          <w:p>
            <w:pPr>
              <w:spacing w:after="0"/>
              <w:rPr>
                <w:sz w:val="11"/>
                <w:szCs w:val="11"/>
                <w:color w:val="auto"/>
              </w:rPr>
            </w:pPr>
          </w:p>
        </w:tc>
        <w:tc>
          <w:tcPr>
            <w:tcW w:w="2380" w:type="dxa"/>
            <w:vAlign w:val="bottom"/>
            <w:tcBorders>
              <w:bottom w:val="single" w:sz="8" w:color="2A2A2A"/>
              <w:right w:val="single" w:sz="8" w:color="2A2A2A"/>
            </w:tcBorders>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4780" w:type="dxa"/>
            <w:vAlign w:val="bottom"/>
            <w:tcBorders>
              <w:left w:val="single" w:sz="8" w:color="2A2A2A"/>
              <w:right w:val="single" w:sz="8" w:color="2A2A2A"/>
            </w:tcBorders>
          </w:tcPr>
          <w:p>
            <w:pPr>
              <w:ind w:left="200"/>
              <w:spacing w:after="0"/>
              <w:rPr>
                <w:sz w:val="20"/>
                <w:szCs w:val="20"/>
                <w:color w:val="auto"/>
              </w:rPr>
            </w:pPr>
            <w:r>
              <w:rPr>
                <w:rFonts w:ascii="Arial" w:cs="Arial" w:eastAsia="Arial" w:hAnsi="Arial"/>
                <w:sz w:val="20"/>
                <w:szCs w:val="20"/>
                <w:color w:val="2A2A2A"/>
              </w:rPr>
              <w:t>Total Shareholder Return (TSR)</w:t>
            </w:r>
          </w:p>
        </w:tc>
        <w:tc>
          <w:tcPr>
            <w:tcW w:w="2420" w:type="dxa"/>
            <w:vAlign w:val="bottom"/>
            <w:tcBorders>
              <w:right w:val="single" w:sz="8" w:color="2A2A2A"/>
            </w:tcBorders>
          </w:tcPr>
          <w:p>
            <w:pPr>
              <w:jc w:val="right"/>
              <w:ind w:right="804"/>
              <w:spacing w:after="0"/>
              <w:rPr>
                <w:sz w:val="20"/>
                <w:szCs w:val="20"/>
                <w:color w:val="auto"/>
              </w:rPr>
            </w:pPr>
            <w:r>
              <w:rPr>
                <w:rFonts w:ascii="Arial" w:cs="Arial" w:eastAsia="Arial" w:hAnsi="Arial"/>
                <w:sz w:val="20"/>
                <w:szCs w:val="20"/>
                <w:color w:val="2A2A2A"/>
              </w:rPr>
              <w:t>6.4%</w:t>
            </w:r>
          </w:p>
        </w:tc>
        <w:tc>
          <w:tcPr>
            <w:tcW w:w="2380" w:type="dxa"/>
            <w:vAlign w:val="bottom"/>
            <w:tcBorders>
              <w:right w:val="single" w:sz="8" w:color="2A2A2A"/>
            </w:tcBorders>
          </w:tcPr>
          <w:p>
            <w:pPr>
              <w:jc w:val="center"/>
              <w:spacing w:after="0"/>
              <w:rPr>
                <w:sz w:val="20"/>
                <w:szCs w:val="20"/>
                <w:color w:val="auto"/>
              </w:rPr>
            </w:pPr>
            <w:r>
              <w:rPr>
                <w:rFonts w:ascii="Arial" w:cs="Arial" w:eastAsia="Arial" w:hAnsi="Arial"/>
                <w:sz w:val="20"/>
                <w:szCs w:val="20"/>
                <w:color w:val="2A2A2A"/>
                <w:w w:val="98"/>
              </w:rPr>
              <w:t>Below median</w:t>
            </w:r>
          </w:p>
        </w:tc>
        <w:tc>
          <w:tcPr>
            <w:tcW w:w="0" w:type="dxa"/>
            <w:vAlign w:val="bottom"/>
          </w:tcPr>
          <w:p>
            <w:pPr>
              <w:spacing w:after="0"/>
              <w:rPr>
                <w:sz w:val="1"/>
                <w:szCs w:val="1"/>
                <w:color w:val="auto"/>
              </w:rPr>
            </w:pPr>
          </w:p>
        </w:tc>
      </w:tr>
      <w:tr>
        <w:trPr>
          <w:trHeight w:val="32"/>
        </w:trPr>
        <w:tc>
          <w:tcPr>
            <w:tcW w:w="4780" w:type="dxa"/>
            <w:vAlign w:val="bottom"/>
            <w:tcBorders>
              <w:left w:val="single" w:sz="8" w:color="2A2A2A"/>
              <w:bottom w:val="single" w:sz="8" w:color="2A2A2A"/>
              <w:right w:val="single" w:sz="8" w:color="2A2A2A"/>
            </w:tcBorders>
          </w:tcPr>
          <w:p>
            <w:pPr>
              <w:spacing w:after="0"/>
              <w:rPr>
                <w:sz w:val="2"/>
                <w:szCs w:val="2"/>
                <w:color w:val="auto"/>
              </w:rPr>
            </w:pPr>
          </w:p>
        </w:tc>
        <w:tc>
          <w:tcPr>
            <w:tcW w:w="2420" w:type="dxa"/>
            <w:vAlign w:val="bottom"/>
            <w:tcBorders>
              <w:bottom w:val="single" w:sz="8" w:color="2A2A2A"/>
              <w:right w:val="single" w:sz="8" w:color="2A2A2A"/>
            </w:tcBorders>
          </w:tcPr>
          <w:p>
            <w:pPr>
              <w:spacing w:after="0"/>
              <w:rPr>
                <w:sz w:val="2"/>
                <w:szCs w:val="2"/>
                <w:color w:val="auto"/>
              </w:rPr>
            </w:pPr>
          </w:p>
        </w:tc>
        <w:tc>
          <w:tcPr>
            <w:tcW w:w="2380" w:type="dxa"/>
            <w:vAlign w:val="bottom"/>
            <w:tcBorders>
              <w:bottom w:val="single" w:sz="8" w:color="2A2A2A"/>
              <w:right w:val="single" w:sz="8" w:color="2A2A2A"/>
            </w:tcBorders>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780" w:type="dxa"/>
            <w:vAlign w:val="bottom"/>
            <w:tcBorders>
              <w:left w:val="single" w:sz="8" w:color="2A2A2A"/>
              <w:bottom w:val="single" w:sz="8" w:color="2A2A2A"/>
              <w:right w:val="single" w:sz="8" w:color="D7D7D7"/>
            </w:tcBorders>
            <w:shd w:val="clear" w:color="auto" w:fill="D7D7D7"/>
          </w:tcPr>
          <w:p>
            <w:pPr>
              <w:spacing w:after="0"/>
              <w:rPr>
                <w:sz w:val="7"/>
                <w:szCs w:val="7"/>
                <w:color w:val="auto"/>
              </w:rPr>
            </w:pPr>
          </w:p>
        </w:tc>
        <w:tc>
          <w:tcPr>
            <w:tcW w:w="2420" w:type="dxa"/>
            <w:vAlign w:val="bottom"/>
            <w:tcBorders>
              <w:bottom w:val="single" w:sz="8" w:color="2A2A2A"/>
              <w:right w:val="single" w:sz="8" w:color="D7D7D7"/>
            </w:tcBorders>
            <w:shd w:val="clear" w:color="auto" w:fill="D7D7D7"/>
          </w:tcPr>
          <w:p>
            <w:pPr>
              <w:spacing w:after="0"/>
              <w:rPr>
                <w:sz w:val="7"/>
                <w:szCs w:val="7"/>
                <w:color w:val="auto"/>
              </w:rPr>
            </w:pPr>
          </w:p>
        </w:tc>
        <w:tc>
          <w:tcPr>
            <w:tcW w:w="2380" w:type="dxa"/>
            <w:vAlign w:val="bottom"/>
            <w:tcBorders>
              <w:bottom w:val="single" w:sz="8" w:color="2A2A2A"/>
              <w:right w:val="single" w:sz="8" w:color="2A2A2A"/>
            </w:tcBorders>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4780" w:type="dxa"/>
            <w:vAlign w:val="bottom"/>
            <w:tcBorders>
              <w:left w:val="single" w:sz="8" w:color="2A2A2A"/>
              <w:bottom w:val="single" w:sz="8" w:color="D7D7D7"/>
              <w:right w:val="single" w:sz="8" w:color="2A2A2A"/>
            </w:tcBorders>
            <w:shd w:val="clear" w:color="auto" w:fill="D7D7D7"/>
          </w:tcPr>
          <w:p>
            <w:pPr>
              <w:ind w:left="200"/>
              <w:spacing w:after="0"/>
              <w:rPr>
                <w:sz w:val="20"/>
                <w:szCs w:val="20"/>
                <w:color w:val="auto"/>
              </w:rPr>
            </w:pPr>
            <w:r>
              <w:rPr>
                <w:rFonts w:ascii="Arial" w:cs="Arial" w:eastAsia="Arial" w:hAnsi="Arial"/>
                <w:sz w:val="20"/>
                <w:szCs w:val="20"/>
                <w:color w:val="2A2A2A"/>
              </w:rPr>
              <w:t>Assessment of Strategic Progress</w:t>
            </w:r>
          </w:p>
        </w:tc>
        <w:tc>
          <w:tcPr>
            <w:tcW w:w="4800" w:type="dxa"/>
            <w:vAlign w:val="bottom"/>
            <w:tcBorders>
              <w:right w:val="single" w:sz="8" w:color="2A2A2A"/>
            </w:tcBorders>
            <w:gridSpan w:val="2"/>
          </w:tcPr>
          <w:p>
            <w:pPr>
              <w:ind w:left="680"/>
              <w:spacing w:after="0"/>
              <w:rPr>
                <w:sz w:val="20"/>
                <w:szCs w:val="20"/>
                <w:color w:val="auto"/>
              </w:rPr>
            </w:pPr>
            <w:r>
              <w:rPr>
                <w:rFonts w:ascii="Arial" w:cs="Arial" w:eastAsia="Arial" w:hAnsi="Arial"/>
                <w:sz w:val="20"/>
                <w:szCs w:val="20"/>
                <w:color w:val="2A2A2A"/>
              </w:rPr>
              <w:t>Strengthened strategic position in 2023</w:t>
            </w:r>
          </w:p>
        </w:tc>
        <w:tc>
          <w:tcPr>
            <w:tcW w:w="0" w:type="dxa"/>
            <w:vAlign w:val="bottom"/>
          </w:tcPr>
          <w:p>
            <w:pPr>
              <w:spacing w:after="0"/>
              <w:rPr>
                <w:sz w:val="1"/>
                <w:szCs w:val="1"/>
                <w:color w:val="auto"/>
              </w:rPr>
            </w:pPr>
          </w:p>
        </w:tc>
      </w:tr>
      <w:tr>
        <w:trPr>
          <w:trHeight w:val="20"/>
        </w:trPr>
        <w:tc>
          <w:tcPr>
            <w:tcW w:w="4780" w:type="dxa"/>
            <w:vAlign w:val="bottom"/>
            <w:tcBorders>
              <w:left w:val="single" w:sz="8" w:color="2A2A2A"/>
              <w:right w:val="single" w:sz="8" w:color="2A2A2A"/>
            </w:tcBorders>
            <w:shd w:val="clear" w:color="auto" w:fill="2A2A2A"/>
          </w:tcPr>
          <w:p>
            <w:pPr>
              <w:spacing w:after="0" w:line="20" w:lineRule="exact"/>
              <w:rPr>
                <w:sz w:val="1"/>
                <w:szCs w:val="1"/>
                <w:color w:val="auto"/>
              </w:rPr>
            </w:pPr>
          </w:p>
        </w:tc>
        <w:tc>
          <w:tcPr>
            <w:tcW w:w="2420" w:type="dxa"/>
            <w:vAlign w:val="bottom"/>
            <w:tcBorders>
              <w:right w:val="single" w:sz="8" w:color="2A2A2A"/>
            </w:tcBorders>
            <w:shd w:val="clear" w:color="auto" w:fill="2A2A2A"/>
          </w:tcPr>
          <w:p>
            <w:pPr>
              <w:spacing w:after="0" w:line="20" w:lineRule="exact"/>
              <w:rPr>
                <w:sz w:val="1"/>
                <w:szCs w:val="1"/>
                <w:color w:val="auto"/>
              </w:rPr>
            </w:pPr>
          </w:p>
        </w:tc>
        <w:tc>
          <w:tcPr>
            <w:tcW w:w="2380" w:type="dxa"/>
            <w:vAlign w:val="bottom"/>
            <w:tcBorders>
              <w:right w:val="single" w:sz="8" w:color="2A2A2A"/>
            </w:tcBorders>
            <w:shd w:val="clear" w:color="auto" w:fill="2A2A2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-247015</wp:posOffset>
            </wp:positionV>
            <wp:extent cx="609282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92825" cy="2540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-18415</wp:posOffset>
            </wp:positionV>
            <wp:extent cx="609282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92825" cy="25400"/>
                    </a:xfrm>
                    <a:prstGeom prst="rect">
                      <a:avLst/>
                    </a:prstGeom>
                    <a:noFill/>
                  </pic:spPr>
                </pic:pic>
              </a:graphicData>
            </a:graphic>
          </wp:anchor>
        </w:drawing>
      </w:r>
    </w:p>
    <w:p>
      <w:pPr>
        <w:spacing w:after="0" w:line="135" w:lineRule="exact"/>
        <w:rPr>
          <w:sz w:val="20"/>
          <w:szCs w:val="20"/>
          <w:color w:val="auto"/>
        </w:rPr>
      </w:pPr>
    </w:p>
    <w:p>
      <w:pPr>
        <w:ind w:left="1080" w:right="720" w:hanging="361"/>
        <w:spacing w:after="0" w:line="259" w:lineRule="auto"/>
        <w:tabs>
          <w:tab w:leader="none" w:pos="1080" w:val="left"/>
        </w:tabs>
        <w:numPr>
          <w:ilvl w:val="1"/>
          <w:numId w:val="109"/>
        </w:numPr>
        <w:rPr>
          <w:rFonts w:ascii="Arial" w:cs="Arial" w:eastAsia="Arial" w:hAnsi="Arial"/>
          <w:sz w:val="20"/>
          <w:szCs w:val="20"/>
          <w:color w:val="2A2A2A"/>
        </w:rPr>
      </w:pPr>
      <w:r>
        <w:rPr>
          <w:rFonts w:ascii="Arial" w:cs="Arial" w:eastAsia="Arial" w:hAnsi="Arial"/>
          <w:sz w:val="20"/>
          <w:szCs w:val="20"/>
          <w:color w:val="2A2A2A"/>
        </w:rPr>
        <w:t>Relative to Semiconductor Peers; includes estimates and projections of certain peer companies’ financial results. See “Analysis of compensation determinations – Bonus – Assessment of 2023 performance” for details of the compensation committee’s assessment of TI’s performance. (It is important to note that the median growth rate of Semiconductor Peers includes the benefit of acquisitions, whereas TI’s growth rate is entirely organic.)</w:t>
      </w:r>
    </w:p>
    <w:p>
      <w:pPr>
        <w:spacing w:after="0" w:line="139" w:lineRule="exact"/>
        <w:rPr>
          <w:rFonts w:ascii="Arial" w:cs="Arial" w:eastAsia="Arial" w:hAnsi="Arial"/>
          <w:sz w:val="20"/>
          <w:szCs w:val="20"/>
          <w:color w:val="2A2A2A"/>
        </w:rPr>
      </w:pPr>
    </w:p>
    <w:p>
      <w:pPr>
        <w:ind w:left="720" w:right="60" w:hanging="361"/>
        <w:spacing w:after="0" w:line="262" w:lineRule="auto"/>
        <w:tabs>
          <w:tab w:leader="none" w:pos="720" w:val="left"/>
        </w:tabs>
        <w:numPr>
          <w:ilvl w:val="0"/>
          <w:numId w:val="109"/>
        </w:numPr>
        <w:rPr>
          <w:rFonts w:ascii="Arial" w:cs="Arial" w:eastAsia="Arial" w:hAnsi="Arial"/>
          <w:sz w:val="20"/>
          <w:szCs w:val="20"/>
          <w:color w:val="2A2A2A"/>
        </w:rPr>
      </w:pPr>
      <w:r>
        <w:rPr>
          <w:rFonts w:ascii="Arial" w:cs="Arial" w:eastAsia="Arial" w:hAnsi="Arial"/>
          <w:sz w:val="20"/>
          <w:szCs w:val="20"/>
          <w:color w:val="2A2A2A"/>
        </w:rPr>
        <w:t>TI targets annual equity grants to executives at market median. Recognizing an increase in equity values among the Comparator Group in 2022, the compensation committee approved an increase in the equity values granted to TI executives in January 2023, reflecting an effort to align with the projected market range for similarly situated executives in our Comparator Group.</w:t>
      </w:r>
    </w:p>
    <w:p>
      <w:pPr>
        <w:spacing w:after="0" w:line="15" w:lineRule="exact"/>
        <w:rPr>
          <w:rFonts w:ascii="Arial" w:cs="Arial" w:eastAsia="Arial" w:hAnsi="Arial"/>
          <w:sz w:val="20"/>
          <w:szCs w:val="20"/>
          <w:color w:val="2A2A2A"/>
        </w:rPr>
      </w:pPr>
    </w:p>
    <w:p>
      <w:pPr>
        <w:ind w:left="720" w:hanging="361"/>
        <w:spacing w:after="0"/>
        <w:tabs>
          <w:tab w:leader="none" w:pos="720" w:val="left"/>
        </w:tabs>
        <w:numPr>
          <w:ilvl w:val="0"/>
          <w:numId w:val="109"/>
        </w:numPr>
        <w:rPr>
          <w:rFonts w:ascii="Arial" w:cs="Arial" w:eastAsia="Arial" w:hAnsi="Arial"/>
          <w:sz w:val="20"/>
          <w:szCs w:val="20"/>
          <w:color w:val="2A2A2A"/>
        </w:rPr>
      </w:pPr>
      <w:r>
        <w:rPr>
          <w:rFonts w:ascii="Arial" w:cs="Arial" w:eastAsia="Arial" w:hAnsi="Arial"/>
          <w:sz w:val="20"/>
          <w:szCs w:val="20"/>
          <w:color w:val="2A2A2A"/>
        </w:rPr>
        <w:t>2023 compensation decisions for Mr. Ilan, the current CEO:</w:t>
      </w:r>
    </w:p>
    <w:p>
      <w:pPr>
        <w:spacing w:after="0" w:line="70" w:lineRule="exact"/>
        <w:rPr>
          <w:rFonts w:ascii="Arial" w:cs="Arial" w:eastAsia="Arial" w:hAnsi="Arial"/>
          <w:sz w:val="20"/>
          <w:szCs w:val="20"/>
          <w:color w:val="2A2A2A"/>
        </w:rPr>
      </w:pPr>
    </w:p>
    <w:p>
      <w:pPr>
        <w:ind w:left="1080" w:right="260" w:hanging="360"/>
        <w:spacing w:after="0" w:line="268" w:lineRule="auto"/>
        <w:rPr>
          <w:rFonts w:ascii="Arial" w:cs="Arial" w:eastAsia="Arial" w:hAnsi="Arial"/>
          <w:sz w:val="20"/>
          <w:szCs w:val="20"/>
          <w:color w:val="2A2A2A"/>
        </w:rPr>
      </w:pPr>
      <w:r>
        <w:rPr>
          <w:rFonts w:ascii="Arial" w:cs="Arial" w:eastAsia="Arial" w:hAnsi="Arial"/>
          <w:sz w:val="20"/>
          <w:szCs w:val="20"/>
          <w:color w:val="2A2A2A"/>
        </w:rPr>
        <w:t>◦ Base salary was increased by 5.5%, effective February 1, 2023, for Mr. Ilan’s role as chief operating officer (COO). His annual base salary was then revised to $1,150,000, effective April 1, 2023, with his appointment as CEO.</w:t>
      </w:r>
    </w:p>
    <w:p>
      <w:pPr>
        <w:spacing w:after="0" w:line="9" w:lineRule="exact"/>
        <w:rPr>
          <w:rFonts w:ascii="Arial" w:cs="Arial" w:eastAsia="Arial" w:hAnsi="Arial"/>
          <w:sz w:val="20"/>
          <w:szCs w:val="20"/>
          <w:color w:val="2A2A2A"/>
        </w:rPr>
      </w:pPr>
    </w:p>
    <w:p>
      <w:pPr>
        <w:ind w:left="720"/>
        <w:spacing w:after="0"/>
        <w:rPr>
          <w:rFonts w:ascii="Arial" w:cs="Arial" w:eastAsia="Arial" w:hAnsi="Arial"/>
          <w:sz w:val="20"/>
          <w:szCs w:val="20"/>
          <w:color w:val="2A2A2A"/>
        </w:rPr>
      </w:pPr>
      <w:r>
        <w:rPr>
          <w:rFonts w:ascii="Arial" w:cs="Arial" w:eastAsia="Arial" w:hAnsi="Arial"/>
          <w:sz w:val="20"/>
          <w:szCs w:val="20"/>
          <w:color w:val="2A2A2A"/>
        </w:rPr>
        <w:t>◦   For the 2023 performance year, the committee awarded Mr. Ilan a $2.5 million performance bonus paid</w:t>
      </w:r>
    </w:p>
    <w:p>
      <w:pPr>
        <w:spacing w:after="0" w:line="30" w:lineRule="exact"/>
        <w:rPr>
          <w:rFonts w:ascii="Arial" w:cs="Arial" w:eastAsia="Arial" w:hAnsi="Arial"/>
          <w:sz w:val="20"/>
          <w:szCs w:val="20"/>
          <w:color w:val="2A2A2A"/>
        </w:rPr>
      </w:pPr>
    </w:p>
    <w:p>
      <w:pPr>
        <w:jc w:val="both"/>
        <w:ind w:left="1080" w:right="420"/>
        <w:spacing w:after="0" w:line="258" w:lineRule="auto"/>
        <w:rPr>
          <w:rFonts w:ascii="Arial" w:cs="Arial" w:eastAsia="Arial" w:hAnsi="Arial"/>
          <w:sz w:val="20"/>
          <w:szCs w:val="20"/>
          <w:color w:val="2A2A2A"/>
        </w:rPr>
      </w:pPr>
      <w:r>
        <w:rPr>
          <w:rFonts w:ascii="Arial" w:cs="Arial" w:eastAsia="Arial" w:hAnsi="Arial"/>
          <w:sz w:val="20"/>
          <w:szCs w:val="20"/>
          <w:color w:val="2A2A2A"/>
        </w:rPr>
        <w:t>in February 2024. The committee determined Mr. Ilan’s bonus by assessing the competitive market range of bonuses for similarly situated CEOs in the Comparator Group, pro-rated for time served as CEO and reduced by 10% to reflect the company’s 2023 relative performance result.</w:t>
      </w:r>
    </w:p>
    <w:p>
      <w:pPr>
        <w:spacing w:after="0" w:line="18" w:lineRule="exact"/>
        <w:rPr>
          <w:rFonts w:ascii="Arial" w:cs="Arial" w:eastAsia="Arial" w:hAnsi="Arial"/>
          <w:sz w:val="20"/>
          <w:szCs w:val="20"/>
          <w:color w:val="2A2A2A"/>
        </w:rPr>
      </w:pPr>
    </w:p>
    <w:p>
      <w:pPr>
        <w:ind w:left="1080" w:right="680" w:hanging="360"/>
        <w:spacing w:after="0" w:line="281" w:lineRule="auto"/>
        <w:rPr>
          <w:rFonts w:ascii="Arial" w:cs="Arial" w:eastAsia="Arial" w:hAnsi="Arial"/>
          <w:sz w:val="20"/>
          <w:szCs w:val="20"/>
          <w:color w:val="2A2A2A"/>
        </w:rPr>
      </w:pPr>
      <w:r>
        <w:rPr>
          <w:rFonts w:ascii="Arial" w:cs="Arial" w:eastAsia="Arial" w:hAnsi="Arial"/>
          <w:sz w:val="20"/>
          <w:szCs w:val="20"/>
          <w:color w:val="2A2A2A"/>
        </w:rPr>
        <w:t>◦ In January 2023, Mr. Ilan was awarded an equity award with a grant date fair value of $12 million commensurate with his role as COO during the 2022 performance year.</w:t>
      </w:r>
    </w:p>
    <w:p>
      <w:pPr>
        <w:spacing w:after="0" w:line="1" w:lineRule="exact"/>
        <w:rPr>
          <w:rFonts w:ascii="Arial" w:cs="Arial" w:eastAsia="Arial" w:hAnsi="Arial"/>
          <w:sz w:val="20"/>
          <w:szCs w:val="20"/>
          <w:color w:val="2A2A2A"/>
        </w:rPr>
      </w:pPr>
    </w:p>
    <w:p>
      <w:pPr>
        <w:ind w:left="720" w:right="60" w:hanging="361"/>
        <w:spacing w:after="0" w:line="268" w:lineRule="auto"/>
        <w:tabs>
          <w:tab w:leader="none" w:pos="720" w:val="left"/>
        </w:tabs>
        <w:numPr>
          <w:ilvl w:val="0"/>
          <w:numId w:val="109"/>
        </w:numPr>
        <w:rPr>
          <w:rFonts w:ascii="Arial" w:cs="Arial" w:eastAsia="Arial" w:hAnsi="Arial"/>
          <w:sz w:val="20"/>
          <w:szCs w:val="20"/>
          <w:color w:val="2A2A2A"/>
        </w:rPr>
      </w:pPr>
      <w:r>
        <w:rPr>
          <w:rFonts w:ascii="Arial" w:cs="Arial" w:eastAsia="Arial" w:hAnsi="Arial"/>
          <w:sz w:val="20"/>
          <w:szCs w:val="20"/>
          <w:color w:val="2A2A2A"/>
        </w:rPr>
        <w:t>Our executive compensation program is designed to encourage executive officers to pursue strategies that serve the long-term interests of the company and shareholders, and not to promote excessive risk-taking by our executives. It is built on a foundation of sound corporate governance and includes:</w:t>
      </w:r>
    </w:p>
    <w:p>
      <w:pPr>
        <w:spacing w:after="0" w:line="9" w:lineRule="exact"/>
        <w:rPr>
          <w:rFonts w:ascii="Arial" w:cs="Arial" w:eastAsia="Arial" w:hAnsi="Arial"/>
          <w:sz w:val="20"/>
          <w:szCs w:val="20"/>
          <w:color w:val="2A2A2A"/>
        </w:rPr>
      </w:pPr>
    </w:p>
    <w:p>
      <w:pPr>
        <w:ind w:left="1080" w:right="240" w:hanging="360"/>
        <w:spacing w:after="0" w:line="281" w:lineRule="auto"/>
        <w:rPr>
          <w:rFonts w:ascii="Arial" w:cs="Arial" w:eastAsia="Arial" w:hAnsi="Arial"/>
          <w:sz w:val="20"/>
          <w:szCs w:val="20"/>
          <w:color w:val="2A2A2A"/>
        </w:rPr>
      </w:pPr>
      <w:r>
        <w:rPr>
          <w:rFonts w:ascii="Arial" w:cs="Arial" w:eastAsia="Arial" w:hAnsi="Arial"/>
          <w:sz w:val="20"/>
          <w:szCs w:val="20"/>
          <w:color w:val="2A2A2A"/>
        </w:rPr>
        <w:t>◦ Executive officers do not have employment contracts and are not guaranteed salary increases, bonus amounts or awards of equity compensation.</w:t>
      </w:r>
    </w:p>
    <w:p>
      <w:pPr>
        <w:spacing w:after="0" w:line="1" w:lineRule="exact"/>
        <w:rPr>
          <w:rFonts w:ascii="Arial" w:cs="Arial" w:eastAsia="Arial" w:hAnsi="Arial"/>
          <w:sz w:val="20"/>
          <w:szCs w:val="20"/>
          <w:color w:val="2A2A2A"/>
        </w:rPr>
      </w:pPr>
    </w:p>
    <w:p>
      <w:pPr>
        <w:ind w:left="1080" w:right="220" w:hanging="360"/>
        <w:spacing w:after="0" w:line="268" w:lineRule="auto"/>
        <w:rPr>
          <w:rFonts w:ascii="Arial" w:cs="Arial" w:eastAsia="Arial" w:hAnsi="Arial"/>
          <w:sz w:val="20"/>
          <w:szCs w:val="20"/>
          <w:color w:val="2A2A2A"/>
        </w:rPr>
      </w:pPr>
      <w:r>
        <w:rPr>
          <w:rFonts w:ascii="Arial" w:cs="Arial" w:eastAsia="Arial" w:hAnsi="Arial"/>
          <w:sz w:val="20"/>
          <w:szCs w:val="20"/>
          <w:color w:val="2A2A2A"/>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9" w:lineRule="exact"/>
        <w:rPr>
          <w:rFonts w:ascii="Arial" w:cs="Arial" w:eastAsia="Arial" w:hAnsi="Arial"/>
          <w:sz w:val="20"/>
          <w:szCs w:val="20"/>
          <w:color w:val="2A2A2A"/>
        </w:rPr>
      </w:pPr>
    </w:p>
    <w:p>
      <w:pPr>
        <w:ind w:left="1080" w:right="520" w:hanging="360"/>
        <w:spacing w:after="0" w:line="281" w:lineRule="auto"/>
        <w:rPr>
          <w:rFonts w:ascii="Arial" w:cs="Arial" w:eastAsia="Arial" w:hAnsi="Arial"/>
          <w:sz w:val="20"/>
          <w:szCs w:val="20"/>
          <w:color w:val="2A2A2A"/>
        </w:rPr>
      </w:pPr>
      <w:r>
        <w:rPr>
          <w:rFonts w:ascii="Arial" w:cs="Arial" w:eastAsia="Arial" w:hAnsi="Arial"/>
          <w:sz w:val="20"/>
          <w:szCs w:val="20"/>
          <w:color w:val="2A2A2A"/>
        </w:rPr>
        <w:t>◦ Bonus and equity compensation awards are subject to clawback as described under “Recoupment policy” below.</w:t>
      </w:r>
    </w:p>
    <w:p>
      <w:pPr>
        <w:spacing w:after="0" w:line="1" w:lineRule="exact"/>
        <w:rPr>
          <w:rFonts w:ascii="Arial" w:cs="Arial" w:eastAsia="Arial" w:hAnsi="Arial"/>
          <w:sz w:val="20"/>
          <w:szCs w:val="20"/>
          <w:color w:val="2A2A2A"/>
        </w:rPr>
      </w:pPr>
    </w:p>
    <w:p>
      <w:pPr>
        <w:ind w:left="720"/>
        <w:spacing w:after="0"/>
        <w:rPr>
          <w:rFonts w:ascii="Arial" w:cs="Arial" w:eastAsia="Arial" w:hAnsi="Arial"/>
          <w:sz w:val="20"/>
          <w:szCs w:val="20"/>
          <w:color w:val="2A2A2A"/>
        </w:rPr>
      </w:pPr>
      <w:r>
        <w:rPr>
          <w:rFonts w:ascii="Arial" w:cs="Arial" w:eastAsia="Arial" w:hAnsi="Arial"/>
          <w:sz w:val="20"/>
          <w:szCs w:val="20"/>
          <w:color w:val="2A2A2A"/>
        </w:rPr>
        <w:t>◦   We do not provide excessive perquisites. We provide no tax gross-ups for perquisites.</w:t>
      </w:r>
    </w:p>
    <w:p>
      <w:pPr>
        <w:spacing w:after="0" w:line="70" w:lineRule="exact"/>
        <w:rPr>
          <w:rFonts w:ascii="Arial" w:cs="Arial" w:eastAsia="Arial" w:hAnsi="Arial"/>
          <w:sz w:val="20"/>
          <w:szCs w:val="20"/>
          <w:color w:val="2A2A2A"/>
        </w:rPr>
      </w:pPr>
    </w:p>
    <w:p>
      <w:pPr>
        <w:ind w:left="1080" w:right="860" w:hanging="360"/>
        <w:spacing w:after="0" w:line="281" w:lineRule="auto"/>
        <w:rPr>
          <w:rFonts w:ascii="Arial" w:cs="Arial" w:eastAsia="Arial" w:hAnsi="Arial"/>
          <w:sz w:val="20"/>
          <w:szCs w:val="20"/>
          <w:color w:val="2A2A2A"/>
        </w:rPr>
      </w:pPr>
      <w:r>
        <w:rPr>
          <w:rFonts w:ascii="Arial" w:cs="Arial" w:eastAsia="Arial" w:hAnsi="Arial"/>
          <w:sz w:val="20"/>
          <w:szCs w:val="20"/>
          <w:color w:val="2A2A2A"/>
        </w:rPr>
        <w:t>◦ We do not guarantee a return or provide above-market returns on compensation that has been deferred.</w:t>
      </w:r>
    </w:p>
    <w:p>
      <w:pPr>
        <w:spacing w:after="0" w:line="1" w:lineRule="exact"/>
        <w:rPr>
          <w:rFonts w:ascii="Arial" w:cs="Arial" w:eastAsia="Arial" w:hAnsi="Arial"/>
          <w:sz w:val="20"/>
          <w:szCs w:val="20"/>
          <w:color w:val="2A2A2A"/>
        </w:rPr>
      </w:pPr>
    </w:p>
    <w:p>
      <w:pPr>
        <w:ind w:left="1080" w:right="600" w:hanging="360"/>
        <w:spacing w:after="0" w:line="287" w:lineRule="auto"/>
        <w:rPr>
          <w:rFonts w:ascii="Arial" w:cs="Arial" w:eastAsia="Arial" w:hAnsi="Arial"/>
          <w:sz w:val="20"/>
          <w:szCs w:val="20"/>
          <w:color w:val="2A2A2A"/>
        </w:rPr>
      </w:pPr>
      <w:r>
        <w:rPr>
          <w:rFonts w:ascii="Arial" w:cs="Arial" w:eastAsia="Arial" w:hAnsi="Arial"/>
          <w:sz w:val="20"/>
          <w:szCs w:val="20"/>
          <w:color w:val="2A2A2A"/>
        </w:rPr>
        <w:t>◦ Pension benefits are calculated on salary and bonus only; the proceeds earned on equity or other performance awards are not part of the pension calculation.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Detailed discussion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Compensation philosophy and elements</w:t>
      </w:r>
    </w:p>
    <w:p>
      <w:pPr>
        <w:spacing w:after="0" w:line="255" w:lineRule="exact"/>
        <w:rPr>
          <w:sz w:val="20"/>
          <w:szCs w:val="20"/>
          <w:color w:val="auto"/>
        </w:rPr>
      </w:pPr>
    </w:p>
    <w:p>
      <w:pPr>
        <w:ind w:right="140"/>
        <w:spacing w:after="0" w:line="314" w:lineRule="auto"/>
        <w:rPr>
          <w:sz w:val="20"/>
          <w:szCs w:val="20"/>
          <w:color w:val="auto"/>
        </w:rPr>
      </w:pPr>
      <w:r>
        <w:rPr>
          <w:rFonts w:ascii="Arial" w:cs="Arial" w:eastAsia="Arial" w:hAnsi="Arial"/>
          <w:sz w:val="19"/>
          <w:szCs w:val="19"/>
          <w:color w:val="2A2A2A"/>
        </w:rPr>
        <w:t>For years, we have run our business and invested in our people and communities with three overarching ambitions in mind. First, we will act like owners who will own the company for decades. Second, we will adapt and succeed in</w:t>
      </w:r>
    </w:p>
    <w:p>
      <w:pPr>
        <w:sectPr>
          <w:pgSz w:w="12240" w:h="15840" w:orient="portrait"/>
          <w:cols w:equalWidth="0" w:num="1">
            <w:col w:w="10280"/>
          </w:cols>
          <w:pgMar w:left="980" w:top="664" w:right="980" w:bottom="33"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30</w:t>
      </w:r>
    </w:p>
    <w:p>
      <w:pPr>
        <w:sectPr>
          <w:pgSz w:w="12240" w:h="15840" w:orient="portrait"/>
          <w:cols w:equalWidth="0" w:num="1">
            <w:col w:w="10280"/>
          </w:cols>
          <w:pgMar w:left="980" w:top="664" w:right="980" w:bottom="33" w:gutter="0" w:footer="0" w:header="0"/>
          <w:type w:val="continuous"/>
        </w:sectPr>
      </w:pPr>
    </w:p>
    <w:bookmarkStart w:id="102" w:name="page103"/>
    <w:bookmarkEnd w:id="102"/>
    <w:p>
      <w:pPr>
        <w:ind w:left="1" w:right="180"/>
        <w:spacing w:after="0" w:line="257" w:lineRule="auto"/>
        <w:rPr>
          <w:sz w:val="20"/>
          <w:szCs w:val="20"/>
          <w:color w:val="auto"/>
        </w:rPr>
      </w:pPr>
      <w:r>
        <w:rPr>
          <w:rFonts w:ascii="Arial" w:cs="Arial" w:eastAsia="Arial" w:hAnsi="Arial"/>
          <w:sz w:val="20"/>
          <w:szCs w:val="20"/>
          <w:color w:val="2A2A2A"/>
        </w:rPr>
        <w:t>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202" w:lineRule="exact"/>
        <w:rPr>
          <w:sz w:val="20"/>
          <w:szCs w:val="20"/>
          <w:color w:val="auto"/>
        </w:rPr>
      </w:pPr>
    </w:p>
    <w:p>
      <w:pPr>
        <w:ind w:left="1"/>
        <w:spacing w:after="0" w:line="262" w:lineRule="auto"/>
        <w:rPr>
          <w:sz w:val="20"/>
          <w:szCs w:val="20"/>
          <w:color w:val="auto"/>
        </w:rPr>
      </w:pPr>
      <w:r>
        <w:rPr>
          <w:rFonts w:ascii="Arial" w:cs="Arial" w:eastAsia="Arial" w:hAnsi="Arial"/>
          <w:sz w:val="20"/>
          <w:szCs w:val="20"/>
          <w:color w:val="2A2A2A"/>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pacing w:after="0" w:line="196" w:lineRule="exact"/>
        <w:rPr>
          <w:sz w:val="20"/>
          <w:szCs w:val="20"/>
          <w:color w:val="auto"/>
        </w:rPr>
      </w:pPr>
    </w:p>
    <w:p>
      <w:pPr>
        <w:ind w:left="1" w:right="140"/>
        <w:spacing w:after="0" w:line="255" w:lineRule="auto"/>
        <w:rPr>
          <w:sz w:val="20"/>
          <w:szCs w:val="20"/>
          <w:color w:val="auto"/>
        </w:rPr>
      </w:pPr>
      <w:r>
        <w:rPr>
          <w:rFonts w:ascii="Arial" w:cs="Arial" w:eastAsia="Arial" w:hAnsi="Arial"/>
          <w:sz w:val="20"/>
          <w:szCs w:val="20"/>
          <w:color w:val="2A2A2A"/>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holistic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primary elements of our executive compensation program are as follows:</w:t>
      </w:r>
    </w:p>
    <w:p>
      <w:pPr>
        <w:spacing w:after="0" w:line="252"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Near-term compensation, paid in cash</w:t>
      </w:r>
    </w:p>
    <w:p>
      <w:pPr>
        <w:spacing w:after="0" w:line="379" w:lineRule="exact"/>
        <w:rPr>
          <w:sz w:val="20"/>
          <w:szCs w:val="20"/>
          <w:color w:val="auto"/>
        </w:rPr>
      </w:pPr>
    </w:p>
    <w:p>
      <w:pPr>
        <w:ind w:left="61"/>
        <w:spacing w:after="0"/>
        <w:rPr>
          <w:sz w:val="20"/>
          <w:szCs w:val="20"/>
          <w:color w:val="auto"/>
        </w:rPr>
      </w:pPr>
      <w:r>
        <w:rPr>
          <w:rFonts w:ascii="Arial" w:cs="Arial" w:eastAsia="Arial" w:hAnsi="Arial"/>
          <w:sz w:val="16"/>
          <w:szCs w:val="16"/>
          <w:b w:val="1"/>
          <w:bCs w:val="1"/>
          <w:color w:val="2A2A2A"/>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5151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15100" cy="6350"/>
                    </a:xfrm>
                    <a:prstGeom prst="rect">
                      <a:avLst/>
                    </a:prstGeom>
                    <a:noFill/>
                  </pic:spPr>
                </pic:pic>
              </a:graphicData>
            </a:graphic>
          </wp:anchor>
        </w:drawing>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265"/>
        </w:trPr>
        <w:tc>
          <w:tcPr>
            <w:tcW w:w="1000" w:type="dxa"/>
            <w:vAlign w:val="bottom"/>
          </w:tcPr>
          <w:p>
            <w:pPr>
              <w:ind w:left="60"/>
              <w:spacing w:after="0"/>
              <w:rPr>
                <w:sz w:val="20"/>
                <w:szCs w:val="20"/>
                <w:color w:val="auto"/>
              </w:rPr>
            </w:pPr>
            <w:r>
              <w:rPr>
                <w:rFonts w:ascii="Arial" w:cs="Arial" w:eastAsia="Arial" w:hAnsi="Arial"/>
                <w:sz w:val="20"/>
                <w:szCs w:val="20"/>
                <w:color w:val="2A2A2A"/>
              </w:rPr>
              <w:t>Purpose</w:t>
            </w:r>
          </w:p>
        </w:tc>
        <w:tc>
          <w:tcPr>
            <w:tcW w:w="9260" w:type="dxa"/>
            <w:vAlign w:val="bottom"/>
          </w:tcPr>
          <w:p>
            <w:pPr>
              <w:ind w:left="200"/>
              <w:spacing w:after="0"/>
              <w:rPr>
                <w:sz w:val="20"/>
                <w:szCs w:val="20"/>
                <w:color w:val="auto"/>
              </w:rPr>
            </w:pPr>
            <w:r>
              <w:rPr>
                <w:rFonts w:ascii="Arial" w:cs="Arial" w:eastAsia="Arial" w:hAnsi="Arial"/>
                <w:sz w:val="20"/>
                <w:szCs w:val="20"/>
                <w:color w:val="2A2A2A"/>
              </w:rPr>
              <w:t>Basic, least variable form of compensation, designed to provide a stable source of income.</w:t>
            </w:r>
          </w:p>
        </w:tc>
      </w:tr>
      <w:tr>
        <w:trPr>
          <w:trHeight w:val="335"/>
        </w:trPr>
        <w:tc>
          <w:tcPr>
            <w:tcW w:w="1000" w:type="dxa"/>
            <w:vAlign w:val="bottom"/>
          </w:tcPr>
          <w:p>
            <w:pPr>
              <w:ind w:left="60"/>
              <w:spacing w:after="0"/>
              <w:rPr>
                <w:sz w:val="20"/>
                <w:szCs w:val="20"/>
                <w:color w:val="auto"/>
              </w:rPr>
            </w:pPr>
            <w:r>
              <w:rPr>
                <w:rFonts w:ascii="Arial" w:cs="Arial" w:eastAsia="Arial" w:hAnsi="Arial"/>
                <w:sz w:val="20"/>
                <w:szCs w:val="20"/>
                <w:color w:val="2A2A2A"/>
              </w:rPr>
              <w:t>Strategy</w:t>
            </w:r>
          </w:p>
        </w:tc>
        <w:tc>
          <w:tcPr>
            <w:tcW w:w="9260" w:type="dxa"/>
            <w:vAlign w:val="bottom"/>
          </w:tcPr>
          <w:p>
            <w:pPr>
              <w:ind w:left="200"/>
              <w:spacing w:after="0"/>
              <w:rPr>
                <w:sz w:val="20"/>
                <w:szCs w:val="20"/>
                <w:color w:val="auto"/>
              </w:rPr>
            </w:pPr>
            <w:r>
              <w:rPr>
                <w:rFonts w:ascii="Arial" w:cs="Arial" w:eastAsia="Arial" w:hAnsi="Arial"/>
                <w:sz w:val="20"/>
                <w:szCs w:val="20"/>
                <w:color w:val="2A2A2A"/>
              </w:rPr>
              <w:t>Generally, target market median, giving appropriate consideration to job scope and tenure, to attract</w:t>
            </w:r>
          </w:p>
        </w:tc>
      </w:tr>
      <w:tr>
        <w:trPr>
          <w:trHeight w:val="265"/>
        </w:trPr>
        <w:tc>
          <w:tcPr>
            <w:tcW w:w="1000" w:type="dxa"/>
            <w:vAlign w:val="bottom"/>
          </w:tcPr>
          <w:p>
            <w:pPr>
              <w:spacing w:after="0"/>
              <w:rPr>
                <w:sz w:val="23"/>
                <w:szCs w:val="23"/>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and retain highly qualified executives.</w:t>
            </w:r>
          </w:p>
        </w:tc>
      </w:tr>
      <w:tr>
        <w:trPr>
          <w:trHeight w:val="330"/>
        </w:trPr>
        <w:tc>
          <w:tcPr>
            <w:tcW w:w="1000" w:type="dxa"/>
            <w:vAlign w:val="bottom"/>
          </w:tcPr>
          <w:p>
            <w:pPr>
              <w:ind w:left="60"/>
              <w:spacing w:after="0"/>
              <w:rPr>
                <w:sz w:val="20"/>
                <w:szCs w:val="20"/>
                <w:color w:val="auto"/>
              </w:rPr>
            </w:pPr>
            <w:r>
              <w:rPr>
                <w:rFonts w:ascii="Arial" w:cs="Arial" w:eastAsia="Arial" w:hAnsi="Arial"/>
                <w:sz w:val="20"/>
                <w:szCs w:val="20"/>
                <w:color w:val="2A2A2A"/>
              </w:rPr>
              <w:t>Terms</w:t>
            </w:r>
          </w:p>
        </w:tc>
        <w:tc>
          <w:tcPr>
            <w:tcW w:w="9260" w:type="dxa"/>
            <w:vAlign w:val="bottom"/>
          </w:tcPr>
          <w:p>
            <w:pPr>
              <w:ind w:left="200"/>
              <w:spacing w:after="0"/>
              <w:rPr>
                <w:sz w:val="20"/>
                <w:szCs w:val="20"/>
                <w:color w:val="auto"/>
              </w:rPr>
            </w:pPr>
            <w:r>
              <w:rPr>
                <w:rFonts w:ascii="Arial" w:cs="Arial" w:eastAsia="Arial" w:hAnsi="Arial"/>
                <w:sz w:val="20"/>
                <w:szCs w:val="20"/>
                <w:color w:val="2A2A2A"/>
              </w:rPr>
              <w:t>Paid twice monthly.</w:t>
            </w:r>
          </w:p>
        </w:tc>
      </w:tr>
      <w:tr>
        <w:trPr>
          <w:trHeight w:val="575"/>
        </w:trPr>
        <w:tc>
          <w:tcPr>
            <w:tcW w:w="10260" w:type="dxa"/>
            <w:vAlign w:val="bottom"/>
            <w:tcBorders>
              <w:bottom w:val="single" w:sz="8" w:color="2A2A2A"/>
            </w:tcBorders>
            <w:gridSpan w:val="2"/>
          </w:tcPr>
          <w:p>
            <w:pPr>
              <w:ind w:left="60"/>
              <w:spacing w:after="0"/>
              <w:rPr>
                <w:sz w:val="20"/>
                <w:szCs w:val="20"/>
                <w:color w:val="auto"/>
              </w:rPr>
            </w:pPr>
            <w:r>
              <w:rPr>
                <w:rFonts w:ascii="Arial" w:cs="Arial" w:eastAsia="Arial" w:hAnsi="Arial"/>
                <w:sz w:val="16"/>
                <w:szCs w:val="16"/>
                <w:b w:val="1"/>
                <w:bCs w:val="1"/>
                <w:color w:val="2A2A2A"/>
              </w:rPr>
              <w:t>Performance Bonus</w:t>
            </w:r>
          </w:p>
        </w:tc>
      </w:tr>
      <w:tr>
        <w:trPr>
          <w:trHeight w:val="245"/>
        </w:trPr>
        <w:tc>
          <w:tcPr>
            <w:tcW w:w="1000" w:type="dxa"/>
            <w:vAlign w:val="bottom"/>
          </w:tcPr>
          <w:p>
            <w:pPr>
              <w:ind w:left="60"/>
              <w:spacing w:after="0"/>
              <w:rPr>
                <w:sz w:val="20"/>
                <w:szCs w:val="20"/>
                <w:color w:val="auto"/>
              </w:rPr>
            </w:pPr>
            <w:r>
              <w:rPr>
                <w:rFonts w:ascii="Arial" w:cs="Arial" w:eastAsia="Arial" w:hAnsi="Arial"/>
                <w:sz w:val="20"/>
                <w:szCs w:val="20"/>
                <w:color w:val="2A2A2A"/>
              </w:rPr>
              <w:t>Purpose</w:t>
            </w:r>
          </w:p>
        </w:tc>
        <w:tc>
          <w:tcPr>
            <w:tcW w:w="9260" w:type="dxa"/>
            <w:vAlign w:val="bottom"/>
          </w:tcPr>
          <w:p>
            <w:pPr>
              <w:ind w:left="200"/>
              <w:spacing w:after="0"/>
              <w:rPr>
                <w:sz w:val="20"/>
                <w:szCs w:val="20"/>
                <w:color w:val="auto"/>
              </w:rPr>
            </w:pPr>
            <w:r>
              <w:rPr>
                <w:rFonts w:ascii="Arial" w:cs="Arial" w:eastAsia="Arial" w:hAnsi="Arial"/>
                <w:sz w:val="20"/>
                <w:szCs w:val="20"/>
                <w:color w:val="2A2A2A"/>
              </w:rPr>
              <w:t>To motivate executives and reward them according to the company’s relative and absolute</w:t>
            </w:r>
          </w:p>
        </w:tc>
      </w:tr>
      <w:tr>
        <w:trPr>
          <w:trHeight w:val="265"/>
        </w:trPr>
        <w:tc>
          <w:tcPr>
            <w:tcW w:w="1000" w:type="dxa"/>
            <w:vAlign w:val="bottom"/>
          </w:tcPr>
          <w:p>
            <w:pPr>
              <w:spacing w:after="0"/>
              <w:rPr>
                <w:sz w:val="23"/>
                <w:szCs w:val="23"/>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performance and the executive’s individual performance.</w:t>
            </w:r>
          </w:p>
        </w:tc>
      </w:tr>
      <w:tr>
        <w:trPr>
          <w:trHeight w:val="316"/>
        </w:trPr>
        <w:tc>
          <w:tcPr>
            <w:tcW w:w="1000" w:type="dxa"/>
            <w:vAlign w:val="bottom"/>
          </w:tcPr>
          <w:p>
            <w:pPr>
              <w:ind w:left="60"/>
              <w:spacing w:after="0"/>
              <w:rPr>
                <w:sz w:val="20"/>
                <w:szCs w:val="20"/>
                <w:color w:val="auto"/>
              </w:rPr>
            </w:pPr>
            <w:r>
              <w:rPr>
                <w:rFonts w:ascii="Arial" w:cs="Arial" w:eastAsia="Arial" w:hAnsi="Arial"/>
                <w:sz w:val="20"/>
                <w:szCs w:val="20"/>
                <w:color w:val="2A2A2A"/>
              </w:rPr>
              <w:t>Strategy</w:t>
            </w:r>
          </w:p>
        </w:tc>
        <w:tc>
          <w:tcPr>
            <w:tcW w:w="9260" w:type="dxa"/>
            <w:vAlign w:val="bottom"/>
          </w:tcPr>
          <w:p>
            <w:pPr>
              <w:ind w:left="200"/>
              <w:spacing w:after="0"/>
              <w:rPr>
                <w:sz w:val="20"/>
                <w:szCs w:val="20"/>
                <w:color w:val="auto"/>
              </w:rPr>
            </w:pPr>
            <w:r>
              <w:rPr>
                <w:rFonts w:ascii="Arial" w:cs="Arial" w:eastAsia="Arial" w:hAnsi="Arial"/>
                <w:sz w:val="20"/>
                <w:szCs w:val="20"/>
                <w:color w:val="2A2A2A"/>
              </w:rPr>
              <w:t>Determined primarily on the basis of one-year and three-year company performance on certain</w:t>
            </w:r>
          </w:p>
        </w:tc>
      </w:tr>
      <w:tr>
        <w:trPr>
          <w:trHeight w:val="259"/>
        </w:trPr>
        <w:tc>
          <w:tcPr>
            <w:tcW w:w="1000" w:type="dxa"/>
            <w:vAlign w:val="bottom"/>
          </w:tcPr>
          <w:p>
            <w:pPr>
              <w:spacing w:after="0"/>
              <w:rPr>
                <w:sz w:val="22"/>
                <w:szCs w:val="22"/>
                <w:color w:val="auto"/>
              </w:rPr>
            </w:pPr>
          </w:p>
        </w:tc>
        <w:tc>
          <w:tcPr>
            <w:tcW w:w="9260" w:type="dxa"/>
            <w:vAlign w:val="bottom"/>
          </w:tcPr>
          <w:p>
            <w:pPr>
              <w:ind w:left="200"/>
              <w:spacing w:after="0" w:line="260" w:lineRule="exact"/>
              <w:rPr>
                <w:sz w:val="20"/>
                <w:szCs w:val="20"/>
                <w:color w:val="auto"/>
              </w:rPr>
            </w:pPr>
            <w:r>
              <w:rPr>
                <w:rFonts w:ascii="Arial" w:cs="Arial" w:eastAsia="Arial" w:hAnsi="Arial"/>
                <w:sz w:val="20"/>
                <w:szCs w:val="20"/>
                <w:color w:val="2A2A2A"/>
              </w:rPr>
              <w:t>measures (revenue growth percent, operating profit margin and total shareholder return</w:t>
            </w:r>
            <w:r>
              <w:rPr>
                <w:rFonts w:ascii="Arial" w:cs="Arial" w:eastAsia="Arial" w:hAnsi="Arial"/>
                <w:sz w:val="26"/>
                <w:szCs w:val="26"/>
                <w:color w:val="2A2A2A"/>
                <w:vertAlign w:val="superscript"/>
              </w:rPr>
              <w:t>1</w:t>
            </w:r>
            <w:r>
              <w:rPr>
                <w:rFonts w:ascii="Arial" w:cs="Arial" w:eastAsia="Arial" w:hAnsi="Arial"/>
                <w:sz w:val="20"/>
                <w:szCs w:val="20"/>
                <w:color w:val="2A2A2A"/>
              </w:rPr>
              <w:t>) as</w:t>
            </w:r>
          </w:p>
        </w:tc>
      </w:tr>
      <w:tr>
        <w:trPr>
          <w:trHeight w:val="240"/>
        </w:trPr>
        <w:tc>
          <w:tcPr>
            <w:tcW w:w="10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compared with peer companies and on our strategic progress. These factors have been chosen to</w:t>
            </w:r>
          </w:p>
        </w:tc>
      </w:tr>
      <w:tr>
        <w:trPr>
          <w:trHeight w:val="240"/>
        </w:trPr>
        <w:tc>
          <w:tcPr>
            <w:tcW w:w="10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reflect our near-term financial performance as well as our progress in building long-term shareholder</w:t>
            </w:r>
          </w:p>
        </w:tc>
      </w:tr>
      <w:tr>
        <w:trPr>
          <w:trHeight w:val="265"/>
        </w:trPr>
        <w:tc>
          <w:tcPr>
            <w:tcW w:w="1000" w:type="dxa"/>
            <w:vAlign w:val="bottom"/>
          </w:tcPr>
          <w:p>
            <w:pPr>
              <w:spacing w:after="0"/>
              <w:rPr>
                <w:sz w:val="23"/>
                <w:szCs w:val="23"/>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value.</w:t>
            </w:r>
          </w:p>
        </w:tc>
      </w:tr>
      <w:tr>
        <w:trPr>
          <w:trHeight w:val="335"/>
        </w:trPr>
        <w:tc>
          <w:tcPr>
            <w:tcW w:w="10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The committee aims to pay total cash compensation (base salary, profit sharing and bonus)</w:t>
            </w:r>
          </w:p>
        </w:tc>
      </w:tr>
      <w:tr>
        <w:trPr>
          <w:trHeight w:val="240"/>
        </w:trPr>
        <w:tc>
          <w:tcPr>
            <w:tcW w:w="10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appropriately above median if company performance is above that of peer companies, and pay total</w:t>
            </w:r>
          </w:p>
        </w:tc>
      </w:tr>
      <w:tr>
        <w:trPr>
          <w:trHeight w:val="240"/>
        </w:trPr>
        <w:tc>
          <w:tcPr>
            <w:tcW w:w="1000" w:type="dxa"/>
            <w:vAlign w:val="bottom"/>
          </w:tcPr>
          <w:p>
            <w:pPr>
              <w:spacing w:after="0"/>
              <w:rPr>
                <w:sz w:val="20"/>
                <w:szCs w:val="20"/>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cash compensation appropriately below the median if company performance is below peer</w:t>
            </w:r>
          </w:p>
        </w:tc>
      </w:tr>
      <w:tr>
        <w:trPr>
          <w:trHeight w:val="265"/>
        </w:trPr>
        <w:tc>
          <w:tcPr>
            <w:tcW w:w="1000" w:type="dxa"/>
            <w:vAlign w:val="bottom"/>
          </w:tcPr>
          <w:p>
            <w:pPr>
              <w:spacing w:after="0"/>
              <w:rPr>
                <w:sz w:val="23"/>
                <w:szCs w:val="23"/>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companies.</w:t>
            </w:r>
          </w:p>
        </w:tc>
      </w:tr>
      <w:tr>
        <w:trPr>
          <w:trHeight w:val="335"/>
        </w:trPr>
        <w:tc>
          <w:tcPr>
            <w:tcW w:w="1000" w:type="dxa"/>
            <w:vAlign w:val="bottom"/>
          </w:tcPr>
          <w:p>
            <w:pPr>
              <w:spacing w:after="0"/>
              <w:rPr>
                <w:sz w:val="24"/>
                <w:szCs w:val="24"/>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The committee does not rely on formulas or performance targets or thresholds. Instead, it uses its</w:t>
            </w:r>
          </w:p>
        </w:tc>
      </w:tr>
      <w:tr>
        <w:trPr>
          <w:trHeight w:val="265"/>
        </w:trPr>
        <w:tc>
          <w:tcPr>
            <w:tcW w:w="1000" w:type="dxa"/>
            <w:vAlign w:val="bottom"/>
          </w:tcPr>
          <w:p>
            <w:pPr>
              <w:spacing w:after="0"/>
              <w:rPr>
                <w:sz w:val="23"/>
                <w:szCs w:val="23"/>
                <w:color w:val="auto"/>
              </w:rPr>
            </w:pPr>
          </w:p>
        </w:tc>
        <w:tc>
          <w:tcPr>
            <w:tcW w:w="9260" w:type="dxa"/>
            <w:vAlign w:val="bottom"/>
          </w:tcPr>
          <w:p>
            <w:pPr>
              <w:ind w:left="200"/>
              <w:spacing w:after="0"/>
              <w:rPr>
                <w:sz w:val="20"/>
                <w:szCs w:val="20"/>
                <w:color w:val="auto"/>
              </w:rPr>
            </w:pPr>
            <w:r>
              <w:rPr>
                <w:rFonts w:ascii="Arial" w:cs="Arial" w:eastAsia="Arial" w:hAnsi="Arial"/>
                <w:sz w:val="20"/>
                <w:szCs w:val="20"/>
                <w:color w:val="2A2A2A"/>
              </w:rPr>
              <w:t>judgment based on its assessment of the factors described above.</w:t>
            </w:r>
          </w:p>
        </w:tc>
      </w:tr>
      <w:tr>
        <w:trPr>
          <w:trHeight w:val="375"/>
        </w:trPr>
        <w:tc>
          <w:tcPr>
            <w:tcW w:w="1000" w:type="dxa"/>
            <w:vAlign w:val="bottom"/>
          </w:tcPr>
          <w:p>
            <w:pPr>
              <w:ind w:left="60"/>
              <w:spacing w:after="0"/>
              <w:rPr>
                <w:sz w:val="20"/>
                <w:szCs w:val="20"/>
                <w:color w:val="auto"/>
              </w:rPr>
            </w:pPr>
            <w:r>
              <w:rPr>
                <w:rFonts w:ascii="Arial" w:cs="Arial" w:eastAsia="Arial" w:hAnsi="Arial"/>
                <w:sz w:val="20"/>
                <w:szCs w:val="20"/>
                <w:color w:val="2A2A2A"/>
              </w:rPr>
              <w:t>Terms</w:t>
            </w:r>
          </w:p>
        </w:tc>
        <w:tc>
          <w:tcPr>
            <w:tcW w:w="9260" w:type="dxa"/>
            <w:vAlign w:val="bottom"/>
          </w:tcPr>
          <w:p>
            <w:pPr>
              <w:ind w:left="200"/>
              <w:spacing w:after="0"/>
              <w:rPr>
                <w:sz w:val="20"/>
                <w:szCs w:val="20"/>
                <w:color w:val="auto"/>
              </w:rPr>
            </w:pPr>
            <w:r>
              <w:rPr>
                <w:rFonts w:ascii="Arial" w:cs="Arial" w:eastAsia="Arial" w:hAnsi="Arial"/>
                <w:sz w:val="20"/>
                <w:szCs w:val="20"/>
                <w:color w:val="2A2A2A"/>
              </w:rPr>
              <w:t>Determined by the committee and paid in a single payment after the performance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838835</wp:posOffset>
            </wp:positionV>
            <wp:extent cx="254000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40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 w:right="60" w:hanging="1"/>
        <w:spacing w:after="0" w:line="249" w:lineRule="auto"/>
        <w:tabs>
          <w:tab w:leader="none" w:pos="125" w:val="left"/>
        </w:tabs>
        <w:numPr>
          <w:ilvl w:val="0"/>
          <w:numId w:val="110"/>
        </w:numPr>
        <w:rPr>
          <w:rFonts w:ascii="Arial" w:cs="Arial" w:eastAsia="Arial" w:hAnsi="Arial"/>
          <w:sz w:val="25"/>
          <w:szCs w:val="25"/>
          <w:color w:val="2A2A2A"/>
          <w:vertAlign w:val="superscript"/>
        </w:rPr>
      </w:pPr>
      <w:r>
        <w:rPr>
          <w:rFonts w:ascii="Arial" w:cs="Arial" w:eastAsia="Arial" w:hAnsi="Arial"/>
          <w:sz w:val="19"/>
          <w:szCs w:val="19"/>
          <w:color w:val="2A2A2A"/>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ectPr>
          <w:pgSz w:w="12240" w:h="15840" w:orient="portrait"/>
          <w:cols w:equalWidth="0" w:num="1">
            <w:col w:w="10281"/>
          </w:cols>
          <w:pgMar w:left="979" w:top="664" w:right="980" w:bottom="33"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31</w:t>
      </w:r>
    </w:p>
    <w:p>
      <w:pPr>
        <w:sectPr>
          <w:pgSz w:w="12240" w:h="15840" w:orient="portrait"/>
          <w:cols w:equalWidth="0" w:num="1">
            <w:col w:w="10281"/>
          </w:cols>
          <w:pgMar w:left="979" w:top="664" w:right="980" w:bottom="33" w:gutter="0" w:footer="0" w:header="0"/>
          <w:type w:val="continuous"/>
        </w:sectPr>
      </w:pPr>
    </w:p>
    <w:bookmarkStart w:id="103" w:name="page104"/>
    <w:bookmarkEnd w:id="103"/>
    <w:p>
      <w:pPr>
        <w:ind w:left="61"/>
        <w:spacing w:after="0"/>
        <w:rPr>
          <w:sz w:val="20"/>
          <w:szCs w:val="20"/>
          <w:color w:val="auto"/>
        </w:rPr>
      </w:pPr>
      <w:r>
        <w:rPr>
          <w:rFonts w:ascii="Arial" w:cs="Arial" w:eastAsia="Arial" w:hAnsi="Arial"/>
          <w:sz w:val="16"/>
          <w:szCs w:val="16"/>
          <w:b w:val="1"/>
          <w:bCs w:val="1"/>
          <w:color w:val="2A2A2A"/>
        </w:rPr>
        <w:t>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515100"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40"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Purpose</w:t>
      </w:r>
      <w:r>
        <w:rPr>
          <w:sz w:val="20"/>
          <w:szCs w:val="20"/>
          <w:color w:val="auto"/>
        </w:rPr>
        <w:tab/>
      </w:r>
      <w:r>
        <w:rPr>
          <w:rFonts w:ascii="Arial" w:cs="Arial" w:eastAsia="Arial" w:hAnsi="Arial"/>
          <w:sz w:val="20"/>
          <w:szCs w:val="20"/>
          <w:color w:val="2A2A2A"/>
        </w:rPr>
        <w:t>Broad-based program designed to emphasize that each employee contributes to the company’s</w:t>
      </w:r>
    </w:p>
    <w:p>
      <w:pPr>
        <w:spacing w:after="0" w:line="3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profitability and can share in it.</w:t>
      </w:r>
    </w:p>
    <w:p>
      <w:pPr>
        <w:spacing w:after="0" w:line="110"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Strategy</w:t>
      </w:r>
      <w:r>
        <w:rPr>
          <w:sz w:val="20"/>
          <w:szCs w:val="20"/>
          <w:color w:val="auto"/>
        </w:rPr>
        <w:tab/>
      </w:r>
      <w:r>
        <w:rPr>
          <w:rFonts w:ascii="Arial" w:cs="Arial" w:eastAsia="Arial" w:hAnsi="Arial"/>
          <w:sz w:val="20"/>
          <w:szCs w:val="20"/>
          <w:color w:val="2A2A2A"/>
        </w:rPr>
        <w:t>Pay according to a formula that is the same for all employees to focus them on a company goal, and</w:t>
      </w:r>
    </w:p>
    <w:p>
      <w:pPr>
        <w:spacing w:after="0" w:line="3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set pay-out potential at a level that will affect behavior. Profit sharing is paid in addition to any</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performance bonus awarded for the year.</w:t>
      </w:r>
    </w:p>
    <w:p>
      <w:pPr>
        <w:spacing w:after="0" w:line="110" w:lineRule="exact"/>
        <w:rPr>
          <w:sz w:val="20"/>
          <w:szCs w:val="20"/>
          <w:color w:val="auto"/>
        </w:rPr>
      </w:pPr>
    </w:p>
    <w:p>
      <w:pPr>
        <w:ind w:left="1201" w:right="140"/>
        <w:spacing w:after="0" w:line="287" w:lineRule="auto"/>
        <w:rPr>
          <w:sz w:val="20"/>
          <w:szCs w:val="20"/>
          <w:color w:val="auto"/>
        </w:rPr>
      </w:pPr>
      <w:r>
        <w:rPr>
          <w:rFonts w:ascii="Arial" w:cs="Arial" w:eastAsia="Arial" w:hAnsi="Arial"/>
          <w:sz w:val="20"/>
          <w:szCs w:val="20"/>
          <w:color w:val="2A2A2A"/>
        </w:rPr>
        <w:t>The formula is based on company-level annual operating profit margin. The formula was set by the TI board. The committee’s practice has been not to adjust amounts earned under the formula.</w:t>
      </w:r>
    </w:p>
    <w:p>
      <w:pPr>
        <w:spacing w:after="0" w:line="65"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Terms</w:t>
      </w:r>
      <w:r>
        <w:rPr>
          <w:sz w:val="20"/>
          <w:szCs w:val="20"/>
          <w:color w:val="auto"/>
        </w:rPr>
        <w:tab/>
      </w:r>
      <w:r>
        <w:rPr>
          <w:rFonts w:ascii="Arial" w:cs="Arial" w:eastAsia="Arial" w:hAnsi="Arial"/>
          <w:sz w:val="20"/>
          <w:szCs w:val="20"/>
          <w:color w:val="2A2A2A"/>
        </w:rPr>
        <w:t>Payable in a single cash payment shortly after the end of the performance year. As in recent years,</w:t>
      </w:r>
    </w:p>
    <w:p>
      <w:pPr>
        <w:spacing w:after="0" w:line="3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profit sharing for 2023 was calculated as follows:</w:t>
      </w:r>
    </w:p>
    <w:p>
      <w:pPr>
        <w:spacing w:after="0" w:line="1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If operating profit margin was:</w:t>
      </w:r>
    </w:p>
    <w:p>
      <w:pPr>
        <w:spacing w:after="0" w:line="130" w:lineRule="exact"/>
        <w:rPr>
          <w:sz w:val="20"/>
          <w:szCs w:val="20"/>
          <w:color w:val="auto"/>
        </w:rPr>
      </w:pPr>
    </w:p>
    <w:p>
      <w:pPr>
        <w:ind w:left="1921" w:hanging="368"/>
        <w:spacing w:after="0"/>
        <w:tabs>
          <w:tab w:leader="none" w:pos="1921" w:val="left"/>
        </w:tabs>
        <w:numPr>
          <w:ilvl w:val="0"/>
          <w:numId w:val="111"/>
        </w:numPr>
        <w:rPr>
          <w:rFonts w:ascii="Arial" w:cs="Arial" w:eastAsia="Arial" w:hAnsi="Arial"/>
          <w:sz w:val="20"/>
          <w:szCs w:val="20"/>
          <w:color w:val="2A2A2A"/>
        </w:rPr>
      </w:pPr>
      <w:r>
        <w:rPr>
          <w:rFonts w:ascii="Arial" w:cs="Arial" w:eastAsia="Arial" w:hAnsi="Arial"/>
          <w:sz w:val="20"/>
          <w:szCs w:val="20"/>
          <w:color w:val="2A2A2A"/>
        </w:rPr>
        <w:t>Below 10%: no profit sharing</w:t>
      </w:r>
    </w:p>
    <w:p>
      <w:pPr>
        <w:spacing w:after="0" w:line="70" w:lineRule="exact"/>
        <w:rPr>
          <w:rFonts w:ascii="Arial" w:cs="Arial" w:eastAsia="Arial" w:hAnsi="Arial"/>
          <w:sz w:val="20"/>
          <w:szCs w:val="20"/>
          <w:color w:val="2A2A2A"/>
        </w:rPr>
      </w:pPr>
    </w:p>
    <w:p>
      <w:pPr>
        <w:ind w:left="1921" w:hanging="368"/>
        <w:spacing w:after="0"/>
        <w:tabs>
          <w:tab w:leader="none" w:pos="1921" w:val="left"/>
        </w:tabs>
        <w:numPr>
          <w:ilvl w:val="0"/>
          <w:numId w:val="111"/>
        </w:numPr>
        <w:rPr>
          <w:rFonts w:ascii="Arial" w:cs="Arial" w:eastAsia="Arial" w:hAnsi="Arial"/>
          <w:sz w:val="20"/>
          <w:szCs w:val="20"/>
          <w:color w:val="2A2A2A"/>
        </w:rPr>
      </w:pPr>
      <w:r>
        <w:rPr>
          <w:rFonts w:ascii="Arial" w:cs="Arial" w:eastAsia="Arial" w:hAnsi="Arial"/>
          <w:sz w:val="20"/>
          <w:szCs w:val="20"/>
          <w:color w:val="2A2A2A"/>
        </w:rPr>
        <w:t>At 10%: profit sharing = 2% of base salary</w:t>
      </w:r>
    </w:p>
    <w:p>
      <w:pPr>
        <w:spacing w:after="0" w:line="70" w:lineRule="exact"/>
        <w:rPr>
          <w:rFonts w:ascii="Arial" w:cs="Arial" w:eastAsia="Arial" w:hAnsi="Arial"/>
          <w:sz w:val="20"/>
          <w:szCs w:val="20"/>
          <w:color w:val="2A2A2A"/>
        </w:rPr>
      </w:pPr>
    </w:p>
    <w:p>
      <w:pPr>
        <w:ind w:left="1921" w:right="100" w:hanging="368"/>
        <w:spacing w:after="0" w:line="268" w:lineRule="auto"/>
        <w:tabs>
          <w:tab w:leader="none" w:pos="1921" w:val="left"/>
        </w:tabs>
        <w:numPr>
          <w:ilvl w:val="0"/>
          <w:numId w:val="111"/>
        </w:numPr>
        <w:rPr>
          <w:rFonts w:ascii="Arial" w:cs="Arial" w:eastAsia="Arial" w:hAnsi="Arial"/>
          <w:sz w:val="20"/>
          <w:szCs w:val="20"/>
          <w:color w:val="2A2A2A"/>
        </w:rPr>
      </w:pPr>
      <w:r>
        <w:rPr>
          <w:rFonts w:ascii="Arial" w:cs="Arial" w:eastAsia="Arial" w:hAnsi="Arial"/>
          <w:sz w:val="20"/>
          <w:szCs w:val="20"/>
          <w:color w:val="2A2A2A"/>
        </w:rPr>
        <w:t>Above 10%: profit sharing increases by 0.5% of base salary for each percentage point between 10% and 24%, and by 1% of base salary for each percentage point above 24%. The maximum profit sharing is 20% of base salary.</w:t>
      </w:r>
    </w:p>
    <w:p>
      <w:pPr>
        <w:spacing w:after="0" w:line="70" w:lineRule="exact"/>
        <w:rPr>
          <w:sz w:val="20"/>
          <w:szCs w:val="20"/>
          <w:color w:val="auto"/>
        </w:rPr>
      </w:pPr>
    </w:p>
    <w:p>
      <w:pPr>
        <w:ind w:left="1201" w:right="400"/>
        <w:spacing w:after="0" w:line="287" w:lineRule="auto"/>
        <w:rPr>
          <w:sz w:val="20"/>
          <w:szCs w:val="20"/>
          <w:color w:val="auto"/>
        </w:rPr>
      </w:pPr>
      <w:r>
        <w:rPr>
          <w:rFonts w:ascii="Arial" w:cs="Arial" w:eastAsia="Arial" w:hAnsi="Arial"/>
          <w:sz w:val="20"/>
          <w:szCs w:val="20"/>
          <w:color w:val="2A2A2A"/>
        </w:rPr>
        <w:t>In 2023, TI delivered operating profit margin of 41.8%. As a result, all eligible employees, including executive officers, received profit sharing of 20% of base salary.</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Long-term compensation, awarded in equity</w:t>
      </w:r>
    </w:p>
    <w:p>
      <w:pPr>
        <w:spacing w:after="0" w:line="379" w:lineRule="exact"/>
        <w:rPr>
          <w:sz w:val="20"/>
          <w:szCs w:val="20"/>
          <w:color w:val="auto"/>
        </w:rPr>
      </w:pPr>
    </w:p>
    <w:p>
      <w:pPr>
        <w:ind w:left="61"/>
        <w:spacing w:after="0"/>
        <w:rPr>
          <w:sz w:val="20"/>
          <w:szCs w:val="20"/>
          <w:color w:val="auto"/>
        </w:rPr>
      </w:pPr>
      <w:r>
        <w:rPr>
          <w:rFonts w:ascii="Arial" w:cs="Arial" w:eastAsia="Arial" w:hAnsi="Arial"/>
          <w:sz w:val="16"/>
          <w:szCs w:val="16"/>
          <w:b w:val="1"/>
          <w:bCs w:val="1"/>
          <w:color w:val="2A2A2A"/>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5151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15100" cy="6350"/>
                    </a:xfrm>
                    <a:prstGeom prst="rect">
                      <a:avLst/>
                    </a:prstGeom>
                    <a:noFill/>
                  </pic:spPr>
                </pic:pic>
              </a:graphicData>
            </a:graphic>
          </wp:anchor>
        </w:drawing>
      </w:r>
    </w:p>
    <w:p>
      <w:pPr>
        <w:spacing w:after="0" w:line="40"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Purpose</w:t>
      </w:r>
      <w:r>
        <w:rPr>
          <w:sz w:val="20"/>
          <w:szCs w:val="20"/>
          <w:color w:val="auto"/>
        </w:rPr>
        <w:tab/>
      </w:r>
      <w:r>
        <w:rPr>
          <w:rFonts w:ascii="Arial" w:cs="Arial" w:eastAsia="Arial" w:hAnsi="Arial"/>
          <w:sz w:val="20"/>
          <w:szCs w:val="20"/>
          <w:color w:val="2A2A2A"/>
        </w:rPr>
        <w:t>Alignment with shareholders; long-term focus; balance retention, particularly with respect to restricted</w:t>
      </w:r>
    </w:p>
    <w:p>
      <w:pPr>
        <w:spacing w:after="0" w:line="3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stock units, and performance, particularly with respect to stock options which only have value when</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the value of the company increases (as measured by stock price).</w:t>
      </w:r>
    </w:p>
    <w:p>
      <w:pPr>
        <w:spacing w:after="0" w:line="125"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Strategy</w:t>
      </w:r>
      <w:r>
        <w:rPr>
          <w:sz w:val="20"/>
          <w:szCs w:val="20"/>
          <w:color w:val="auto"/>
        </w:rPr>
        <w:tab/>
      </w:r>
      <w:r>
        <w:rPr>
          <w:rFonts w:ascii="Arial" w:cs="Arial" w:eastAsia="Arial" w:hAnsi="Arial"/>
          <w:sz w:val="20"/>
          <w:szCs w:val="20"/>
          <w:color w:val="2A2A2A"/>
        </w:rPr>
        <w:t>We grant a combination of non-qualified stock options and restricted stock units, generally targeted at</w:t>
      </w:r>
    </w:p>
    <w:p>
      <w:pPr>
        <w:spacing w:after="0" w:line="3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the median level of equity compensation awarded to executives in similar positions within the</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Comparator Group. The committee does not rely on formulas or performance targets or thresholds.</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Restricted stock units have a four-year cliff vest schedule in order to support retention of our</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executives. Stock options, which only have value when the value of the company increases (as</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measured by stock price), enhance the performance-orientation of our executive compensation</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program. Both of these equity awards align with shareholder interests to drive the long-term</w:t>
      </w:r>
    </w:p>
    <w:p>
      <w:pPr>
        <w:spacing w:after="0" w:line="10" w:lineRule="exact"/>
        <w:rPr>
          <w:sz w:val="20"/>
          <w:szCs w:val="20"/>
          <w:color w:val="auto"/>
        </w:rPr>
      </w:pPr>
    </w:p>
    <w:p>
      <w:pPr>
        <w:ind w:left="1201"/>
        <w:spacing w:after="0"/>
        <w:rPr>
          <w:sz w:val="20"/>
          <w:szCs w:val="20"/>
          <w:color w:val="auto"/>
        </w:rPr>
      </w:pPr>
      <w:r>
        <w:rPr>
          <w:rFonts w:ascii="Arial" w:cs="Arial" w:eastAsia="Arial" w:hAnsi="Arial"/>
          <w:sz w:val="20"/>
          <w:szCs w:val="20"/>
          <w:color w:val="2A2A2A"/>
        </w:rPr>
        <w:t>performance of the company.</w:t>
      </w:r>
    </w:p>
    <w:p>
      <w:pPr>
        <w:spacing w:after="0" w:line="140" w:lineRule="exact"/>
        <w:rPr>
          <w:sz w:val="20"/>
          <w:szCs w:val="20"/>
          <w:color w:val="auto"/>
        </w:rPr>
      </w:pPr>
    </w:p>
    <w:p>
      <w:pPr>
        <w:ind w:left="61"/>
        <w:spacing w:after="0"/>
        <w:tabs>
          <w:tab w:leader="none" w:pos="1180" w:val="left"/>
        </w:tabs>
        <w:rPr>
          <w:sz w:val="20"/>
          <w:szCs w:val="20"/>
          <w:color w:val="auto"/>
        </w:rPr>
      </w:pPr>
      <w:r>
        <w:rPr>
          <w:rFonts w:ascii="Arial" w:cs="Arial" w:eastAsia="Arial" w:hAnsi="Arial"/>
          <w:sz w:val="20"/>
          <w:szCs w:val="20"/>
          <w:color w:val="2A2A2A"/>
        </w:rPr>
        <w:t>Terms</w:t>
      </w:r>
      <w:r>
        <w:rPr>
          <w:sz w:val="20"/>
          <w:szCs w:val="20"/>
          <w:color w:val="auto"/>
        </w:rPr>
        <w:tab/>
      </w:r>
      <w:r>
        <w:rPr>
          <w:rFonts w:ascii="Arial" w:cs="Arial" w:eastAsia="Arial" w:hAnsi="Arial"/>
          <w:sz w:val="20"/>
          <w:szCs w:val="20"/>
          <w:color w:val="2A2A2A"/>
        </w:rPr>
        <w:t>The terms and conditions of stock options and restricted stock units are summarized under</w:t>
      </w:r>
    </w:p>
    <w:p>
      <w:pPr>
        <w:spacing w:after="0" w:line="30" w:lineRule="exact"/>
        <w:rPr>
          <w:sz w:val="20"/>
          <w:szCs w:val="20"/>
          <w:color w:val="auto"/>
        </w:rPr>
      </w:pPr>
    </w:p>
    <w:p>
      <w:pPr>
        <w:ind w:left="1201" w:right="80"/>
        <w:spacing w:after="0" w:line="266" w:lineRule="auto"/>
        <w:rPr>
          <w:sz w:val="20"/>
          <w:szCs w:val="20"/>
          <w:color w:val="auto"/>
        </w:rPr>
      </w:pPr>
      <w:r>
        <w:rPr>
          <w:rFonts w:ascii="Arial" w:cs="Arial" w:eastAsia="Arial" w:hAnsi="Arial"/>
          <w:sz w:val="20"/>
          <w:szCs w:val="20"/>
          <w:color w:val="2A2A2A"/>
        </w:rPr>
        <w:t>“Outstanding equity awards at fiscal year-end 2023.” The committee’s grant procedures are described under “Process for equity grants.”</w:t>
      </w:r>
    </w:p>
    <w:p>
      <w:pPr>
        <w:spacing w:after="0" w:line="272"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Comparator group</w:t>
      </w:r>
    </w:p>
    <w:p>
      <w:pPr>
        <w:spacing w:after="0" w:line="255" w:lineRule="exact"/>
        <w:rPr>
          <w:sz w:val="20"/>
          <w:szCs w:val="20"/>
          <w:color w:val="auto"/>
        </w:rPr>
      </w:pPr>
    </w:p>
    <w:p>
      <w:pPr>
        <w:ind w:left="1"/>
        <w:spacing w:after="0" w:line="262" w:lineRule="auto"/>
        <w:rPr>
          <w:sz w:val="20"/>
          <w:szCs w:val="20"/>
          <w:color w:val="auto"/>
        </w:rPr>
      </w:pPr>
      <w:r>
        <w:rPr>
          <w:rFonts w:ascii="Arial" w:cs="Arial" w:eastAsia="Arial" w:hAnsi="Arial"/>
          <w:sz w:val="20"/>
          <w:szCs w:val="20"/>
          <w:color w:val="2A2A2A"/>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committee sets the Comparator Group and reviews it annually. In general, the Comparator Group companies</w:t>
      </w:r>
    </w:p>
    <w:p>
      <w:pPr>
        <w:spacing w:after="0" w:line="30" w:lineRule="exact"/>
        <w:rPr>
          <w:sz w:val="20"/>
          <w:szCs w:val="20"/>
          <w:color w:val="auto"/>
        </w:rPr>
      </w:pPr>
    </w:p>
    <w:p>
      <w:pPr>
        <w:ind w:left="1" w:right="60" w:hanging="1"/>
        <w:spacing w:after="0" w:line="258" w:lineRule="auto"/>
        <w:tabs>
          <w:tab w:leader="none" w:pos="234" w:val="left"/>
        </w:tabs>
        <w:numPr>
          <w:ilvl w:val="0"/>
          <w:numId w:val="112"/>
        </w:numPr>
        <w:rPr>
          <w:rFonts w:ascii="Arial" w:cs="Arial" w:eastAsia="Arial" w:hAnsi="Arial"/>
          <w:sz w:val="20"/>
          <w:szCs w:val="20"/>
          <w:color w:val="2A2A2A"/>
        </w:rPr>
      </w:pPr>
      <w:r>
        <w:rPr>
          <w:rFonts w:ascii="Arial" w:cs="Arial" w:eastAsia="Arial" w:hAnsi="Arial"/>
          <w:sz w:val="20"/>
          <w:szCs w:val="20"/>
          <w:color w:val="2A2A2A"/>
        </w:rPr>
        <w:t>are U.S.-based, (ii) 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ectPr>
          <w:pgSz w:w="12240" w:h="15840" w:orient="portrait"/>
          <w:cols w:equalWidth="0" w:num="1">
            <w:col w:w="10261"/>
          </w:cols>
          <w:pgMar w:left="979" w:top="795"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32</w:t>
      </w:r>
    </w:p>
    <w:p>
      <w:pPr>
        <w:sectPr>
          <w:pgSz w:w="12240" w:h="15840" w:orient="portrait"/>
          <w:cols w:equalWidth="0" w:num="1">
            <w:col w:w="10261"/>
          </w:cols>
          <w:pgMar w:left="979" w:top="795" w:right="1000" w:bottom="33" w:gutter="0" w:footer="0" w:header="0"/>
          <w:type w:val="continuous"/>
        </w:sectPr>
      </w:pPr>
    </w:p>
    <w:bookmarkStart w:id="104" w:name="page105"/>
    <w:bookmarkEnd w:id="104"/>
    <w:p>
      <w:pPr>
        <w:ind w:left="1"/>
        <w:spacing w:after="0"/>
        <w:rPr>
          <w:sz w:val="20"/>
          <w:szCs w:val="20"/>
          <w:color w:val="auto"/>
        </w:rPr>
      </w:pPr>
      <w:r>
        <w:rPr>
          <w:rFonts w:ascii="Arial" w:cs="Arial" w:eastAsia="Arial" w:hAnsi="Arial"/>
          <w:sz w:val="20"/>
          <w:szCs w:val="20"/>
          <w:color w:val="2A2A2A"/>
        </w:rPr>
        <w:t>Shown in the table below is the Comparator Group used for the compensation decisions for 2023.</w:t>
      </w:r>
    </w:p>
    <w:p>
      <w:pPr>
        <w:spacing w:after="0" w:line="306"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3M Company</w:t>
      </w:r>
      <w:r>
        <w:rPr>
          <w:sz w:val="20"/>
          <w:szCs w:val="20"/>
          <w:color w:val="auto"/>
        </w:rPr>
        <w:tab/>
      </w:r>
      <w:r>
        <w:rPr>
          <w:rFonts w:ascii="Arial" w:cs="Arial" w:eastAsia="Arial" w:hAnsi="Arial"/>
          <w:sz w:val="20"/>
          <w:szCs w:val="20"/>
          <w:color w:val="2A2A2A"/>
        </w:rPr>
        <w:t>Intel Corporation</w:t>
      </w:r>
    </w:p>
    <w:p>
      <w:pPr>
        <w:spacing w:after="0" w:line="3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Accenture plc</w:t>
      </w:r>
      <w:r>
        <w:rPr>
          <w:sz w:val="20"/>
          <w:szCs w:val="20"/>
          <w:color w:val="auto"/>
        </w:rPr>
        <w:tab/>
      </w:r>
      <w:r>
        <w:rPr>
          <w:rFonts w:ascii="Arial" w:cs="Arial" w:eastAsia="Arial" w:hAnsi="Arial"/>
          <w:sz w:val="19"/>
          <w:szCs w:val="19"/>
          <w:color w:val="2A2A2A"/>
        </w:rPr>
        <w:t>Medtronic plc</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Analog Devices, Inc.</w:t>
      </w:r>
      <w:r>
        <w:rPr>
          <w:sz w:val="20"/>
          <w:szCs w:val="20"/>
          <w:color w:val="auto"/>
        </w:rPr>
        <w:tab/>
      </w:r>
      <w:r>
        <w:rPr>
          <w:rFonts w:ascii="Arial" w:cs="Arial" w:eastAsia="Arial" w:hAnsi="Arial"/>
          <w:sz w:val="19"/>
          <w:szCs w:val="19"/>
          <w:color w:val="2A2A2A"/>
        </w:rPr>
        <w:t>Micron Technology, Inc.</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Applied Materials, Inc.</w:t>
      </w:r>
      <w:r>
        <w:rPr>
          <w:sz w:val="20"/>
          <w:szCs w:val="20"/>
          <w:color w:val="auto"/>
        </w:rPr>
        <w:tab/>
      </w:r>
      <w:r>
        <w:rPr>
          <w:rFonts w:ascii="Arial" w:cs="Arial" w:eastAsia="Arial" w:hAnsi="Arial"/>
          <w:sz w:val="19"/>
          <w:szCs w:val="19"/>
          <w:color w:val="2A2A2A"/>
        </w:rPr>
        <w:t>Motorola Solutions, Inc.</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Broadcom Inc.</w:t>
      </w:r>
      <w:r>
        <w:rPr>
          <w:sz w:val="20"/>
          <w:szCs w:val="20"/>
          <w:color w:val="auto"/>
        </w:rPr>
        <w:tab/>
      </w:r>
      <w:r>
        <w:rPr>
          <w:rFonts w:ascii="Arial" w:cs="Arial" w:eastAsia="Arial" w:hAnsi="Arial"/>
          <w:sz w:val="19"/>
          <w:szCs w:val="19"/>
          <w:color w:val="2A2A2A"/>
        </w:rPr>
        <w:t>NVIDIA Corporation</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Cisco Systems, Inc.</w:t>
      </w:r>
      <w:r>
        <w:rPr>
          <w:sz w:val="20"/>
          <w:szCs w:val="20"/>
          <w:color w:val="auto"/>
        </w:rPr>
        <w:tab/>
      </w:r>
      <w:r>
        <w:rPr>
          <w:rFonts w:ascii="Arial" w:cs="Arial" w:eastAsia="Arial" w:hAnsi="Arial"/>
          <w:sz w:val="20"/>
          <w:szCs w:val="20"/>
          <w:color w:val="2A2A2A"/>
        </w:rPr>
        <w:t>QUALCOMM Incorporated</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Corning Incorporated</w:t>
      </w:r>
      <w:r>
        <w:rPr>
          <w:sz w:val="20"/>
          <w:szCs w:val="20"/>
          <w:color w:val="auto"/>
        </w:rPr>
        <w:tab/>
      </w:r>
      <w:r>
        <w:rPr>
          <w:rFonts w:ascii="Arial" w:cs="Arial" w:eastAsia="Arial" w:hAnsi="Arial"/>
          <w:sz w:val="19"/>
          <w:szCs w:val="19"/>
          <w:color w:val="2A2A2A"/>
        </w:rPr>
        <w:t>TE Connectivity Ltd.</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Emerson Electric Co.</w:t>
      </w:r>
      <w:r>
        <w:rPr>
          <w:sz w:val="20"/>
          <w:szCs w:val="20"/>
          <w:color w:val="auto"/>
        </w:rPr>
        <w:tab/>
      </w:r>
      <w:r>
        <w:rPr>
          <w:rFonts w:ascii="Arial" w:cs="Arial" w:eastAsia="Arial" w:hAnsi="Arial"/>
          <w:sz w:val="19"/>
          <w:szCs w:val="19"/>
          <w:color w:val="2A2A2A"/>
        </w:rPr>
        <w:t>Thermo Fisher Scientific Inc.</w:t>
      </w:r>
    </w:p>
    <w:p>
      <w:pPr>
        <w:spacing w:after="0" w:line="25" w:lineRule="exact"/>
        <w:rPr>
          <w:sz w:val="20"/>
          <w:szCs w:val="20"/>
          <w:color w:val="auto"/>
        </w:rPr>
      </w:pPr>
    </w:p>
    <w:p>
      <w:pPr>
        <w:ind w:left="1501"/>
        <w:spacing w:after="0"/>
        <w:tabs>
          <w:tab w:leader="none" w:pos="5120" w:val="left"/>
        </w:tabs>
        <w:rPr>
          <w:sz w:val="20"/>
          <w:szCs w:val="20"/>
          <w:color w:val="auto"/>
        </w:rPr>
      </w:pPr>
      <w:r>
        <w:rPr>
          <w:rFonts w:ascii="Arial" w:cs="Arial" w:eastAsia="Arial" w:hAnsi="Arial"/>
          <w:sz w:val="20"/>
          <w:szCs w:val="20"/>
          <w:color w:val="2A2A2A"/>
        </w:rPr>
        <w:t>Honeywell International Inc.</w:t>
      </w:r>
      <w:r>
        <w:rPr>
          <w:sz w:val="20"/>
          <w:szCs w:val="20"/>
          <w:color w:val="auto"/>
        </w:rPr>
        <w:tab/>
      </w:r>
      <w:r>
        <w:rPr>
          <w:rFonts w:ascii="Arial" w:cs="Arial" w:eastAsia="Arial" w:hAnsi="Arial"/>
          <w:sz w:val="19"/>
          <w:szCs w:val="19"/>
          <w:color w:val="2A2A2A"/>
        </w:rPr>
        <w:t>Western Digital Corporation</w:t>
      </w:r>
    </w:p>
    <w:p>
      <w:pPr>
        <w:spacing w:after="0" w:line="299" w:lineRule="exact"/>
        <w:rPr>
          <w:sz w:val="20"/>
          <w:szCs w:val="20"/>
          <w:color w:val="auto"/>
        </w:rPr>
      </w:pPr>
    </w:p>
    <w:p>
      <w:pPr>
        <w:ind w:left="1" w:right="160"/>
        <w:spacing w:after="0" w:line="268" w:lineRule="auto"/>
        <w:rPr>
          <w:sz w:val="20"/>
          <w:szCs w:val="20"/>
          <w:color w:val="auto"/>
        </w:rPr>
      </w:pPr>
      <w:r>
        <w:rPr>
          <w:rFonts w:ascii="Arial" w:cs="Arial" w:eastAsia="Arial" w:hAnsi="Arial"/>
          <w:sz w:val="20"/>
          <w:szCs w:val="20"/>
          <w:color w:val="2A2A2A"/>
        </w:rPr>
        <w:t>The committee set the Comparator Group in July 2022 for the base salary and equity compensation decisions it made in 2023. For a discussion of the factors considered by the committee in setting the Comparator Group in July 2022, please see “Comparator group” on page 29 of the company’s 2023 proxy statement.</w:t>
      </w:r>
    </w:p>
    <w:p>
      <w:pPr>
        <w:spacing w:after="0" w:line="170" w:lineRule="exact"/>
        <w:rPr>
          <w:sz w:val="20"/>
          <w:szCs w:val="20"/>
          <w:color w:val="auto"/>
        </w:rPr>
      </w:pPr>
    </w:p>
    <w:p>
      <w:pPr>
        <w:ind w:left="1" w:right="40"/>
        <w:spacing w:after="0" w:line="259" w:lineRule="auto"/>
        <w:rPr>
          <w:sz w:val="20"/>
          <w:szCs w:val="20"/>
          <w:color w:val="auto"/>
        </w:rPr>
      </w:pPr>
      <w:r>
        <w:rPr>
          <w:rFonts w:ascii="Arial" w:cs="Arial" w:eastAsia="Arial" w:hAnsi="Arial"/>
          <w:sz w:val="20"/>
          <w:szCs w:val="20"/>
          <w:color w:val="2A2A2A"/>
        </w:rPr>
        <w:t>In July 2023, the committee conducted its regular review of the Comparator Group in terms of industry, revenue and market capitalization. With the advice of its compensation consultant, the committee decided to make no changes to the group. Accordingly, the committee used the same Comparator Group for the bonus decisions in January 2024 relating to 2023 performance. The table below compares the Comparator Group to TI in terms of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6550025" cy="382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50025" cy="3825875"/>
                    </a:xfrm>
                    <a:prstGeom prst="rect">
                      <a:avLst/>
                    </a:prstGeom>
                    <a:noFill/>
                  </pic:spPr>
                </pic:pic>
              </a:graphicData>
            </a:graphic>
          </wp:anchor>
        </w:drawing>
      </w: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275"/>
        </w:trPr>
        <w:tc>
          <w:tcPr>
            <w:tcW w:w="54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Company</w:t>
            </w:r>
          </w:p>
        </w:tc>
        <w:tc>
          <w:tcPr>
            <w:tcW w:w="2340" w:type="dxa"/>
            <w:vAlign w:val="bottom"/>
            <w:tcBorders>
              <w:bottom w:val="single" w:sz="8" w:color="2A2A2A"/>
            </w:tcBorders>
          </w:tcPr>
          <w:p>
            <w:pPr>
              <w:jc w:val="right"/>
              <w:ind w:right="401"/>
              <w:spacing w:after="0"/>
              <w:rPr>
                <w:sz w:val="20"/>
                <w:szCs w:val="20"/>
                <w:color w:val="auto"/>
              </w:rPr>
            </w:pPr>
            <w:r>
              <w:rPr>
                <w:rFonts w:ascii="Arial" w:cs="Arial" w:eastAsia="Arial" w:hAnsi="Arial"/>
                <w:sz w:val="16"/>
                <w:szCs w:val="16"/>
                <w:b w:val="1"/>
                <w:bCs w:val="1"/>
                <w:color w:val="2A2A2A"/>
              </w:rPr>
              <w:t>Revenue ($ Billion) *</w:t>
            </w:r>
          </w:p>
        </w:tc>
        <w:tc>
          <w:tcPr>
            <w:tcW w:w="2500" w:type="dxa"/>
            <w:vAlign w:val="bottom"/>
            <w:tcBorders>
              <w:bottom w:val="single" w:sz="8" w:color="2A2A2A"/>
            </w:tcBorders>
          </w:tcPr>
          <w:p>
            <w:pPr>
              <w:jc w:val="right"/>
              <w:ind w:right="161"/>
              <w:spacing w:after="0"/>
              <w:rPr>
                <w:sz w:val="20"/>
                <w:szCs w:val="20"/>
                <w:color w:val="auto"/>
              </w:rPr>
            </w:pPr>
            <w:r>
              <w:rPr>
                <w:rFonts w:ascii="Arial" w:cs="Arial" w:eastAsia="Arial" w:hAnsi="Arial"/>
                <w:sz w:val="16"/>
                <w:szCs w:val="16"/>
                <w:b w:val="1"/>
                <w:bCs w:val="1"/>
                <w:color w:val="2A2A2A"/>
              </w:rPr>
              <w:t>Market Cap ($ Billion) *</w:t>
            </w:r>
          </w:p>
        </w:tc>
      </w:tr>
      <w:tr>
        <w:trPr>
          <w:trHeight w:val="275"/>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Accenture plc</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64.6</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224.4</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Cisco Systems, Inc.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58.0</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203.5</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Intel Corporation</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52.9</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197.7</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NVIDIA Corporation</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44.9</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1,212.7</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Thermo Fisher Scientific Inc.</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43.4</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205.3</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Honeywell International Inc.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36.4</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134.2</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QUALCOMM Incorporated</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35.8</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152.2</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Broadcom Inc.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35.8</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491.2</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3M Company</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32.7</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60.0</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Medtronic plc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32.0</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112.4</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Applied Materials, Inc.</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26.5</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123.8</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Micron Technology, Inc.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16.2</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92.1</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TE Connectivity Ltd.</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16.0</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41.1</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Emerson Electric Co.</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15.2</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54.6</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Corning Incorporated</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13.0</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26.1</w:t>
            </w:r>
          </w:p>
        </w:tc>
      </w:tr>
      <w:tr>
        <w:trPr>
          <w:trHeight w:val="283"/>
        </w:trPr>
        <w:tc>
          <w:tcPr>
            <w:tcW w:w="5440" w:type="dxa"/>
            <w:vAlign w:val="bottom"/>
          </w:tcPr>
          <w:p>
            <w:pPr>
              <w:ind w:left="60"/>
              <w:spacing w:after="0"/>
              <w:rPr>
                <w:sz w:val="20"/>
                <w:szCs w:val="20"/>
                <w:color w:val="auto"/>
              </w:rPr>
            </w:pPr>
            <w:r>
              <w:rPr>
                <w:rFonts w:ascii="Arial" w:cs="Arial" w:eastAsia="Arial" w:hAnsi="Arial"/>
                <w:sz w:val="20"/>
                <w:szCs w:val="20"/>
                <w:color w:val="2A2A2A"/>
              </w:rPr>
              <w:t>Analog Devices, Inc.</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12.3</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92.6</w:t>
            </w:r>
          </w:p>
        </w:tc>
      </w:tr>
      <w:tr>
        <w:trPr>
          <w:trHeight w:val="287"/>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Western Digital Corporation</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11.3</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16.2</w:t>
            </w:r>
          </w:p>
        </w:tc>
      </w:tr>
      <w:tr>
        <w:trPr>
          <w:trHeight w:val="275"/>
        </w:trPr>
        <w:tc>
          <w:tcPr>
            <w:tcW w:w="5440" w:type="dxa"/>
            <w:vAlign w:val="bottom"/>
            <w:tcBorders>
              <w:bottom w:val="single" w:sz="8" w:color="2A2A2A"/>
            </w:tcBorders>
          </w:tcPr>
          <w:p>
            <w:pPr>
              <w:ind w:left="60"/>
              <w:spacing w:after="0"/>
              <w:rPr>
                <w:sz w:val="20"/>
                <w:szCs w:val="20"/>
                <w:color w:val="auto"/>
              </w:rPr>
            </w:pPr>
            <w:r>
              <w:rPr>
                <w:rFonts w:ascii="Arial" w:cs="Arial" w:eastAsia="Arial" w:hAnsi="Arial"/>
                <w:sz w:val="20"/>
                <w:szCs w:val="20"/>
                <w:color w:val="2A2A2A"/>
              </w:rPr>
              <w:t>Motorola Solutions, Inc.</w:t>
            </w:r>
          </w:p>
        </w:tc>
        <w:tc>
          <w:tcPr>
            <w:tcW w:w="2340" w:type="dxa"/>
            <w:vAlign w:val="bottom"/>
            <w:tcBorders>
              <w:bottom w:val="single" w:sz="8" w:color="2A2A2A"/>
            </w:tcBorders>
          </w:tcPr>
          <w:p>
            <w:pPr>
              <w:jc w:val="right"/>
              <w:ind w:right="881"/>
              <w:spacing w:after="0"/>
              <w:rPr>
                <w:sz w:val="20"/>
                <w:szCs w:val="20"/>
                <w:color w:val="auto"/>
              </w:rPr>
            </w:pPr>
            <w:r>
              <w:rPr>
                <w:rFonts w:ascii="Arial" w:cs="Arial" w:eastAsia="Arial" w:hAnsi="Arial"/>
                <w:sz w:val="20"/>
                <w:szCs w:val="20"/>
                <w:color w:val="2A2A2A"/>
              </w:rPr>
              <w:t>9.8</w:t>
            </w:r>
          </w:p>
        </w:tc>
        <w:tc>
          <w:tcPr>
            <w:tcW w:w="2500" w:type="dxa"/>
            <w:vAlign w:val="bottom"/>
            <w:tcBorders>
              <w:bottom w:val="single" w:sz="8" w:color="2A2A2A"/>
            </w:tcBorders>
          </w:tcPr>
          <w:p>
            <w:pPr>
              <w:jc w:val="right"/>
              <w:ind w:right="841"/>
              <w:spacing w:after="0"/>
              <w:rPr>
                <w:sz w:val="20"/>
                <w:szCs w:val="20"/>
                <w:color w:val="auto"/>
              </w:rPr>
            </w:pPr>
            <w:r>
              <w:rPr>
                <w:rFonts w:ascii="Arial" w:cs="Arial" w:eastAsia="Arial" w:hAnsi="Arial"/>
                <w:sz w:val="20"/>
                <w:szCs w:val="20"/>
                <w:color w:val="2A2A2A"/>
              </w:rPr>
              <w:t>51.3</w:t>
            </w:r>
          </w:p>
        </w:tc>
      </w:tr>
      <w:tr>
        <w:trPr>
          <w:trHeight w:val="275"/>
        </w:trPr>
        <w:tc>
          <w:tcPr>
            <w:tcW w:w="54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Median</w:t>
            </w:r>
          </w:p>
        </w:tc>
        <w:tc>
          <w:tcPr>
            <w:tcW w:w="2340" w:type="dxa"/>
            <w:vAlign w:val="bottom"/>
            <w:shd w:val="clear" w:color="auto" w:fill="D7D7D7"/>
          </w:tcPr>
          <w:p>
            <w:pPr>
              <w:jc w:val="right"/>
              <w:ind w:right="881"/>
              <w:spacing w:after="0"/>
              <w:rPr>
                <w:sz w:val="20"/>
                <w:szCs w:val="20"/>
                <w:color w:val="auto"/>
              </w:rPr>
            </w:pPr>
            <w:r>
              <w:rPr>
                <w:rFonts w:ascii="Arial" w:cs="Arial" w:eastAsia="Arial" w:hAnsi="Arial"/>
                <w:sz w:val="20"/>
                <w:szCs w:val="20"/>
                <w:color w:val="2A2A2A"/>
              </w:rPr>
              <w:t>32.4</w:t>
            </w:r>
          </w:p>
        </w:tc>
        <w:tc>
          <w:tcPr>
            <w:tcW w:w="2500" w:type="dxa"/>
            <w:vAlign w:val="bottom"/>
            <w:shd w:val="clear" w:color="auto" w:fill="D7D7D7"/>
          </w:tcPr>
          <w:p>
            <w:pPr>
              <w:jc w:val="right"/>
              <w:ind w:right="841"/>
              <w:spacing w:after="0"/>
              <w:rPr>
                <w:sz w:val="20"/>
                <w:szCs w:val="20"/>
                <w:color w:val="auto"/>
              </w:rPr>
            </w:pPr>
            <w:r>
              <w:rPr>
                <w:rFonts w:ascii="Arial" w:cs="Arial" w:eastAsia="Arial" w:hAnsi="Arial"/>
                <w:sz w:val="20"/>
                <w:szCs w:val="20"/>
                <w:color w:val="2A2A2A"/>
              </w:rPr>
              <w:t>118.1</w:t>
            </w:r>
          </w:p>
        </w:tc>
      </w:tr>
      <w:tr>
        <w:trPr>
          <w:trHeight w:val="281"/>
        </w:trPr>
        <w:tc>
          <w:tcPr>
            <w:tcW w:w="5440" w:type="dxa"/>
            <w:vAlign w:val="bottom"/>
          </w:tcPr>
          <w:p>
            <w:pPr>
              <w:ind w:left="60"/>
              <w:spacing w:after="0"/>
              <w:rPr>
                <w:sz w:val="20"/>
                <w:szCs w:val="20"/>
                <w:color w:val="auto"/>
              </w:rPr>
            </w:pPr>
            <w:r>
              <w:rPr>
                <w:rFonts w:ascii="Arial" w:cs="Arial" w:eastAsia="Arial" w:hAnsi="Arial"/>
                <w:sz w:val="20"/>
                <w:szCs w:val="20"/>
                <w:color w:val="2A2A2A"/>
              </w:rPr>
              <w:t>Texas Instruments Incorporated</w:t>
            </w:r>
          </w:p>
        </w:tc>
        <w:tc>
          <w:tcPr>
            <w:tcW w:w="2340" w:type="dxa"/>
            <w:vAlign w:val="bottom"/>
          </w:tcPr>
          <w:p>
            <w:pPr>
              <w:jc w:val="right"/>
              <w:ind w:right="881"/>
              <w:spacing w:after="0"/>
              <w:rPr>
                <w:sz w:val="20"/>
                <w:szCs w:val="20"/>
                <w:color w:val="auto"/>
              </w:rPr>
            </w:pPr>
            <w:r>
              <w:rPr>
                <w:rFonts w:ascii="Arial" w:cs="Arial" w:eastAsia="Arial" w:hAnsi="Arial"/>
                <w:sz w:val="20"/>
                <w:szCs w:val="20"/>
                <w:color w:val="2A2A2A"/>
              </w:rPr>
              <w:t>18.1</w:t>
            </w:r>
          </w:p>
        </w:tc>
        <w:tc>
          <w:tcPr>
            <w:tcW w:w="2500" w:type="dxa"/>
            <w:vAlign w:val="bottom"/>
          </w:tcPr>
          <w:p>
            <w:pPr>
              <w:jc w:val="right"/>
              <w:ind w:right="841"/>
              <w:spacing w:after="0"/>
              <w:rPr>
                <w:sz w:val="20"/>
                <w:szCs w:val="20"/>
                <w:color w:val="auto"/>
              </w:rPr>
            </w:pPr>
            <w:r>
              <w:rPr>
                <w:rFonts w:ascii="Arial" w:cs="Arial" w:eastAsia="Arial" w:hAnsi="Arial"/>
                <w:sz w:val="20"/>
                <w:szCs w:val="20"/>
                <w:color w:val="2A2A2A"/>
              </w:rPr>
              <w:t>149.9</w:t>
            </w:r>
          </w:p>
        </w:tc>
      </w:tr>
    </w:tbl>
    <w:p>
      <w:pPr>
        <w:spacing w:after="0" w:line="169" w:lineRule="exact"/>
        <w:rPr>
          <w:sz w:val="20"/>
          <w:szCs w:val="20"/>
          <w:color w:val="auto"/>
        </w:rPr>
      </w:pPr>
    </w:p>
    <w:p>
      <w:pPr>
        <w:ind w:left="361" w:hanging="361"/>
        <w:spacing w:after="0"/>
        <w:tabs>
          <w:tab w:leader="none" w:pos="361" w:val="left"/>
        </w:tabs>
        <w:numPr>
          <w:ilvl w:val="0"/>
          <w:numId w:val="113"/>
        </w:numPr>
        <w:rPr>
          <w:rFonts w:ascii="Arial" w:cs="Arial" w:eastAsia="Arial" w:hAnsi="Arial"/>
          <w:sz w:val="20"/>
          <w:szCs w:val="20"/>
          <w:color w:val="2A2A2A"/>
        </w:rPr>
      </w:pPr>
      <w:r>
        <w:rPr>
          <w:rFonts w:ascii="Arial" w:cs="Arial" w:eastAsia="Arial" w:hAnsi="Arial"/>
          <w:sz w:val="20"/>
          <w:szCs w:val="20"/>
          <w:color w:val="2A2A2A"/>
        </w:rPr>
        <w:t>Trailing four-quarter revenue and market capitalization is as reported by Thomson Reuters on January 5, 2024.</w:t>
      </w:r>
    </w:p>
    <w:p>
      <w:pPr>
        <w:sectPr>
          <w:pgSz w:w="12240" w:h="15840" w:orient="portrait"/>
          <w:cols w:equalWidth="0" w:num="1">
            <w:col w:w="10281"/>
          </w:cols>
          <w:pgMar w:left="979"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33</w:t>
      </w:r>
    </w:p>
    <w:p>
      <w:pPr>
        <w:sectPr>
          <w:pgSz w:w="12240" w:h="15840" w:orient="portrait"/>
          <w:cols w:equalWidth="0" w:num="1">
            <w:col w:w="10281"/>
          </w:cols>
          <w:pgMar w:left="979" w:top="664" w:right="980" w:bottom="33" w:gutter="0" w:footer="0" w:header="0"/>
          <w:type w:val="continuous"/>
        </w:sectPr>
      </w:pPr>
    </w:p>
    <w:bookmarkStart w:id="105" w:name="page106"/>
    <w:bookmarkEnd w:id="105"/>
    <w:p>
      <w:pPr>
        <w:ind w:left="1"/>
        <w:spacing w:after="0"/>
        <w:rPr>
          <w:sz w:val="20"/>
          <w:szCs w:val="20"/>
          <w:color w:val="auto"/>
        </w:rPr>
      </w:pPr>
      <w:r>
        <w:rPr>
          <w:rFonts w:ascii="Arial" w:cs="Arial" w:eastAsia="Arial" w:hAnsi="Arial"/>
          <w:sz w:val="22"/>
          <w:szCs w:val="22"/>
          <w:i w:val="1"/>
          <w:iCs w:val="1"/>
          <w:color w:val="2A2A2A"/>
        </w:rPr>
        <w:t>Analysis of compensation determinations</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Total compensation</w:t>
      </w:r>
    </w:p>
    <w:p>
      <w:pPr>
        <w:spacing w:after="0" w:line="28" w:lineRule="exact"/>
        <w:rPr>
          <w:sz w:val="20"/>
          <w:szCs w:val="20"/>
          <w:color w:val="auto"/>
        </w:rPr>
      </w:pPr>
    </w:p>
    <w:p>
      <w:pPr>
        <w:ind w:left="1" w:right="60"/>
        <w:spacing w:after="0" w:line="252" w:lineRule="auto"/>
        <w:rPr>
          <w:sz w:val="20"/>
          <w:szCs w:val="20"/>
          <w:color w:val="auto"/>
        </w:rPr>
      </w:pPr>
      <w:r>
        <w:rPr>
          <w:rFonts w:ascii="Arial" w:cs="Arial" w:eastAsia="Arial" w:hAnsi="Arial"/>
          <w:sz w:val="20"/>
          <w:szCs w:val="20"/>
          <w:color w:val="2A2A2A"/>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2A2A2A"/>
        </w:rPr>
        <w:t>Base salary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committee set the 2023 rate of base salary for the following named executive officers as follows:</w:t>
      </w:r>
    </w:p>
    <w:p>
      <w:pPr>
        <w:spacing w:after="0" w:line="331"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390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Officer</w:t>
            </w:r>
          </w:p>
        </w:tc>
        <w:tc>
          <w:tcPr>
            <w:tcW w:w="3540" w:type="dxa"/>
            <w:vAlign w:val="bottom"/>
            <w:tcBorders>
              <w:bottom w:val="single" w:sz="8" w:color="2A2A2A"/>
            </w:tcBorders>
            <w:gridSpan w:val="2"/>
          </w:tcPr>
          <w:p>
            <w:pPr>
              <w:ind w:left="1940"/>
              <w:spacing w:after="0"/>
              <w:rPr>
                <w:sz w:val="20"/>
                <w:szCs w:val="20"/>
                <w:color w:val="auto"/>
              </w:rPr>
            </w:pPr>
            <w:r>
              <w:rPr>
                <w:rFonts w:ascii="Arial" w:cs="Arial" w:eastAsia="Arial" w:hAnsi="Arial"/>
                <w:sz w:val="16"/>
                <w:szCs w:val="16"/>
                <w:b w:val="1"/>
                <w:bCs w:val="1"/>
                <w:color w:val="2A2A2A"/>
              </w:rPr>
              <w:t>2023 Annual Rate</w:t>
            </w:r>
          </w:p>
        </w:tc>
        <w:tc>
          <w:tcPr>
            <w:tcW w:w="2840" w:type="dxa"/>
            <w:vAlign w:val="bottom"/>
            <w:tcBorders>
              <w:bottom w:val="single" w:sz="8" w:color="2A2A2A"/>
            </w:tcBorders>
            <w:gridSpan w:val="2"/>
          </w:tcPr>
          <w:p>
            <w:pPr>
              <w:jc w:val="right"/>
              <w:ind w:right="120"/>
              <w:spacing w:after="0"/>
              <w:rPr>
                <w:sz w:val="20"/>
                <w:szCs w:val="20"/>
                <w:color w:val="auto"/>
              </w:rPr>
            </w:pPr>
            <w:r>
              <w:rPr>
                <w:rFonts w:ascii="Arial" w:cs="Arial" w:eastAsia="Arial" w:hAnsi="Arial"/>
                <w:sz w:val="16"/>
                <w:szCs w:val="16"/>
                <w:b w:val="1"/>
                <w:bCs w:val="1"/>
                <w:color w:val="2A2A2A"/>
              </w:rPr>
              <w:t>Change from 2022 Annual Rate</w:t>
            </w:r>
          </w:p>
        </w:tc>
      </w:tr>
      <w:tr>
        <w:trPr>
          <w:trHeight w:val="277"/>
        </w:trPr>
        <w:tc>
          <w:tcPr>
            <w:tcW w:w="39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3540" w:type="dxa"/>
            <w:vAlign w:val="bottom"/>
            <w:gridSpan w:val="2"/>
            <w:shd w:val="clear" w:color="auto" w:fill="D7D7D7"/>
          </w:tcPr>
          <w:p>
            <w:pPr>
              <w:ind w:left="2080"/>
              <w:spacing w:after="0"/>
              <w:rPr>
                <w:sz w:val="20"/>
                <w:szCs w:val="20"/>
                <w:color w:val="auto"/>
              </w:rPr>
            </w:pPr>
            <w:r>
              <w:rPr>
                <w:rFonts w:ascii="Arial" w:cs="Arial" w:eastAsia="Arial" w:hAnsi="Arial"/>
                <w:sz w:val="20"/>
                <w:szCs w:val="20"/>
                <w:color w:val="2A2A2A"/>
              </w:rPr>
              <w:t>$1,150,000</w:t>
            </w:r>
          </w:p>
        </w:tc>
        <w:tc>
          <w:tcPr>
            <w:tcW w:w="18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25.7%</w:t>
            </w:r>
          </w:p>
        </w:tc>
        <w:tc>
          <w:tcPr>
            <w:tcW w:w="980" w:type="dxa"/>
            <w:vAlign w:val="bottom"/>
            <w:shd w:val="clear" w:color="auto" w:fill="D7D7D7"/>
          </w:tcPr>
          <w:p>
            <w:pPr>
              <w:jc w:val="right"/>
              <w:ind w:right="580"/>
              <w:spacing w:after="0"/>
              <w:rPr>
                <w:sz w:val="20"/>
                <w:szCs w:val="20"/>
                <w:color w:val="auto"/>
              </w:rPr>
            </w:pPr>
            <w:r>
              <w:rPr>
                <w:rFonts w:ascii="Arial" w:cs="Arial" w:eastAsia="Arial" w:hAnsi="Arial"/>
                <w:sz w:val="20"/>
                <w:szCs w:val="20"/>
                <w:color w:val="2A2A2A"/>
              </w:rPr>
              <w:t>(1)</w:t>
            </w:r>
          </w:p>
        </w:tc>
      </w:tr>
      <w:tr>
        <w:trPr>
          <w:trHeight w:val="283"/>
        </w:trPr>
        <w:tc>
          <w:tcPr>
            <w:tcW w:w="390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2260" w:type="dxa"/>
            <w:vAlign w:val="bottom"/>
          </w:tcPr>
          <w:p>
            <w:pPr>
              <w:ind w:left="2080"/>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380"/>
              <w:spacing w:after="0"/>
              <w:rPr>
                <w:sz w:val="20"/>
                <w:szCs w:val="20"/>
                <w:color w:val="auto"/>
              </w:rPr>
            </w:pPr>
            <w:r>
              <w:rPr>
                <w:rFonts w:ascii="Arial" w:cs="Arial" w:eastAsia="Arial" w:hAnsi="Arial"/>
                <w:sz w:val="20"/>
                <w:szCs w:val="20"/>
                <w:color w:val="2A2A2A"/>
              </w:rPr>
              <w:t>600,000</w:t>
            </w:r>
          </w:p>
        </w:tc>
        <w:tc>
          <w:tcPr>
            <w:tcW w:w="2840" w:type="dxa"/>
            <w:vAlign w:val="bottom"/>
            <w:gridSpan w:val="2"/>
          </w:tcPr>
          <w:p>
            <w:pPr>
              <w:jc w:val="right"/>
              <w:ind w:right="580"/>
              <w:spacing w:after="0"/>
              <w:rPr>
                <w:sz w:val="20"/>
                <w:szCs w:val="20"/>
                <w:color w:val="auto"/>
              </w:rPr>
            </w:pPr>
            <w:r>
              <w:rPr>
                <w:rFonts w:ascii="Arial" w:cs="Arial" w:eastAsia="Arial" w:hAnsi="Arial"/>
                <w:sz w:val="20"/>
                <w:szCs w:val="20"/>
                <w:color w:val="2A2A2A"/>
              </w:rPr>
              <w:t>-58.0% (2)</w:t>
            </w:r>
          </w:p>
        </w:tc>
      </w:tr>
      <w:tr>
        <w:trPr>
          <w:trHeight w:val="287"/>
        </w:trPr>
        <w:tc>
          <w:tcPr>
            <w:tcW w:w="39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2260" w:type="dxa"/>
            <w:vAlign w:val="bottom"/>
            <w:shd w:val="clear" w:color="auto" w:fill="D7D7D7"/>
          </w:tcPr>
          <w:p>
            <w:pPr>
              <w:ind w:left="2080"/>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380"/>
              <w:spacing w:after="0"/>
              <w:rPr>
                <w:sz w:val="20"/>
                <w:szCs w:val="20"/>
                <w:color w:val="auto"/>
              </w:rPr>
            </w:pPr>
            <w:r>
              <w:rPr>
                <w:rFonts w:ascii="Arial" w:cs="Arial" w:eastAsia="Arial" w:hAnsi="Arial"/>
                <w:sz w:val="20"/>
                <w:szCs w:val="20"/>
                <w:color w:val="2A2A2A"/>
              </w:rPr>
              <w:t>810,000</w:t>
            </w:r>
          </w:p>
        </w:tc>
        <w:tc>
          <w:tcPr>
            <w:tcW w:w="18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5.2%</w:t>
            </w:r>
          </w:p>
        </w:tc>
        <w:tc>
          <w:tcPr>
            <w:tcW w:w="980" w:type="dxa"/>
            <w:vAlign w:val="bottom"/>
            <w:shd w:val="clear" w:color="auto" w:fill="D7D7D7"/>
          </w:tcPr>
          <w:p>
            <w:pPr>
              <w:spacing w:after="0"/>
              <w:rPr>
                <w:sz w:val="24"/>
                <w:szCs w:val="24"/>
                <w:color w:val="auto"/>
              </w:rPr>
            </w:pPr>
          </w:p>
        </w:tc>
      </w:tr>
      <w:tr>
        <w:trPr>
          <w:trHeight w:val="283"/>
        </w:trPr>
        <w:tc>
          <w:tcPr>
            <w:tcW w:w="390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2260" w:type="dxa"/>
            <w:vAlign w:val="bottom"/>
          </w:tcPr>
          <w:p>
            <w:pPr>
              <w:ind w:left="2080"/>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380"/>
              <w:spacing w:after="0"/>
              <w:rPr>
                <w:sz w:val="20"/>
                <w:szCs w:val="20"/>
                <w:color w:val="auto"/>
              </w:rPr>
            </w:pPr>
            <w:r>
              <w:rPr>
                <w:rFonts w:ascii="Arial" w:cs="Arial" w:eastAsia="Arial" w:hAnsi="Arial"/>
                <w:sz w:val="20"/>
                <w:szCs w:val="20"/>
                <w:color w:val="2A2A2A"/>
              </w:rPr>
              <w:t>770,000</w:t>
            </w:r>
          </w:p>
        </w:tc>
        <w:tc>
          <w:tcPr>
            <w:tcW w:w="1860" w:type="dxa"/>
            <w:vAlign w:val="bottom"/>
          </w:tcPr>
          <w:p>
            <w:pPr>
              <w:jc w:val="right"/>
              <w:spacing w:after="0"/>
              <w:rPr>
                <w:sz w:val="20"/>
                <w:szCs w:val="20"/>
                <w:color w:val="auto"/>
              </w:rPr>
            </w:pPr>
            <w:r>
              <w:rPr>
                <w:rFonts w:ascii="Arial" w:cs="Arial" w:eastAsia="Arial" w:hAnsi="Arial"/>
                <w:sz w:val="20"/>
                <w:szCs w:val="20"/>
                <w:color w:val="2A2A2A"/>
              </w:rPr>
              <w:t>5.5%</w:t>
            </w:r>
          </w:p>
        </w:tc>
        <w:tc>
          <w:tcPr>
            <w:tcW w:w="980" w:type="dxa"/>
            <w:vAlign w:val="bottom"/>
          </w:tcPr>
          <w:p>
            <w:pPr>
              <w:spacing w:after="0"/>
              <w:rPr>
                <w:sz w:val="24"/>
                <w:szCs w:val="24"/>
                <w:color w:val="auto"/>
              </w:rPr>
            </w:pPr>
          </w:p>
        </w:tc>
      </w:tr>
      <w:tr>
        <w:trPr>
          <w:trHeight w:val="287"/>
        </w:trPr>
        <w:tc>
          <w:tcPr>
            <w:tcW w:w="39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2260" w:type="dxa"/>
            <w:vAlign w:val="bottom"/>
            <w:shd w:val="clear" w:color="auto" w:fill="D7D7D7"/>
          </w:tcPr>
          <w:p>
            <w:pPr>
              <w:ind w:left="2080"/>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380"/>
              <w:spacing w:after="0"/>
              <w:rPr>
                <w:sz w:val="20"/>
                <w:szCs w:val="20"/>
                <w:color w:val="auto"/>
              </w:rPr>
            </w:pPr>
            <w:r>
              <w:rPr>
                <w:rFonts w:ascii="Arial" w:cs="Arial" w:eastAsia="Arial" w:hAnsi="Arial"/>
                <w:sz w:val="20"/>
                <w:szCs w:val="20"/>
                <w:color w:val="2A2A2A"/>
              </w:rPr>
              <w:t>770,000</w:t>
            </w:r>
          </w:p>
        </w:tc>
        <w:tc>
          <w:tcPr>
            <w:tcW w:w="18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5.5%</w:t>
            </w:r>
          </w:p>
        </w:tc>
        <w:tc>
          <w:tcPr>
            <w:tcW w:w="980" w:type="dxa"/>
            <w:vAlign w:val="bottom"/>
            <w:shd w:val="clear" w:color="auto" w:fill="D7D7D7"/>
          </w:tcPr>
          <w:p>
            <w:pPr>
              <w:spacing w:after="0"/>
              <w:rPr>
                <w:sz w:val="24"/>
                <w:szCs w:val="24"/>
                <w:color w:val="auto"/>
              </w:rPr>
            </w:pPr>
          </w:p>
        </w:tc>
      </w:tr>
      <w:tr>
        <w:trPr>
          <w:trHeight w:val="281"/>
        </w:trPr>
        <w:tc>
          <w:tcPr>
            <w:tcW w:w="390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2260" w:type="dxa"/>
            <w:vAlign w:val="bottom"/>
          </w:tcPr>
          <w:p>
            <w:pPr>
              <w:ind w:left="2080"/>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380"/>
              <w:spacing w:after="0"/>
              <w:rPr>
                <w:sz w:val="20"/>
                <w:szCs w:val="20"/>
                <w:color w:val="auto"/>
              </w:rPr>
            </w:pPr>
            <w:r>
              <w:rPr>
                <w:rFonts w:ascii="Arial" w:cs="Arial" w:eastAsia="Arial" w:hAnsi="Arial"/>
                <w:sz w:val="20"/>
                <w:szCs w:val="20"/>
                <w:color w:val="2A2A2A"/>
              </w:rPr>
              <w:t>740,000</w:t>
            </w:r>
          </w:p>
        </w:tc>
        <w:tc>
          <w:tcPr>
            <w:tcW w:w="1860" w:type="dxa"/>
            <w:vAlign w:val="bottom"/>
          </w:tcPr>
          <w:p>
            <w:pPr>
              <w:jc w:val="right"/>
              <w:spacing w:after="0"/>
              <w:rPr>
                <w:sz w:val="20"/>
                <w:szCs w:val="20"/>
                <w:color w:val="auto"/>
              </w:rPr>
            </w:pPr>
            <w:r>
              <w:rPr>
                <w:rFonts w:ascii="Arial" w:cs="Arial" w:eastAsia="Arial" w:hAnsi="Arial"/>
                <w:sz w:val="20"/>
                <w:szCs w:val="20"/>
                <w:color w:val="2A2A2A"/>
              </w:rPr>
              <w:t>5.7%</w:t>
            </w: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-1095375</wp:posOffset>
            </wp:positionV>
            <wp:extent cx="655002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9" w:lineRule="exact"/>
        <w:rPr>
          <w:sz w:val="20"/>
          <w:szCs w:val="20"/>
          <w:color w:val="auto"/>
        </w:rPr>
      </w:pPr>
    </w:p>
    <w:p>
      <w:pPr>
        <w:ind w:left="541" w:right="240" w:hanging="541"/>
        <w:spacing w:after="0" w:line="268" w:lineRule="auto"/>
        <w:tabs>
          <w:tab w:leader="none" w:pos="541" w:val="left"/>
        </w:tabs>
        <w:numPr>
          <w:ilvl w:val="0"/>
          <w:numId w:val="114"/>
        </w:numPr>
        <w:rPr>
          <w:rFonts w:ascii="Arial" w:cs="Arial" w:eastAsia="Arial" w:hAnsi="Arial"/>
          <w:sz w:val="20"/>
          <w:szCs w:val="20"/>
          <w:color w:val="2A2A2A"/>
        </w:rPr>
      </w:pPr>
      <w:r>
        <w:rPr>
          <w:rFonts w:ascii="Arial" w:cs="Arial" w:eastAsia="Arial" w:hAnsi="Arial"/>
          <w:sz w:val="20"/>
          <w:szCs w:val="20"/>
          <w:color w:val="2A2A2A"/>
        </w:rPr>
        <w:t>Mr. Ilan received a base salary adjustment of 5.5%, effective February 1, 2023, for his role as COO for the 2022 performance year. His annual base salary was then revised to $1,150,000, effective April 1, 2023, with his appointment as CEO.</w:t>
      </w:r>
    </w:p>
    <w:p>
      <w:pPr>
        <w:spacing w:after="0" w:line="69" w:lineRule="exact"/>
        <w:rPr>
          <w:rFonts w:ascii="Arial" w:cs="Arial" w:eastAsia="Arial" w:hAnsi="Arial"/>
          <w:sz w:val="20"/>
          <w:szCs w:val="20"/>
          <w:color w:val="2A2A2A"/>
        </w:rPr>
      </w:pPr>
    </w:p>
    <w:p>
      <w:pPr>
        <w:ind w:left="541" w:right="800" w:hanging="541"/>
        <w:spacing w:after="0" w:line="287" w:lineRule="auto"/>
        <w:tabs>
          <w:tab w:leader="none" w:pos="541" w:val="left"/>
        </w:tabs>
        <w:numPr>
          <w:ilvl w:val="0"/>
          <w:numId w:val="114"/>
        </w:numPr>
        <w:rPr>
          <w:rFonts w:ascii="Arial" w:cs="Arial" w:eastAsia="Arial" w:hAnsi="Arial"/>
          <w:sz w:val="20"/>
          <w:szCs w:val="20"/>
          <w:color w:val="2A2A2A"/>
        </w:rPr>
      </w:pPr>
      <w:r>
        <w:rPr>
          <w:rFonts w:ascii="Arial" w:cs="Arial" w:eastAsia="Arial" w:hAnsi="Arial"/>
          <w:sz w:val="20"/>
          <w:szCs w:val="20"/>
          <w:color w:val="2A2A2A"/>
        </w:rPr>
        <w:t>In transitioning from CEO to chairman of the board, Mr. Templeton’s base salary was set at $600,000, effective April 1, 2023.</w:t>
      </w:r>
    </w:p>
    <w:p>
      <w:pPr>
        <w:spacing w:after="0" w:line="170" w:lineRule="exact"/>
        <w:rPr>
          <w:sz w:val="20"/>
          <w:szCs w:val="20"/>
          <w:color w:val="auto"/>
        </w:rPr>
      </w:pPr>
    </w:p>
    <w:p>
      <w:pPr>
        <w:ind w:left="1" w:right="160"/>
        <w:spacing w:after="0" w:line="262" w:lineRule="auto"/>
        <w:rPr>
          <w:sz w:val="20"/>
          <w:szCs w:val="20"/>
          <w:color w:val="auto"/>
        </w:rPr>
      </w:pPr>
      <w:r>
        <w:rPr>
          <w:rFonts w:ascii="Arial" w:cs="Arial" w:eastAsia="Arial" w:hAnsi="Arial"/>
          <w:sz w:val="20"/>
          <w:szCs w:val="20"/>
          <w:color w:val="2A2A2A"/>
        </w:rPr>
        <w:t>For each of these executive officers, except Messrs. Ilan and Templeton, the committee set the 2023 base-salary rate listed above in January 2023. In keeping with its strategy, the committee targeted the annual base-salary rates to be at the estimated median level of salaries expected to be paid to similarly situated executives (considering job scope and tenure) of companies within the Comparator Group in January 2023.</w:t>
      </w:r>
    </w:p>
    <w:p>
      <w:pPr>
        <w:spacing w:after="0" w:line="196" w:lineRule="exact"/>
        <w:rPr>
          <w:sz w:val="20"/>
          <w:szCs w:val="20"/>
          <w:color w:val="auto"/>
        </w:rPr>
      </w:pPr>
    </w:p>
    <w:p>
      <w:pPr>
        <w:ind w:left="1" w:right="580"/>
        <w:spacing w:after="0" w:line="268" w:lineRule="auto"/>
        <w:rPr>
          <w:sz w:val="20"/>
          <w:szCs w:val="20"/>
          <w:color w:val="auto"/>
        </w:rPr>
      </w:pPr>
      <w:r>
        <w:rPr>
          <w:rFonts w:ascii="Arial" w:cs="Arial" w:eastAsia="Arial" w:hAnsi="Arial"/>
          <w:sz w:val="20"/>
          <w:szCs w:val="20"/>
          <w:color w:val="2A2A2A"/>
        </w:rPr>
        <w:t>The salary differences between the named executive officers were driven primarily by the market rate of pay (considering job scope and tenure) for each officer and not the application of a formula designed to maintain a differential between the officers.</w:t>
      </w:r>
    </w:p>
    <w:p>
      <w:pPr>
        <w:sectPr>
          <w:pgSz w:w="12240" w:h="15840" w:orient="portrait"/>
          <w:cols w:equalWidth="0" w:num="1">
            <w:col w:w="10281"/>
          </w:cols>
          <w:pgMar w:left="979" w:top="660"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34</w:t>
      </w:r>
    </w:p>
    <w:p>
      <w:pPr>
        <w:sectPr>
          <w:pgSz w:w="12240" w:h="15840" w:orient="portrait"/>
          <w:cols w:equalWidth="0" w:num="1">
            <w:col w:w="10281"/>
          </w:cols>
          <w:pgMar w:left="979" w:top="660" w:right="980" w:bottom="33" w:gutter="0" w:footer="0" w:header="0"/>
          <w:type w:val="continuous"/>
        </w:sectPr>
      </w:pPr>
    </w:p>
    <w:bookmarkStart w:id="106" w:name="page107"/>
    <w:bookmarkEnd w:id="106"/>
    <w:p>
      <w:pPr>
        <w:ind w:left="1"/>
        <w:spacing w:after="0"/>
        <w:rPr>
          <w:sz w:val="20"/>
          <w:szCs w:val="20"/>
          <w:color w:val="auto"/>
        </w:rPr>
      </w:pPr>
      <w:r>
        <w:rPr>
          <w:rFonts w:ascii="Arial" w:cs="Arial" w:eastAsia="Arial" w:hAnsi="Arial"/>
          <w:sz w:val="20"/>
          <w:szCs w:val="20"/>
          <w:i w:val="1"/>
          <w:iCs w:val="1"/>
          <w:u w:val="single" w:color="auto"/>
          <w:color w:val="2A2A2A"/>
        </w:rPr>
        <w:t>Equity compensation</w:t>
      </w:r>
    </w:p>
    <w:p>
      <w:pPr>
        <w:spacing w:after="0" w:line="28" w:lineRule="exact"/>
        <w:rPr>
          <w:sz w:val="20"/>
          <w:szCs w:val="20"/>
          <w:color w:val="auto"/>
        </w:rPr>
      </w:pPr>
    </w:p>
    <w:p>
      <w:pPr>
        <w:ind w:left="1" w:right="100"/>
        <w:spacing w:after="0" w:line="254" w:lineRule="auto"/>
        <w:rPr>
          <w:sz w:val="20"/>
          <w:szCs w:val="20"/>
          <w:color w:val="auto"/>
        </w:rPr>
      </w:pPr>
      <w:r>
        <w:rPr>
          <w:rFonts w:ascii="Arial" w:cs="Arial" w:eastAsia="Arial" w:hAnsi="Arial"/>
          <w:sz w:val="20"/>
          <w:szCs w:val="20"/>
          <w:color w:val="2A2A2A"/>
        </w:rPr>
        <w:t>In January 2023, the committee awarded equity compensation to each of the named executive officers listed below. The grants are shown in the table under “Grants of plan-based awards in 2023.” The grant date fair value of the awards is reflected in that table and in the “Stock Awards” and “Option Awards” columns of the 2023 summary compensation table. The table below is provided to assist the reader in comparing the grant date fair values and number of shares for each of the years shown in the summary compensation table.</w:t>
      </w:r>
    </w:p>
    <w:p>
      <w:pPr>
        <w:spacing w:after="0" w:line="55"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jc w:val="center"/>
              <w:ind w:left="43"/>
              <w:spacing w:after="0"/>
              <w:rPr>
                <w:sz w:val="20"/>
                <w:szCs w:val="20"/>
                <w:color w:val="auto"/>
              </w:rPr>
            </w:pPr>
            <w:r>
              <w:rPr>
                <w:rFonts w:ascii="Arial" w:cs="Arial" w:eastAsia="Arial" w:hAnsi="Arial"/>
                <w:sz w:val="16"/>
                <w:szCs w:val="16"/>
                <w:b w:val="1"/>
                <w:bCs w:val="1"/>
                <w:color w:val="2A2A2A"/>
                <w:w w:val="99"/>
              </w:rPr>
              <w:t>Restricted</w:t>
            </w:r>
          </w:p>
        </w:tc>
      </w:tr>
      <w:tr>
        <w:trPr>
          <w:trHeight w:val="192"/>
        </w:trPr>
        <w:tc>
          <w:tcPr>
            <w:tcW w:w="3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jc w:val="right"/>
              <w:ind w:right="302"/>
              <w:spacing w:after="0"/>
              <w:rPr>
                <w:sz w:val="20"/>
                <w:szCs w:val="20"/>
                <w:color w:val="auto"/>
              </w:rPr>
            </w:pPr>
            <w:r>
              <w:rPr>
                <w:rFonts w:ascii="Arial" w:cs="Arial" w:eastAsia="Arial" w:hAnsi="Arial"/>
                <w:sz w:val="16"/>
                <w:szCs w:val="16"/>
                <w:b w:val="1"/>
                <w:bCs w:val="1"/>
                <w:color w:val="2A2A2A"/>
              </w:rPr>
              <w:t>Grant Date</w:t>
            </w:r>
          </w:p>
        </w:tc>
        <w:tc>
          <w:tcPr>
            <w:tcW w:w="1640" w:type="dxa"/>
            <w:vAlign w:val="bottom"/>
          </w:tcPr>
          <w:p>
            <w:pPr>
              <w:jc w:val="right"/>
              <w:ind w:right="202"/>
              <w:spacing w:after="0"/>
              <w:rPr>
                <w:sz w:val="20"/>
                <w:szCs w:val="20"/>
                <w:color w:val="auto"/>
              </w:rPr>
            </w:pPr>
            <w:r>
              <w:rPr>
                <w:rFonts w:ascii="Arial" w:cs="Arial" w:eastAsia="Arial" w:hAnsi="Arial"/>
                <w:sz w:val="16"/>
                <w:szCs w:val="16"/>
                <w:b w:val="1"/>
                <w:bCs w:val="1"/>
                <w:color w:val="2A2A2A"/>
              </w:rPr>
              <w:t>Stock Options</w:t>
            </w:r>
          </w:p>
        </w:tc>
        <w:tc>
          <w:tcPr>
            <w:tcW w:w="1320" w:type="dxa"/>
            <w:vAlign w:val="bottom"/>
          </w:tcPr>
          <w:p>
            <w:pPr>
              <w:jc w:val="center"/>
              <w:ind w:left="23"/>
              <w:spacing w:after="0"/>
              <w:rPr>
                <w:sz w:val="20"/>
                <w:szCs w:val="20"/>
                <w:color w:val="auto"/>
              </w:rPr>
            </w:pPr>
            <w:r>
              <w:rPr>
                <w:rFonts w:ascii="Arial" w:cs="Arial" w:eastAsia="Arial" w:hAnsi="Arial"/>
                <w:sz w:val="16"/>
                <w:szCs w:val="16"/>
                <w:b w:val="1"/>
                <w:bCs w:val="1"/>
                <w:color w:val="2A2A2A"/>
                <w:w w:val="99"/>
              </w:rPr>
              <w:t>Stock Units</w:t>
            </w:r>
          </w:p>
        </w:tc>
      </w:tr>
      <w:tr>
        <w:trPr>
          <w:trHeight w:val="219"/>
        </w:trPr>
        <w:tc>
          <w:tcPr>
            <w:tcW w:w="328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Officer</w:t>
            </w:r>
          </w:p>
        </w:tc>
        <w:tc>
          <w:tcPr>
            <w:tcW w:w="2200" w:type="dxa"/>
            <w:vAlign w:val="bottom"/>
            <w:tcBorders>
              <w:bottom w:val="single" w:sz="8" w:color="2A2A2A"/>
            </w:tcBorders>
          </w:tcPr>
          <w:p>
            <w:pPr>
              <w:jc w:val="center"/>
              <w:ind w:left="781"/>
              <w:spacing w:after="0"/>
              <w:rPr>
                <w:sz w:val="20"/>
                <w:szCs w:val="20"/>
                <w:color w:val="auto"/>
              </w:rPr>
            </w:pPr>
            <w:r>
              <w:rPr>
                <w:rFonts w:ascii="Arial" w:cs="Arial" w:eastAsia="Arial" w:hAnsi="Arial"/>
                <w:sz w:val="16"/>
                <w:szCs w:val="16"/>
                <w:b w:val="1"/>
                <w:bCs w:val="1"/>
                <w:color w:val="2A2A2A"/>
              </w:rPr>
              <w:t>Year</w:t>
            </w:r>
          </w:p>
        </w:tc>
        <w:tc>
          <w:tcPr>
            <w:tcW w:w="560" w:type="dxa"/>
            <w:vAlign w:val="bottom"/>
            <w:tcBorders>
              <w:bottom w:val="single" w:sz="8" w:color="2A2A2A"/>
            </w:tcBorders>
          </w:tcPr>
          <w:p>
            <w:pPr>
              <w:spacing w:after="0"/>
              <w:rPr>
                <w:sz w:val="19"/>
                <w:szCs w:val="19"/>
                <w:color w:val="auto"/>
              </w:rPr>
            </w:pPr>
          </w:p>
        </w:tc>
        <w:tc>
          <w:tcPr>
            <w:tcW w:w="1280" w:type="dxa"/>
            <w:vAlign w:val="bottom"/>
            <w:tcBorders>
              <w:bottom w:val="single" w:sz="8" w:color="2A2A2A"/>
            </w:tcBorders>
          </w:tcPr>
          <w:p>
            <w:pPr>
              <w:jc w:val="right"/>
              <w:ind w:right="282"/>
              <w:spacing w:after="0"/>
              <w:rPr>
                <w:sz w:val="20"/>
                <w:szCs w:val="20"/>
                <w:color w:val="auto"/>
              </w:rPr>
            </w:pPr>
            <w:r>
              <w:rPr>
                <w:rFonts w:ascii="Arial" w:cs="Arial" w:eastAsia="Arial" w:hAnsi="Arial"/>
                <w:sz w:val="16"/>
                <w:szCs w:val="16"/>
                <w:b w:val="1"/>
                <w:bCs w:val="1"/>
                <w:color w:val="2A2A2A"/>
              </w:rPr>
              <w:t>Fair Value *</w:t>
            </w:r>
          </w:p>
        </w:tc>
        <w:tc>
          <w:tcPr>
            <w:tcW w:w="1640" w:type="dxa"/>
            <w:vAlign w:val="bottom"/>
            <w:tcBorders>
              <w:bottom w:val="single" w:sz="8" w:color="2A2A2A"/>
            </w:tcBorders>
          </w:tcPr>
          <w:p>
            <w:pPr>
              <w:jc w:val="right"/>
              <w:ind w:right="422"/>
              <w:spacing w:after="0"/>
              <w:rPr>
                <w:sz w:val="20"/>
                <w:szCs w:val="20"/>
                <w:color w:val="auto"/>
              </w:rPr>
            </w:pPr>
            <w:r>
              <w:rPr>
                <w:rFonts w:ascii="Arial" w:cs="Arial" w:eastAsia="Arial" w:hAnsi="Arial"/>
                <w:sz w:val="16"/>
                <w:szCs w:val="16"/>
                <w:b w:val="1"/>
                <w:bCs w:val="1"/>
                <w:color w:val="2A2A2A"/>
              </w:rPr>
              <w:t>(Shares)</w:t>
            </w:r>
          </w:p>
        </w:tc>
        <w:tc>
          <w:tcPr>
            <w:tcW w:w="1320" w:type="dxa"/>
            <w:vAlign w:val="bottom"/>
            <w:tcBorders>
              <w:bottom w:val="single" w:sz="8" w:color="2A2A2A"/>
            </w:tcBorders>
          </w:tcPr>
          <w:p>
            <w:pPr>
              <w:jc w:val="center"/>
              <w:ind w:left="23"/>
              <w:spacing w:after="0"/>
              <w:rPr>
                <w:sz w:val="20"/>
                <w:szCs w:val="20"/>
                <w:color w:val="auto"/>
              </w:rPr>
            </w:pPr>
            <w:r>
              <w:rPr>
                <w:rFonts w:ascii="Arial" w:cs="Arial" w:eastAsia="Arial" w:hAnsi="Arial"/>
                <w:sz w:val="16"/>
                <w:szCs w:val="16"/>
                <w:b w:val="1"/>
                <w:bCs w:val="1"/>
                <w:color w:val="2A2A2A"/>
                <w:w w:val="99"/>
              </w:rPr>
              <w:t>(Shares)</w:t>
            </w:r>
          </w:p>
        </w:tc>
      </w:tr>
      <w:tr>
        <w:trPr>
          <w:trHeight w:val="270"/>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12,000,009</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129,560</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34,463</w:t>
            </w:r>
          </w:p>
        </w:tc>
      </w:tr>
      <w:tr>
        <w:trPr>
          <w:trHeight w:val="283"/>
        </w:trPr>
        <w:tc>
          <w:tcPr>
            <w:tcW w:w="3280" w:type="dxa"/>
            <w:vAlign w:val="bottom"/>
          </w:tcPr>
          <w:p>
            <w:pPr>
              <w:spacing w:after="0"/>
              <w:rPr>
                <w:sz w:val="24"/>
                <w:szCs w:val="24"/>
                <w:color w:val="auto"/>
              </w:rPr>
            </w:pPr>
          </w:p>
        </w:tc>
        <w:tc>
          <w:tcPr>
            <w:tcW w:w="2200" w:type="dxa"/>
            <w:vAlign w:val="bottom"/>
          </w:tcPr>
          <w:p>
            <w:pPr>
              <w:jc w:val="center"/>
              <w:ind w:left="781"/>
              <w:spacing w:after="0"/>
              <w:rPr>
                <w:sz w:val="20"/>
                <w:szCs w:val="20"/>
                <w:color w:val="auto"/>
              </w:rPr>
            </w:pPr>
            <w:r>
              <w:rPr>
                <w:rFonts w:ascii="Arial" w:cs="Arial" w:eastAsia="Arial" w:hAnsi="Arial"/>
                <w:sz w:val="20"/>
                <w:szCs w:val="20"/>
                <w:color w:val="2A2A2A"/>
                <w:w w:val="98"/>
              </w:rPr>
              <w:t>2022</w:t>
            </w:r>
          </w:p>
        </w:tc>
        <w:tc>
          <w:tcPr>
            <w:tcW w:w="560" w:type="dxa"/>
            <w:vAlign w:val="bottom"/>
          </w:tcPr>
          <w:p>
            <w:pPr>
              <w:jc w:val="right"/>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142"/>
              <w:spacing w:after="0"/>
              <w:rPr>
                <w:sz w:val="20"/>
                <w:szCs w:val="20"/>
                <w:color w:val="auto"/>
              </w:rPr>
            </w:pPr>
            <w:r>
              <w:rPr>
                <w:rFonts w:ascii="Arial" w:cs="Arial" w:eastAsia="Arial" w:hAnsi="Arial"/>
                <w:sz w:val="20"/>
                <w:szCs w:val="20"/>
                <w:color w:val="2A2A2A"/>
              </w:rPr>
              <w:t>9,000,162</w:t>
            </w:r>
          </w:p>
        </w:tc>
        <w:tc>
          <w:tcPr>
            <w:tcW w:w="1640" w:type="dxa"/>
            <w:vAlign w:val="bottom"/>
          </w:tcPr>
          <w:p>
            <w:pPr>
              <w:jc w:val="right"/>
              <w:ind w:right="342"/>
              <w:spacing w:after="0"/>
              <w:rPr>
                <w:sz w:val="20"/>
                <w:szCs w:val="20"/>
                <w:color w:val="auto"/>
              </w:rPr>
            </w:pPr>
            <w:r>
              <w:rPr>
                <w:rFonts w:ascii="Arial" w:cs="Arial" w:eastAsia="Arial" w:hAnsi="Arial"/>
                <w:sz w:val="20"/>
                <w:szCs w:val="20"/>
                <w:color w:val="2A2A2A"/>
              </w:rPr>
              <w:t>113,054</w:t>
            </w:r>
          </w:p>
        </w:tc>
        <w:tc>
          <w:tcPr>
            <w:tcW w:w="1320" w:type="dxa"/>
            <w:vAlign w:val="bottom"/>
          </w:tcPr>
          <w:p>
            <w:pPr>
              <w:jc w:val="right"/>
              <w:ind w:right="163"/>
              <w:spacing w:after="0"/>
              <w:rPr>
                <w:sz w:val="20"/>
                <w:szCs w:val="20"/>
                <w:color w:val="auto"/>
              </w:rPr>
            </w:pPr>
            <w:r>
              <w:rPr>
                <w:rFonts w:ascii="Arial" w:cs="Arial" w:eastAsia="Arial" w:hAnsi="Arial"/>
                <w:sz w:val="20"/>
                <w:szCs w:val="20"/>
                <w:color w:val="2A2A2A"/>
              </w:rPr>
              <w:t>25,743</w:t>
            </w:r>
          </w:p>
        </w:tc>
      </w:tr>
      <w:tr>
        <w:trPr>
          <w:trHeight w:val="287"/>
        </w:trPr>
        <w:tc>
          <w:tcPr>
            <w:tcW w:w="3280" w:type="dxa"/>
            <w:vAlign w:val="bottom"/>
            <w:shd w:val="clear" w:color="auto" w:fill="D7D7D7"/>
          </w:tcPr>
          <w:p>
            <w:pPr>
              <w:spacing w:after="0"/>
              <w:rPr>
                <w:sz w:val="24"/>
                <w:szCs w:val="24"/>
                <w:color w:val="auto"/>
              </w:rPr>
            </w:pP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2021</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7,000,036</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85,996</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20,682</w:t>
            </w:r>
          </w:p>
        </w:tc>
      </w:tr>
      <w:tr>
        <w:trPr>
          <w:trHeight w:val="285"/>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Richard K. Templeton</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17,500,109</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188,942</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50,259</w:t>
            </w:r>
          </w:p>
        </w:tc>
      </w:tr>
      <w:tr>
        <w:trPr>
          <w:trHeight w:val="283"/>
        </w:trPr>
        <w:tc>
          <w:tcPr>
            <w:tcW w:w="3280" w:type="dxa"/>
            <w:vAlign w:val="bottom"/>
          </w:tcPr>
          <w:p>
            <w:pPr>
              <w:spacing w:after="0"/>
              <w:rPr>
                <w:sz w:val="24"/>
                <w:szCs w:val="24"/>
                <w:color w:val="auto"/>
              </w:rPr>
            </w:pPr>
          </w:p>
        </w:tc>
        <w:tc>
          <w:tcPr>
            <w:tcW w:w="2200" w:type="dxa"/>
            <w:vAlign w:val="bottom"/>
          </w:tcPr>
          <w:p>
            <w:pPr>
              <w:jc w:val="center"/>
              <w:ind w:left="781"/>
              <w:spacing w:after="0"/>
              <w:rPr>
                <w:sz w:val="20"/>
                <w:szCs w:val="20"/>
                <w:color w:val="auto"/>
              </w:rPr>
            </w:pPr>
            <w:r>
              <w:rPr>
                <w:rFonts w:ascii="Arial" w:cs="Arial" w:eastAsia="Arial" w:hAnsi="Arial"/>
                <w:sz w:val="20"/>
                <w:szCs w:val="20"/>
                <w:color w:val="2A2A2A"/>
                <w:w w:val="98"/>
              </w:rPr>
              <w:t>2022</w:t>
            </w:r>
          </w:p>
        </w:tc>
        <w:tc>
          <w:tcPr>
            <w:tcW w:w="560" w:type="dxa"/>
            <w:vAlign w:val="bottom"/>
          </w:tcPr>
          <w:p>
            <w:pPr>
              <w:jc w:val="right"/>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142"/>
              <w:spacing w:after="0"/>
              <w:rPr>
                <w:sz w:val="20"/>
                <w:szCs w:val="20"/>
                <w:color w:val="auto"/>
              </w:rPr>
            </w:pPr>
            <w:r>
              <w:rPr>
                <w:rFonts w:ascii="Arial" w:cs="Arial" w:eastAsia="Arial" w:hAnsi="Arial"/>
                <w:sz w:val="20"/>
                <w:szCs w:val="20"/>
                <w:color w:val="2A2A2A"/>
              </w:rPr>
              <w:t>15,000,082</w:t>
            </w:r>
          </w:p>
        </w:tc>
        <w:tc>
          <w:tcPr>
            <w:tcW w:w="1640" w:type="dxa"/>
            <w:vAlign w:val="bottom"/>
          </w:tcPr>
          <w:p>
            <w:pPr>
              <w:jc w:val="right"/>
              <w:ind w:right="342"/>
              <w:spacing w:after="0"/>
              <w:rPr>
                <w:sz w:val="20"/>
                <w:szCs w:val="20"/>
                <w:color w:val="auto"/>
              </w:rPr>
            </w:pPr>
            <w:r>
              <w:rPr>
                <w:rFonts w:ascii="Arial" w:cs="Arial" w:eastAsia="Arial" w:hAnsi="Arial"/>
                <w:sz w:val="20"/>
                <w:szCs w:val="20"/>
                <w:color w:val="2A2A2A"/>
              </w:rPr>
              <w:t>188,423</w:t>
            </w:r>
          </w:p>
        </w:tc>
        <w:tc>
          <w:tcPr>
            <w:tcW w:w="1320" w:type="dxa"/>
            <w:vAlign w:val="bottom"/>
          </w:tcPr>
          <w:p>
            <w:pPr>
              <w:jc w:val="right"/>
              <w:ind w:right="163"/>
              <w:spacing w:after="0"/>
              <w:rPr>
                <w:sz w:val="20"/>
                <w:szCs w:val="20"/>
                <w:color w:val="auto"/>
              </w:rPr>
            </w:pPr>
            <w:r>
              <w:rPr>
                <w:rFonts w:ascii="Arial" w:cs="Arial" w:eastAsia="Arial" w:hAnsi="Arial"/>
                <w:sz w:val="20"/>
                <w:szCs w:val="20"/>
                <w:color w:val="2A2A2A"/>
              </w:rPr>
              <w:t>42,904</w:t>
            </w:r>
          </w:p>
        </w:tc>
      </w:tr>
      <w:tr>
        <w:trPr>
          <w:trHeight w:val="287"/>
        </w:trPr>
        <w:tc>
          <w:tcPr>
            <w:tcW w:w="3280" w:type="dxa"/>
            <w:vAlign w:val="bottom"/>
            <w:shd w:val="clear" w:color="auto" w:fill="D7D7D7"/>
          </w:tcPr>
          <w:p>
            <w:pPr>
              <w:spacing w:after="0"/>
              <w:rPr>
                <w:sz w:val="24"/>
                <w:szCs w:val="24"/>
                <w:color w:val="auto"/>
              </w:rPr>
            </w:pP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2021</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13,000,129</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159,706</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38,410</w:t>
            </w:r>
          </w:p>
        </w:tc>
      </w:tr>
      <w:tr>
        <w:trPr>
          <w:trHeight w:val="285"/>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4,800,144</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51,824</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13,786</w:t>
            </w:r>
          </w:p>
        </w:tc>
      </w:tr>
      <w:tr>
        <w:trPr>
          <w:trHeight w:val="283"/>
        </w:trPr>
        <w:tc>
          <w:tcPr>
            <w:tcW w:w="3280" w:type="dxa"/>
            <w:vAlign w:val="bottom"/>
          </w:tcPr>
          <w:p>
            <w:pPr>
              <w:spacing w:after="0"/>
              <w:rPr>
                <w:sz w:val="24"/>
                <w:szCs w:val="24"/>
                <w:color w:val="auto"/>
              </w:rPr>
            </w:pPr>
          </w:p>
        </w:tc>
        <w:tc>
          <w:tcPr>
            <w:tcW w:w="2200" w:type="dxa"/>
            <w:vAlign w:val="bottom"/>
          </w:tcPr>
          <w:p>
            <w:pPr>
              <w:jc w:val="center"/>
              <w:ind w:left="781"/>
              <w:spacing w:after="0"/>
              <w:rPr>
                <w:sz w:val="20"/>
                <w:szCs w:val="20"/>
                <w:color w:val="auto"/>
              </w:rPr>
            </w:pPr>
            <w:r>
              <w:rPr>
                <w:rFonts w:ascii="Arial" w:cs="Arial" w:eastAsia="Arial" w:hAnsi="Arial"/>
                <w:sz w:val="20"/>
                <w:szCs w:val="20"/>
                <w:color w:val="2A2A2A"/>
                <w:w w:val="98"/>
              </w:rPr>
              <w:t>2022</w:t>
            </w:r>
          </w:p>
        </w:tc>
        <w:tc>
          <w:tcPr>
            <w:tcW w:w="560" w:type="dxa"/>
            <w:vAlign w:val="bottom"/>
          </w:tcPr>
          <w:p>
            <w:pPr>
              <w:jc w:val="right"/>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142"/>
              <w:spacing w:after="0"/>
              <w:rPr>
                <w:sz w:val="20"/>
                <w:szCs w:val="20"/>
                <w:color w:val="auto"/>
              </w:rPr>
            </w:pPr>
            <w:r>
              <w:rPr>
                <w:rFonts w:ascii="Arial" w:cs="Arial" w:eastAsia="Arial" w:hAnsi="Arial"/>
                <w:sz w:val="20"/>
                <w:szCs w:val="20"/>
                <w:color w:val="2A2A2A"/>
              </w:rPr>
              <w:t>3,800,025</w:t>
            </w:r>
          </w:p>
        </w:tc>
        <w:tc>
          <w:tcPr>
            <w:tcW w:w="1640" w:type="dxa"/>
            <w:vAlign w:val="bottom"/>
          </w:tcPr>
          <w:p>
            <w:pPr>
              <w:jc w:val="right"/>
              <w:ind w:right="342"/>
              <w:spacing w:after="0"/>
              <w:rPr>
                <w:sz w:val="20"/>
                <w:szCs w:val="20"/>
                <w:color w:val="auto"/>
              </w:rPr>
            </w:pPr>
            <w:r>
              <w:rPr>
                <w:rFonts w:ascii="Arial" w:cs="Arial" w:eastAsia="Arial" w:hAnsi="Arial"/>
                <w:sz w:val="20"/>
                <w:szCs w:val="20"/>
                <w:color w:val="2A2A2A"/>
              </w:rPr>
              <w:t>47,734</w:t>
            </w:r>
          </w:p>
        </w:tc>
        <w:tc>
          <w:tcPr>
            <w:tcW w:w="1320" w:type="dxa"/>
            <w:vAlign w:val="bottom"/>
          </w:tcPr>
          <w:p>
            <w:pPr>
              <w:jc w:val="right"/>
              <w:ind w:right="163"/>
              <w:spacing w:after="0"/>
              <w:rPr>
                <w:sz w:val="20"/>
                <w:szCs w:val="20"/>
                <w:color w:val="auto"/>
              </w:rPr>
            </w:pPr>
            <w:r>
              <w:rPr>
                <w:rFonts w:ascii="Arial" w:cs="Arial" w:eastAsia="Arial" w:hAnsi="Arial"/>
                <w:sz w:val="20"/>
                <w:szCs w:val="20"/>
                <w:color w:val="2A2A2A"/>
              </w:rPr>
              <w:t>10,869</w:t>
            </w:r>
          </w:p>
        </w:tc>
      </w:tr>
      <w:tr>
        <w:trPr>
          <w:trHeight w:val="287"/>
        </w:trPr>
        <w:tc>
          <w:tcPr>
            <w:tcW w:w="3280" w:type="dxa"/>
            <w:vAlign w:val="bottom"/>
            <w:shd w:val="clear" w:color="auto" w:fill="D7D7D7"/>
          </w:tcPr>
          <w:p>
            <w:pPr>
              <w:spacing w:after="0"/>
              <w:rPr>
                <w:sz w:val="24"/>
                <w:szCs w:val="24"/>
                <w:color w:val="auto"/>
              </w:rPr>
            </w:pP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2021</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3,300,173</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40,541</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9,751</w:t>
            </w:r>
          </w:p>
        </w:tc>
      </w:tr>
      <w:tr>
        <w:trPr>
          <w:trHeight w:val="285"/>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Hagop H. Kozanian</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5,100,044</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55,063</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14,647</w:t>
            </w:r>
          </w:p>
        </w:tc>
      </w:tr>
      <w:tr>
        <w:trPr>
          <w:trHeight w:val="283"/>
        </w:trPr>
        <w:tc>
          <w:tcPr>
            <w:tcW w:w="3280" w:type="dxa"/>
            <w:vAlign w:val="bottom"/>
          </w:tcPr>
          <w:p>
            <w:pPr>
              <w:spacing w:after="0"/>
              <w:rPr>
                <w:sz w:val="24"/>
                <w:szCs w:val="24"/>
                <w:color w:val="auto"/>
              </w:rPr>
            </w:pPr>
          </w:p>
        </w:tc>
        <w:tc>
          <w:tcPr>
            <w:tcW w:w="2200" w:type="dxa"/>
            <w:vAlign w:val="bottom"/>
          </w:tcPr>
          <w:p>
            <w:pPr>
              <w:jc w:val="center"/>
              <w:ind w:left="781"/>
              <w:spacing w:after="0"/>
              <w:rPr>
                <w:sz w:val="20"/>
                <w:szCs w:val="20"/>
                <w:color w:val="auto"/>
              </w:rPr>
            </w:pPr>
            <w:r>
              <w:rPr>
                <w:rFonts w:ascii="Arial" w:cs="Arial" w:eastAsia="Arial" w:hAnsi="Arial"/>
                <w:sz w:val="20"/>
                <w:szCs w:val="20"/>
                <w:color w:val="2A2A2A"/>
                <w:w w:val="98"/>
              </w:rPr>
              <w:t>2022</w:t>
            </w:r>
          </w:p>
        </w:tc>
        <w:tc>
          <w:tcPr>
            <w:tcW w:w="560" w:type="dxa"/>
            <w:vAlign w:val="bottom"/>
          </w:tcPr>
          <w:p>
            <w:pPr>
              <w:jc w:val="right"/>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142"/>
              <w:spacing w:after="0"/>
              <w:rPr>
                <w:sz w:val="20"/>
                <w:szCs w:val="20"/>
                <w:color w:val="auto"/>
              </w:rPr>
            </w:pPr>
            <w:r>
              <w:rPr>
                <w:rFonts w:ascii="Arial" w:cs="Arial" w:eastAsia="Arial" w:hAnsi="Arial"/>
                <w:sz w:val="20"/>
                <w:szCs w:val="20"/>
                <w:color w:val="2A2A2A"/>
              </w:rPr>
              <w:t>4,400,179</w:t>
            </w:r>
          </w:p>
        </w:tc>
        <w:tc>
          <w:tcPr>
            <w:tcW w:w="1640" w:type="dxa"/>
            <w:vAlign w:val="bottom"/>
          </w:tcPr>
          <w:p>
            <w:pPr>
              <w:jc w:val="right"/>
              <w:ind w:right="342"/>
              <w:spacing w:after="0"/>
              <w:rPr>
                <w:sz w:val="20"/>
                <w:szCs w:val="20"/>
                <w:color w:val="auto"/>
              </w:rPr>
            </w:pPr>
            <w:r>
              <w:rPr>
                <w:rFonts w:ascii="Arial" w:cs="Arial" w:eastAsia="Arial" w:hAnsi="Arial"/>
                <w:sz w:val="20"/>
                <w:szCs w:val="20"/>
                <w:color w:val="2A2A2A"/>
              </w:rPr>
              <w:t>55,271</w:t>
            </w:r>
          </w:p>
        </w:tc>
        <w:tc>
          <w:tcPr>
            <w:tcW w:w="1320" w:type="dxa"/>
            <w:vAlign w:val="bottom"/>
          </w:tcPr>
          <w:p>
            <w:pPr>
              <w:jc w:val="right"/>
              <w:ind w:right="163"/>
              <w:spacing w:after="0"/>
              <w:rPr>
                <w:sz w:val="20"/>
                <w:szCs w:val="20"/>
                <w:color w:val="auto"/>
              </w:rPr>
            </w:pPr>
            <w:r>
              <w:rPr>
                <w:rFonts w:ascii="Arial" w:cs="Arial" w:eastAsia="Arial" w:hAnsi="Arial"/>
                <w:sz w:val="20"/>
                <w:szCs w:val="20"/>
                <w:color w:val="2A2A2A"/>
              </w:rPr>
              <w:t>12,586</w:t>
            </w:r>
          </w:p>
        </w:tc>
      </w:tr>
      <w:tr>
        <w:trPr>
          <w:trHeight w:val="287"/>
        </w:trPr>
        <w:tc>
          <w:tcPr>
            <w:tcW w:w="3280" w:type="dxa"/>
            <w:vAlign w:val="bottom"/>
            <w:shd w:val="clear" w:color="auto" w:fill="D7D7D7"/>
          </w:tcPr>
          <w:p>
            <w:pPr>
              <w:spacing w:after="0"/>
              <w:rPr>
                <w:sz w:val="24"/>
                <w:szCs w:val="24"/>
                <w:color w:val="auto"/>
              </w:rPr>
            </w:pP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2021</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3,800,144</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46,684</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11,228</w:t>
            </w:r>
          </w:p>
        </w:tc>
      </w:tr>
      <w:tr>
        <w:trPr>
          <w:trHeight w:val="285"/>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4,900,125</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52,904</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14,073</w:t>
            </w:r>
          </w:p>
        </w:tc>
      </w:tr>
      <w:tr>
        <w:trPr>
          <w:trHeight w:val="283"/>
        </w:trPr>
        <w:tc>
          <w:tcPr>
            <w:tcW w:w="3280" w:type="dxa"/>
            <w:vAlign w:val="bottom"/>
          </w:tcPr>
          <w:p>
            <w:pPr>
              <w:spacing w:after="0"/>
              <w:rPr>
                <w:sz w:val="24"/>
                <w:szCs w:val="24"/>
                <w:color w:val="auto"/>
              </w:rPr>
            </w:pPr>
          </w:p>
        </w:tc>
        <w:tc>
          <w:tcPr>
            <w:tcW w:w="2200" w:type="dxa"/>
            <w:vAlign w:val="bottom"/>
          </w:tcPr>
          <w:p>
            <w:pPr>
              <w:jc w:val="center"/>
              <w:ind w:left="781"/>
              <w:spacing w:after="0"/>
              <w:rPr>
                <w:sz w:val="20"/>
                <w:szCs w:val="20"/>
                <w:color w:val="auto"/>
              </w:rPr>
            </w:pPr>
            <w:r>
              <w:rPr>
                <w:rFonts w:ascii="Arial" w:cs="Arial" w:eastAsia="Arial" w:hAnsi="Arial"/>
                <w:sz w:val="20"/>
                <w:szCs w:val="20"/>
                <w:color w:val="2A2A2A"/>
                <w:w w:val="98"/>
              </w:rPr>
              <w:t>2022</w:t>
            </w:r>
          </w:p>
        </w:tc>
        <w:tc>
          <w:tcPr>
            <w:tcW w:w="560" w:type="dxa"/>
            <w:vAlign w:val="bottom"/>
          </w:tcPr>
          <w:p>
            <w:pPr>
              <w:jc w:val="right"/>
              <w:spacing w:after="0"/>
              <w:rPr>
                <w:sz w:val="20"/>
                <w:szCs w:val="20"/>
                <w:color w:val="auto"/>
              </w:rPr>
            </w:pPr>
            <w:r>
              <w:rPr>
                <w:rFonts w:ascii="Arial" w:cs="Arial" w:eastAsia="Arial" w:hAnsi="Arial"/>
                <w:sz w:val="20"/>
                <w:szCs w:val="20"/>
                <w:color w:val="2A2A2A"/>
              </w:rPr>
              <w:t>$</w:t>
            </w:r>
          </w:p>
        </w:tc>
        <w:tc>
          <w:tcPr>
            <w:tcW w:w="1280" w:type="dxa"/>
            <w:vAlign w:val="bottom"/>
          </w:tcPr>
          <w:p>
            <w:pPr>
              <w:jc w:val="right"/>
              <w:ind w:right="142"/>
              <w:spacing w:after="0"/>
              <w:rPr>
                <w:sz w:val="20"/>
                <w:szCs w:val="20"/>
                <w:color w:val="auto"/>
              </w:rPr>
            </w:pPr>
            <w:r>
              <w:rPr>
                <w:rFonts w:ascii="Arial" w:cs="Arial" w:eastAsia="Arial" w:hAnsi="Arial"/>
                <w:sz w:val="20"/>
                <w:szCs w:val="20"/>
                <w:color w:val="2A2A2A"/>
              </w:rPr>
              <w:t>4,200,199</w:t>
            </w:r>
          </w:p>
        </w:tc>
        <w:tc>
          <w:tcPr>
            <w:tcW w:w="1640" w:type="dxa"/>
            <w:vAlign w:val="bottom"/>
          </w:tcPr>
          <w:p>
            <w:pPr>
              <w:jc w:val="right"/>
              <w:ind w:right="342"/>
              <w:spacing w:after="0"/>
              <w:rPr>
                <w:sz w:val="20"/>
                <w:szCs w:val="20"/>
                <w:color w:val="auto"/>
              </w:rPr>
            </w:pPr>
            <w:r>
              <w:rPr>
                <w:rFonts w:ascii="Arial" w:cs="Arial" w:eastAsia="Arial" w:hAnsi="Arial"/>
                <w:sz w:val="20"/>
                <w:szCs w:val="20"/>
                <w:color w:val="2A2A2A"/>
              </w:rPr>
              <w:t>52,759</w:t>
            </w:r>
          </w:p>
        </w:tc>
        <w:tc>
          <w:tcPr>
            <w:tcW w:w="1320" w:type="dxa"/>
            <w:vAlign w:val="bottom"/>
          </w:tcPr>
          <w:p>
            <w:pPr>
              <w:jc w:val="right"/>
              <w:ind w:right="163"/>
              <w:spacing w:after="0"/>
              <w:rPr>
                <w:sz w:val="20"/>
                <w:szCs w:val="20"/>
                <w:color w:val="auto"/>
              </w:rPr>
            </w:pPr>
            <w:r>
              <w:rPr>
                <w:rFonts w:ascii="Arial" w:cs="Arial" w:eastAsia="Arial" w:hAnsi="Arial"/>
                <w:sz w:val="20"/>
                <w:szCs w:val="20"/>
                <w:color w:val="2A2A2A"/>
              </w:rPr>
              <w:t>12,014</w:t>
            </w:r>
          </w:p>
        </w:tc>
      </w:tr>
      <w:tr>
        <w:trPr>
          <w:trHeight w:val="287"/>
        </w:trPr>
        <w:tc>
          <w:tcPr>
            <w:tcW w:w="3280" w:type="dxa"/>
            <w:vAlign w:val="bottom"/>
            <w:shd w:val="clear" w:color="auto" w:fill="D7D7D7"/>
          </w:tcPr>
          <w:p>
            <w:pPr>
              <w:spacing w:after="0"/>
              <w:rPr>
                <w:sz w:val="24"/>
                <w:szCs w:val="24"/>
                <w:color w:val="auto"/>
              </w:rPr>
            </w:pP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2021</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3,600,131</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44,227</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10,637</w:t>
            </w:r>
          </w:p>
        </w:tc>
      </w:tr>
      <w:tr>
        <w:trPr>
          <w:trHeight w:val="285"/>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32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Amichai Ron</w:t>
            </w:r>
          </w:p>
        </w:tc>
        <w:tc>
          <w:tcPr>
            <w:tcW w:w="2200" w:type="dxa"/>
            <w:vAlign w:val="bottom"/>
            <w:shd w:val="clear" w:color="auto" w:fill="D7D7D7"/>
          </w:tcPr>
          <w:p>
            <w:pPr>
              <w:jc w:val="center"/>
              <w:ind w:left="781"/>
              <w:spacing w:after="0"/>
              <w:rPr>
                <w:sz w:val="20"/>
                <w:szCs w:val="20"/>
                <w:color w:val="auto"/>
              </w:rPr>
            </w:pPr>
            <w:r>
              <w:rPr>
                <w:rFonts w:ascii="Arial" w:cs="Arial" w:eastAsia="Arial" w:hAnsi="Arial"/>
                <w:sz w:val="20"/>
                <w:szCs w:val="20"/>
                <w:color w:val="2A2A2A"/>
                <w:w w:val="98"/>
              </w:rPr>
              <w:t>2023</w:t>
            </w:r>
          </w:p>
        </w:tc>
        <w:tc>
          <w:tcPr>
            <w:tcW w:w="5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right"/>
              <w:ind w:right="142"/>
              <w:spacing w:after="0"/>
              <w:rPr>
                <w:sz w:val="20"/>
                <w:szCs w:val="20"/>
                <w:color w:val="auto"/>
              </w:rPr>
            </w:pPr>
            <w:r>
              <w:rPr>
                <w:rFonts w:ascii="Arial" w:cs="Arial" w:eastAsia="Arial" w:hAnsi="Arial"/>
                <w:sz w:val="20"/>
                <w:szCs w:val="20"/>
                <w:color w:val="2A2A2A"/>
              </w:rPr>
              <w:t>4,800,144</w:t>
            </w:r>
          </w:p>
        </w:tc>
        <w:tc>
          <w:tcPr>
            <w:tcW w:w="1640" w:type="dxa"/>
            <w:vAlign w:val="bottom"/>
            <w:shd w:val="clear" w:color="auto" w:fill="D7D7D7"/>
          </w:tcPr>
          <w:p>
            <w:pPr>
              <w:jc w:val="right"/>
              <w:ind w:right="342"/>
              <w:spacing w:after="0"/>
              <w:rPr>
                <w:sz w:val="20"/>
                <w:szCs w:val="20"/>
                <w:color w:val="auto"/>
              </w:rPr>
            </w:pPr>
            <w:r>
              <w:rPr>
                <w:rFonts w:ascii="Arial" w:cs="Arial" w:eastAsia="Arial" w:hAnsi="Arial"/>
                <w:sz w:val="20"/>
                <w:szCs w:val="20"/>
                <w:color w:val="2A2A2A"/>
              </w:rPr>
              <w:t>51,824</w:t>
            </w:r>
          </w:p>
        </w:tc>
        <w:tc>
          <w:tcPr>
            <w:tcW w:w="1320" w:type="dxa"/>
            <w:vAlign w:val="bottom"/>
            <w:shd w:val="clear" w:color="auto" w:fill="D7D7D7"/>
          </w:tcPr>
          <w:p>
            <w:pPr>
              <w:jc w:val="right"/>
              <w:ind w:right="163"/>
              <w:spacing w:after="0"/>
              <w:rPr>
                <w:sz w:val="20"/>
                <w:szCs w:val="20"/>
                <w:color w:val="auto"/>
              </w:rPr>
            </w:pPr>
            <w:r>
              <w:rPr>
                <w:rFonts w:ascii="Arial" w:cs="Arial" w:eastAsia="Arial" w:hAnsi="Arial"/>
                <w:sz w:val="20"/>
                <w:szCs w:val="20"/>
                <w:color w:val="2A2A2A"/>
              </w:rPr>
              <w:t>13,786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-3812540</wp:posOffset>
            </wp:positionV>
            <wp:extent cx="25400" cy="382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400" cy="3825875"/>
                    </a:xfrm>
                    <a:prstGeom prst="rect">
                      <a:avLst/>
                    </a:prstGeom>
                    <a:noFill/>
                  </pic:spPr>
                </pic:pic>
              </a:graphicData>
            </a:graphic>
          </wp:anchor>
        </w:drawing>
      </w:r>
    </w:p>
    <w:p>
      <w:pPr>
        <w:spacing w:after="0" w:line="265" w:lineRule="exact"/>
        <w:rPr>
          <w:sz w:val="20"/>
          <w:szCs w:val="20"/>
          <w:color w:val="auto"/>
        </w:rPr>
      </w:pPr>
    </w:p>
    <w:p>
      <w:pPr>
        <w:ind w:left="361" w:right="780" w:hanging="361"/>
        <w:spacing w:after="0" w:line="287" w:lineRule="auto"/>
        <w:tabs>
          <w:tab w:leader="none" w:pos="361" w:val="left"/>
        </w:tabs>
        <w:numPr>
          <w:ilvl w:val="0"/>
          <w:numId w:val="115"/>
        </w:numPr>
        <w:rPr>
          <w:rFonts w:ascii="Arial" w:cs="Arial" w:eastAsia="Arial" w:hAnsi="Arial"/>
          <w:sz w:val="20"/>
          <w:szCs w:val="20"/>
          <w:color w:val="2A2A2A"/>
        </w:rPr>
      </w:pPr>
      <w:r>
        <w:rPr>
          <w:rFonts w:ascii="Arial" w:cs="Arial" w:eastAsia="Arial" w:hAnsi="Arial"/>
          <w:sz w:val="20"/>
          <w:szCs w:val="20"/>
          <w:color w:val="2A2A2A"/>
        </w:rPr>
        <w:t>See Notes 2 and 3 to the summary compensation table for information on how grant date fair value was calculated.</w:t>
      </w:r>
    </w:p>
    <w:p>
      <w:pPr>
        <w:spacing w:after="0" w:line="170"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In January 2023,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96" w:lineRule="exact"/>
        <w:rPr>
          <w:sz w:val="20"/>
          <w:szCs w:val="20"/>
          <w:color w:val="auto"/>
        </w:rPr>
      </w:pPr>
    </w:p>
    <w:p>
      <w:pPr>
        <w:ind w:left="1" w:right="80"/>
        <w:spacing w:after="0" w:line="257" w:lineRule="auto"/>
        <w:rPr>
          <w:sz w:val="20"/>
          <w:szCs w:val="20"/>
          <w:color w:val="auto"/>
        </w:rPr>
      </w:pPr>
      <w:r>
        <w:rPr>
          <w:rFonts w:ascii="Arial" w:cs="Arial" w:eastAsia="Arial" w:hAnsi="Arial"/>
          <w:sz w:val="20"/>
          <w:szCs w:val="20"/>
          <w:color w:val="2A2A2A"/>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Recognizing an increase in equity values among the Comparator Group in 2022, the compensation committee approved an increase in the equity values granted to TI executives in January 2023. The award value was estimated using the same methodology used for financial accounting.</w:t>
      </w:r>
    </w:p>
    <w:p>
      <w:pPr>
        <w:spacing w:after="0" w:line="202" w:lineRule="exact"/>
        <w:rPr>
          <w:sz w:val="20"/>
          <w:szCs w:val="20"/>
          <w:color w:val="auto"/>
        </w:rPr>
      </w:pPr>
    </w:p>
    <w:p>
      <w:pPr>
        <w:ind w:left="1" w:right="140"/>
        <w:spacing w:after="0" w:line="256" w:lineRule="auto"/>
        <w:rPr>
          <w:sz w:val="20"/>
          <w:szCs w:val="20"/>
          <w:color w:val="auto"/>
        </w:rPr>
      </w:pPr>
      <w:r>
        <w:rPr>
          <w:rFonts w:ascii="Arial" w:cs="Arial" w:eastAsia="Arial" w:hAnsi="Arial"/>
          <w:sz w:val="20"/>
          <w:szCs w:val="20"/>
          <w:color w:val="2A2A2A"/>
        </w:rPr>
        <w:t>For each officer, the committee set the desired grant value. The committee decided to allocate the value equally between restricted stock units and options for each officer, to give equal emphasis to promoting retention and performance, motivating the executive and aligning long-term interests with those of shareholders. Restricted stock units have a four-year cliff vest schedule in order to support retention of our executives. Stock options, which only have value when the value of the company increases (as measured by stock price), enhance the performance-orientation of our executive compensation program. Both of these equity awards align with shareholder interests to drive the long-term performance of the company.</w:t>
      </w:r>
    </w:p>
    <w:p>
      <w:pPr>
        <w:sectPr>
          <w:pgSz w:w="12240" w:h="15840" w:orient="portrait"/>
          <w:cols w:equalWidth="0" w:num="1">
            <w:col w:w="10281"/>
          </w:cols>
          <w:pgMar w:left="979" w:top="66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35</w:t>
      </w:r>
    </w:p>
    <w:p>
      <w:pPr>
        <w:sectPr>
          <w:pgSz w:w="12240" w:h="15840" w:orient="portrait"/>
          <w:cols w:equalWidth="0" w:num="1">
            <w:col w:w="10281"/>
          </w:cols>
          <w:pgMar w:left="979" w:top="666" w:right="980" w:bottom="33" w:gutter="0" w:footer="0" w:header="0"/>
          <w:type w:val="continuous"/>
        </w:sectPr>
      </w:pPr>
    </w:p>
    <w:bookmarkStart w:id="107" w:name="page108"/>
    <w:bookmarkEnd w:id="107"/>
    <w:p>
      <w:pPr>
        <w:ind w:right="60"/>
        <w:spacing w:after="0" w:line="268" w:lineRule="auto"/>
        <w:rPr>
          <w:sz w:val="20"/>
          <w:szCs w:val="20"/>
          <w:color w:val="auto"/>
        </w:rPr>
      </w:pPr>
      <w:r>
        <w:rPr>
          <w:rFonts w:ascii="Arial" w:cs="Arial" w:eastAsia="Arial" w:hAnsi="Arial"/>
          <w:sz w:val="20"/>
          <w:szCs w:val="20"/>
          <w:color w:val="2A2A2A"/>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9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2A2A2A"/>
        </w:rPr>
        <w:t>The exercise price of the options was the closing price of TI stock on January 26, 2023, the second trading day after TI released its annual and fourth-quarter financial results for 2022. All grants were made under the Texas Instruments 2009 Long-Term Incentive Plan, which shareholders approved in April 2009 and amended in 2016.</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2A2A2A"/>
        </w:rPr>
        <w:t>All grants have the terms described under “Outstanding equity awards at fiscal year-end 2023.”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Bonus</w:t>
      </w:r>
    </w:p>
    <w:p>
      <w:pPr>
        <w:spacing w:after="0" w:line="28"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2A2A2A"/>
        </w:rPr>
        <w:t>In January 2024, the committee set the 2023 bonus compensation for executive officers based on its assessment of 2023 performance. In setting the bonuses, the committee used the following performance measures to assess the company:</w:t>
      </w:r>
    </w:p>
    <w:p>
      <w:pPr>
        <w:spacing w:after="0" w:line="198" w:lineRule="exact"/>
        <w:rPr>
          <w:sz w:val="20"/>
          <w:szCs w:val="20"/>
          <w:color w:val="auto"/>
        </w:rPr>
      </w:pPr>
    </w:p>
    <w:p>
      <w:pPr>
        <w:ind w:left="720" w:right="760" w:hanging="361"/>
        <w:spacing w:after="0" w:line="281" w:lineRule="auto"/>
        <w:tabs>
          <w:tab w:leader="none" w:pos="720" w:val="left"/>
        </w:tabs>
        <w:numPr>
          <w:ilvl w:val="0"/>
          <w:numId w:val="116"/>
        </w:numPr>
        <w:rPr>
          <w:rFonts w:ascii="Arial" w:cs="Arial" w:eastAsia="Arial" w:hAnsi="Arial"/>
          <w:sz w:val="20"/>
          <w:szCs w:val="20"/>
          <w:color w:val="2A2A2A"/>
        </w:rPr>
      </w:pPr>
      <w:r>
        <w:rPr>
          <w:rFonts w:ascii="Arial" w:cs="Arial" w:eastAsia="Arial" w:hAnsi="Arial"/>
          <w:sz w:val="20"/>
          <w:szCs w:val="20"/>
          <w:color w:val="2A2A2A"/>
        </w:rPr>
        <w:t>The relative one-year and three-year performance of TI as compared with Semiconductor Peers, as measured by</w:t>
      </w:r>
    </w:p>
    <w:p>
      <w:pPr>
        <w:spacing w:after="0" w:line="1" w:lineRule="exact"/>
        <w:rPr>
          <w:rFonts w:ascii="Arial" w:cs="Arial" w:eastAsia="Arial" w:hAnsi="Arial"/>
          <w:sz w:val="20"/>
          <w:szCs w:val="20"/>
          <w:color w:val="2A2A2A"/>
        </w:rPr>
      </w:pPr>
    </w:p>
    <w:p>
      <w:pPr>
        <w:ind w:left="1080" w:hanging="361"/>
        <w:spacing w:after="0"/>
        <w:tabs>
          <w:tab w:leader="none" w:pos="1080" w:val="left"/>
        </w:tabs>
        <w:numPr>
          <w:ilvl w:val="1"/>
          <w:numId w:val="116"/>
        </w:numPr>
        <w:rPr>
          <w:rFonts w:ascii="Arial" w:cs="Arial" w:eastAsia="Arial" w:hAnsi="Arial"/>
          <w:sz w:val="20"/>
          <w:szCs w:val="20"/>
          <w:color w:val="2A2A2A"/>
        </w:rPr>
      </w:pPr>
      <w:r>
        <w:rPr>
          <w:rFonts w:ascii="Arial" w:cs="Arial" w:eastAsia="Arial" w:hAnsi="Arial"/>
          <w:sz w:val="20"/>
          <w:szCs w:val="20"/>
          <w:color w:val="2A2A2A"/>
        </w:rPr>
        <w:t>revenue growth,</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116"/>
        </w:numPr>
        <w:rPr>
          <w:rFonts w:ascii="Arial" w:cs="Arial" w:eastAsia="Arial" w:hAnsi="Arial"/>
          <w:sz w:val="20"/>
          <w:szCs w:val="20"/>
          <w:color w:val="2A2A2A"/>
        </w:rPr>
      </w:pPr>
      <w:r>
        <w:rPr>
          <w:rFonts w:ascii="Arial" w:cs="Arial" w:eastAsia="Arial" w:hAnsi="Arial"/>
          <w:sz w:val="20"/>
          <w:szCs w:val="20"/>
          <w:color w:val="2A2A2A"/>
        </w:rPr>
        <w:t>operating profit margin,</w:t>
      </w:r>
    </w:p>
    <w:p>
      <w:pPr>
        <w:spacing w:after="0" w:line="70" w:lineRule="exact"/>
        <w:rPr>
          <w:rFonts w:ascii="Arial" w:cs="Arial" w:eastAsia="Arial" w:hAnsi="Arial"/>
          <w:sz w:val="20"/>
          <w:szCs w:val="20"/>
          <w:color w:val="2A2A2A"/>
        </w:rPr>
      </w:pPr>
    </w:p>
    <w:p>
      <w:pPr>
        <w:ind w:left="1080" w:hanging="361"/>
        <w:spacing w:after="0"/>
        <w:tabs>
          <w:tab w:leader="none" w:pos="1080" w:val="left"/>
        </w:tabs>
        <w:numPr>
          <w:ilvl w:val="1"/>
          <w:numId w:val="116"/>
        </w:numPr>
        <w:rPr>
          <w:rFonts w:ascii="Arial" w:cs="Arial" w:eastAsia="Arial" w:hAnsi="Arial"/>
          <w:sz w:val="20"/>
          <w:szCs w:val="20"/>
          <w:color w:val="2A2A2A"/>
        </w:rPr>
      </w:pPr>
      <w:r>
        <w:rPr>
          <w:rFonts w:ascii="Arial" w:cs="Arial" w:eastAsia="Arial" w:hAnsi="Arial"/>
          <w:sz w:val="20"/>
          <w:szCs w:val="20"/>
          <w:color w:val="2A2A2A"/>
        </w:rPr>
        <w:t>total shareholder return, and</w:t>
      </w:r>
    </w:p>
    <w:p>
      <w:pPr>
        <w:spacing w:after="0" w:line="70" w:lineRule="exact"/>
        <w:rPr>
          <w:rFonts w:ascii="Arial" w:cs="Arial" w:eastAsia="Arial" w:hAnsi="Arial"/>
          <w:sz w:val="20"/>
          <w:szCs w:val="20"/>
          <w:color w:val="2A2A2A"/>
        </w:rPr>
      </w:pPr>
    </w:p>
    <w:p>
      <w:pPr>
        <w:ind w:left="720" w:hanging="361"/>
        <w:spacing w:after="0"/>
        <w:tabs>
          <w:tab w:leader="none" w:pos="720" w:val="left"/>
        </w:tabs>
        <w:numPr>
          <w:ilvl w:val="0"/>
          <w:numId w:val="116"/>
        </w:numPr>
        <w:rPr>
          <w:rFonts w:ascii="Arial" w:cs="Arial" w:eastAsia="Arial" w:hAnsi="Arial"/>
          <w:sz w:val="20"/>
          <w:szCs w:val="20"/>
          <w:color w:val="2A2A2A"/>
        </w:rPr>
      </w:pPr>
      <w:r>
        <w:rPr>
          <w:rFonts w:ascii="Arial" w:cs="Arial" w:eastAsia="Arial" w:hAnsi="Arial"/>
          <w:sz w:val="20"/>
          <w:szCs w:val="20"/>
          <w:color w:val="2A2A2A"/>
        </w:rPr>
        <w:t>The absolute one-year and three-year performance of TI on the above measures.</w:t>
      </w:r>
    </w:p>
    <w:p>
      <w:pPr>
        <w:spacing w:after="0" w:line="70" w:lineRule="exact"/>
        <w:rPr>
          <w:rFonts w:ascii="Arial" w:cs="Arial" w:eastAsia="Arial" w:hAnsi="Arial"/>
          <w:sz w:val="20"/>
          <w:szCs w:val="20"/>
          <w:color w:val="2A2A2A"/>
        </w:rPr>
      </w:pPr>
    </w:p>
    <w:p>
      <w:pPr>
        <w:ind w:left="720" w:right="180" w:hanging="361"/>
        <w:spacing w:after="0" w:line="268" w:lineRule="auto"/>
        <w:tabs>
          <w:tab w:leader="none" w:pos="720" w:val="left"/>
        </w:tabs>
        <w:numPr>
          <w:ilvl w:val="0"/>
          <w:numId w:val="116"/>
        </w:numPr>
        <w:rPr>
          <w:rFonts w:ascii="Arial" w:cs="Arial" w:eastAsia="Arial" w:hAnsi="Arial"/>
          <w:sz w:val="20"/>
          <w:szCs w:val="20"/>
          <w:color w:val="2A2A2A"/>
        </w:rPr>
      </w:pPr>
      <w:r>
        <w:rPr>
          <w:rFonts w:ascii="Arial" w:cs="Arial" w:eastAsia="Arial" w:hAnsi="Arial"/>
          <w:sz w:val="20"/>
          <w:szCs w:val="20"/>
          <w:color w:val="2A2A2A"/>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190" w:lineRule="exact"/>
        <w:rPr>
          <w:sz w:val="20"/>
          <w:szCs w:val="20"/>
          <w:color w:val="auto"/>
        </w:rPr>
      </w:pPr>
    </w:p>
    <w:p>
      <w:pPr>
        <w:jc w:val="both"/>
        <w:ind w:right="120"/>
        <w:spacing w:after="0" w:line="268" w:lineRule="auto"/>
        <w:rPr>
          <w:sz w:val="20"/>
          <w:szCs w:val="20"/>
          <w:color w:val="auto"/>
        </w:rPr>
      </w:pPr>
      <w:r>
        <w:rPr>
          <w:rFonts w:ascii="Arial" w:cs="Arial" w:eastAsia="Arial" w:hAnsi="Arial"/>
          <w:sz w:val="20"/>
          <w:szCs w:val="20"/>
          <w:color w:val="2A2A2A"/>
        </w:rPr>
        <w:t>The committee has consistently utilized these measures and believes its holistic approach to evaluation gives it the insight to most effectively and critically judge results and encourages executives to pursue strategies that serve the long-term interests of the company and its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In the comparison of relative performance, the committee used the following companies (the “Semiconductor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2A2A2A"/>
        </w:rPr>
        <w:t>Peers”):</w:t>
      </w:r>
    </w:p>
    <w:p>
      <w:pPr>
        <w:spacing w:after="0" w:line="286"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Advanced Micro Devices, Inc.</w:t>
      </w:r>
      <w:r>
        <w:rPr>
          <w:sz w:val="20"/>
          <w:szCs w:val="20"/>
          <w:color w:val="auto"/>
        </w:rPr>
        <w:tab/>
      </w:r>
      <w:r>
        <w:rPr>
          <w:rFonts w:ascii="Arial" w:cs="Arial" w:eastAsia="Arial" w:hAnsi="Arial"/>
          <w:sz w:val="19"/>
          <w:szCs w:val="19"/>
          <w:color w:val="2A2A2A"/>
        </w:rPr>
        <w:t>NXP Semiconductors N.V.</w:t>
      </w:r>
    </w:p>
    <w:p>
      <w:pPr>
        <w:spacing w:after="0" w:line="3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Analog Devices, Inc.</w:t>
      </w:r>
      <w:r>
        <w:rPr>
          <w:sz w:val="20"/>
          <w:szCs w:val="20"/>
          <w:color w:val="auto"/>
        </w:rPr>
        <w:tab/>
      </w:r>
      <w:r>
        <w:rPr>
          <w:rFonts w:ascii="Arial" w:cs="Arial" w:eastAsia="Arial" w:hAnsi="Arial"/>
          <w:sz w:val="19"/>
          <w:szCs w:val="19"/>
          <w:color w:val="2A2A2A"/>
        </w:rPr>
        <w:t>ON Semiconductor Corporation</w:t>
      </w:r>
    </w:p>
    <w:p>
      <w:pPr>
        <w:spacing w:after="0" w:line="2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Broadcom Inc.</w:t>
      </w:r>
      <w:r>
        <w:rPr>
          <w:sz w:val="20"/>
          <w:szCs w:val="20"/>
          <w:color w:val="auto"/>
        </w:rPr>
        <w:tab/>
      </w:r>
      <w:r>
        <w:rPr>
          <w:rFonts w:ascii="Arial" w:cs="Arial" w:eastAsia="Arial" w:hAnsi="Arial"/>
          <w:sz w:val="20"/>
          <w:szCs w:val="20"/>
          <w:color w:val="2A2A2A"/>
        </w:rPr>
        <w:t>Qorvo, Inc.</w:t>
      </w:r>
    </w:p>
    <w:p>
      <w:pPr>
        <w:spacing w:after="0" w:line="2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Infineon Technologies AG</w:t>
      </w:r>
      <w:r>
        <w:rPr>
          <w:sz w:val="20"/>
          <w:szCs w:val="20"/>
          <w:color w:val="auto"/>
        </w:rPr>
        <w:tab/>
      </w:r>
      <w:r>
        <w:rPr>
          <w:rFonts w:ascii="Arial" w:cs="Arial" w:eastAsia="Arial" w:hAnsi="Arial"/>
          <w:sz w:val="20"/>
          <w:szCs w:val="20"/>
          <w:color w:val="2A2A2A"/>
        </w:rPr>
        <w:t>QUALCOMM Incorporated</w:t>
      </w:r>
    </w:p>
    <w:p>
      <w:pPr>
        <w:spacing w:after="0" w:line="2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Intel Corporation</w:t>
      </w:r>
      <w:r>
        <w:rPr>
          <w:sz w:val="20"/>
          <w:szCs w:val="20"/>
          <w:color w:val="auto"/>
        </w:rPr>
        <w:tab/>
      </w:r>
      <w:r>
        <w:rPr>
          <w:rFonts w:ascii="Arial" w:cs="Arial" w:eastAsia="Arial" w:hAnsi="Arial"/>
          <w:sz w:val="19"/>
          <w:szCs w:val="19"/>
          <w:color w:val="2A2A2A"/>
        </w:rPr>
        <w:t>Renesas Electronics Corporation</w:t>
      </w:r>
    </w:p>
    <w:p>
      <w:pPr>
        <w:spacing w:after="0" w:line="2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Marvell Technology Group Ltd.</w:t>
      </w:r>
      <w:r>
        <w:rPr>
          <w:sz w:val="20"/>
          <w:szCs w:val="20"/>
          <w:color w:val="auto"/>
        </w:rPr>
        <w:tab/>
      </w:r>
      <w:r>
        <w:rPr>
          <w:rFonts w:ascii="Arial" w:cs="Arial" w:eastAsia="Arial" w:hAnsi="Arial"/>
          <w:sz w:val="19"/>
          <w:szCs w:val="19"/>
          <w:color w:val="2A2A2A"/>
        </w:rPr>
        <w:t>Skyworks Solutions, Inc.</w:t>
      </w:r>
    </w:p>
    <w:p>
      <w:pPr>
        <w:spacing w:after="0" w:line="25" w:lineRule="exact"/>
        <w:rPr>
          <w:sz w:val="20"/>
          <w:szCs w:val="20"/>
          <w:color w:val="auto"/>
        </w:rPr>
      </w:pPr>
    </w:p>
    <w:p>
      <w:pPr>
        <w:ind w:left="780"/>
        <w:spacing w:after="0"/>
        <w:tabs>
          <w:tab w:leader="none" w:pos="5600" w:val="left"/>
        </w:tabs>
        <w:rPr>
          <w:sz w:val="20"/>
          <w:szCs w:val="20"/>
          <w:color w:val="auto"/>
        </w:rPr>
      </w:pPr>
      <w:r>
        <w:rPr>
          <w:rFonts w:ascii="Arial" w:cs="Arial" w:eastAsia="Arial" w:hAnsi="Arial"/>
          <w:sz w:val="20"/>
          <w:szCs w:val="20"/>
          <w:color w:val="2A2A2A"/>
        </w:rPr>
        <w:t>Microchip Technology Incorporated</w:t>
      </w:r>
      <w:r>
        <w:rPr>
          <w:sz w:val="20"/>
          <w:szCs w:val="20"/>
          <w:color w:val="auto"/>
        </w:rPr>
        <w:tab/>
      </w:r>
      <w:r>
        <w:rPr>
          <w:rFonts w:ascii="Arial" w:cs="Arial" w:eastAsia="Arial" w:hAnsi="Arial"/>
          <w:sz w:val="19"/>
          <w:szCs w:val="19"/>
          <w:color w:val="2A2A2A"/>
        </w:rPr>
        <w:t>STMicroelectronics N.V.</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20"/>
          <w:szCs w:val="20"/>
          <w:color w:val="2A2A2A"/>
        </w:rPr>
        <w:t>NVIDIA Corporation</w:t>
      </w: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20"/>
          <w:szCs w:val="20"/>
          <w:color w:val="2A2A2A"/>
        </w:rPr>
        <w:t>To the extent the companies had not released financial results for the year or the most recent quarter, the committee based its evaluation on estimates and projections of the companies’ financial results for 2023.</w:t>
      </w:r>
    </w:p>
    <w:p>
      <w:pPr>
        <w:spacing w:after="0" w:line="170" w:lineRule="exact"/>
        <w:rPr>
          <w:sz w:val="20"/>
          <w:szCs w:val="20"/>
          <w:color w:val="auto"/>
        </w:rPr>
      </w:pPr>
    </w:p>
    <w:p>
      <w:pPr>
        <w:ind w:right="480"/>
        <w:spacing w:after="0" w:line="262" w:lineRule="auto"/>
        <w:rPr>
          <w:sz w:val="20"/>
          <w:szCs w:val="20"/>
          <w:color w:val="auto"/>
        </w:rPr>
      </w:pPr>
      <w:r>
        <w:rPr>
          <w:rFonts w:ascii="Arial" w:cs="Arial" w:eastAsia="Arial" w:hAnsi="Arial"/>
          <w:sz w:val="20"/>
          <w:szCs w:val="20"/>
          <w:color w:val="2A2A2A"/>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Semiconductor Peers in 2023.</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36</w:t>
      </w:r>
    </w:p>
    <w:p>
      <w:pPr>
        <w:sectPr>
          <w:pgSz w:w="12240" w:h="15840" w:orient="portrait"/>
          <w:cols w:equalWidth="0" w:num="1">
            <w:col w:w="10260"/>
          </w:cols>
          <w:pgMar w:left="980" w:top="664" w:right="1000" w:bottom="33"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i w:val="1"/>
          <w:iCs w:val="1"/>
          <w:u w:val="single" w:color="auto"/>
          <w:color w:val="2A2A2A"/>
        </w:rPr>
        <w:t>Assessment of 2023 performance</w:t>
      </w: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2A2A2A"/>
        </w:rPr>
        <w:t>The committee spent extensive time in November and January assessing TI’s results and strategic progress for 2023.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Operating profit margin was positive and above median relative to Semiconductor Peers. Revenue declined and relative performance was below median. TSR was up year-on-year, but below median relative to Semiconductor Peers. In aggregate, the committee determined that the company continued to strengthen its strategic position, which will benefit the company and drive value for shareholders for the long term. This strategic progress includes continued investments to extend the company’s manufacturing advantage to support future revenue growth and provide customers with geopolitically dependable, low-cost 300mm capacity at scale. Considering these results holistically, the committee determined bonuses for executive officers should be down 10% year-on-year. Details on the committee’s assessment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147320</wp:posOffset>
            </wp:positionV>
            <wp:extent cx="6321425" cy="10160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21425" cy="1016000"/>
                    </a:xfrm>
                    <a:prstGeom prst="rect">
                      <a:avLst/>
                    </a:prstGeom>
                    <a:noFill/>
                  </pic:spPr>
                </pic:pic>
              </a:graphicData>
            </a:graphic>
          </wp:anchor>
        </w:drawing>
      </w:r>
    </w:p>
    <w:p>
      <w:pPr>
        <w:spacing w:after="0" w:line="207" w:lineRule="exact"/>
        <w:rPr>
          <w:sz w:val="20"/>
          <w:szCs w:val="20"/>
          <w:color w:val="auto"/>
        </w:rPr>
      </w:pPr>
    </w:p>
    <w:tbl>
      <w:tblPr>
        <w:tblLayout w:type="fixed"/>
        <w:tblInd w:w="370" w:type="dxa"/>
        <w:tblCellMar>
          <w:top w:w="0" w:type="dxa"/>
          <w:left w:w="0" w:type="dxa"/>
          <w:bottom w:w="0" w:type="dxa"/>
          <w:right w:w="0" w:type="dxa"/>
        </w:tblCellMar>
      </w:tblPr>
      <w:tr>
        <w:trPr>
          <w:trHeight w:val="278"/>
        </w:trPr>
        <w:tc>
          <w:tcPr>
            <w:tcW w:w="5120" w:type="dxa"/>
            <w:vAlign w:val="bottom"/>
            <w:tcBorders>
              <w:bottom w:val="single" w:sz="8" w:color="2A2A2A"/>
              <w:right w:val="single" w:sz="8" w:color="2A2A2A"/>
            </w:tcBorders>
          </w:tcPr>
          <w:p>
            <w:pPr>
              <w:spacing w:after="0"/>
              <w:rPr>
                <w:sz w:val="24"/>
                <w:szCs w:val="24"/>
                <w:color w:val="auto"/>
              </w:rPr>
            </w:pPr>
          </w:p>
        </w:tc>
        <w:tc>
          <w:tcPr>
            <w:tcW w:w="2420" w:type="dxa"/>
            <w:vAlign w:val="bottom"/>
            <w:tcBorders>
              <w:top w:val="single" w:sz="8" w:color="2A2A2A"/>
              <w:bottom w:val="single" w:sz="8" w:color="2A2A2A"/>
              <w:right w:val="single" w:sz="8" w:color="2A2A2A"/>
            </w:tcBorders>
            <w:shd w:val="clear" w:color="auto" w:fill="D7D7D7"/>
          </w:tcPr>
          <w:p>
            <w:pPr>
              <w:jc w:val="right"/>
              <w:ind w:right="63"/>
              <w:spacing w:after="0"/>
              <w:rPr>
                <w:sz w:val="20"/>
                <w:szCs w:val="20"/>
                <w:color w:val="auto"/>
              </w:rPr>
            </w:pPr>
            <w:r>
              <w:rPr>
                <w:rFonts w:ascii="Arial" w:cs="Arial" w:eastAsia="Arial" w:hAnsi="Arial"/>
                <w:sz w:val="16"/>
                <w:szCs w:val="16"/>
                <w:b w:val="1"/>
                <w:bCs w:val="1"/>
                <w:color w:val="2A2A2A"/>
              </w:rPr>
              <w:t>2023 Absolute Performance</w:t>
            </w:r>
          </w:p>
        </w:tc>
        <w:tc>
          <w:tcPr>
            <w:tcW w:w="2380" w:type="dxa"/>
            <w:vAlign w:val="bottom"/>
            <w:tcBorders>
              <w:top w:val="single" w:sz="8" w:color="2A2A2A"/>
              <w:bottom w:val="single" w:sz="8" w:color="2A2A2A"/>
              <w:right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2023 Relative Performance *</w:t>
            </w:r>
          </w:p>
        </w:tc>
        <w:tc>
          <w:tcPr>
            <w:tcW w:w="0" w:type="dxa"/>
            <w:vAlign w:val="bottom"/>
          </w:tcPr>
          <w:p>
            <w:pPr>
              <w:spacing w:after="0"/>
              <w:rPr>
                <w:sz w:val="1"/>
                <w:szCs w:val="1"/>
                <w:color w:val="auto"/>
              </w:rPr>
            </w:pPr>
          </w:p>
        </w:tc>
      </w:tr>
      <w:tr>
        <w:trPr>
          <w:trHeight w:val="310"/>
        </w:trPr>
        <w:tc>
          <w:tcPr>
            <w:tcW w:w="5120" w:type="dxa"/>
            <w:vAlign w:val="bottom"/>
            <w:tcBorders>
              <w:left w:val="single" w:sz="8" w:color="2A2A2A"/>
              <w:right w:val="single" w:sz="8" w:color="2A2A2A"/>
            </w:tcBorders>
          </w:tcPr>
          <w:p>
            <w:pPr>
              <w:ind w:left="180"/>
              <w:spacing w:after="0"/>
              <w:rPr>
                <w:sz w:val="20"/>
                <w:szCs w:val="20"/>
                <w:color w:val="auto"/>
              </w:rPr>
            </w:pPr>
            <w:r>
              <w:rPr>
                <w:rFonts w:ascii="Arial" w:cs="Arial" w:eastAsia="Arial" w:hAnsi="Arial"/>
                <w:sz w:val="20"/>
                <w:szCs w:val="20"/>
                <w:color w:val="2A2A2A"/>
              </w:rPr>
              <w:t>Revenue Growth: Total TI</w:t>
            </w:r>
          </w:p>
        </w:tc>
        <w:tc>
          <w:tcPr>
            <w:tcW w:w="2420" w:type="dxa"/>
            <w:vAlign w:val="bottom"/>
            <w:tcBorders>
              <w:right w:val="single" w:sz="8" w:color="2A2A2A"/>
            </w:tcBorders>
          </w:tcPr>
          <w:p>
            <w:pPr>
              <w:jc w:val="right"/>
              <w:ind w:right="783"/>
              <w:spacing w:after="0"/>
              <w:rPr>
                <w:sz w:val="20"/>
                <w:szCs w:val="20"/>
                <w:color w:val="auto"/>
              </w:rPr>
            </w:pPr>
            <w:r>
              <w:rPr>
                <w:rFonts w:ascii="Arial" w:cs="Arial" w:eastAsia="Arial" w:hAnsi="Arial"/>
                <w:sz w:val="20"/>
                <w:szCs w:val="20"/>
                <w:color w:val="2A2A2A"/>
              </w:rPr>
              <w:t>-12.5%</w:t>
            </w:r>
          </w:p>
        </w:tc>
        <w:tc>
          <w:tcPr>
            <w:tcW w:w="2380" w:type="dxa"/>
            <w:vAlign w:val="bottom"/>
            <w:tcBorders>
              <w:right w:val="single" w:sz="8" w:color="2A2A2A"/>
            </w:tcBorders>
          </w:tcPr>
          <w:p>
            <w:pPr>
              <w:jc w:val="center"/>
              <w:spacing w:after="0"/>
              <w:rPr>
                <w:sz w:val="20"/>
                <w:szCs w:val="20"/>
                <w:color w:val="auto"/>
              </w:rPr>
            </w:pPr>
            <w:r>
              <w:rPr>
                <w:rFonts w:ascii="Arial" w:cs="Arial" w:eastAsia="Arial" w:hAnsi="Arial"/>
                <w:sz w:val="20"/>
                <w:szCs w:val="20"/>
                <w:color w:val="2A2A2A"/>
                <w:w w:val="98"/>
              </w:rPr>
              <w:t>Below median</w:t>
            </w:r>
          </w:p>
        </w:tc>
        <w:tc>
          <w:tcPr>
            <w:tcW w:w="0" w:type="dxa"/>
            <w:vAlign w:val="bottom"/>
          </w:tcPr>
          <w:p>
            <w:pPr>
              <w:spacing w:after="0"/>
              <w:rPr>
                <w:sz w:val="1"/>
                <w:szCs w:val="1"/>
                <w:color w:val="auto"/>
              </w:rPr>
            </w:pPr>
          </w:p>
        </w:tc>
      </w:tr>
      <w:tr>
        <w:trPr>
          <w:trHeight w:val="37"/>
        </w:trPr>
        <w:tc>
          <w:tcPr>
            <w:tcW w:w="5120" w:type="dxa"/>
            <w:vAlign w:val="bottom"/>
            <w:tcBorders>
              <w:left w:val="single" w:sz="8" w:color="2A2A2A"/>
              <w:bottom w:val="single" w:sz="8" w:color="2A2A2A"/>
              <w:right w:val="single" w:sz="8" w:color="2A2A2A"/>
            </w:tcBorders>
          </w:tcPr>
          <w:p>
            <w:pPr>
              <w:spacing w:after="0"/>
              <w:rPr>
                <w:sz w:val="3"/>
                <w:szCs w:val="3"/>
                <w:color w:val="auto"/>
              </w:rPr>
            </w:pPr>
          </w:p>
        </w:tc>
        <w:tc>
          <w:tcPr>
            <w:tcW w:w="2420" w:type="dxa"/>
            <w:vAlign w:val="bottom"/>
            <w:tcBorders>
              <w:bottom w:val="single" w:sz="8" w:color="2A2A2A"/>
              <w:right w:val="single" w:sz="8" w:color="2A2A2A"/>
            </w:tcBorders>
          </w:tcPr>
          <w:p>
            <w:pPr>
              <w:spacing w:after="0"/>
              <w:rPr>
                <w:sz w:val="3"/>
                <w:szCs w:val="3"/>
                <w:color w:val="auto"/>
              </w:rPr>
            </w:pPr>
          </w:p>
        </w:tc>
        <w:tc>
          <w:tcPr>
            <w:tcW w:w="2380" w:type="dxa"/>
            <w:vAlign w:val="bottom"/>
            <w:tcBorders>
              <w:bottom w:val="single" w:sz="8" w:color="2A2A2A"/>
              <w:right w:val="single" w:sz="8" w:color="2A2A2A"/>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120" w:type="dxa"/>
            <w:vAlign w:val="bottom"/>
            <w:tcBorders>
              <w:left w:val="single" w:sz="8" w:color="2A2A2A"/>
              <w:right w:val="single" w:sz="8" w:color="2A2A2A"/>
            </w:tcBorders>
          </w:tcPr>
          <w:p>
            <w:pPr>
              <w:ind w:left="180"/>
              <w:spacing w:after="0"/>
              <w:rPr>
                <w:sz w:val="20"/>
                <w:szCs w:val="20"/>
                <w:color w:val="auto"/>
              </w:rPr>
            </w:pPr>
            <w:r>
              <w:rPr>
                <w:rFonts w:ascii="Arial" w:cs="Arial" w:eastAsia="Arial" w:hAnsi="Arial"/>
                <w:sz w:val="20"/>
                <w:szCs w:val="20"/>
                <w:color w:val="2A2A2A"/>
              </w:rPr>
              <w:t>Profit from Operations as a % of Revenue</w:t>
            </w:r>
          </w:p>
        </w:tc>
        <w:tc>
          <w:tcPr>
            <w:tcW w:w="2420" w:type="dxa"/>
            <w:vAlign w:val="bottom"/>
            <w:tcBorders>
              <w:right w:val="single" w:sz="8" w:color="2A2A2A"/>
            </w:tcBorders>
            <w:vMerge w:val="restart"/>
          </w:tcPr>
          <w:p>
            <w:pPr>
              <w:jc w:val="right"/>
              <w:ind w:right="803"/>
              <w:spacing w:after="0"/>
              <w:rPr>
                <w:sz w:val="20"/>
                <w:szCs w:val="20"/>
                <w:color w:val="auto"/>
              </w:rPr>
            </w:pPr>
            <w:r>
              <w:rPr>
                <w:rFonts w:ascii="Arial" w:cs="Arial" w:eastAsia="Arial" w:hAnsi="Arial"/>
                <w:sz w:val="20"/>
                <w:szCs w:val="20"/>
                <w:color w:val="2A2A2A"/>
              </w:rPr>
              <w:t>41.8%</w:t>
            </w:r>
          </w:p>
        </w:tc>
        <w:tc>
          <w:tcPr>
            <w:tcW w:w="2380" w:type="dxa"/>
            <w:vAlign w:val="bottom"/>
            <w:tcBorders>
              <w:right w:val="single" w:sz="8" w:color="2A2A2A"/>
            </w:tcBorders>
            <w:vMerge w:val="restart"/>
          </w:tcPr>
          <w:p>
            <w:pPr>
              <w:jc w:val="center"/>
              <w:spacing w:after="0"/>
              <w:rPr>
                <w:sz w:val="20"/>
                <w:szCs w:val="20"/>
                <w:color w:val="auto"/>
              </w:rPr>
            </w:pPr>
            <w:r>
              <w:rPr>
                <w:rFonts w:ascii="Arial" w:cs="Arial" w:eastAsia="Arial" w:hAnsi="Arial"/>
                <w:sz w:val="20"/>
                <w:szCs w:val="20"/>
                <w:color w:val="2A2A2A"/>
              </w:rPr>
              <w:t>Above median</w:t>
            </w:r>
          </w:p>
        </w:tc>
        <w:tc>
          <w:tcPr>
            <w:tcW w:w="0" w:type="dxa"/>
            <w:vAlign w:val="bottom"/>
          </w:tcPr>
          <w:p>
            <w:pPr>
              <w:spacing w:after="0"/>
              <w:rPr>
                <w:sz w:val="1"/>
                <w:szCs w:val="1"/>
                <w:color w:val="auto"/>
              </w:rPr>
            </w:pPr>
          </w:p>
        </w:tc>
      </w:tr>
      <w:tr>
        <w:trPr>
          <w:trHeight w:val="145"/>
        </w:trPr>
        <w:tc>
          <w:tcPr>
            <w:tcW w:w="5120" w:type="dxa"/>
            <w:vAlign w:val="bottom"/>
            <w:tcBorders>
              <w:left w:val="single" w:sz="8" w:color="2A2A2A"/>
              <w:right w:val="single" w:sz="8" w:color="2A2A2A"/>
            </w:tcBorders>
            <w:vMerge w:val="restart"/>
          </w:tcPr>
          <w:p>
            <w:pPr>
              <w:ind w:left="180"/>
              <w:spacing w:after="0"/>
              <w:rPr>
                <w:sz w:val="20"/>
                <w:szCs w:val="20"/>
                <w:color w:val="auto"/>
              </w:rPr>
            </w:pPr>
            <w:r>
              <w:rPr>
                <w:rFonts w:ascii="Arial" w:cs="Arial" w:eastAsia="Arial" w:hAnsi="Arial"/>
                <w:sz w:val="20"/>
                <w:szCs w:val="20"/>
                <w:color w:val="2A2A2A"/>
              </w:rPr>
              <w:t>(Operating Profit Margin)</w:t>
            </w:r>
          </w:p>
        </w:tc>
        <w:tc>
          <w:tcPr>
            <w:tcW w:w="2420" w:type="dxa"/>
            <w:vAlign w:val="bottom"/>
            <w:tcBorders>
              <w:right w:val="single" w:sz="8" w:color="2A2A2A"/>
            </w:tcBorders>
            <w:vMerge w:val="continue"/>
          </w:tcPr>
          <w:p>
            <w:pPr>
              <w:spacing w:after="0"/>
              <w:rPr>
                <w:sz w:val="12"/>
                <w:szCs w:val="12"/>
                <w:color w:val="auto"/>
              </w:rPr>
            </w:pPr>
          </w:p>
        </w:tc>
        <w:tc>
          <w:tcPr>
            <w:tcW w:w="2380" w:type="dxa"/>
            <w:vAlign w:val="bottom"/>
            <w:tcBorders>
              <w:right w:val="single" w:sz="8" w:color="2A2A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120" w:type="dxa"/>
            <w:vAlign w:val="bottom"/>
            <w:tcBorders>
              <w:left w:val="single" w:sz="8" w:color="2A2A2A"/>
              <w:bottom w:val="single" w:sz="8" w:color="2A2A2A"/>
              <w:right w:val="single" w:sz="8" w:color="2A2A2A"/>
            </w:tcBorders>
            <w:vMerge w:val="continue"/>
          </w:tcPr>
          <w:p>
            <w:pPr>
              <w:spacing w:after="0"/>
              <w:rPr>
                <w:sz w:val="11"/>
                <w:szCs w:val="11"/>
                <w:color w:val="auto"/>
              </w:rPr>
            </w:pPr>
          </w:p>
        </w:tc>
        <w:tc>
          <w:tcPr>
            <w:tcW w:w="2420" w:type="dxa"/>
            <w:vAlign w:val="bottom"/>
            <w:tcBorders>
              <w:bottom w:val="single" w:sz="8" w:color="2A2A2A"/>
              <w:right w:val="single" w:sz="8" w:color="2A2A2A"/>
            </w:tcBorders>
          </w:tcPr>
          <w:p>
            <w:pPr>
              <w:spacing w:after="0"/>
              <w:rPr>
                <w:sz w:val="11"/>
                <w:szCs w:val="11"/>
                <w:color w:val="auto"/>
              </w:rPr>
            </w:pPr>
          </w:p>
        </w:tc>
        <w:tc>
          <w:tcPr>
            <w:tcW w:w="2380" w:type="dxa"/>
            <w:vAlign w:val="bottom"/>
            <w:tcBorders>
              <w:bottom w:val="single" w:sz="8" w:color="2A2A2A"/>
              <w:right w:val="single" w:sz="8" w:color="2A2A2A"/>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5120" w:type="dxa"/>
            <w:vAlign w:val="bottom"/>
            <w:tcBorders>
              <w:left w:val="single" w:sz="8" w:color="2A2A2A"/>
              <w:right w:val="single" w:sz="8" w:color="2A2A2A"/>
            </w:tcBorders>
          </w:tcPr>
          <w:p>
            <w:pPr>
              <w:ind w:left="180"/>
              <w:spacing w:after="0"/>
              <w:rPr>
                <w:sz w:val="20"/>
                <w:szCs w:val="20"/>
                <w:color w:val="auto"/>
              </w:rPr>
            </w:pPr>
            <w:r>
              <w:rPr>
                <w:rFonts w:ascii="Arial" w:cs="Arial" w:eastAsia="Arial" w:hAnsi="Arial"/>
                <w:sz w:val="20"/>
                <w:szCs w:val="20"/>
                <w:color w:val="2A2A2A"/>
              </w:rPr>
              <w:t>Total Shareholder Return (TSR)</w:t>
            </w:r>
          </w:p>
        </w:tc>
        <w:tc>
          <w:tcPr>
            <w:tcW w:w="2420" w:type="dxa"/>
            <w:vAlign w:val="bottom"/>
            <w:tcBorders>
              <w:right w:val="single" w:sz="8" w:color="2A2A2A"/>
            </w:tcBorders>
          </w:tcPr>
          <w:p>
            <w:pPr>
              <w:jc w:val="right"/>
              <w:ind w:right="803"/>
              <w:spacing w:after="0"/>
              <w:rPr>
                <w:sz w:val="20"/>
                <w:szCs w:val="20"/>
                <w:color w:val="auto"/>
              </w:rPr>
            </w:pPr>
            <w:r>
              <w:rPr>
                <w:rFonts w:ascii="Arial" w:cs="Arial" w:eastAsia="Arial" w:hAnsi="Arial"/>
                <w:sz w:val="20"/>
                <w:szCs w:val="20"/>
                <w:color w:val="2A2A2A"/>
              </w:rPr>
              <w:t>6.4%</w:t>
            </w:r>
          </w:p>
        </w:tc>
        <w:tc>
          <w:tcPr>
            <w:tcW w:w="2380" w:type="dxa"/>
            <w:vAlign w:val="bottom"/>
            <w:tcBorders>
              <w:right w:val="single" w:sz="8" w:color="2A2A2A"/>
            </w:tcBorders>
          </w:tcPr>
          <w:p>
            <w:pPr>
              <w:jc w:val="center"/>
              <w:spacing w:after="0"/>
              <w:rPr>
                <w:sz w:val="20"/>
                <w:szCs w:val="20"/>
                <w:color w:val="auto"/>
              </w:rPr>
            </w:pPr>
            <w:r>
              <w:rPr>
                <w:rFonts w:ascii="Arial" w:cs="Arial" w:eastAsia="Arial" w:hAnsi="Arial"/>
                <w:sz w:val="20"/>
                <w:szCs w:val="20"/>
                <w:color w:val="2A2A2A"/>
                <w:w w:val="98"/>
              </w:rPr>
              <w:t>Below median</w:t>
            </w:r>
          </w:p>
        </w:tc>
        <w:tc>
          <w:tcPr>
            <w:tcW w:w="0" w:type="dxa"/>
            <w:vAlign w:val="bottom"/>
          </w:tcPr>
          <w:p>
            <w:pPr>
              <w:spacing w:after="0"/>
              <w:rPr>
                <w:sz w:val="1"/>
                <w:szCs w:val="1"/>
                <w:color w:val="auto"/>
              </w:rPr>
            </w:pPr>
          </w:p>
        </w:tc>
      </w:tr>
      <w:tr>
        <w:trPr>
          <w:trHeight w:val="37"/>
        </w:trPr>
        <w:tc>
          <w:tcPr>
            <w:tcW w:w="5120" w:type="dxa"/>
            <w:vAlign w:val="bottom"/>
            <w:tcBorders>
              <w:left w:val="single" w:sz="8" w:color="2A2A2A"/>
              <w:bottom w:val="single" w:sz="8" w:color="2A2A2A"/>
              <w:right w:val="single" w:sz="8" w:color="2A2A2A"/>
            </w:tcBorders>
          </w:tcPr>
          <w:p>
            <w:pPr>
              <w:spacing w:after="0"/>
              <w:rPr>
                <w:sz w:val="3"/>
                <w:szCs w:val="3"/>
                <w:color w:val="auto"/>
              </w:rPr>
            </w:pPr>
          </w:p>
        </w:tc>
        <w:tc>
          <w:tcPr>
            <w:tcW w:w="2420" w:type="dxa"/>
            <w:vAlign w:val="bottom"/>
            <w:tcBorders>
              <w:bottom w:val="single" w:sz="8" w:color="2A2A2A"/>
              <w:right w:val="single" w:sz="8" w:color="2A2A2A"/>
            </w:tcBorders>
          </w:tcPr>
          <w:p>
            <w:pPr>
              <w:spacing w:after="0"/>
              <w:rPr>
                <w:sz w:val="3"/>
                <w:szCs w:val="3"/>
                <w:color w:val="auto"/>
              </w:rPr>
            </w:pPr>
          </w:p>
        </w:tc>
        <w:tc>
          <w:tcPr>
            <w:tcW w:w="2380" w:type="dxa"/>
            <w:vAlign w:val="bottom"/>
            <w:tcBorders>
              <w:bottom w:val="single" w:sz="8" w:color="2A2A2A"/>
              <w:right w:val="single" w:sz="8" w:color="2A2A2A"/>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120" w:type="dxa"/>
            <w:vAlign w:val="bottom"/>
            <w:tcBorders>
              <w:left w:val="single" w:sz="8" w:color="2A2A2A"/>
              <w:bottom w:val="single" w:sz="8" w:color="2A2A2A"/>
              <w:right w:val="single" w:sz="8" w:color="D7D7D7"/>
            </w:tcBorders>
            <w:shd w:val="clear" w:color="auto" w:fill="D7D7D7"/>
          </w:tcPr>
          <w:p>
            <w:pPr>
              <w:spacing w:after="0"/>
              <w:rPr>
                <w:sz w:val="7"/>
                <w:szCs w:val="7"/>
                <w:color w:val="auto"/>
              </w:rPr>
            </w:pPr>
          </w:p>
        </w:tc>
        <w:tc>
          <w:tcPr>
            <w:tcW w:w="2420" w:type="dxa"/>
            <w:vAlign w:val="bottom"/>
            <w:tcBorders>
              <w:bottom w:val="single" w:sz="8" w:color="2A2A2A"/>
              <w:right w:val="single" w:sz="8" w:color="D7D7D7"/>
            </w:tcBorders>
            <w:shd w:val="clear" w:color="auto" w:fill="D7D7D7"/>
          </w:tcPr>
          <w:p>
            <w:pPr>
              <w:spacing w:after="0"/>
              <w:rPr>
                <w:sz w:val="7"/>
                <w:szCs w:val="7"/>
                <w:color w:val="auto"/>
              </w:rPr>
            </w:pPr>
          </w:p>
        </w:tc>
        <w:tc>
          <w:tcPr>
            <w:tcW w:w="2380" w:type="dxa"/>
            <w:vAlign w:val="bottom"/>
            <w:tcBorders>
              <w:bottom w:val="single" w:sz="8" w:color="2A2A2A"/>
              <w:right w:val="single" w:sz="8" w:color="2A2A2A"/>
            </w:tcBorders>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5120" w:type="dxa"/>
            <w:vAlign w:val="bottom"/>
            <w:tcBorders>
              <w:left w:val="single" w:sz="8" w:color="2A2A2A"/>
              <w:bottom w:val="single" w:sz="8" w:color="D7D7D7"/>
              <w:right w:val="single" w:sz="8" w:color="2A2A2A"/>
            </w:tcBorders>
            <w:shd w:val="clear" w:color="auto" w:fill="D7D7D7"/>
          </w:tcPr>
          <w:p>
            <w:pPr>
              <w:ind w:left="180"/>
              <w:spacing w:after="0"/>
              <w:rPr>
                <w:sz w:val="20"/>
                <w:szCs w:val="20"/>
                <w:color w:val="auto"/>
              </w:rPr>
            </w:pPr>
            <w:r>
              <w:rPr>
                <w:rFonts w:ascii="Arial" w:cs="Arial" w:eastAsia="Arial" w:hAnsi="Arial"/>
                <w:sz w:val="20"/>
                <w:szCs w:val="20"/>
                <w:color w:val="2A2A2A"/>
              </w:rPr>
              <w:t>Assessment of Strategic Progress</w:t>
            </w:r>
          </w:p>
        </w:tc>
        <w:tc>
          <w:tcPr>
            <w:tcW w:w="4800" w:type="dxa"/>
            <w:vAlign w:val="bottom"/>
            <w:tcBorders>
              <w:right w:val="single" w:sz="8" w:color="2A2A2A"/>
            </w:tcBorders>
            <w:gridSpan w:val="2"/>
          </w:tcPr>
          <w:p>
            <w:pPr>
              <w:jc w:val="center"/>
              <w:spacing w:after="0"/>
              <w:rPr>
                <w:sz w:val="20"/>
                <w:szCs w:val="20"/>
                <w:color w:val="auto"/>
              </w:rPr>
            </w:pPr>
            <w:r>
              <w:rPr>
                <w:rFonts w:ascii="Arial" w:cs="Arial" w:eastAsia="Arial" w:hAnsi="Arial"/>
                <w:sz w:val="20"/>
                <w:szCs w:val="20"/>
                <w:color w:val="2A2A2A"/>
                <w:w w:val="99"/>
              </w:rPr>
              <w:t>Strengthened strategic position in 2023</w:t>
            </w:r>
          </w:p>
        </w:tc>
        <w:tc>
          <w:tcPr>
            <w:tcW w:w="0" w:type="dxa"/>
            <w:vAlign w:val="bottom"/>
          </w:tcPr>
          <w:p>
            <w:pPr>
              <w:spacing w:after="0"/>
              <w:rPr>
                <w:sz w:val="1"/>
                <w:szCs w:val="1"/>
                <w:color w:val="auto"/>
              </w:rPr>
            </w:pPr>
          </w:p>
        </w:tc>
      </w:tr>
      <w:tr>
        <w:trPr>
          <w:trHeight w:val="85"/>
        </w:trPr>
        <w:tc>
          <w:tcPr>
            <w:tcW w:w="5120" w:type="dxa"/>
            <w:vAlign w:val="bottom"/>
            <w:tcBorders>
              <w:top w:val="single" w:sz="8" w:color="2A2A2A"/>
              <w:left w:val="single" w:sz="8" w:color="2A2A2A"/>
              <w:bottom w:val="single" w:sz="8" w:color="2A2A2A"/>
              <w:right w:val="single" w:sz="8" w:color="D7D7D7"/>
            </w:tcBorders>
            <w:shd w:val="clear" w:color="auto" w:fill="D7D7D7"/>
          </w:tcPr>
          <w:p>
            <w:pPr>
              <w:spacing w:after="0"/>
              <w:rPr>
                <w:sz w:val="7"/>
                <w:szCs w:val="7"/>
                <w:color w:val="auto"/>
              </w:rPr>
            </w:pPr>
          </w:p>
        </w:tc>
        <w:tc>
          <w:tcPr>
            <w:tcW w:w="2420" w:type="dxa"/>
            <w:vAlign w:val="bottom"/>
            <w:tcBorders>
              <w:top w:val="single" w:sz="8" w:color="2A2A2A"/>
              <w:bottom w:val="single" w:sz="8" w:color="2A2A2A"/>
              <w:right w:val="single" w:sz="8" w:color="D7D7D7"/>
            </w:tcBorders>
            <w:shd w:val="clear" w:color="auto" w:fill="D7D7D7"/>
          </w:tcPr>
          <w:p>
            <w:pPr>
              <w:spacing w:after="0"/>
              <w:rPr>
                <w:sz w:val="7"/>
                <w:szCs w:val="7"/>
                <w:color w:val="auto"/>
              </w:rPr>
            </w:pPr>
          </w:p>
        </w:tc>
        <w:tc>
          <w:tcPr>
            <w:tcW w:w="2380" w:type="dxa"/>
            <w:vAlign w:val="bottom"/>
            <w:tcBorders>
              <w:top w:val="single" w:sz="8" w:color="2A2A2A"/>
              <w:bottom w:val="single" w:sz="8" w:color="2A2A2A"/>
              <w:right w:val="single" w:sz="8" w:color="2A2A2A"/>
            </w:tcBorders>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5120" w:type="dxa"/>
            <w:vAlign w:val="bottom"/>
            <w:tcBorders>
              <w:left w:val="single" w:sz="8" w:color="2A2A2A"/>
              <w:right w:val="single" w:sz="8" w:color="2A2A2A"/>
            </w:tcBorders>
            <w:shd w:val="clear" w:color="auto" w:fill="D7D7D7"/>
          </w:tcPr>
          <w:p>
            <w:pPr>
              <w:ind w:left="180"/>
              <w:spacing w:after="0"/>
              <w:rPr>
                <w:sz w:val="20"/>
                <w:szCs w:val="20"/>
                <w:color w:val="auto"/>
              </w:rPr>
            </w:pPr>
            <w:r>
              <w:rPr>
                <w:rFonts w:ascii="Arial" w:cs="Arial" w:eastAsia="Arial" w:hAnsi="Arial"/>
                <w:sz w:val="20"/>
                <w:szCs w:val="20"/>
                <w:color w:val="2A2A2A"/>
              </w:rPr>
              <w:t>Year-on-Year Change in Bonus for NEOs</w:t>
            </w:r>
          </w:p>
        </w:tc>
        <w:tc>
          <w:tcPr>
            <w:tcW w:w="4800" w:type="dxa"/>
            <w:vAlign w:val="bottom"/>
            <w:tcBorders>
              <w:right w:val="single" w:sz="8" w:color="2A2A2A"/>
            </w:tcBorders>
            <w:gridSpan w:val="2"/>
            <w:vMerge w:val="restart"/>
          </w:tcPr>
          <w:p>
            <w:pPr>
              <w:jc w:val="center"/>
              <w:spacing w:after="0"/>
              <w:rPr>
                <w:sz w:val="20"/>
                <w:szCs w:val="20"/>
                <w:color w:val="auto"/>
              </w:rPr>
            </w:pPr>
            <w:r>
              <w:rPr>
                <w:rFonts w:ascii="Arial" w:cs="Arial" w:eastAsia="Arial" w:hAnsi="Arial"/>
                <w:sz w:val="20"/>
                <w:szCs w:val="20"/>
                <w:color w:val="2A2A2A"/>
              </w:rPr>
              <w:t>10% decrease</w:t>
            </w:r>
          </w:p>
        </w:tc>
        <w:tc>
          <w:tcPr>
            <w:tcW w:w="0" w:type="dxa"/>
            <w:vAlign w:val="bottom"/>
          </w:tcPr>
          <w:p>
            <w:pPr>
              <w:spacing w:after="0"/>
              <w:rPr>
                <w:sz w:val="1"/>
                <w:szCs w:val="1"/>
                <w:color w:val="auto"/>
              </w:rPr>
            </w:pPr>
          </w:p>
        </w:tc>
      </w:tr>
      <w:tr>
        <w:trPr>
          <w:trHeight w:val="145"/>
        </w:trPr>
        <w:tc>
          <w:tcPr>
            <w:tcW w:w="5120" w:type="dxa"/>
            <w:vAlign w:val="bottom"/>
            <w:tcBorders>
              <w:left w:val="single" w:sz="8" w:color="2A2A2A"/>
              <w:right w:val="single" w:sz="8" w:color="2A2A2A"/>
            </w:tcBorders>
            <w:vMerge w:val="restart"/>
            <w:shd w:val="clear" w:color="auto" w:fill="D7D7D7"/>
          </w:tcPr>
          <w:p>
            <w:pPr>
              <w:ind w:left="180"/>
              <w:spacing w:after="0"/>
              <w:rPr>
                <w:sz w:val="20"/>
                <w:szCs w:val="20"/>
                <w:color w:val="auto"/>
              </w:rPr>
            </w:pPr>
            <w:r>
              <w:rPr>
                <w:rFonts w:ascii="Arial" w:cs="Arial" w:eastAsia="Arial" w:hAnsi="Arial"/>
                <w:sz w:val="20"/>
                <w:szCs w:val="20"/>
                <w:color w:val="2A2A2A"/>
              </w:rPr>
              <w:t>(2023 Bonus Compared with 2022)</w:t>
            </w:r>
          </w:p>
        </w:tc>
        <w:tc>
          <w:tcPr>
            <w:tcW w:w="4800" w:type="dxa"/>
            <w:vAlign w:val="bottom"/>
            <w:tcBorders>
              <w:right w:val="single" w:sz="8" w:color="2A2A2A"/>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120" w:type="dxa"/>
            <w:vAlign w:val="bottom"/>
            <w:tcBorders>
              <w:left w:val="single" w:sz="8" w:color="2A2A2A"/>
              <w:bottom w:val="single" w:sz="8" w:color="2A2A2A"/>
              <w:right w:val="single" w:sz="8" w:color="2A2A2A"/>
            </w:tcBorders>
            <w:vMerge w:val="continue"/>
            <w:shd w:val="clear" w:color="auto" w:fill="D7D7D7"/>
          </w:tcPr>
          <w:p>
            <w:pPr>
              <w:spacing w:after="0"/>
              <w:rPr>
                <w:sz w:val="11"/>
                <w:szCs w:val="11"/>
                <w:color w:val="auto"/>
              </w:rPr>
            </w:pPr>
          </w:p>
        </w:tc>
        <w:tc>
          <w:tcPr>
            <w:tcW w:w="2420" w:type="dxa"/>
            <w:vAlign w:val="bottom"/>
            <w:tcBorders>
              <w:bottom w:val="single" w:sz="8" w:color="2A2A2A"/>
            </w:tcBorders>
          </w:tcPr>
          <w:p>
            <w:pPr>
              <w:spacing w:after="0"/>
              <w:rPr>
                <w:sz w:val="11"/>
                <w:szCs w:val="11"/>
                <w:color w:val="auto"/>
              </w:rPr>
            </w:pPr>
          </w:p>
        </w:tc>
        <w:tc>
          <w:tcPr>
            <w:tcW w:w="2380" w:type="dxa"/>
            <w:vAlign w:val="bottom"/>
            <w:tcBorders>
              <w:bottom w:val="single" w:sz="8" w:color="2A2A2A"/>
              <w:right w:val="single" w:sz="8" w:color="2A2A2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-662940</wp:posOffset>
            </wp:positionV>
            <wp:extent cx="632142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21425" cy="2540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-434340</wp:posOffset>
            </wp:positionV>
            <wp:extent cx="632142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21425" cy="2540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-367665</wp:posOffset>
            </wp:positionV>
            <wp:extent cx="632142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21425" cy="2540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-15240</wp:posOffset>
            </wp:positionV>
            <wp:extent cx="632142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21425" cy="25400"/>
                    </a:xfrm>
                    <a:prstGeom prst="rect">
                      <a:avLst/>
                    </a:prstGeom>
                    <a:noFill/>
                  </pic:spPr>
                </pic:pic>
              </a:graphicData>
            </a:graphic>
          </wp:anchor>
        </w:drawing>
      </w:r>
    </w:p>
    <w:p>
      <w:pPr>
        <w:spacing w:after="0" w:line="140" w:lineRule="exact"/>
        <w:rPr>
          <w:sz w:val="20"/>
          <w:szCs w:val="20"/>
          <w:color w:val="auto"/>
        </w:rPr>
      </w:pPr>
    </w:p>
    <w:p>
      <w:pPr>
        <w:jc w:val="both"/>
        <w:ind w:left="720" w:right="260" w:hanging="361"/>
        <w:spacing w:after="0" w:line="268" w:lineRule="auto"/>
        <w:tabs>
          <w:tab w:leader="none" w:pos="720" w:val="left"/>
        </w:tabs>
        <w:numPr>
          <w:ilvl w:val="0"/>
          <w:numId w:val="117"/>
        </w:numPr>
        <w:rPr>
          <w:rFonts w:ascii="Arial" w:cs="Arial" w:eastAsia="Arial" w:hAnsi="Arial"/>
          <w:sz w:val="20"/>
          <w:szCs w:val="20"/>
          <w:color w:val="2A2A2A"/>
        </w:rPr>
      </w:pPr>
      <w:r>
        <w:rPr>
          <w:rFonts w:ascii="Arial" w:cs="Arial" w:eastAsia="Arial" w:hAnsi="Arial"/>
          <w:sz w:val="20"/>
          <w:szCs w:val="20"/>
          <w:color w:val="2A2A2A"/>
        </w:rPr>
        <w:t>Relative to Semiconductor Peers; includes estimates and projections of certain peer companies’ financial results. (It is important to note that the median growth rate of Semiconductor Peers includes the benefit of acquisitions, whereas TI’s growth rate is entirely organic.)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2A2A2A"/>
        </w:rPr>
        <w:t>Strategic progress</w:t>
      </w:r>
    </w:p>
    <w:p>
      <w:pPr>
        <w:spacing w:after="0" w:line="248" w:lineRule="exact"/>
        <w:rPr>
          <w:sz w:val="20"/>
          <w:szCs w:val="20"/>
          <w:color w:val="auto"/>
        </w:rPr>
      </w:pPr>
    </w:p>
    <w:p>
      <w:pPr>
        <w:ind w:left="720" w:right="500" w:hanging="361"/>
        <w:spacing w:after="0" w:line="268" w:lineRule="auto"/>
        <w:tabs>
          <w:tab w:leader="none" w:pos="720" w:val="left"/>
        </w:tabs>
        <w:numPr>
          <w:ilvl w:val="0"/>
          <w:numId w:val="118"/>
        </w:numPr>
        <w:rPr>
          <w:rFonts w:ascii="Arial" w:cs="Arial" w:eastAsia="Arial" w:hAnsi="Arial"/>
          <w:sz w:val="20"/>
          <w:szCs w:val="20"/>
          <w:color w:val="2A2A2A"/>
        </w:rPr>
      </w:pPr>
      <w:r>
        <w:rPr>
          <w:rFonts w:ascii="Arial" w:cs="Arial" w:eastAsia="Arial" w:hAnsi="Arial"/>
          <w:sz w:val="20"/>
          <w:szCs w:val="20"/>
          <w:color w:val="2A2A2A"/>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9" w:lineRule="exact"/>
        <w:rPr>
          <w:rFonts w:ascii="Arial" w:cs="Arial" w:eastAsia="Arial" w:hAnsi="Arial"/>
          <w:sz w:val="20"/>
          <w:szCs w:val="20"/>
          <w:color w:val="2A2A2A"/>
        </w:rPr>
      </w:pPr>
    </w:p>
    <w:p>
      <w:pPr>
        <w:ind w:left="720" w:right="20" w:hanging="361"/>
        <w:spacing w:after="0" w:line="255" w:lineRule="auto"/>
        <w:tabs>
          <w:tab w:leader="none" w:pos="720" w:val="left"/>
        </w:tabs>
        <w:numPr>
          <w:ilvl w:val="0"/>
          <w:numId w:val="118"/>
        </w:numPr>
        <w:rPr>
          <w:rFonts w:ascii="Arial" w:cs="Arial" w:eastAsia="Arial" w:hAnsi="Arial"/>
          <w:sz w:val="20"/>
          <w:szCs w:val="20"/>
          <w:color w:val="2A2A2A"/>
        </w:rPr>
      </w:pPr>
      <w:r>
        <w:rPr>
          <w:rFonts w:ascii="Arial" w:cs="Arial" w:eastAsia="Arial" w:hAnsi="Arial"/>
          <w:sz w:val="20"/>
          <w:szCs w:val="20"/>
          <w:color w:val="2A2A2A"/>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2023, the company continued investing to strengthen and leverage these advantages for the long term. The company’s strategic focus is on analog and embedded processing products sold into six end markets: industrial, automotive, personal electronics, communications equipment, enterprise systems and other. In 2023, the company continued the disciplined allocation of R&amp;D spending to strengthen its product portfolio, building on the existing foundation for near- and long-term results.</w:t>
      </w:r>
    </w:p>
    <w:p>
      <w:pPr>
        <w:spacing w:after="0" w:line="20" w:lineRule="exact"/>
        <w:rPr>
          <w:rFonts w:ascii="Arial" w:cs="Arial" w:eastAsia="Arial" w:hAnsi="Arial"/>
          <w:sz w:val="20"/>
          <w:szCs w:val="20"/>
          <w:color w:val="2A2A2A"/>
        </w:rPr>
      </w:pPr>
    </w:p>
    <w:p>
      <w:pPr>
        <w:jc w:val="both"/>
        <w:ind w:left="720" w:right="180" w:hanging="361"/>
        <w:spacing w:after="0" w:line="268" w:lineRule="auto"/>
        <w:tabs>
          <w:tab w:leader="none" w:pos="720" w:val="left"/>
        </w:tabs>
        <w:numPr>
          <w:ilvl w:val="0"/>
          <w:numId w:val="118"/>
        </w:numPr>
        <w:rPr>
          <w:rFonts w:ascii="Arial" w:cs="Arial" w:eastAsia="Arial" w:hAnsi="Arial"/>
          <w:sz w:val="20"/>
          <w:szCs w:val="20"/>
          <w:color w:val="2A2A2A"/>
        </w:rPr>
      </w:pPr>
      <w:r>
        <w:rPr>
          <w:rFonts w:ascii="Arial" w:cs="Arial" w:eastAsia="Arial" w:hAnsi="Arial"/>
          <w:sz w:val="20"/>
          <w:szCs w:val="20"/>
          <w:color w:val="2A2A2A"/>
        </w:rPr>
        <w:t>TI’s broad analog and embedded processing product portfolio includes tens of thousands of products, with more products added each year, offering strong differentiation and longevity. In 2023, greater than 90% of TI’s revenue came from analog and embedded processing semiconductors.</w:t>
      </w:r>
    </w:p>
    <w:p>
      <w:pPr>
        <w:spacing w:after="0" w:line="9" w:lineRule="exact"/>
        <w:rPr>
          <w:rFonts w:ascii="Arial" w:cs="Arial" w:eastAsia="Arial" w:hAnsi="Arial"/>
          <w:sz w:val="20"/>
          <w:szCs w:val="20"/>
          <w:color w:val="2A2A2A"/>
        </w:rPr>
      </w:pPr>
    </w:p>
    <w:p>
      <w:pPr>
        <w:ind w:left="1080" w:right="140" w:hanging="361"/>
        <w:spacing w:after="0" w:line="262" w:lineRule="auto"/>
        <w:tabs>
          <w:tab w:leader="none" w:pos="1080" w:val="left"/>
        </w:tabs>
        <w:numPr>
          <w:ilvl w:val="1"/>
          <w:numId w:val="118"/>
        </w:numPr>
        <w:rPr>
          <w:rFonts w:ascii="Arial" w:cs="Arial" w:eastAsia="Arial" w:hAnsi="Arial"/>
          <w:sz w:val="20"/>
          <w:szCs w:val="20"/>
          <w:color w:val="2A2A2A"/>
        </w:rPr>
      </w:pPr>
      <w:r>
        <w:rPr>
          <w:rFonts w:ascii="Arial" w:cs="Arial" w:eastAsia="Arial" w:hAnsi="Arial"/>
          <w:sz w:val="20"/>
          <w:szCs w:val="20"/>
          <w:color w:val="2A2A2A"/>
        </w:rPr>
        <w:t>The company places additional strategic emphasis on designing and selling products into the industrial and automotive markets, which it believes represent the best growth opportunity because of the increasing semiconductor content in these markets. In 2023, approximately 75% of TI’s revenue came from industrial and automotive markets.</w:t>
      </w:r>
    </w:p>
    <w:p>
      <w:pPr>
        <w:sectPr>
          <w:pgSz w:w="12240" w:h="15840" w:orient="portrait"/>
          <w:cols w:equalWidth="0" w:num="1">
            <w:col w:w="10280"/>
          </w:cols>
          <w:pgMar w:left="980" w:top="66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37</w:t>
      </w:r>
    </w:p>
    <w:p>
      <w:pPr>
        <w:sectPr>
          <w:pgSz w:w="12240" w:h="15840" w:orient="portrait"/>
          <w:cols w:equalWidth="0" w:num="1">
            <w:col w:w="10280"/>
          </w:cols>
          <w:pgMar w:left="980" w:top="666" w:right="980" w:bottom="33" w:gutter="0" w:footer="0" w:header="0"/>
          <w:type w:val="continuous"/>
        </w:sectPr>
      </w:pPr>
    </w:p>
    <w:bookmarkStart w:id="109" w:name="page110"/>
    <w:bookmarkEnd w:id="109"/>
    <w:p>
      <w:pPr>
        <w:ind w:left="720" w:right="500" w:hanging="361"/>
        <w:spacing w:after="0" w:line="281" w:lineRule="auto"/>
        <w:tabs>
          <w:tab w:leader="none" w:pos="720" w:val="left"/>
        </w:tabs>
        <w:numPr>
          <w:ilvl w:val="0"/>
          <w:numId w:val="119"/>
        </w:numPr>
        <w:rPr>
          <w:rFonts w:ascii="Arial" w:cs="Arial" w:eastAsia="Arial" w:hAnsi="Arial"/>
          <w:sz w:val="20"/>
          <w:szCs w:val="20"/>
          <w:color w:val="2A2A2A"/>
        </w:rPr>
      </w:pPr>
      <w:r>
        <w:rPr>
          <w:rFonts w:ascii="Arial" w:cs="Arial" w:eastAsia="Arial" w:hAnsi="Arial"/>
          <w:sz w:val="20"/>
          <w:szCs w:val="20"/>
          <w:color w:val="2A2A2A"/>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20"/>
          <w:szCs w:val="20"/>
          <w:color w:val="2A2A2A"/>
        </w:rPr>
      </w:pPr>
    </w:p>
    <w:p>
      <w:pPr>
        <w:ind w:left="720" w:hanging="361"/>
        <w:spacing w:after="0" w:line="256" w:lineRule="auto"/>
        <w:tabs>
          <w:tab w:leader="none" w:pos="720" w:val="left"/>
        </w:tabs>
        <w:numPr>
          <w:ilvl w:val="0"/>
          <w:numId w:val="119"/>
        </w:numPr>
        <w:rPr>
          <w:rFonts w:ascii="Arial" w:cs="Arial" w:eastAsia="Arial" w:hAnsi="Arial"/>
          <w:sz w:val="20"/>
          <w:szCs w:val="20"/>
          <w:color w:val="2A2A2A"/>
        </w:rPr>
      </w:pPr>
      <w:r>
        <w:rPr>
          <w:rFonts w:ascii="Arial" w:cs="Arial" w:eastAsia="Arial" w:hAnsi="Arial"/>
          <w:sz w:val="20"/>
          <w:szCs w:val="20"/>
          <w:color w:val="2A2A2A"/>
        </w:rPr>
        <w:t>TI’s internal capability to manufacture semiconductors remains a competitive advantage by providing lower costs and greater control of the supply chain. In 2023, the company continued to invest to strengthen its competitive advantage in manufacturing and technology as part of the company's long-term capacity planning to meet demand over time. The company is ramping production in its new 300mm wafer fabrication facilities in Richardson, Texas (RFAB2) and Lehi, Utah (LFAB1), continuing construction on its next 300mm wafer fabrication facilities in Sherman, Texas (SM1 and SM2), and started construction on its next 300mm wafer fabrication facility in Lehi, Utah (LFAB2).</w:t>
      </w:r>
    </w:p>
    <w:p>
      <w:pPr>
        <w:spacing w:after="0" w:line="22" w:lineRule="exact"/>
        <w:rPr>
          <w:rFonts w:ascii="Arial" w:cs="Arial" w:eastAsia="Arial" w:hAnsi="Arial"/>
          <w:sz w:val="20"/>
          <w:szCs w:val="20"/>
          <w:color w:val="2A2A2A"/>
        </w:rPr>
      </w:pPr>
    </w:p>
    <w:p>
      <w:pPr>
        <w:ind w:left="720" w:hanging="361"/>
        <w:spacing w:after="0" w:line="254" w:lineRule="auto"/>
        <w:tabs>
          <w:tab w:leader="none" w:pos="720" w:val="left"/>
        </w:tabs>
        <w:numPr>
          <w:ilvl w:val="0"/>
          <w:numId w:val="119"/>
        </w:numPr>
        <w:rPr>
          <w:rFonts w:ascii="Arial" w:cs="Arial" w:eastAsia="Arial" w:hAnsi="Arial"/>
          <w:sz w:val="20"/>
          <w:szCs w:val="20"/>
          <w:color w:val="2A2A2A"/>
        </w:rPr>
      </w:pPr>
      <w:r>
        <w:rPr>
          <w:rFonts w:ascii="Arial" w:cs="Arial" w:eastAsia="Arial" w:hAnsi="Arial"/>
          <w:sz w:val="20"/>
          <w:szCs w:val="20"/>
          <w:color w:val="2A2A2A"/>
        </w:rPr>
        <w:t>In 2023, the company continued to make progress in building closer direct relationships with its customers to further strengthen and extend its reach of market channels. The company continues to build on prior multiyear investments in its sales and marketing team, TI.com, business processes and logistics to build closer direct relationships with its customers. In 2023, about 75% of the company’s revenue was direct, which includes TI.com, as customers valued the convenience of purchasing online. In addition, the company continues to invest in new and improved capabilities to directly support our customers, including website and e-commerce enhancements, as well as inventory consignment programs and order fulfillment services. TI’s reach of market channels provides access to more customers and more of their design projects, leading to the opportunity to sell more TI products into each design, and also provides better insight and knowledge of customers’ needs.</w:t>
      </w:r>
    </w:p>
    <w:p>
      <w:pPr>
        <w:spacing w:after="0" w:line="26" w:lineRule="exact"/>
        <w:rPr>
          <w:rFonts w:ascii="Arial" w:cs="Arial" w:eastAsia="Arial" w:hAnsi="Arial"/>
          <w:sz w:val="20"/>
          <w:szCs w:val="20"/>
          <w:color w:val="2A2A2A"/>
        </w:rPr>
      </w:pPr>
    </w:p>
    <w:p>
      <w:pPr>
        <w:ind w:left="720" w:right="60" w:hanging="361"/>
        <w:spacing w:after="0" w:line="287" w:lineRule="auto"/>
        <w:tabs>
          <w:tab w:leader="none" w:pos="720" w:val="left"/>
        </w:tabs>
        <w:numPr>
          <w:ilvl w:val="0"/>
          <w:numId w:val="119"/>
        </w:numPr>
        <w:rPr>
          <w:rFonts w:ascii="Arial" w:cs="Arial" w:eastAsia="Arial" w:hAnsi="Arial"/>
          <w:sz w:val="20"/>
          <w:szCs w:val="20"/>
          <w:color w:val="2A2A2A"/>
        </w:rPr>
      </w:pPr>
      <w:r>
        <w:rPr>
          <w:rFonts w:ascii="Arial" w:cs="Arial" w:eastAsia="Arial" w:hAnsi="Arial"/>
          <w:sz w:val="20"/>
          <w:szCs w:val="20"/>
          <w:color w:val="2A2A2A"/>
        </w:rPr>
        <w:t>In total, the committee determined that TI’s strategic position was strengthened by management’s decisions and actions in 2023.</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2A2A2A"/>
        </w:rPr>
        <w:t>Revenue and operating profit margin</w:t>
      </w:r>
    </w:p>
    <w:p>
      <w:pPr>
        <w:spacing w:after="0" w:line="250" w:lineRule="exact"/>
        <w:rPr>
          <w:sz w:val="20"/>
          <w:szCs w:val="20"/>
          <w:color w:val="auto"/>
        </w:rPr>
      </w:pPr>
    </w:p>
    <w:p>
      <w:pPr>
        <w:ind w:left="720" w:hanging="361"/>
        <w:spacing w:after="0"/>
        <w:tabs>
          <w:tab w:leader="none" w:pos="720" w:val="left"/>
        </w:tabs>
        <w:numPr>
          <w:ilvl w:val="0"/>
          <w:numId w:val="120"/>
        </w:numPr>
        <w:rPr>
          <w:rFonts w:ascii="Arial" w:cs="Arial" w:eastAsia="Arial" w:hAnsi="Arial"/>
          <w:sz w:val="20"/>
          <w:szCs w:val="20"/>
          <w:color w:val="2A2A2A"/>
        </w:rPr>
      </w:pPr>
      <w:r>
        <w:rPr>
          <w:rFonts w:ascii="Arial" w:cs="Arial" w:eastAsia="Arial" w:hAnsi="Arial"/>
          <w:sz w:val="20"/>
          <w:szCs w:val="20"/>
          <w:i w:val="1"/>
          <w:iCs w:val="1"/>
          <w:u w:val="single" w:color="auto"/>
          <w:color w:val="2A2A2A"/>
        </w:rPr>
        <w:t>Annual performance</w:t>
      </w:r>
    </w:p>
    <w:p>
      <w:pPr>
        <w:spacing w:after="0" w:line="68" w:lineRule="exact"/>
        <w:rPr>
          <w:rFonts w:ascii="Arial" w:cs="Arial" w:eastAsia="Arial" w:hAnsi="Arial"/>
          <w:sz w:val="20"/>
          <w:szCs w:val="20"/>
          <w:color w:val="2A2A2A"/>
        </w:rPr>
      </w:pPr>
    </w:p>
    <w:p>
      <w:pPr>
        <w:jc w:val="both"/>
        <w:ind w:left="1080" w:right="140" w:hanging="361"/>
        <w:spacing w:after="0" w:line="268" w:lineRule="auto"/>
        <w:tabs>
          <w:tab w:leader="none" w:pos="1080" w:val="left"/>
        </w:tabs>
        <w:numPr>
          <w:ilvl w:val="1"/>
          <w:numId w:val="120"/>
        </w:numPr>
        <w:rPr>
          <w:rFonts w:ascii="Arial" w:cs="Arial" w:eastAsia="Arial" w:hAnsi="Arial"/>
          <w:sz w:val="20"/>
          <w:szCs w:val="20"/>
          <w:color w:val="2A2A2A"/>
        </w:rPr>
      </w:pPr>
      <w:r>
        <w:rPr>
          <w:rFonts w:ascii="Arial" w:cs="Arial" w:eastAsia="Arial" w:hAnsi="Arial"/>
          <w:sz w:val="20"/>
          <w:szCs w:val="20"/>
          <w:color w:val="2A2A2A"/>
        </w:rPr>
        <w:t>TI’s revenue declined in 2023 by 12.5% and relative performance was below median. It is important to note that the median growth rate of Semiconductor Peers includes the benefit of acquisitions, whereas TI’s growth rate is entirely organic.</w:t>
      </w:r>
    </w:p>
    <w:p>
      <w:pPr>
        <w:spacing w:after="0" w:line="9" w:lineRule="exact"/>
        <w:rPr>
          <w:rFonts w:ascii="Arial" w:cs="Arial" w:eastAsia="Arial" w:hAnsi="Arial"/>
          <w:sz w:val="20"/>
          <w:szCs w:val="20"/>
          <w:color w:val="2A2A2A"/>
        </w:rPr>
      </w:pPr>
    </w:p>
    <w:p>
      <w:pPr>
        <w:ind w:left="1080" w:right="260" w:hanging="361"/>
        <w:spacing w:after="0" w:line="281" w:lineRule="auto"/>
        <w:tabs>
          <w:tab w:leader="none" w:pos="1080" w:val="left"/>
        </w:tabs>
        <w:numPr>
          <w:ilvl w:val="1"/>
          <w:numId w:val="120"/>
        </w:numPr>
        <w:rPr>
          <w:rFonts w:ascii="Arial" w:cs="Arial" w:eastAsia="Arial" w:hAnsi="Arial"/>
          <w:sz w:val="20"/>
          <w:szCs w:val="20"/>
          <w:color w:val="2A2A2A"/>
        </w:rPr>
      </w:pPr>
      <w:r>
        <w:rPr>
          <w:rFonts w:ascii="Arial" w:cs="Arial" w:eastAsia="Arial" w:hAnsi="Arial"/>
          <w:sz w:val="20"/>
          <w:szCs w:val="20"/>
          <w:color w:val="2A2A2A"/>
        </w:rPr>
        <w:t>Revenues for the company’s core businesses of analog and embedded processing decreased 15.1% and increased 3.3%, respectively.</w:t>
      </w:r>
    </w:p>
    <w:p>
      <w:pPr>
        <w:spacing w:after="0" w:line="1" w:lineRule="exact"/>
        <w:rPr>
          <w:rFonts w:ascii="Arial" w:cs="Arial" w:eastAsia="Arial" w:hAnsi="Arial"/>
          <w:sz w:val="20"/>
          <w:szCs w:val="20"/>
          <w:color w:val="2A2A2A"/>
        </w:rPr>
      </w:pPr>
    </w:p>
    <w:p>
      <w:pPr>
        <w:ind w:left="1080" w:right="60" w:hanging="361"/>
        <w:spacing w:after="0" w:line="281" w:lineRule="auto"/>
        <w:tabs>
          <w:tab w:leader="none" w:pos="1080" w:val="left"/>
        </w:tabs>
        <w:numPr>
          <w:ilvl w:val="1"/>
          <w:numId w:val="120"/>
        </w:numPr>
        <w:rPr>
          <w:rFonts w:ascii="Arial" w:cs="Arial" w:eastAsia="Arial" w:hAnsi="Arial"/>
          <w:sz w:val="20"/>
          <w:szCs w:val="20"/>
          <w:color w:val="2A2A2A"/>
        </w:rPr>
      </w:pPr>
      <w:r>
        <w:rPr>
          <w:rFonts w:ascii="Arial" w:cs="Arial" w:eastAsia="Arial" w:hAnsi="Arial"/>
          <w:sz w:val="20"/>
          <w:szCs w:val="20"/>
          <w:color w:val="2A2A2A"/>
        </w:rPr>
        <w:t>Operating profit margin was 41.8%, which was below the prior year’s margin while remaining above the median comparison with Semiconductor Peers.</w:t>
      </w:r>
    </w:p>
    <w:p>
      <w:pPr>
        <w:spacing w:after="0" w:line="3" w:lineRule="exact"/>
        <w:rPr>
          <w:rFonts w:ascii="Arial" w:cs="Arial" w:eastAsia="Arial" w:hAnsi="Arial"/>
          <w:sz w:val="20"/>
          <w:szCs w:val="20"/>
          <w:color w:val="2A2A2A"/>
        </w:rPr>
      </w:pPr>
    </w:p>
    <w:p>
      <w:pPr>
        <w:ind w:left="720" w:hanging="361"/>
        <w:spacing w:after="0"/>
        <w:tabs>
          <w:tab w:leader="none" w:pos="720" w:val="left"/>
        </w:tabs>
        <w:numPr>
          <w:ilvl w:val="0"/>
          <w:numId w:val="120"/>
        </w:numPr>
        <w:rPr>
          <w:rFonts w:ascii="Arial" w:cs="Arial" w:eastAsia="Arial" w:hAnsi="Arial"/>
          <w:sz w:val="20"/>
          <w:szCs w:val="20"/>
          <w:color w:val="2A2A2A"/>
        </w:rPr>
      </w:pPr>
      <w:r>
        <w:rPr>
          <w:rFonts w:ascii="Arial" w:cs="Arial" w:eastAsia="Arial" w:hAnsi="Arial"/>
          <w:sz w:val="20"/>
          <w:szCs w:val="20"/>
          <w:i w:val="1"/>
          <w:iCs w:val="1"/>
          <w:u w:val="single" w:color="auto"/>
          <w:color w:val="2A2A2A"/>
        </w:rPr>
        <w:t>Three-year performance</w:t>
      </w:r>
    </w:p>
    <w:p>
      <w:pPr>
        <w:spacing w:after="0" w:line="68" w:lineRule="exact"/>
        <w:rPr>
          <w:rFonts w:ascii="Arial" w:cs="Arial" w:eastAsia="Arial" w:hAnsi="Arial"/>
          <w:sz w:val="20"/>
          <w:szCs w:val="20"/>
          <w:color w:val="2A2A2A"/>
        </w:rPr>
      </w:pPr>
    </w:p>
    <w:p>
      <w:pPr>
        <w:ind w:left="1080" w:right="240" w:hanging="361"/>
        <w:spacing w:after="0" w:line="268" w:lineRule="auto"/>
        <w:tabs>
          <w:tab w:leader="none" w:pos="1080" w:val="left"/>
        </w:tabs>
        <w:numPr>
          <w:ilvl w:val="1"/>
          <w:numId w:val="120"/>
        </w:numPr>
        <w:rPr>
          <w:rFonts w:ascii="Arial" w:cs="Arial" w:eastAsia="Arial" w:hAnsi="Arial"/>
          <w:sz w:val="20"/>
          <w:szCs w:val="20"/>
          <w:color w:val="2A2A2A"/>
        </w:rPr>
      </w:pPr>
      <w:r>
        <w:rPr>
          <w:rFonts w:ascii="Arial" w:cs="Arial" w:eastAsia="Arial" w:hAnsi="Arial"/>
          <w:sz w:val="20"/>
          <w:szCs w:val="20"/>
          <w:color w:val="2A2A2A"/>
        </w:rPr>
        <w:t>Compound annual revenue growth for 2021-2023 was 6.6%, which was below the median competitor comparison. It is important to note that the median growth rate of Semiconductor Peers includes the benefit of acquisitions, whereas TI’s growth rate is entirely organic.</w:t>
      </w:r>
    </w:p>
    <w:p>
      <w:pPr>
        <w:spacing w:after="0" w:line="9" w:lineRule="exact"/>
        <w:rPr>
          <w:rFonts w:ascii="Arial" w:cs="Arial" w:eastAsia="Arial" w:hAnsi="Arial"/>
          <w:sz w:val="20"/>
          <w:szCs w:val="20"/>
          <w:color w:val="2A2A2A"/>
        </w:rPr>
      </w:pPr>
    </w:p>
    <w:p>
      <w:pPr>
        <w:ind w:left="1080" w:right="380" w:hanging="361"/>
        <w:spacing w:after="0" w:line="287" w:lineRule="auto"/>
        <w:tabs>
          <w:tab w:leader="none" w:pos="1080" w:val="left"/>
        </w:tabs>
        <w:numPr>
          <w:ilvl w:val="1"/>
          <w:numId w:val="120"/>
        </w:numPr>
        <w:rPr>
          <w:rFonts w:ascii="Arial" w:cs="Arial" w:eastAsia="Arial" w:hAnsi="Arial"/>
          <w:sz w:val="20"/>
          <w:szCs w:val="20"/>
          <w:color w:val="2A2A2A"/>
        </w:rPr>
      </w:pPr>
      <w:r>
        <w:rPr>
          <w:rFonts w:ascii="Arial" w:cs="Arial" w:eastAsia="Arial" w:hAnsi="Arial"/>
          <w:sz w:val="20"/>
          <w:szCs w:val="20"/>
          <w:color w:val="2A2A2A"/>
        </w:rPr>
        <w:t>Average operating profit margin for 2021-2023 was 47.3%, which was above the median competitor comparison.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2A2A2A"/>
        </w:rPr>
        <w:t>Total shareholder return (TSR)</w:t>
      </w:r>
    </w:p>
    <w:p>
      <w:pPr>
        <w:spacing w:after="0" w:line="248" w:lineRule="exact"/>
        <w:rPr>
          <w:sz w:val="20"/>
          <w:szCs w:val="20"/>
          <w:color w:val="auto"/>
        </w:rPr>
      </w:pPr>
    </w:p>
    <w:p>
      <w:pPr>
        <w:ind w:left="720" w:hanging="361"/>
        <w:spacing w:after="0"/>
        <w:tabs>
          <w:tab w:leader="none" w:pos="720" w:val="left"/>
        </w:tabs>
        <w:numPr>
          <w:ilvl w:val="0"/>
          <w:numId w:val="121"/>
        </w:numPr>
        <w:rPr>
          <w:rFonts w:ascii="Arial" w:cs="Arial" w:eastAsia="Arial" w:hAnsi="Arial"/>
          <w:sz w:val="20"/>
          <w:szCs w:val="20"/>
          <w:color w:val="2A2A2A"/>
        </w:rPr>
      </w:pPr>
      <w:r>
        <w:rPr>
          <w:rFonts w:ascii="Arial" w:cs="Arial" w:eastAsia="Arial" w:hAnsi="Arial"/>
          <w:sz w:val="20"/>
          <w:szCs w:val="20"/>
          <w:color w:val="2A2A2A"/>
        </w:rPr>
        <w:t>One-year TSR was 6.4%, below the median TSR as compared with Semiconductor Peers.</w:t>
      </w:r>
    </w:p>
    <w:p>
      <w:pPr>
        <w:spacing w:after="0" w:line="70" w:lineRule="exact"/>
        <w:rPr>
          <w:rFonts w:ascii="Arial" w:cs="Arial" w:eastAsia="Arial" w:hAnsi="Arial"/>
          <w:sz w:val="20"/>
          <w:szCs w:val="20"/>
          <w:color w:val="2A2A2A"/>
        </w:rPr>
      </w:pPr>
    </w:p>
    <w:p>
      <w:pPr>
        <w:ind w:left="720" w:right="80" w:hanging="361"/>
        <w:spacing w:after="0" w:line="262" w:lineRule="auto"/>
        <w:tabs>
          <w:tab w:leader="none" w:pos="720" w:val="left"/>
        </w:tabs>
        <w:numPr>
          <w:ilvl w:val="0"/>
          <w:numId w:val="121"/>
        </w:numPr>
        <w:rPr>
          <w:rFonts w:ascii="Arial" w:cs="Arial" w:eastAsia="Arial" w:hAnsi="Arial"/>
          <w:sz w:val="20"/>
          <w:szCs w:val="20"/>
          <w:color w:val="2A2A2A"/>
        </w:rPr>
      </w:pPr>
      <w:r>
        <w:rPr>
          <w:rFonts w:ascii="Arial" w:cs="Arial" w:eastAsia="Arial" w:hAnsi="Arial"/>
          <w:sz w:val="20"/>
          <w:szCs w:val="20"/>
          <w:color w:val="2A2A2A"/>
        </w:rPr>
        <w:t>The company returned $4.85 billion to shareholders in 2023 through dividends and share repurchases. The quarterly dividend rate increased 5%, marking 20 consecutive years of dividend increases. The company used $293 million to repurchase 1.8 million shares of stock. Dividend increases and share repurchases are important elements of TI’s capital management.</w:t>
      </w:r>
    </w:p>
    <w:p>
      <w:pPr>
        <w:spacing w:after="0" w:line="15" w:lineRule="exact"/>
        <w:rPr>
          <w:rFonts w:ascii="Arial" w:cs="Arial" w:eastAsia="Arial" w:hAnsi="Arial"/>
          <w:sz w:val="20"/>
          <w:szCs w:val="20"/>
          <w:color w:val="2A2A2A"/>
        </w:rPr>
      </w:pPr>
    </w:p>
    <w:p>
      <w:pPr>
        <w:ind w:left="720" w:right="120" w:hanging="361"/>
        <w:spacing w:after="0" w:line="281" w:lineRule="auto"/>
        <w:tabs>
          <w:tab w:leader="none" w:pos="720" w:val="left"/>
        </w:tabs>
        <w:numPr>
          <w:ilvl w:val="0"/>
          <w:numId w:val="121"/>
        </w:numPr>
        <w:rPr>
          <w:rFonts w:ascii="Arial" w:cs="Arial" w:eastAsia="Arial" w:hAnsi="Arial"/>
          <w:sz w:val="20"/>
          <w:szCs w:val="20"/>
          <w:color w:val="2A2A2A"/>
        </w:rPr>
      </w:pPr>
      <w:r>
        <w:rPr>
          <w:rFonts w:ascii="Arial" w:cs="Arial" w:eastAsia="Arial" w:hAnsi="Arial"/>
          <w:sz w:val="20"/>
          <w:szCs w:val="20"/>
          <w:color w:val="2A2A2A"/>
        </w:rPr>
        <w:t>The balance sheet remained robust, ending the year with total cash (cash and cash equivalents plus short-term investments) of $8.58 billion.</w:t>
      </w:r>
    </w:p>
    <w:p>
      <w:pPr>
        <w:spacing w:after="0" w:line="1" w:lineRule="exact"/>
        <w:rPr>
          <w:rFonts w:ascii="Arial" w:cs="Arial" w:eastAsia="Arial" w:hAnsi="Arial"/>
          <w:sz w:val="20"/>
          <w:szCs w:val="20"/>
          <w:color w:val="2A2A2A"/>
        </w:rPr>
      </w:pPr>
    </w:p>
    <w:p>
      <w:pPr>
        <w:ind w:left="720" w:hanging="361"/>
        <w:spacing w:after="0"/>
        <w:tabs>
          <w:tab w:leader="none" w:pos="720" w:val="left"/>
        </w:tabs>
        <w:numPr>
          <w:ilvl w:val="0"/>
          <w:numId w:val="121"/>
        </w:numPr>
        <w:rPr>
          <w:rFonts w:ascii="Arial" w:cs="Arial" w:eastAsia="Arial" w:hAnsi="Arial"/>
          <w:sz w:val="20"/>
          <w:szCs w:val="20"/>
          <w:color w:val="2A2A2A"/>
        </w:rPr>
      </w:pPr>
      <w:r>
        <w:rPr>
          <w:rFonts w:ascii="Arial" w:cs="Arial" w:eastAsia="Arial" w:hAnsi="Arial"/>
          <w:sz w:val="20"/>
          <w:szCs w:val="20"/>
          <w:color w:val="2A2A2A"/>
        </w:rPr>
        <w:t>The three-year compound annual growth rate for TSR was 4.1%, below the median competitor comparison.</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38</w:t>
      </w:r>
    </w:p>
    <w:p>
      <w:pPr>
        <w:sectPr>
          <w:pgSz w:w="12240" w:h="15840" w:orient="portrait"/>
          <w:cols w:equalWidth="0" w:num="1">
            <w:col w:w="10260"/>
          </w:cols>
          <w:pgMar w:left="980" w:top="664" w:right="1000" w:bottom="33"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i w:val="1"/>
          <w:iCs w:val="1"/>
          <w:u w:val="single" w:color="auto"/>
          <w:color w:val="2A2A2A"/>
        </w:rPr>
        <w:t>Performance summary</w:t>
      </w:r>
    </w:p>
    <w:p>
      <w:pPr>
        <w:spacing w:after="0" w:line="349" w:lineRule="exact"/>
        <w:rPr>
          <w:sz w:val="20"/>
          <w:szCs w:val="20"/>
          <w:color w:val="auto"/>
        </w:rPr>
      </w:pPr>
    </w:p>
    <w:tbl>
      <w:tblPr>
        <w:tblLayout w:type="fixed"/>
        <w:tblInd w:w="981" w:type="dxa"/>
        <w:tblCellMar>
          <w:top w:w="0" w:type="dxa"/>
          <w:left w:w="0" w:type="dxa"/>
          <w:bottom w:w="0" w:type="dxa"/>
          <w:right w:w="0" w:type="dxa"/>
        </w:tblCellMar>
      </w:tblPr>
      <w:tr>
        <w:trPr>
          <w:trHeight w:val="228"/>
        </w:trPr>
        <w:tc>
          <w:tcPr>
            <w:tcW w:w="3940" w:type="dxa"/>
            <w:vAlign w:val="bottom"/>
            <w:tcBorders>
              <w:bottom w:val="single" w:sz="8" w:color="2A2A2A"/>
            </w:tcBorders>
          </w:tcPr>
          <w:p>
            <w:pPr>
              <w:spacing w:after="0"/>
              <w:rPr>
                <w:sz w:val="19"/>
                <w:szCs w:val="19"/>
                <w:color w:val="auto"/>
              </w:rPr>
            </w:pPr>
          </w:p>
        </w:tc>
        <w:tc>
          <w:tcPr>
            <w:tcW w:w="2080" w:type="dxa"/>
            <w:vAlign w:val="bottom"/>
            <w:tcBorders>
              <w:bottom w:val="single" w:sz="8" w:color="2A2A2A"/>
            </w:tcBorders>
          </w:tcPr>
          <w:p>
            <w:pPr>
              <w:jc w:val="right"/>
              <w:ind w:right="285"/>
              <w:spacing w:after="0"/>
              <w:rPr>
                <w:sz w:val="20"/>
                <w:szCs w:val="20"/>
                <w:color w:val="auto"/>
              </w:rPr>
            </w:pPr>
            <w:r>
              <w:rPr>
                <w:rFonts w:ascii="Arial" w:cs="Arial" w:eastAsia="Arial" w:hAnsi="Arial"/>
                <w:sz w:val="16"/>
                <w:szCs w:val="16"/>
                <w:b w:val="1"/>
                <w:bCs w:val="1"/>
                <w:color w:val="2A2A2A"/>
              </w:rPr>
              <w:t>One-Year</w:t>
            </w:r>
          </w:p>
        </w:tc>
        <w:tc>
          <w:tcPr>
            <w:tcW w:w="2080" w:type="dxa"/>
            <w:vAlign w:val="bottom"/>
            <w:tcBorders>
              <w:bottom w:val="single" w:sz="8" w:color="2A2A2A"/>
            </w:tcBorders>
            <w:gridSpan w:val="2"/>
          </w:tcPr>
          <w:p>
            <w:pPr>
              <w:ind w:left="580"/>
              <w:spacing w:after="0"/>
              <w:rPr>
                <w:sz w:val="20"/>
                <w:szCs w:val="20"/>
                <w:color w:val="auto"/>
              </w:rPr>
            </w:pPr>
            <w:r>
              <w:rPr>
                <w:rFonts w:ascii="Arial" w:cs="Arial" w:eastAsia="Arial" w:hAnsi="Arial"/>
                <w:sz w:val="16"/>
                <w:szCs w:val="16"/>
                <w:b w:val="1"/>
                <w:bCs w:val="1"/>
                <w:color w:val="2A2A2A"/>
              </w:rPr>
              <w:t>Three-Year</w:t>
            </w:r>
          </w:p>
        </w:tc>
      </w:tr>
      <w:tr>
        <w:trPr>
          <w:trHeight w:val="277"/>
        </w:trPr>
        <w:tc>
          <w:tcPr>
            <w:tcW w:w="39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Revenue growth: total TI</w:t>
            </w:r>
          </w:p>
        </w:tc>
        <w:tc>
          <w:tcPr>
            <w:tcW w:w="2080" w:type="dxa"/>
            <w:vAlign w:val="bottom"/>
            <w:shd w:val="clear" w:color="auto" w:fill="D7D7D7"/>
          </w:tcPr>
          <w:p>
            <w:pPr>
              <w:jc w:val="right"/>
              <w:ind w:right="305"/>
              <w:spacing w:after="0"/>
              <w:rPr>
                <w:sz w:val="20"/>
                <w:szCs w:val="20"/>
                <w:color w:val="auto"/>
              </w:rPr>
            </w:pPr>
            <w:r>
              <w:rPr>
                <w:rFonts w:ascii="Arial" w:cs="Arial" w:eastAsia="Arial" w:hAnsi="Arial"/>
                <w:sz w:val="20"/>
                <w:szCs w:val="20"/>
                <w:color w:val="2A2A2A"/>
              </w:rPr>
              <w:t>-12.5%</w:t>
            </w:r>
          </w:p>
        </w:tc>
        <w:tc>
          <w:tcPr>
            <w:tcW w:w="10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6.6%</w:t>
            </w:r>
          </w:p>
        </w:tc>
        <w:tc>
          <w:tcPr>
            <w:tcW w:w="1080" w:type="dxa"/>
            <w:vAlign w:val="bottom"/>
            <w:shd w:val="clear" w:color="auto" w:fill="D7D7D7"/>
          </w:tcPr>
          <w:p>
            <w:pPr>
              <w:ind w:left="20"/>
              <w:spacing w:after="0"/>
              <w:rPr>
                <w:sz w:val="20"/>
                <w:szCs w:val="20"/>
                <w:color w:val="auto"/>
              </w:rPr>
            </w:pPr>
            <w:r>
              <w:rPr>
                <w:rFonts w:ascii="Arial" w:cs="Arial" w:eastAsia="Arial" w:hAnsi="Arial"/>
                <w:sz w:val="20"/>
                <w:szCs w:val="20"/>
                <w:color w:val="2A2A2A"/>
              </w:rPr>
              <w:t>CAGR *</w:t>
            </w:r>
          </w:p>
        </w:tc>
      </w:tr>
      <w:tr>
        <w:trPr>
          <w:trHeight w:val="283"/>
        </w:trPr>
        <w:tc>
          <w:tcPr>
            <w:tcW w:w="3940" w:type="dxa"/>
            <w:vAlign w:val="bottom"/>
          </w:tcPr>
          <w:p>
            <w:pPr>
              <w:ind w:left="60"/>
              <w:spacing w:after="0"/>
              <w:rPr>
                <w:sz w:val="20"/>
                <w:szCs w:val="20"/>
                <w:color w:val="auto"/>
              </w:rPr>
            </w:pPr>
            <w:r>
              <w:rPr>
                <w:rFonts w:ascii="Arial" w:cs="Arial" w:eastAsia="Arial" w:hAnsi="Arial"/>
                <w:sz w:val="20"/>
                <w:szCs w:val="20"/>
                <w:color w:val="2A2A2A"/>
              </w:rPr>
              <w:t>Operating profit margin</w:t>
            </w:r>
          </w:p>
        </w:tc>
        <w:tc>
          <w:tcPr>
            <w:tcW w:w="2080" w:type="dxa"/>
            <w:vAlign w:val="bottom"/>
          </w:tcPr>
          <w:p>
            <w:pPr>
              <w:jc w:val="right"/>
              <w:ind w:right="305"/>
              <w:spacing w:after="0"/>
              <w:rPr>
                <w:sz w:val="20"/>
                <w:szCs w:val="20"/>
                <w:color w:val="auto"/>
              </w:rPr>
            </w:pPr>
            <w:r>
              <w:rPr>
                <w:rFonts w:ascii="Arial" w:cs="Arial" w:eastAsia="Arial" w:hAnsi="Arial"/>
                <w:sz w:val="20"/>
                <w:szCs w:val="20"/>
                <w:color w:val="2A2A2A"/>
              </w:rPr>
              <w:t>41.8%</w:t>
            </w:r>
          </w:p>
        </w:tc>
        <w:tc>
          <w:tcPr>
            <w:tcW w:w="1000" w:type="dxa"/>
            <w:vAlign w:val="bottom"/>
          </w:tcPr>
          <w:p>
            <w:pPr>
              <w:jc w:val="right"/>
              <w:spacing w:after="0"/>
              <w:rPr>
                <w:sz w:val="20"/>
                <w:szCs w:val="20"/>
                <w:color w:val="auto"/>
              </w:rPr>
            </w:pPr>
            <w:r>
              <w:rPr>
                <w:rFonts w:ascii="Arial" w:cs="Arial" w:eastAsia="Arial" w:hAnsi="Arial"/>
                <w:sz w:val="20"/>
                <w:szCs w:val="20"/>
                <w:color w:val="2A2A2A"/>
              </w:rPr>
              <w:t>47.3%</w:t>
            </w:r>
          </w:p>
        </w:tc>
        <w:tc>
          <w:tcPr>
            <w:tcW w:w="1080" w:type="dxa"/>
            <w:vAlign w:val="bottom"/>
          </w:tcPr>
          <w:p>
            <w:pPr>
              <w:ind w:left="20"/>
              <w:spacing w:after="0"/>
              <w:rPr>
                <w:sz w:val="20"/>
                <w:szCs w:val="20"/>
                <w:color w:val="auto"/>
              </w:rPr>
            </w:pPr>
            <w:r>
              <w:rPr>
                <w:rFonts w:ascii="Arial" w:cs="Arial" w:eastAsia="Arial" w:hAnsi="Arial"/>
                <w:sz w:val="20"/>
                <w:szCs w:val="20"/>
                <w:color w:val="2A2A2A"/>
              </w:rPr>
              <w:t>average</w:t>
            </w:r>
          </w:p>
        </w:tc>
      </w:tr>
      <w:tr>
        <w:trPr>
          <w:trHeight w:val="287"/>
        </w:trPr>
        <w:tc>
          <w:tcPr>
            <w:tcW w:w="39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Total shareholder return (TSR) **</w:t>
            </w:r>
          </w:p>
        </w:tc>
        <w:tc>
          <w:tcPr>
            <w:tcW w:w="2080" w:type="dxa"/>
            <w:vAlign w:val="bottom"/>
            <w:shd w:val="clear" w:color="auto" w:fill="D7D7D7"/>
          </w:tcPr>
          <w:p>
            <w:pPr>
              <w:jc w:val="right"/>
              <w:ind w:right="305"/>
              <w:spacing w:after="0"/>
              <w:rPr>
                <w:sz w:val="20"/>
                <w:szCs w:val="20"/>
                <w:color w:val="auto"/>
              </w:rPr>
            </w:pPr>
            <w:r>
              <w:rPr>
                <w:rFonts w:ascii="Arial" w:cs="Arial" w:eastAsia="Arial" w:hAnsi="Arial"/>
                <w:sz w:val="20"/>
                <w:szCs w:val="20"/>
                <w:color w:val="2A2A2A"/>
              </w:rPr>
              <w:t>6.4%</w:t>
            </w:r>
          </w:p>
        </w:tc>
        <w:tc>
          <w:tcPr>
            <w:tcW w:w="10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4.1 %</w:t>
            </w:r>
          </w:p>
        </w:tc>
        <w:tc>
          <w:tcPr>
            <w:tcW w:w="1080" w:type="dxa"/>
            <w:vAlign w:val="bottom"/>
            <w:shd w:val="clear" w:color="auto" w:fill="D7D7D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-554990</wp:posOffset>
            </wp:positionV>
            <wp:extent cx="141605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16050" cy="25400"/>
                    </a:xfrm>
                    <a:prstGeom prst="rect">
                      <a:avLst/>
                    </a:prstGeom>
                    <a:noFill/>
                  </pic:spPr>
                </pic:pic>
              </a:graphicData>
            </a:graphic>
          </wp:anchor>
        </w:drawing>
      </w:r>
    </w:p>
    <w:p>
      <w:pPr>
        <w:spacing w:after="0" w:line="145" w:lineRule="exact"/>
        <w:rPr>
          <w:sz w:val="20"/>
          <w:szCs w:val="20"/>
          <w:color w:val="auto"/>
        </w:rPr>
      </w:pPr>
    </w:p>
    <w:p>
      <w:pPr>
        <w:ind w:left="1341" w:right="1420" w:hanging="351"/>
        <w:spacing w:after="0" w:line="291" w:lineRule="auto"/>
        <w:tabs>
          <w:tab w:leader="none" w:pos="1341" w:val="left"/>
        </w:tabs>
        <w:numPr>
          <w:ilvl w:val="0"/>
          <w:numId w:val="122"/>
        </w:numPr>
        <w:rPr>
          <w:rFonts w:ascii="Arial" w:cs="Arial" w:eastAsia="Arial" w:hAnsi="Arial"/>
          <w:sz w:val="20"/>
          <w:szCs w:val="20"/>
          <w:color w:val="2A2A2A"/>
        </w:rPr>
      </w:pPr>
      <w:r>
        <w:rPr>
          <w:rFonts w:ascii="Arial" w:cs="Arial" w:eastAsia="Arial" w:hAnsi="Arial"/>
          <w:sz w:val="20"/>
          <w:szCs w:val="20"/>
          <w:color w:val="2A2A2A"/>
        </w:rPr>
        <w:t>CAGR (compound annual growth rate) is calculated using the formula (Ending Value/ Beginning Value)</w:t>
      </w:r>
      <w:r>
        <w:rPr>
          <w:rFonts w:ascii="Arial" w:cs="Arial" w:eastAsia="Arial" w:hAnsi="Arial"/>
          <w:sz w:val="23"/>
          <w:szCs w:val="23"/>
          <w:color w:val="2A2A2A"/>
          <w:vertAlign w:val="superscript"/>
        </w:rPr>
        <w:t>1/number of years</w:t>
      </w:r>
      <w:r>
        <w:rPr>
          <w:rFonts w:ascii="Arial" w:cs="Arial" w:eastAsia="Arial" w:hAnsi="Arial"/>
          <w:sz w:val="20"/>
          <w:szCs w:val="20"/>
          <w:color w:val="2A2A2A"/>
        </w:rPr>
        <w:t xml:space="preserve"> minus 1.</w:t>
      </w:r>
    </w:p>
    <w:p>
      <w:pPr>
        <w:ind w:left="1341" w:right="1120" w:hanging="351"/>
        <w:spacing w:after="0" w:line="268" w:lineRule="auto"/>
        <w:tabs>
          <w:tab w:leader="none" w:pos="1341" w:val="left"/>
        </w:tabs>
        <w:numPr>
          <w:ilvl w:val="0"/>
          <w:numId w:val="123"/>
        </w:numPr>
        <w:rPr>
          <w:rFonts w:ascii="Arial" w:cs="Arial" w:eastAsia="Arial" w:hAnsi="Arial"/>
          <w:sz w:val="20"/>
          <w:szCs w:val="20"/>
          <w:color w:val="2A2A2A"/>
        </w:rPr>
      </w:pPr>
      <w:r>
        <w:rPr>
          <w:rFonts w:ascii="Arial" w:cs="Arial" w:eastAsia="Arial" w:hAnsi="Arial"/>
          <w:sz w:val="20"/>
          <w:szCs w:val="20"/>
          <w:color w:val="2A2A2A"/>
        </w:rPr>
        <w:t>One-year and three-year TSR percentages are obtained from a report generated using a subscription service to Equilar, an executive compensation and corporate governance data firm.</w:t>
      </w:r>
    </w:p>
    <w:p>
      <w:pPr>
        <w:spacing w:after="0" w:line="190" w:lineRule="exact"/>
        <w:rPr>
          <w:sz w:val="20"/>
          <w:szCs w:val="20"/>
          <w:color w:val="auto"/>
        </w:rPr>
      </w:pPr>
    </w:p>
    <w:p>
      <w:pPr>
        <w:ind w:left="1" w:right="660"/>
        <w:spacing w:after="0" w:line="259" w:lineRule="auto"/>
        <w:rPr>
          <w:sz w:val="20"/>
          <w:szCs w:val="20"/>
          <w:color w:val="auto"/>
        </w:rPr>
      </w:pPr>
      <w:r>
        <w:rPr>
          <w:rFonts w:ascii="Arial" w:cs="Arial" w:eastAsia="Arial" w:hAnsi="Arial"/>
          <w:sz w:val="20"/>
          <w:szCs w:val="20"/>
          <w:color w:val="2A2A2A"/>
        </w:rPr>
        <w:t>Before setting the bonuses for the named executive officers, the committee considered the officers’ individual performance. The performance of both individuals serving as CEO in 2023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99" w:lineRule="exact"/>
        <w:rPr>
          <w:sz w:val="20"/>
          <w:szCs w:val="20"/>
          <w:color w:val="auto"/>
        </w:rPr>
      </w:pPr>
    </w:p>
    <w:p>
      <w:pPr>
        <w:ind w:left="1" w:right="120"/>
        <w:spacing w:after="0" w:line="268" w:lineRule="auto"/>
        <w:rPr>
          <w:sz w:val="20"/>
          <w:szCs w:val="20"/>
          <w:color w:val="auto"/>
        </w:rPr>
      </w:pPr>
      <w:r>
        <w:rPr>
          <w:rFonts w:ascii="Arial" w:cs="Arial" w:eastAsia="Arial" w:hAnsi="Arial"/>
          <w:sz w:val="20"/>
          <w:szCs w:val="20"/>
          <w:color w:val="2A2A2A"/>
        </w:rPr>
        <w:t>Mr. Ilan served as COO until transitioning to CEO, effective April 1, 2023. The committee determined Mr. Ilan’s bonus by assessing the competitive market range of bonuses for similarly situated CEOs in the Comparator Group, pro-rated for time served as CEO and reduced by 10% to reflect the company’s 2023 relative performance result.</w:t>
      </w:r>
    </w:p>
    <w:p>
      <w:pPr>
        <w:spacing w:after="0" w:line="190" w:lineRule="exact"/>
        <w:rPr>
          <w:sz w:val="20"/>
          <w:szCs w:val="20"/>
          <w:color w:val="auto"/>
        </w:rPr>
      </w:pPr>
    </w:p>
    <w:p>
      <w:pPr>
        <w:jc w:val="both"/>
        <w:ind w:left="1" w:right="400"/>
        <w:spacing w:after="0" w:line="268" w:lineRule="auto"/>
        <w:rPr>
          <w:sz w:val="20"/>
          <w:szCs w:val="20"/>
          <w:color w:val="auto"/>
        </w:rPr>
      </w:pPr>
      <w:r>
        <w:rPr>
          <w:rFonts w:ascii="Arial" w:cs="Arial" w:eastAsia="Arial" w:hAnsi="Arial"/>
          <w:sz w:val="20"/>
          <w:szCs w:val="20"/>
          <w:color w:val="2A2A2A"/>
        </w:rPr>
        <w:t>Mr. Templeton served as CEO until transitioning to chairman of the board, effective April 1, 2023. The committee noted Mr. Templeton’s contributions in first quarter 2023 as CEO, followed by his continuing contributions to the company’s strategic progress in his role as chairman of the board.</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Mr. Lizardi is the chief financial officer. The committee noted the financial management of the company.</w:t>
      </w:r>
    </w:p>
    <w:p>
      <w:pPr>
        <w:spacing w:after="0" w:line="250" w:lineRule="exact"/>
        <w:rPr>
          <w:sz w:val="20"/>
          <w:szCs w:val="20"/>
          <w:color w:val="auto"/>
        </w:rPr>
      </w:pPr>
    </w:p>
    <w:p>
      <w:pPr>
        <w:ind w:left="1" w:right="500"/>
        <w:spacing w:after="0" w:line="287" w:lineRule="auto"/>
        <w:rPr>
          <w:sz w:val="20"/>
          <w:szCs w:val="20"/>
          <w:color w:val="auto"/>
        </w:rPr>
      </w:pPr>
      <w:r>
        <w:rPr>
          <w:rFonts w:ascii="Arial" w:cs="Arial" w:eastAsia="Arial" w:hAnsi="Arial"/>
          <w:sz w:val="20"/>
          <w:szCs w:val="20"/>
          <w:color w:val="2A2A2A"/>
        </w:rPr>
        <w:t>Mr. Kozanian is responsible for our analog signal chain product line within our analog business. The committee noted the financial performance and strategic position of this product line.</w:t>
      </w:r>
    </w:p>
    <w:p>
      <w:pPr>
        <w:spacing w:after="0" w:line="170" w:lineRule="exact"/>
        <w:rPr>
          <w:sz w:val="20"/>
          <w:szCs w:val="20"/>
          <w:color w:val="auto"/>
        </w:rPr>
      </w:pPr>
    </w:p>
    <w:p>
      <w:pPr>
        <w:ind w:left="1" w:right="560"/>
        <w:spacing w:after="0" w:line="314" w:lineRule="auto"/>
        <w:rPr>
          <w:sz w:val="20"/>
          <w:szCs w:val="20"/>
          <w:color w:val="auto"/>
        </w:rPr>
      </w:pPr>
      <w:r>
        <w:rPr>
          <w:rFonts w:ascii="Arial" w:cs="Arial" w:eastAsia="Arial" w:hAnsi="Arial"/>
          <w:sz w:val="19"/>
          <w:szCs w:val="19"/>
          <w:color w:val="2A2A2A"/>
        </w:rPr>
        <w:t>Mr. Flessner was responsible for our semiconductor technology and manufacturing operations. The committee noted the performance of those operations, including their cost-competitiveness and inventory management.</w:t>
      </w:r>
    </w:p>
    <w:p>
      <w:pPr>
        <w:spacing w:after="0" w:line="148" w:lineRule="exact"/>
        <w:rPr>
          <w:sz w:val="20"/>
          <w:szCs w:val="20"/>
          <w:color w:val="auto"/>
        </w:rPr>
      </w:pPr>
    </w:p>
    <w:p>
      <w:pPr>
        <w:ind w:left="1" w:right="700"/>
        <w:spacing w:after="0" w:line="314" w:lineRule="auto"/>
        <w:rPr>
          <w:sz w:val="20"/>
          <w:szCs w:val="20"/>
          <w:color w:val="auto"/>
        </w:rPr>
      </w:pPr>
      <w:r>
        <w:rPr>
          <w:rFonts w:ascii="Arial" w:cs="Arial" w:eastAsia="Arial" w:hAnsi="Arial"/>
          <w:sz w:val="19"/>
          <w:szCs w:val="19"/>
          <w:color w:val="2A2A2A"/>
        </w:rPr>
        <w:t>Mr. Ron is responsible for the company’s embedded processing business. The committee noted the financial performance and strategic position of the operations and product lines for which he was responsible.</w:t>
      </w:r>
    </w:p>
    <w:p>
      <w:pPr>
        <w:spacing w:after="0" w:line="148" w:lineRule="exact"/>
        <w:rPr>
          <w:sz w:val="20"/>
          <w:szCs w:val="20"/>
          <w:color w:val="auto"/>
        </w:rPr>
      </w:pPr>
    </w:p>
    <w:p>
      <w:pPr>
        <w:ind w:left="1" w:right="80"/>
        <w:spacing w:after="0" w:line="262" w:lineRule="auto"/>
        <w:rPr>
          <w:sz w:val="20"/>
          <w:szCs w:val="20"/>
          <w:color w:val="auto"/>
        </w:rPr>
      </w:pPr>
      <w:r>
        <w:rPr>
          <w:rFonts w:ascii="Arial" w:cs="Arial" w:eastAsia="Arial" w:hAnsi="Arial"/>
          <w:sz w:val="20"/>
          <w:szCs w:val="20"/>
          <w:color w:val="2A2A2A"/>
        </w:rPr>
        <w:t>The bonuses awarded for 2023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97"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430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Officer</w:t>
            </w:r>
          </w:p>
        </w:tc>
        <w:tc>
          <w:tcPr>
            <w:tcW w:w="4360" w:type="dxa"/>
            <w:vAlign w:val="bottom"/>
            <w:tcBorders>
              <w:bottom w:val="single" w:sz="8" w:color="2A2A2A"/>
            </w:tcBorders>
          </w:tcPr>
          <w:p>
            <w:pPr>
              <w:jc w:val="center"/>
              <w:ind w:left="1323"/>
              <w:spacing w:after="0"/>
              <w:rPr>
                <w:sz w:val="20"/>
                <w:szCs w:val="20"/>
                <w:color w:val="auto"/>
              </w:rPr>
            </w:pPr>
            <w:r>
              <w:rPr>
                <w:rFonts w:ascii="Arial" w:cs="Arial" w:eastAsia="Arial" w:hAnsi="Arial"/>
                <w:sz w:val="16"/>
                <w:szCs w:val="16"/>
                <w:b w:val="1"/>
                <w:bCs w:val="1"/>
                <w:color w:val="2A2A2A"/>
              </w:rPr>
              <w:t>2023 Bonus</w:t>
            </w:r>
          </w:p>
        </w:tc>
        <w:tc>
          <w:tcPr>
            <w:tcW w:w="1620" w:type="dxa"/>
            <w:vAlign w:val="bottom"/>
            <w:tcBorders>
              <w:bottom w:val="single" w:sz="8" w:color="2A2A2A"/>
            </w:tcBorders>
            <w:gridSpan w:val="2"/>
          </w:tcPr>
          <w:p>
            <w:pPr>
              <w:jc w:val="center"/>
              <w:ind w:right="440"/>
              <w:spacing w:after="0"/>
              <w:rPr>
                <w:sz w:val="20"/>
                <w:szCs w:val="20"/>
                <w:color w:val="auto"/>
              </w:rPr>
            </w:pPr>
            <w:r>
              <w:rPr>
                <w:rFonts w:ascii="Arial" w:cs="Arial" w:eastAsia="Arial" w:hAnsi="Arial"/>
                <w:sz w:val="16"/>
                <w:szCs w:val="16"/>
                <w:b w:val="1"/>
                <w:bCs w:val="1"/>
                <w:color w:val="2A2A2A"/>
              </w:rPr>
              <w:t>2022 Bonus</w:t>
            </w:r>
          </w:p>
        </w:tc>
      </w:tr>
      <w:tr>
        <w:trPr>
          <w:trHeight w:val="277"/>
        </w:trPr>
        <w:tc>
          <w:tcPr>
            <w:tcW w:w="43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4360" w:type="dxa"/>
            <w:vAlign w:val="bottom"/>
            <w:shd w:val="clear" w:color="auto" w:fill="D7D7D7"/>
          </w:tcPr>
          <w:p>
            <w:pPr>
              <w:jc w:val="center"/>
              <w:ind w:left="1303"/>
              <w:spacing w:after="0"/>
              <w:rPr>
                <w:sz w:val="20"/>
                <w:szCs w:val="20"/>
                <w:color w:val="auto"/>
              </w:rPr>
            </w:pPr>
            <w:r>
              <w:rPr>
                <w:rFonts w:ascii="Arial" w:cs="Arial" w:eastAsia="Arial" w:hAnsi="Arial"/>
                <w:sz w:val="20"/>
                <w:szCs w:val="20"/>
                <w:color w:val="2A2A2A"/>
                <w:w w:val="98"/>
              </w:rPr>
              <w:t>$ 2,500,000</w:t>
            </w:r>
          </w:p>
        </w:tc>
        <w:tc>
          <w:tcPr>
            <w:tcW w:w="1180" w:type="dxa"/>
            <w:vAlign w:val="bottom"/>
            <w:shd w:val="clear" w:color="auto" w:fill="D6D6D6"/>
          </w:tcPr>
          <w:p>
            <w:pPr>
              <w:jc w:val="center"/>
              <w:spacing w:after="0"/>
              <w:rPr>
                <w:sz w:val="20"/>
                <w:szCs w:val="20"/>
                <w:color w:val="auto"/>
              </w:rPr>
            </w:pPr>
            <w:r>
              <w:rPr>
                <w:rFonts w:ascii="Arial" w:cs="Arial" w:eastAsia="Arial" w:hAnsi="Arial"/>
                <w:sz w:val="20"/>
                <w:szCs w:val="20"/>
                <w:color w:val="2A2A2A"/>
              </w:rPr>
              <w:t>$ 2,070,000</w:t>
            </w:r>
          </w:p>
        </w:tc>
        <w:tc>
          <w:tcPr>
            <w:tcW w:w="440" w:type="dxa"/>
            <w:vAlign w:val="bottom"/>
            <w:shd w:val="clear" w:color="auto" w:fill="D7D7D7"/>
          </w:tcPr>
          <w:p>
            <w:pPr>
              <w:spacing w:after="0"/>
              <w:rPr>
                <w:sz w:val="24"/>
                <w:szCs w:val="24"/>
                <w:color w:val="auto"/>
              </w:rPr>
            </w:pPr>
          </w:p>
        </w:tc>
      </w:tr>
      <w:tr>
        <w:trPr>
          <w:trHeight w:val="285"/>
        </w:trPr>
        <w:tc>
          <w:tcPr>
            <w:tcW w:w="430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4360" w:type="dxa"/>
            <w:vAlign w:val="bottom"/>
          </w:tcPr>
          <w:p>
            <w:pPr>
              <w:jc w:val="center"/>
              <w:ind w:left="1303"/>
              <w:spacing w:after="0"/>
              <w:rPr>
                <w:sz w:val="20"/>
                <w:szCs w:val="20"/>
                <w:color w:val="auto"/>
              </w:rPr>
            </w:pPr>
            <w:r>
              <w:rPr>
                <w:rFonts w:ascii="Arial" w:cs="Arial" w:eastAsia="Arial" w:hAnsi="Arial"/>
                <w:sz w:val="20"/>
                <w:szCs w:val="20"/>
                <w:color w:val="2A2A2A"/>
                <w:w w:val="98"/>
              </w:rPr>
              <w:t>$ 2,000,000</w:t>
            </w:r>
          </w:p>
        </w:tc>
        <w:tc>
          <w:tcPr>
            <w:tcW w:w="1180" w:type="dxa"/>
            <w:vAlign w:val="bottom"/>
          </w:tcPr>
          <w:p>
            <w:pPr>
              <w:jc w:val="center"/>
              <w:spacing w:after="0"/>
              <w:rPr>
                <w:sz w:val="20"/>
                <w:szCs w:val="20"/>
                <w:color w:val="auto"/>
              </w:rPr>
            </w:pPr>
            <w:r>
              <w:rPr>
                <w:rFonts w:ascii="Arial" w:cs="Arial" w:eastAsia="Arial" w:hAnsi="Arial"/>
                <w:sz w:val="20"/>
                <w:szCs w:val="20"/>
                <w:color w:val="2A2A2A"/>
              </w:rPr>
              <w:t>$ 4,550,000</w:t>
            </w:r>
          </w:p>
        </w:tc>
        <w:tc>
          <w:tcPr>
            <w:tcW w:w="440" w:type="dxa"/>
            <w:vAlign w:val="bottom"/>
          </w:tcPr>
          <w:p>
            <w:pPr>
              <w:spacing w:after="0"/>
              <w:rPr>
                <w:sz w:val="24"/>
                <w:szCs w:val="24"/>
                <w:color w:val="auto"/>
              </w:rPr>
            </w:pPr>
          </w:p>
        </w:tc>
      </w:tr>
      <w:tr>
        <w:trPr>
          <w:trHeight w:val="285"/>
        </w:trPr>
        <w:tc>
          <w:tcPr>
            <w:tcW w:w="43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4360" w:type="dxa"/>
            <w:vAlign w:val="bottom"/>
            <w:shd w:val="clear" w:color="auto" w:fill="D7D7D7"/>
          </w:tcPr>
          <w:p>
            <w:pPr>
              <w:jc w:val="center"/>
              <w:ind w:left="1303"/>
              <w:spacing w:after="0"/>
              <w:rPr>
                <w:sz w:val="20"/>
                <w:szCs w:val="20"/>
                <w:color w:val="auto"/>
              </w:rPr>
            </w:pPr>
            <w:r>
              <w:rPr>
                <w:rFonts w:ascii="Arial" w:cs="Arial" w:eastAsia="Arial" w:hAnsi="Arial"/>
                <w:sz w:val="20"/>
                <w:szCs w:val="20"/>
                <w:color w:val="2A2A2A"/>
                <w:w w:val="98"/>
              </w:rPr>
              <w:t>$ 1,090,000</w:t>
            </w:r>
          </w:p>
        </w:tc>
        <w:tc>
          <w:tcPr>
            <w:tcW w:w="1180" w:type="dxa"/>
            <w:vAlign w:val="bottom"/>
            <w:shd w:val="clear" w:color="auto" w:fill="D6D6D6"/>
          </w:tcPr>
          <w:p>
            <w:pPr>
              <w:jc w:val="center"/>
              <w:spacing w:after="0"/>
              <w:rPr>
                <w:sz w:val="20"/>
                <w:szCs w:val="20"/>
                <w:color w:val="auto"/>
              </w:rPr>
            </w:pPr>
            <w:r>
              <w:rPr>
                <w:rFonts w:ascii="Arial" w:cs="Arial" w:eastAsia="Arial" w:hAnsi="Arial"/>
                <w:sz w:val="20"/>
                <w:szCs w:val="20"/>
                <w:color w:val="2A2A2A"/>
              </w:rPr>
              <w:t>$ 1,210,000</w:t>
            </w:r>
          </w:p>
        </w:tc>
        <w:tc>
          <w:tcPr>
            <w:tcW w:w="440" w:type="dxa"/>
            <w:vAlign w:val="bottom"/>
            <w:shd w:val="clear" w:color="auto" w:fill="D7D7D7"/>
          </w:tcPr>
          <w:p>
            <w:pPr>
              <w:spacing w:after="0"/>
              <w:rPr>
                <w:sz w:val="24"/>
                <w:szCs w:val="24"/>
                <w:color w:val="auto"/>
              </w:rPr>
            </w:pPr>
          </w:p>
        </w:tc>
      </w:tr>
      <w:tr>
        <w:trPr>
          <w:trHeight w:val="285"/>
        </w:trPr>
        <w:tc>
          <w:tcPr>
            <w:tcW w:w="430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4360" w:type="dxa"/>
            <w:vAlign w:val="bottom"/>
          </w:tcPr>
          <w:p>
            <w:pPr>
              <w:jc w:val="center"/>
              <w:ind w:left="1303"/>
              <w:spacing w:after="0"/>
              <w:rPr>
                <w:sz w:val="20"/>
                <w:szCs w:val="20"/>
                <w:color w:val="auto"/>
              </w:rPr>
            </w:pPr>
            <w:r>
              <w:rPr>
                <w:rFonts w:ascii="Arial" w:cs="Arial" w:eastAsia="Arial" w:hAnsi="Arial"/>
                <w:sz w:val="20"/>
                <w:szCs w:val="20"/>
                <w:color w:val="2A2A2A"/>
                <w:w w:val="98"/>
              </w:rPr>
              <w:t>$ 1,315,000</w:t>
            </w:r>
          </w:p>
        </w:tc>
        <w:tc>
          <w:tcPr>
            <w:tcW w:w="1180" w:type="dxa"/>
            <w:vAlign w:val="bottom"/>
          </w:tcPr>
          <w:p>
            <w:pPr>
              <w:jc w:val="center"/>
              <w:spacing w:after="0"/>
              <w:rPr>
                <w:sz w:val="20"/>
                <w:szCs w:val="20"/>
                <w:color w:val="auto"/>
              </w:rPr>
            </w:pPr>
            <w:r>
              <w:rPr>
                <w:rFonts w:ascii="Arial" w:cs="Arial" w:eastAsia="Arial" w:hAnsi="Arial"/>
                <w:sz w:val="20"/>
                <w:szCs w:val="20"/>
                <w:color w:val="2A2A2A"/>
              </w:rPr>
              <w:t>$ 1,460,000</w:t>
            </w:r>
          </w:p>
        </w:tc>
        <w:tc>
          <w:tcPr>
            <w:tcW w:w="440" w:type="dxa"/>
            <w:vAlign w:val="bottom"/>
          </w:tcPr>
          <w:p>
            <w:pPr>
              <w:spacing w:after="0"/>
              <w:rPr>
                <w:sz w:val="24"/>
                <w:szCs w:val="24"/>
                <w:color w:val="auto"/>
              </w:rPr>
            </w:pPr>
          </w:p>
        </w:tc>
      </w:tr>
      <w:tr>
        <w:trPr>
          <w:trHeight w:val="285"/>
        </w:trPr>
        <w:tc>
          <w:tcPr>
            <w:tcW w:w="43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4360" w:type="dxa"/>
            <w:vAlign w:val="bottom"/>
            <w:shd w:val="clear" w:color="auto" w:fill="D7D7D7"/>
          </w:tcPr>
          <w:p>
            <w:pPr>
              <w:jc w:val="center"/>
              <w:ind w:left="1303"/>
              <w:spacing w:after="0"/>
              <w:rPr>
                <w:sz w:val="20"/>
                <w:szCs w:val="20"/>
                <w:color w:val="auto"/>
              </w:rPr>
            </w:pPr>
            <w:r>
              <w:rPr>
                <w:rFonts w:ascii="Arial" w:cs="Arial" w:eastAsia="Arial" w:hAnsi="Arial"/>
                <w:sz w:val="20"/>
                <w:szCs w:val="20"/>
                <w:color w:val="2A2A2A"/>
                <w:w w:val="98"/>
              </w:rPr>
              <w:t>$ 1,315,000</w:t>
            </w:r>
          </w:p>
        </w:tc>
        <w:tc>
          <w:tcPr>
            <w:tcW w:w="1180" w:type="dxa"/>
            <w:vAlign w:val="bottom"/>
            <w:shd w:val="clear" w:color="auto" w:fill="D6D6D6"/>
          </w:tcPr>
          <w:p>
            <w:pPr>
              <w:jc w:val="center"/>
              <w:spacing w:after="0"/>
              <w:rPr>
                <w:sz w:val="20"/>
                <w:szCs w:val="20"/>
                <w:color w:val="auto"/>
              </w:rPr>
            </w:pPr>
            <w:r>
              <w:rPr>
                <w:rFonts w:ascii="Arial" w:cs="Arial" w:eastAsia="Arial" w:hAnsi="Arial"/>
                <w:sz w:val="20"/>
                <w:szCs w:val="20"/>
                <w:color w:val="2A2A2A"/>
              </w:rPr>
              <w:t>$ 1,460,000</w:t>
            </w:r>
          </w:p>
        </w:tc>
        <w:tc>
          <w:tcPr>
            <w:tcW w:w="440" w:type="dxa"/>
            <w:vAlign w:val="bottom"/>
            <w:shd w:val="clear" w:color="auto" w:fill="D7D7D7"/>
          </w:tcPr>
          <w:p>
            <w:pPr>
              <w:spacing w:after="0"/>
              <w:rPr>
                <w:sz w:val="24"/>
                <w:szCs w:val="24"/>
                <w:color w:val="auto"/>
              </w:rPr>
            </w:pPr>
          </w:p>
        </w:tc>
      </w:tr>
      <w:tr>
        <w:trPr>
          <w:trHeight w:val="285"/>
        </w:trPr>
        <w:tc>
          <w:tcPr>
            <w:tcW w:w="430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4360" w:type="dxa"/>
            <w:vAlign w:val="bottom"/>
          </w:tcPr>
          <w:p>
            <w:pPr>
              <w:jc w:val="center"/>
              <w:ind w:left="1303"/>
              <w:spacing w:after="0"/>
              <w:rPr>
                <w:sz w:val="20"/>
                <w:szCs w:val="20"/>
                <w:color w:val="auto"/>
              </w:rPr>
            </w:pPr>
            <w:r>
              <w:rPr>
                <w:rFonts w:ascii="Arial" w:cs="Arial" w:eastAsia="Arial" w:hAnsi="Arial"/>
                <w:sz w:val="20"/>
                <w:szCs w:val="20"/>
                <w:color w:val="2A2A2A"/>
                <w:w w:val="98"/>
              </w:rPr>
              <w:t>$ 1,210,000</w:t>
            </w:r>
          </w:p>
        </w:tc>
        <w:tc>
          <w:tcPr>
            <w:tcW w:w="1620" w:type="dxa"/>
            <w:vAlign w:val="bottom"/>
            <w:gridSpan w:val="2"/>
          </w:tcPr>
          <w:p>
            <w:pPr>
              <w:ind w:left="540"/>
              <w:spacing w:after="0"/>
              <w:rPr>
                <w:sz w:val="20"/>
                <w:szCs w:val="20"/>
                <w:color w:val="auto"/>
              </w:rPr>
            </w:pPr>
            <w:r>
              <w:rPr>
                <w:rFonts w:ascii="Arial" w:cs="Arial" w:eastAsia="Arial" w:hAnsi="Arial"/>
                <w:sz w:val="20"/>
                <w:szCs w:val="20"/>
                <w:color w:val="2A2A2A"/>
              </w:rPr>
              <w:t>n/a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655002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05" w:lineRule="exact"/>
        <w:rPr>
          <w:sz w:val="20"/>
          <w:szCs w:val="20"/>
          <w:color w:val="auto"/>
        </w:rPr>
      </w:pPr>
    </w:p>
    <w:p>
      <w:pPr>
        <w:ind w:left="541" w:hanging="541"/>
        <w:spacing w:after="0"/>
        <w:tabs>
          <w:tab w:leader="none" w:pos="541" w:val="left"/>
        </w:tabs>
        <w:numPr>
          <w:ilvl w:val="0"/>
          <w:numId w:val="124"/>
        </w:numPr>
        <w:rPr>
          <w:rFonts w:ascii="Arial" w:cs="Arial" w:eastAsia="Arial" w:hAnsi="Arial"/>
          <w:sz w:val="20"/>
          <w:szCs w:val="20"/>
          <w:color w:val="2A2A2A"/>
        </w:rPr>
      </w:pPr>
      <w:r>
        <w:rPr>
          <w:rFonts w:ascii="Arial" w:cs="Arial" w:eastAsia="Arial" w:hAnsi="Arial"/>
          <w:sz w:val="20"/>
          <w:szCs w:val="20"/>
          <w:color w:val="2A2A2A"/>
        </w:rPr>
        <w:t>Mr. Ron was not a named executive officer in 2022.</w:t>
      </w:r>
    </w:p>
    <w:p>
      <w:pPr>
        <w:sectPr>
          <w:pgSz w:w="12240" w:h="15840" w:orient="portrait"/>
          <w:cols w:equalWidth="0" w:num="1">
            <w:col w:w="10281"/>
          </w:cols>
          <w:pgMar w:left="979" w:top="66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39</w:t>
      </w:r>
    </w:p>
    <w:p>
      <w:pPr>
        <w:sectPr>
          <w:pgSz w:w="12240" w:h="15840" w:orient="portrait"/>
          <w:cols w:equalWidth="0" w:num="1">
            <w:col w:w="10281"/>
          </w:cols>
          <w:pgMar w:left="979" w:top="666" w:right="980" w:bottom="33" w:gutter="0" w:footer="0" w:header="0"/>
          <w:type w:val="continuous"/>
        </w:sectPr>
      </w:pPr>
    </w:p>
    <w:bookmarkStart w:id="111" w:name="page112"/>
    <w:bookmarkEnd w:id="111"/>
    <w:p>
      <w:pPr>
        <w:ind w:left="1"/>
        <w:spacing w:after="0"/>
        <w:rPr>
          <w:sz w:val="20"/>
          <w:szCs w:val="20"/>
          <w:color w:val="auto"/>
        </w:rPr>
      </w:pPr>
      <w:r>
        <w:rPr>
          <w:rFonts w:ascii="Arial" w:cs="Arial" w:eastAsia="Arial" w:hAnsi="Arial"/>
          <w:sz w:val="20"/>
          <w:szCs w:val="20"/>
          <w:i w:val="1"/>
          <w:iCs w:val="1"/>
          <w:u w:val="single" w:color="auto"/>
          <w:color w:val="2A2A2A"/>
        </w:rPr>
        <w:t>Results of the compensation decisions</w:t>
      </w:r>
    </w:p>
    <w:p>
      <w:pPr>
        <w:spacing w:after="0" w:line="28" w:lineRule="exact"/>
        <w:rPr>
          <w:sz w:val="20"/>
          <w:szCs w:val="20"/>
          <w:color w:val="auto"/>
        </w:rPr>
      </w:pPr>
    </w:p>
    <w:p>
      <w:pPr>
        <w:ind w:left="1" w:right="280"/>
        <w:spacing w:after="0" w:line="253" w:lineRule="auto"/>
        <w:rPr>
          <w:sz w:val="20"/>
          <w:szCs w:val="20"/>
          <w:color w:val="auto"/>
        </w:rPr>
      </w:pPr>
      <w:r>
        <w:rPr>
          <w:rFonts w:ascii="Arial" w:cs="Arial" w:eastAsia="Arial" w:hAnsi="Arial"/>
          <w:sz w:val="20"/>
          <w:szCs w:val="20"/>
          <w:color w:val="2A2A2A"/>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300"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63"/>
              <w:spacing w:after="0"/>
              <w:rPr>
                <w:sz w:val="20"/>
                <w:szCs w:val="20"/>
                <w:color w:val="auto"/>
              </w:rPr>
            </w:pPr>
            <w:r>
              <w:rPr>
                <w:rFonts w:ascii="Arial" w:cs="Arial" w:eastAsia="Arial" w:hAnsi="Arial"/>
                <w:sz w:val="16"/>
                <w:szCs w:val="16"/>
                <w:b w:val="1"/>
                <w:bCs w:val="1"/>
                <w:color w:val="2A2A2A"/>
              </w:rPr>
              <w:t>Equity</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Compensation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41"/>
              <w:spacing w:after="0"/>
              <w:rPr>
                <w:sz w:val="20"/>
                <w:szCs w:val="20"/>
                <w:color w:val="auto"/>
              </w:rPr>
            </w:pPr>
            <w:r>
              <w:rPr>
                <w:rFonts w:ascii="Arial" w:cs="Arial" w:eastAsia="Arial" w:hAnsi="Arial"/>
                <w:sz w:val="16"/>
                <w:szCs w:val="16"/>
                <w:b w:val="1"/>
                <w:bCs w:val="1"/>
                <w:color w:val="2A2A2A"/>
              </w:rPr>
              <w:t>Salary</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2A2A2A"/>
              </w:rPr>
              <w:t>Profit</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63"/>
              <w:spacing w:after="0"/>
              <w:rPr>
                <w:sz w:val="20"/>
                <w:szCs w:val="20"/>
                <w:color w:val="auto"/>
              </w:rPr>
            </w:pPr>
            <w:r>
              <w:rPr>
                <w:rFonts w:ascii="Arial" w:cs="Arial" w:eastAsia="Arial" w:hAnsi="Arial"/>
                <w:sz w:val="16"/>
                <w:szCs w:val="16"/>
                <w:b w:val="1"/>
                <w:bCs w:val="1"/>
                <w:color w:val="2A2A2A"/>
                <w:w w:val="98"/>
              </w:rPr>
              <w:t>(Grant Date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23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Officer</w:t>
            </w:r>
          </w:p>
        </w:tc>
        <w:tc>
          <w:tcPr>
            <w:tcW w:w="1020" w:type="dxa"/>
            <w:vAlign w:val="bottom"/>
            <w:tcBorders>
              <w:bottom w:val="single" w:sz="8" w:color="2A2A2A"/>
            </w:tcBorders>
          </w:tcPr>
          <w:p>
            <w:pPr>
              <w:jc w:val="center"/>
              <w:ind w:left="101"/>
              <w:spacing w:after="0"/>
              <w:rPr>
                <w:sz w:val="20"/>
                <w:szCs w:val="20"/>
                <w:color w:val="auto"/>
              </w:rPr>
            </w:pPr>
            <w:r>
              <w:rPr>
                <w:rFonts w:ascii="Arial" w:cs="Arial" w:eastAsia="Arial" w:hAnsi="Arial"/>
                <w:sz w:val="16"/>
                <w:szCs w:val="16"/>
                <w:b w:val="1"/>
                <w:bCs w:val="1"/>
                <w:color w:val="2A2A2A"/>
                <w:w w:val="97"/>
              </w:rPr>
              <w:t>Year</w:t>
            </w:r>
          </w:p>
        </w:tc>
        <w:tc>
          <w:tcPr>
            <w:tcW w:w="1420" w:type="dxa"/>
            <w:vAlign w:val="bottom"/>
            <w:tcBorders>
              <w:bottom w:val="single" w:sz="8" w:color="2A2A2A"/>
            </w:tcBorders>
            <w:gridSpan w:val="2"/>
          </w:tcPr>
          <w:p>
            <w:pPr>
              <w:jc w:val="right"/>
              <w:ind w:right="61"/>
              <w:spacing w:after="0"/>
              <w:rPr>
                <w:sz w:val="20"/>
                <w:szCs w:val="20"/>
                <w:color w:val="auto"/>
              </w:rPr>
            </w:pPr>
            <w:r>
              <w:rPr>
                <w:rFonts w:ascii="Arial" w:cs="Arial" w:eastAsia="Arial" w:hAnsi="Arial"/>
                <w:sz w:val="16"/>
                <w:szCs w:val="16"/>
                <w:b w:val="1"/>
                <w:bCs w:val="1"/>
                <w:color w:val="2A2A2A"/>
              </w:rPr>
              <w:t>(Annual Rate)</w:t>
            </w:r>
          </w:p>
        </w:tc>
        <w:tc>
          <w:tcPr>
            <w:tcW w:w="12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7"/>
              </w:rPr>
              <w:t>Sharing</w:t>
            </w:r>
          </w:p>
        </w:tc>
        <w:tc>
          <w:tcPr>
            <w:tcW w:w="1460" w:type="dxa"/>
            <w:vAlign w:val="bottom"/>
            <w:tcBorders>
              <w:bottom w:val="single" w:sz="8" w:color="2A2A2A"/>
            </w:tcBorders>
          </w:tcPr>
          <w:p>
            <w:pPr>
              <w:ind w:left="460"/>
              <w:spacing w:after="0"/>
              <w:rPr>
                <w:sz w:val="20"/>
                <w:szCs w:val="20"/>
                <w:color w:val="auto"/>
              </w:rPr>
            </w:pPr>
            <w:r>
              <w:rPr>
                <w:rFonts w:ascii="Arial" w:cs="Arial" w:eastAsia="Arial" w:hAnsi="Arial"/>
                <w:sz w:val="16"/>
                <w:szCs w:val="16"/>
                <w:b w:val="1"/>
                <w:bCs w:val="1"/>
                <w:color w:val="2A2A2A"/>
              </w:rPr>
              <w:t>Bonus</w:t>
            </w:r>
          </w:p>
        </w:tc>
        <w:tc>
          <w:tcPr>
            <w:tcW w:w="200" w:type="dxa"/>
            <w:vAlign w:val="bottom"/>
            <w:tcBorders>
              <w:bottom w:val="single" w:sz="8" w:color="2A2A2A"/>
            </w:tcBorders>
          </w:tcPr>
          <w:p>
            <w:pPr>
              <w:spacing w:after="0"/>
              <w:rPr>
                <w:sz w:val="19"/>
                <w:szCs w:val="19"/>
                <w:color w:val="auto"/>
              </w:rPr>
            </w:pPr>
          </w:p>
        </w:tc>
        <w:tc>
          <w:tcPr>
            <w:tcW w:w="1200" w:type="dxa"/>
            <w:vAlign w:val="bottom"/>
            <w:tcBorders>
              <w:bottom w:val="single" w:sz="8" w:color="2A2A2A"/>
            </w:tcBorders>
          </w:tcPr>
          <w:p>
            <w:pPr>
              <w:jc w:val="center"/>
              <w:ind w:right="163"/>
              <w:spacing w:after="0"/>
              <w:rPr>
                <w:sz w:val="20"/>
                <w:szCs w:val="20"/>
                <w:color w:val="auto"/>
              </w:rPr>
            </w:pPr>
            <w:r>
              <w:rPr>
                <w:rFonts w:ascii="Arial" w:cs="Arial" w:eastAsia="Arial" w:hAnsi="Arial"/>
                <w:sz w:val="16"/>
                <w:szCs w:val="16"/>
                <w:b w:val="1"/>
                <w:bCs w:val="1"/>
                <w:color w:val="2A2A2A"/>
              </w:rPr>
              <w:t>Fair Value)</w:t>
            </w:r>
          </w:p>
        </w:tc>
        <w:tc>
          <w:tcPr>
            <w:tcW w:w="300" w:type="dxa"/>
            <w:vAlign w:val="bottom"/>
            <w:tcBorders>
              <w:bottom w:val="single" w:sz="8" w:color="2A2A2A"/>
            </w:tcBorders>
          </w:tcPr>
          <w:p>
            <w:pPr>
              <w:spacing w:after="0"/>
              <w:rPr>
                <w:sz w:val="19"/>
                <w:szCs w:val="19"/>
                <w:color w:val="auto"/>
              </w:rPr>
            </w:pPr>
          </w:p>
        </w:tc>
        <w:tc>
          <w:tcPr>
            <w:tcW w:w="1120" w:type="dxa"/>
            <w:vAlign w:val="bottom"/>
            <w:tcBorders>
              <w:bottom w:val="single" w:sz="8" w:color="2A2A2A"/>
            </w:tcBorders>
          </w:tcPr>
          <w:p>
            <w:pPr>
              <w:jc w:val="right"/>
              <w:ind w:right="361"/>
              <w:spacing w:after="0"/>
              <w:rPr>
                <w:sz w:val="20"/>
                <w:szCs w:val="20"/>
                <w:color w:val="auto"/>
              </w:rPr>
            </w:pPr>
            <w:r>
              <w:rPr>
                <w:rFonts w:ascii="Arial" w:cs="Arial" w:eastAsia="Arial" w:hAnsi="Arial"/>
                <w:sz w:val="16"/>
                <w:szCs w:val="16"/>
                <w:b w:val="1"/>
                <w:bCs w:val="1"/>
                <w:color w:val="2A2A2A"/>
              </w:rPr>
              <w:t>Total</w:t>
            </w:r>
          </w:p>
        </w:tc>
      </w:tr>
      <w:tr>
        <w:trPr>
          <w:trHeight w:val="270"/>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1,150,000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$ 219,917</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$ 2,500,000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12,000,009</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15,869,926</w:t>
            </w:r>
          </w:p>
        </w:tc>
      </w:tr>
      <w:tr>
        <w:trPr>
          <w:trHeight w:val="283"/>
        </w:trPr>
        <w:tc>
          <w:tcPr>
            <w:tcW w:w="2340" w:type="dxa"/>
            <w:vAlign w:val="bottom"/>
          </w:tcPr>
          <w:p>
            <w:pPr>
              <w:spacing w:after="0"/>
              <w:rPr>
                <w:sz w:val="24"/>
                <w:szCs w:val="24"/>
                <w:color w:val="auto"/>
              </w:rPr>
            </w:pPr>
          </w:p>
        </w:tc>
        <w:tc>
          <w:tcPr>
            <w:tcW w:w="1020" w:type="dxa"/>
            <w:vAlign w:val="bottom"/>
          </w:tcPr>
          <w:p>
            <w:pPr>
              <w:jc w:val="center"/>
              <w:ind w:left="81"/>
              <w:spacing w:after="0"/>
              <w:rPr>
                <w:sz w:val="20"/>
                <w:szCs w:val="20"/>
                <w:color w:val="auto"/>
              </w:rPr>
            </w:pPr>
            <w:r>
              <w:rPr>
                <w:rFonts w:ascii="Arial" w:cs="Arial" w:eastAsia="Arial" w:hAnsi="Arial"/>
                <w:sz w:val="20"/>
                <w:szCs w:val="20"/>
                <w:color w:val="2A2A2A"/>
                <w:w w:val="98"/>
              </w:rPr>
              <w:t>2022</w:t>
            </w:r>
          </w:p>
        </w:tc>
        <w:tc>
          <w:tcPr>
            <w:tcW w:w="34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2A2A2A"/>
              </w:rPr>
              <w:t>915,000</w:t>
            </w:r>
          </w:p>
        </w:tc>
        <w:tc>
          <w:tcPr>
            <w:tcW w:w="1200" w:type="dxa"/>
            <w:vAlign w:val="bottom"/>
          </w:tcPr>
          <w:p>
            <w:pPr>
              <w:jc w:val="center"/>
              <w:spacing w:after="0"/>
              <w:rPr>
                <w:sz w:val="20"/>
                <w:szCs w:val="20"/>
                <w:color w:val="auto"/>
              </w:rPr>
            </w:pPr>
            <w:r>
              <w:rPr>
                <w:rFonts w:ascii="Arial" w:cs="Arial" w:eastAsia="Arial" w:hAnsi="Arial"/>
                <w:sz w:val="20"/>
                <w:szCs w:val="20"/>
                <w:color w:val="2A2A2A"/>
              </w:rPr>
              <w:t>$ 182,417</w:t>
            </w:r>
          </w:p>
        </w:tc>
        <w:tc>
          <w:tcPr>
            <w:tcW w:w="1460" w:type="dxa"/>
            <w:vAlign w:val="bottom"/>
          </w:tcPr>
          <w:p>
            <w:pPr>
              <w:ind w:left="160"/>
              <w:spacing w:after="0"/>
              <w:rPr>
                <w:sz w:val="20"/>
                <w:szCs w:val="20"/>
                <w:color w:val="auto"/>
              </w:rPr>
            </w:pPr>
            <w:r>
              <w:rPr>
                <w:rFonts w:ascii="Arial" w:cs="Arial" w:eastAsia="Arial" w:hAnsi="Arial"/>
                <w:sz w:val="20"/>
                <w:szCs w:val="20"/>
                <w:color w:val="2A2A2A"/>
              </w:rPr>
              <w:t>$ 2,070,000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63"/>
              <w:spacing w:after="0"/>
              <w:rPr>
                <w:sz w:val="20"/>
                <w:szCs w:val="20"/>
                <w:color w:val="auto"/>
              </w:rPr>
            </w:pPr>
            <w:r>
              <w:rPr>
                <w:rFonts w:ascii="Arial" w:cs="Arial" w:eastAsia="Arial" w:hAnsi="Arial"/>
                <w:sz w:val="20"/>
                <w:szCs w:val="20"/>
                <w:color w:val="2A2A2A"/>
              </w:rPr>
              <w:t>9,000,162</w:t>
            </w:r>
          </w:p>
        </w:tc>
        <w:tc>
          <w:tcPr>
            <w:tcW w:w="30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12,167,579</w:t>
            </w:r>
          </w:p>
        </w:tc>
      </w:tr>
      <w:tr>
        <w:trPr>
          <w:trHeight w:val="287"/>
        </w:trPr>
        <w:tc>
          <w:tcPr>
            <w:tcW w:w="2340" w:type="dxa"/>
            <w:vAlign w:val="bottom"/>
            <w:shd w:val="clear" w:color="auto" w:fill="D7D7D7"/>
          </w:tcPr>
          <w:p>
            <w:pPr>
              <w:spacing w:after="0"/>
              <w:rPr>
                <w:sz w:val="24"/>
                <w:szCs w:val="24"/>
                <w:color w:val="auto"/>
              </w:rPr>
            </w:pP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2021</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880,000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$ 175,500</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$ 1,875,000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7,000,036</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9,930,536</w:t>
            </w:r>
          </w:p>
        </w:tc>
      </w:tr>
      <w:tr>
        <w:trPr>
          <w:trHeight w:val="285"/>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Richard K. Templeton</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600,000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$ 161,750</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$ 2,000,000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17,500,109</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20,261,859</w:t>
            </w:r>
          </w:p>
        </w:tc>
      </w:tr>
      <w:tr>
        <w:trPr>
          <w:trHeight w:val="283"/>
        </w:trPr>
        <w:tc>
          <w:tcPr>
            <w:tcW w:w="2340" w:type="dxa"/>
            <w:vAlign w:val="bottom"/>
          </w:tcPr>
          <w:p>
            <w:pPr>
              <w:spacing w:after="0"/>
              <w:rPr>
                <w:sz w:val="24"/>
                <w:szCs w:val="24"/>
                <w:color w:val="auto"/>
              </w:rPr>
            </w:pPr>
          </w:p>
        </w:tc>
        <w:tc>
          <w:tcPr>
            <w:tcW w:w="1020" w:type="dxa"/>
            <w:vAlign w:val="bottom"/>
          </w:tcPr>
          <w:p>
            <w:pPr>
              <w:jc w:val="center"/>
              <w:ind w:left="81"/>
              <w:spacing w:after="0"/>
              <w:rPr>
                <w:sz w:val="20"/>
                <w:szCs w:val="20"/>
                <w:color w:val="auto"/>
              </w:rPr>
            </w:pPr>
            <w:r>
              <w:rPr>
                <w:rFonts w:ascii="Arial" w:cs="Arial" w:eastAsia="Arial" w:hAnsi="Arial"/>
                <w:sz w:val="20"/>
                <w:szCs w:val="20"/>
                <w:color w:val="2A2A2A"/>
                <w:w w:val="98"/>
              </w:rPr>
              <w:t>2022</w:t>
            </w:r>
          </w:p>
        </w:tc>
        <w:tc>
          <w:tcPr>
            <w:tcW w:w="34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2A2A2A"/>
              </w:rPr>
              <w:t>1,435,000</w:t>
            </w:r>
          </w:p>
        </w:tc>
        <w:tc>
          <w:tcPr>
            <w:tcW w:w="1200" w:type="dxa"/>
            <w:vAlign w:val="bottom"/>
          </w:tcPr>
          <w:p>
            <w:pPr>
              <w:jc w:val="center"/>
              <w:spacing w:after="0"/>
              <w:rPr>
                <w:sz w:val="20"/>
                <w:szCs w:val="20"/>
                <w:color w:val="auto"/>
              </w:rPr>
            </w:pPr>
            <w:r>
              <w:rPr>
                <w:rFonts w:ascii="Arial" w:cs="Arial" w:eastAsia="Arial" w:hAnsi="Arial"/>
                <w:sz w:val="20"/>
                <w:szCs w:val="20"/>
                <w:color w:val="2A2A2A"/>
              </w:rPr>
              <w:t>$ 286,083</w:t>
            </w:r>
          </w:p>
        </w:tc>
        <w:tc>
          <w:tcPr>
            <w:tcW w:w="1460" w:type="dxa"/>
            <w:vAlign w:val="bottom"/>
          </w:tcPr>
          <w:p>
            <w:pPr>
              <w:ind w:left="160"/>
              <w:spacing w:after="0"/>
              <w:rPr>
                <w:sz w:val="20"/>
                <w:szCs w:val="20"/>
                <w:color w:val="auto"/>
              </w:rPr>
            </w:pPr>
            <w:r>
              <w:rPr>
                <w:rFonts w:ascii="Arial" w:cs="Arial" w:eastAsia="Arial" w:hAnsi="Arial"/>
                <w:sz w:val="20"/>
                <w:szCs w:val="20"/>
                <w:color w:val="2A2A2A"/>
              </w:rPr>
              <w:t>$ 4,550,000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63"/>
              <w:spacing w:after="0"/>
              <w:rPr>
                <w:sz w:val="20"/>
                <w:szCs w:val="20"/>
                <w:color w:val="auto"/>
              </w:rPr>
            </w:pPr>
            <w:r>
              <w:rPr>
                <w:rFonts w:ascii="Arial" w:cs="Arial" w:eastAsia="Arial" w:hAnsi="Arial"/>
                <w:sz w:val="20"/>
                <w:szCs w:val="20"/>
                <w:color w:val="2A2A2A"/>
              </w:rPr>
              <w:t>15,000,082</w:t>
            </w:r>
          </w:p>
        </w:tc>
        <w:tc>
          <w:tcPr>
            <w:tcW w:w="30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21,271,165</w:t>
            </w:r>
          </w:p>
        </w:tc>
      </w:tr>
      <w:tr>
        <w:trPr>
          <w:trHeight w:val="287"/>
        </w:trPr>
        <w:tc>
          <w:tcPr>
            <w:tcW w:w="2340" w:type="dxa"/>
            <w:vAlign w:val="bottom"/>
            <w:shd w:val="clear" w:color="auto" w:fill="D7D7D7"/>
          </w:tcPr>
          <w:p>
            <w:pPr>
              <w:spacing w:after="0"/>
              <w:rPr>
                <w:sz w:val="24"/>
                <w:szCs w:val="24"/>
                <w:color w:val="auto"/>
              </w:rPr>
            </w:pP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2021</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1,380,000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$ 275,333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$ 4,125,000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13,000,129</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18,780,462</w:t>
            </w:r>
          </w:p>
        </w:tc>
      </w:tr>
      <w:tr>
        <w:trPr>
          <w:trHeight w:val="285"/>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810,000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$ 161,333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$ 1,090,000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4,800,144</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6,861,477</w:t>
            </w:r>
          </w:p>
        </w:tc>
      </w:tr>
      <w:tr>
        <w:trPr>
          <w:trHeight w:val="283"/>
        </w:trPr>
        <w:tc>
          <w:tcPr>
            <w:tcW w:w="2340" w:type="dxa"/>
            <w:vAlign w:val="bottom"/>
          </w:tcPr>
          <w:p>
            <w:pPr>
              <w:spacing w:after="0"/>
              <w:rPr>
                <w:sz w:val="24"/>
                <w:szCs w:val="24"/>
                <w:color w:val="auto"/>
              </w:rPr>
            </w:pPr>
          </w:p>
        </w:tc>
        <w:tc>
          <w:tcPr>
            <w:tcW w:w="1020" w:type="dxa"/>
            <w:vAlign w:val="bottom"/>
          </w:tcPr>
          <w:p>
            <w:pPr>
              <w:jc w:val="center"/>
              <w:ind w:left="81"/>
              <w:spacing w:after="0"/>
              <w:rPr>
                <w:sz w:val="20"/>
                <w:szCs w:val="20"/>
                <w:color w:val="auto"/>
              </w:rPr>
            </w:pPr>
            <w:r>
              <w:rPr>
                <w:rFonts w:ascii="Arial" w:cs="Arial" w:eastAsia="Arial" w:hAnsi="Arial"/>
                <w:sz w:val="20"/>
                <w:szCs w:val="20"/>
                <w:color w:val="2A2A2A"/>
                <w:w w:val="98"/>
              </w:rPr>
              <w:t>2022</w:t>
            </w:r>
          </w:p>
        </w:tc>
        <w:tc>
          <w:tcPr>
            <w:tcW w:w="34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2A2A2A"/>
              </w:rPr>
              <w:t>770,000</w:t>
            </w:r>
          </w:p>
        </w:tc>
        <w:tc>
          <w:tcPr>
            <w:tcW w:w="1200" w:type="dxa"/>
            <w:vAlign w:val="bottom"/>
          </w:tcPr>
          <w:p>
            <w:pPr>
              <w:jc w:val="center"/>
              <w:spacing w:after="0"/>
              <w:rPr>
                <w:sz w:val="20"/>
                <w:szCs w:val="20"/>
                <w:color w:val="auto"/>
              </w:rPr>
            </w:pPr>
            <w:r>
              <w:rPr>
                <w:rFonts w:ascii="Arial" w:cs="Arial" w:eastAsia="Arial" w:hAnsi="Arial"/>
                <w:sz w:val="20"/>
                <w:szCs w:val="20"/>
                <w:color w:val="2A2A2A"/>
              </w:rPr>
              <w:t>$ 153,500</w:t>
            </w:r>
          </w:p>
        </w:tc>
        <w:tc>
          <w:tcPr>
            <w:tcW w:w="1460" w:type="dxa"/>
            <w:vAlign w:val="bottom"/>
          </w:tcPr>
          <w:p>
            <w:pPr>
              <w:ind w:left="160"/>
              <w:spacing w:after="0"/>
              <w:rPr>
                <w:sz w:val="20"/>
                <w:szCs w:val="20"/>
                <w:color w:val="auto"/>
              </w:rPr>
            </w:pPr>
            <w:r>
              <w:rPr>
                <w:rFonts w:ascii="Arial" w:cs="Arial" w:eastAsia="Arial" w:hAnsi="Arial"/>
                <w:sz w:val="20"/>
                <w:szCs w:val="20"/>
                <w:color w:val="2A2A2A"/>
              </w:rPr>
              <w:t>$ 1,210,000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63"/>
              <w:spacing w:after="0"/>
              <w:rPr>
                <w:sz w:val="20"/>
                <w:szCs w:val="20"/>
                <w:color w:val="auto"/>
              </w:rPr>
            </w:pPr>
            <w:r>
              <w:rPr>
                <w:rFonts w:ascii="Arial" w:cs="Arial" w:eastAsia="Arial" w:hAnsi="Arial"/>
                <w:sz w:val="20"/>
                <w:szCs w:val="20"/>
                <w:color w:val="2A2A2A"/>
              </w:rPr>
              <w:t>3,800,025</w:t>
            </w:r>
          </w:p>
        </w:tc>
        <w:tc>
          <w:tcPr>
            <w:tcW w:w="30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5,933,525</w:t>
            </w:r>
          </w:p>
        </w:tc>
      </w:tr>
      <w:tr>
        <w:trPr>
          <w:trHeight w:val="287"/>
        </w:trPr>
        <w:tc>
          <w:tcPr>
            <w:tcW w:w="2340" w:type="dxa"/>
            <w:vAlign w:val="bottom"/>
            <w:shd w:val="clear" w:color="auto" w:fill="D7D7D7"/>
          </w:tcPr>
          <w:p>
            <w:pPr>
              <w:spacing w:after="0"/>
              <w:rPr>
                <w:sz w:val="24"/>
                <w:szCs w:val="24"/>
                <w:color w:val="auto"/>
              </w:rPr>
            </w:pP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2021</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740,000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$ 147,333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$ 1,100,000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3,300,173</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5,287,506</w:t>
            </w:r>
          </w:p>
        </w:tc>
      </w:tr>
      <w:tr>
        <w:trPr>
          <w:trHeight w:val="285"/>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Hagop H. Kozanian</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770,000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$ 153,333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$ 1,315,000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5,100,044</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7,338,377</w:t>
            </w:r>
          </w:p>
        </w:tc>
      </w:tr>
      <w:tr>
        <w:trPr>
          <w:trHeight w:val="283"/>
        </w:trPr>
        <w:tc>
          <w:tcPr>
            <w:tcW w:w="2340" w:type="dxa"/>
            <w:vAlign w:val="bottom"/>
          </w:tcPr>
          <w:p>
            <w:pPr>
              <w:spacing w:after="0"/>
              <w:rPr>
                <w:sz w:val="24"/>
                <w:szCs w:val="24"/>
                <w:color w:val="auto"/>
              </w:rPr>
            </w:pPr>
          </w:p>
        </w:tc>
        <w:tc>
          <w:tcPr>
            <w:tcW w:w="1020" w:type="dxa"/>
            <w:vAlign w:val="bottom"/>
          </w:tcPr>
          <w:p>
            <w:pPr>
              <w:jc w:val="center"/>
              <w:ind w:left="81"/>
              <w:spacing w:after="0"/>
              <w:rPr>
                <w:sz w:val="20"/>
                <w:szCs w:val="20"/>
                <w:color w:val="auto"/>
              </w:rPr>
            </w:pPr>
            <w:r>
              <w:rPr>
                <w:rFonts w:ascii="Arial" w:cs="Arial" w:eastAsia="Arial" w:hAnsi="Arial"/>
                <w:sz w:val="20"/>
                <w:szCs w:val="20"/>
                <w:color w:val="2A2A2A"/>
                <w:w w:val="98"/>
              </w:rPr>
              <w:t>2022</w:t>
            </w:r>
          </w:p>
        </w:tc>
        <w:tc>
          <w:tcPr>
            <w:tcW w:w="34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2A2A2A"/>
              </w:rPr>
              <w:t>730,000</w:t>
            </w:r>
          </w:p>
        </w:tc>
        <w:tc>
          <w:tcPr>
            <w:tcW w:w="1200" w:type="dxa"/>
            <w:vAlign w:val="bottom"/>
          </w:tcPr>
          <w:p>
            <w:pPr>
              <w:jc w:val="center"/>
              <w:spacing w:after="0"/>
              <w:rPr>
                <w:sz w:val="20"/>
                <w:szCs w:val="20"/>
                <w:color w:val="auto"/>
              </w:rPr>
            </w:pPr>
            <w:r>
              <w:rPr>
                <w:rFonts w:ascii="Arial" w:cs="Arial" w:eastAsia="Arial" w:hAnsi="Arial"/>
                <w:sz w:val="20"/>
                <w:szCs w:val="20"/>
                <w:color w:val="2A2A2A"/>
              </w:rPr>
              <w:t>$ 145,167</w:t>
            </w:r>
          </w:p>
        </w:tc>
        <w:tc>
          <w:tcPr>
            <w:tcW w:w="1460" w:type="dxa"/>
            <w:vAlign w:val="bottom"/>
          </w:tcPr>
          <w:p>
            <w:pPr>
              <w:ind w:left="160"/>
              <w:spacing w:after="0"/>
              <w:rPr>
                <w:sz w:val="20"/>
                <w:szCs w:val="20"/>
                <w:color w:val="auto"/>
              </w:rPr>
            </w:pPr>
            <w:r>
              <w:rPr>
                <w:rFonts w:ascii="Arial" w:cs="Arial" w:eastAsia="Arial" w:hAnsi="Arial"/>
                <w:sz w:val="20"/>
                <w:szCs w:val="20"/>
                <w:color w:val="2A2A2A"/>
              </w:rPr>
              <w:t>$ 1,460,000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63"/>
              <w:spacing w:after="0"/>
              <w:rPr>
                <w:sz w:val="20"/>
                <w:szCs w:val="20"/>
                <w:color w:val="auto"/>
              </w:rPr>
            </w:pPr>
            <w:r>
              <w:rPr>
                <w:rFonts w:ascii="Arial" w:cs="Arial" w:eastAsia="Arial" w:hAnsi="Arial"/>
                <w:sz w:val="20"/>
                <w:szCs w:val="20"/>
                <w:color w:val="2A2A2A"/>
              </w:rPr>
              <w:t>4,400,179</w:t>
            </w:r>
          </w:p>
        </w:tc>
        <w:tc>
          <w:tcPr>
            <w:tcW w:w="30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6,735,346</w:t>
            </w:r>
          </w:p>
        </w:tc>
      </w:tr>
      <w:tr>
        <w:trPr>
          <w:trHeight w:val="287"/>
        </w:trPr>
        <w:tc>
          <w:tcPr>
            <w:tcW w:w="2340" w:type="dxa"/>
            <w:vAlign w:val="bottom"/>
            <w:shd w:val="clear" w:color="auto" w:fill="D7D7D7"/>
          </w:tcPr>
          <w:p>
            <w:pPr>
              <w:spacing w:after="0"/>
              <w:rPr>
                <w:sz w:val="24"/>
                <w:szCs w:val="24"/>
                <w:color w:val="auto"/>
              </w:rPr>
            </w:pP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2021</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680,000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$ 134,667</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$ 1,393,000 *</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3,800,144</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6,007,811</w:t>
            </w:r>
          </w:p>
        </w:tc>
      </w:tr>
      <w:tr>
        <w:trPr>
          <w:trHeight w:val="285"/>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770,000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$ 153,333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$ 1,315,000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4,900,125</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7,138,458</w:t>
            </w:r>
          </w:p>
        </w:tc>
      </w:tr>
      <w:tr>
        <w:trPr>
          <w:trHeight w:val="283"/>
        </w:trPr>
        <w:tc>
          <w:tcPr>
            <w:tcW w:w="2340" w:type="dxa"/>
            <w:vAlign w:val="bottom"/>
          </w:tcPr>
          <w:p>
            <w:pPr>
              <w:spacing w:after="0"/>
              <w:rPr>
                <w:sz w:val="24"/>
                <w:szCs w:val="24"/>
                <w:color w:val="auto"/>
              </w:rPr>
            </w:pPr>
          </w:p>
        </w:tc>
        <w:tc>
          <w:tcPr>
            <w:tcW w:w="1020" w:type="dxa"/>
            <w:vAlign w:val="bottom"/>
          </w:tcPr>
          <w:p>
            <w:pPr>
              <w:jc w:val="center"/>
              <w:ind w:left="81"/>
              <w:spacing w:after="0"/>
              <w:rPr>
                <w:sz w:val="20"/>
                <w:szCs w:val="20"/>
                <w:color w:val="auto"/>
              </w:rPr>
            </w:pPr>
            <w:r>
              <w:rPr>
                <w:rFonts w:ascii="Arial" w:cs="Arial" w:eastAsia="Arial" w:hAnsi="Arial"/>
                <w:sz w:val="20"/>
                <w:szCs w:val="20"/>
                <w:color w:val="2A2A2A"/>
                <w:w w:val="98"/>
              </w:rPr>
              <w:t>2022</w:t>
            </w:r>
          </w:p>
        </w:tc>
        <w:tc>
          <w:tcPr>
            <w:tcW w:w="34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2A2A2A"/>
              </w:rPr>
              <w:t>730,000</w:t>
            </w:r>
          </w:p>
        </w:tc>
        <w:tc>
          <w:tcPr>
            <w:tcW w:w="1200" w:type="dxa"/>
            <w:vAlign w:val="bottom"/>
          </w:tcPr>
          <w:p>
            <w:pPr>
              <w:jc w:val="center"/>
              <w:spacing w:after="0"/>
              <w:rPr>
                <w:sz w:val="20"/>
                <w:szCs w:val="20"/>
                <w:color w:val="auto"/>
              </w:rPr>
            </w:pPr>
            <w:r>
              <w:rPr>
                <w:rFonts w:ascii="Arial" w:cs="Arial" w:eastAsia="Arial" w:hAnsi="Arial"/>
                <w:sz w:val="20"/>
                <w:szCs w:val="20"/>
                <w:color w:val="2A2A2A"/>
              </w:rPr>
              <w:t>$ 145,500</w:t>
            </w:r>
          </w:p>
        </w:tc>
        <w:tc>
          <w:tcPr>
            <w:tcW w:w="1460" w:type="dxa"/>
            <w:vAlign w:val="bottom"/>
          </w:tcPr>
          <w:p>
            <w:pPr>
              <w:ind w:left="160"/>
              <w:spacing w:after="0"/>
              <w:rPr>
                <w:sz w:val="20"/>
                <w:szCs w:val="20"/>
                <w:color w:val="auto"/>
              </w:rPr>
            </w:pPr>
            <w:r>
              <w:rPr>
                <w:rFonts w:ascii="Arial" w:cs="Arial" w:eastAsia="Arial" w:hAnsi="Arial"/>
                <w:sz w:val="20"/>
                <w:szCs w:val="20"/>
                <w:color w:val="2A2A2A"/>
              </w:rPr>
              <w:t>$ 1,460,000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63"/>
              <w:spacing w:after="0"/>
              <w:rPr>
                <w:sz w:val="20"/>
                <w:szCs w:val="20"/>
                <w:color w:val="auto"/>
              </w:rPr>
            </w:pPr>
            <w:r>
              <w:rPr>
                <w:rFonts w:ascii="Arial" w:cs="Arial" w:eastAsia="Arial" w:hAnsi="Arial"/>
                <w:sz w:val="20"/>
                <w:szCs w:val="20"/>
                <w:color w:val="2A2A2A"/>
              </w:rPr>
              <w:t>4,200,199</w:t>
            </w:r>
          </w:p>
        </w:tc>
        <w:tc>
          <w:tcPr>
            <w:tcW w:w="300" w:type="dxa"/>
            <w:vAlign w:val="bottom"/>
          </w:tcPr>
          <w:p>
            <w:pPr>
              <w:jc w:val="right"/>
              <w:spacing w:after="0"/>
              <w:rPr>
                <w:sz w:val="20"/>
                <w:szCs w:val="20"/>
                <w:color w:val="auto"/>
              </w:rPr>
            </w:pPr>
            <w:r>
              <w:rPr>
                <w:rFonts w:ascii="Arial" w:cs="Arial" w:eastAsia="Arial" w:hAnsi="Arial"/>
                <w:sz w:val="20"/>
                <w:szCs w:val="20"/>
                <w:color w:val="2A2A2A"/>
              </w:rPr>
              <w:t>$</w:t>
            </w:r>
          </w:p>
        </w:tc>
        <w:tc>
          <w:tcPr>
            <w:tcW w:w="1120" w:type="dxa"/>
            <w:vAlign w:val="bottom"/>
          </w:tcPr>
          <w:p>
            <w:pPr>
              <w:jc w:val="right"/>
              <w:spacing w:after="0"/>
              <w:rPr>
                <w:sz w:val="20"/>
                <w:szCs w:val="20"/>
                <w:color w:val="auto"/>
              </w:rPr>
            </w:pPr>
            <w:r>
              <w:rPr>
                <w:rFonts w:ascii="Arial" w:cs="Arial" w:eastAsia="Arial" w:hAnsi="Arial"/>
                <w:sz w:val="20"/>
                <w:szCs w:val="20"/>
                <w:color w:val="2A2A2A"/>
              </w:rPr>
              <w:t>6,535,699</w:t>
            </w:r>
          </w:p>
        </w:tc>
      </w:tr>
      <w:tr>
        <w:trPr>
          <w:trHeight w:val="287"/>
        </w:trPr>
        <w:tc>
          <w:tcPr>
            <w:tcW w:w="2340" w:type="dxa"/>
            <w:vAlign w:val="bottom"/>
            <w:shd w:val="clear" w:color="auto" w:fill="D7D7D7"/>
          </w:tcPr>
          <w:p>
            <w:pPr>
              <w:spacing w:after="0"/>
              <w:rPr>
                <w:sz w:val="24"/>
                <w:szCs w:val="24"/>
                <w:color w:val="auto"/>
              </w:rPr>
            </w:pP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2021</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700,000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$ 139,333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$ 1,395,000 *</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3,600,131</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5,834,464</w:t>
            </w:r>
          </w:p>
        </w:tc>
      </w:tr>
      <w:tr>
        <w:trPr>
          <w:trHeight w:val="285"/>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23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Amichai Ron</w:t>
            </w:r>
          </w:p>
        </w:tc>
        <w:tc>
          <w:tcPr>
            <w:tcW w:w="1020" w:type="dxa"/>
            <w:vAlign w:val="bottom"/>
            <w:shd w:val="clear" w:color="auto" w:fill="D7D7D7"/>
          </w:tcPr>
          <w:p>
            <w:pPr>
              <w:jc w:val="center"/>
              <w:ind w:left="81"/>
              <w:spacing w:after="0"/>
              <w:rPr>
                <w:sz w:val="20"/>
                <w:szCs w:val="20"/>
                <w:color w:val="auto"/>
              </w:rPr>
            </w:pPr>
            <w:r>
              <w:rPr>
                <w:rFonts w:ascii="Arial" w:cs="Arial" w:eastAsia="Arial" w:hAnsi="Arial"/>
                <w:sz w:val="20"/>
                <w:szCs w:val="20"/>
                <w:color w:val="2A2A2A"/>
                <w:w w:val="98"/>
              </w:rPr>
              <w:t>2023</w:t>
            </w:r>
          </w:p>
        </w:tc>
        <w:tc>
          <w:tcPr>
            <w:tcW w:w="34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61"/>
              <w:spacing w:after="0"/>
              <w:rPr>
                <w:sz w:val="20"/>
                <w:szCs w:val="20"/>
                <w:color w:val="auto"/>
              </w:rPr>
            </w:pPr>
            <w:r>
              <w:rPr>
                <w:rFonts w:ascii="Arial" w:cs="Arial" w:eastAsia="Arial" w:hAnsi="Arial"/>
                <w:sz w:val="20"/>
                <w:szCs w:val="20"/>
                <w:color w:val="2A2A2A"/>
              </w:rPr>
              <w:t>740,000</w:t>
            </w:r>
          </w:p>
        </w:tc>
        <w:tc>
          <w:tcPr>
            <w:tcW w:w="12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$ 147,333</w:t>
            </w:r>
          </w:p>
        </w:tc>
        <w:tc>
          <w:tcPr>
            <w:tcW w:w="1460" w:type="dxa"/>
            <w:vAlign w:val="bottom"/>
            <w:shd w:val="clear" w:color="auto" w:fill="D7D7D7"/>
          </w:tcPr>
          <w:p>
            <w:pPr>
              <w:ind w:left="160"/>
              <w:spacing w:after="0"/>
              <w:rPr>
                <w:sz w:val="20"/>
                <w:szCs w:val="20"/>
                <w:color w:val="auto"/>
              </w:rPr>
            </w:pPr>
            <w:r>
              <w:rPr>
                <w:rFonts w:ascii="Arial" w:cs="Arial" w:eastAsia="Arial" w:hAnsi="Arial"/>
                <w:sz w:val="20"/>
                <w:szCs w:val="20"/>
                <w:color w:val="2A2A2A"/>
              </w:rPr>
              <w:t>$ 1,210,000</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63"/>
              <w:spacing w:after="0"/>
              <w:rPr>
                <w:sz w:val="20"/>
                <w:szCs w:val="20"/>
                <w:color w:val="auto"/>
              </w:rPr>
            </w:pPr>
            <w:r>
              <w:rPr>
                <w:rFonts w:ascii="Arial" w:cs="Arial" w:eastAsia="Arial" w:hAnsi="Arial"/>
                <w:sz w:val="20"/>
                <w:szCs w:val="20"/>
                <w:color w:val="2A2A2A"/>
              </w:rPr>
              <w:t>4,800,144</w:t>
            </w:r>
          </w:p>
        </w:tc>
        <w:tc>
          <w:tcPr>
            <w:tcW w:w="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6,897,477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-3812540</wp:posOffset>
            </wp:positionV>
            <wp:extent cx="654050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205" w:lineRule="exact"/>
        <w:rPr>
          <w:sz w:val="20"/>
          <w:szCs w:val="20"/>
          <w:color w:val="auto"/>
        </w:rPr>
      </w:pPr>
    </w:p>
    <w:p>
      <w:pPr>
        <w:ind w:left="361" w:right="20" w:hanging="361"/>
        <w:spacing w:after="0" w:line="268" w:lineRule="auto"/>
        <w:tabs>
          <w:tab w:leader="none" w:pos="361" w:val="left"/>
        </w:tabs>
        <w:numPr>
          <w:ilvl w:val="0"/>
          <w:numId w:val="125"/>
        </w:numPr>
        <w:rPr>
          <w:rFonts w:ascii="Arial" w:cs="Arial" w:eastAsia="Arial" w:hAnsi="Arial"/>
          <w:sz w:val="20"/>
          <w:szCs w:val="20"/>
          <w:color w:val="2A2A2A"/>
        </w:rPr>
      </w:pPr>
      <w:r>
        <w:rPr>
          <w:rFonts w:ascii="Arial" w:cs="Arial" w:eastAsia="Arial" w:hAnsi="Arial"/>
          <w:sz w:val="20"/>
          <w:szCs w:val="20"/>
          <w:color w:val="2A2A2A"/>
        </w:rPr>
        <w:t>Consists of performance bonus awarded for 2021 in the amount of $1,325,000 for Mr. Kozanian and $1,325,000 for Mr. Flessner, and a one-time cash bonus of $68,000 for Mr. Kozanian and $70,000 for Mr. Flessner for extraordinary effort managing issues related to the semiconductor supply shortage.</w:t>
      </w:r>
    </w:p>
    <w:p>
      <w:pPr>
        <w:spacing w:after="0" w:line="190" w:lineRule="exact"/>
        <w:rPr>
          <w:sz w:val="20"/>
          <w:szCs w:val="20"/>
          <w:color w:val="auto"/>
        </w:rPr>
      </w:pPr>
    </w:p>
    <w:p>
      <w:pPr>
        <w:ind w:left="1" w:right="360"/>
        <w:spacing w:after="0" w:line="268" w:lineRule="auto"/>
        <w:rPr>
          <w:sz w:val="20"/>
          <w:szCs w:val="20"/>
          <w:color w:val="auto"/>
        </w:rPr>
      </w:pPr>
      <w:r>
        <w:rPr>
          <w:rFonts w:ascii="Arial" w:cs="Arial" w:eastAsia="Arial" w:hAnsi="Arial"/>
          <w:sz w:val="20"/>
          <w:szCs w:val="20"/>
          <w:color w:val="2A2A2A"/>
        </w:rPr>
        <w:t>This table shows the annual rate of base salary for each named executive officer. In the summary compensation table, the “Salary” column shows the actual salary paid in the year. Please see Notes 2 and 3 to the summary compensation table for information about how grant date fair value was calculated.</w:t>
      </w:r>
    </w:p>
    <w:p>
      <w:pPr>
        <w:spacing w:after="0" w:line="190" w:lineRule="exact"/>
        <w:rPr>
          <w:sz w:val="20"/>
          <w:szCs w:val="20"/>
          <w:color w:val="auto"/>
        </w:rPr>
      </w:pPr>
    </w:p>
    <w:p>
      <w:pPr>
        <w:ind w:left="1" w:right="220"/>
        <w:spacing w:after="0" w:line="268" w:lineRule="auto"/>
        <w:rPr>
          <w:sz w:val="20"/>
          <w:szCs w:val="20"/>
          <w:color w:val="auto"/>
        </w:rPr>
      </w:pPr>
      <w:r>
        <w:rPr>
          <w:rFonts w:ascii="Arial" w:cs="Arial" w:eastAsia="Arial" w:hAnsi="Arial"/>
          <w:sz w:val="20"/>
          <w:szCs w:val="20"/>
          <w:color w:val="2A2A2A"/>
        </w:rPr>
        <w:t>The “Total” for all named executive officers for 2023 was higher than 2022 primarily due to higher equity awards in January 2023, reflecting an effort to align with the projected market range for similarly situated executives in our Comparator Group.</w:t>
      </w:r>
    </w:p>
    <w:p>
      <w:pPr>
        <w:sectPr>
          <w:pgSz w:w="12240" w:h="15840" w:orient="portrait"/>
          <w:cols w:equalWidth="0" w:num="1">
            <w:col w:w="10261"/>
          </w:cols>
          <w:pgMar w:left="979" w:top="666"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40</w:t>
      </w:r>
    </w:p>
    <w:p>
      <w:pPr>
        <w:sectPr>
          <w:pgSz w:w="12240" w:h="15840" w:orient="portrait"/>
          <w:cols w:equalWidth="0" w:num="1">
            <w:col w:w="10261"/>
          </w:cols>
          <w:pgMar w:left="979" w:top="666" w:right="1000" w:bottom="33" w:gutter="0" w:footer="0" w:header="0"/>
          <w:type w:val="continuous"/>
        </w:sectPr>
      </w:pPr>
    </w:p>
    <w:bookmarkStart w:id="112" w:name="page113"/>
    <w:bookmarkEnd w:id="112"/>
    <w:p>
      <w:pPr>
        <w:ind w:left="1" w:right="880"/>
        <w:spacing w:after="0" w:line="287" w:lineRule="auto"/>
        <w:rPr>
          <w:sz w:val="20"/>
          <w:szCs w:val="20"/>
          <w:color w:val="auto"/>
        </w:rPr>
      </w:pPr>
      <w:r>
        <w:rPr>
          <w:rFonts w:ascii="Arial" w:cs="Arial" w:eastAsia="Arial" w:hAnsi="Arial"/>
          <w:sz w:val="20"/>
          <w:szCs w:val="20"/>
          <w:color w:val="2A2A2A"/>
        </w:rPr>
        <w:t>The compensation decisions shown above resulted in the following 2023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142875</wp:posOffset>
            </wp:positionV>
            <wp:extent cx="5029200" cy="2462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29200" cy="246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1" w:hanging="361"/>
        <w:spacing w:after="0"/>
        <w:tabs>
          <w:tab w:leader="none" w:pos="361" w:val="left"/>
        </w:tabs>
        <w:numPr>
          <w:ilvl w:val="0"/>
          <w:numId w:val="126"/>
        </w:numPr>
        <w:rPr>
          <w:rFonts w:ascii="Arial" w:cs="Arial" w:eastAsia="Arial" w:hAnsi="Arial"/>
          <w:sz w:val="20"/>
          <w:szCs w:val="20"/>
          <w:color w:val="2A2A2A"/>
        </w:rPr>
      </w:pPr>
      <w:r>
        <w:rPr>
          <w:rFonts w:ascii="Arial" w:cs="Arial" w:eastAsia="Arial" w:hAnsi="Arial"/>
          <w:sz w:val="20"/>
          <w:szCs w:val="20"/>
          <w:color w:val="2A2A2A"/>
        </w:rPr>
        <w:t>Average data for Messrs. Ilan and Templeton</w:t>
      </w:r>
    </w:p>
    <w:p>
      <w:pPr>
        <w:spacing w:after="0" w:line="130" w:lineRule="exact"/>
        <w:rPr>
          <w:rFonts w:ascii="Arial" w:cs="Arial" w:eastAsia="Arial" w:hAnsi="Arial"/>
          <w:sz w:val="20"/>
          <w:szCs w:val="20"/>
          <w:color w:val="2A2A2A"/>
        </w:rPr>
      </w:pPr>
    </w:p>
    <w:p>
      <w:pPr>
        <w:ind w:left="361" w:hanging="361"/>
        <w:spacing w:after="0"/>
        <w:tabs>
          <w:tab w:leader="none" w:pos="361" w:val="left"/>
        </w:tabs>
        <w:numPr>
          <w:ilvl w:val="0"/>
          <w:numId w:val="127"/>
        </w:numPr>
        <w:rPr>
          <w:rFonts w:ascii="Arial" w:cs="Arial" w:eastAsia="Arial" w:hAnsi="Arial"/>
          <w:sz w:val="20"/>
          <w:szCs w:val="20"/>
          <w:color w:val="2A2A2A"/>
        </w:rPr>
      </w:pPr>
      <w:r>
        <w:rPr>
          <w:rFonts w:ascii="Arial" w:cs="Arial" w:eastAsia="Arial" w:hAnsi="Arial"/>
          <w:sz w:val="20"/>
          <w:szCs w:val="20"/>
          <w:color w:val="2A2A2A"/>
        </w:rPr>
        <w:t>Average data for the named executive officers other than Messrs. Ilan and Templeton</w:t>
      </w:r>
    </w:p>
    <w:p>
      <w:pPr>
        <w:spacing w:after="0" w:line="36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Equity dilution</w:t>
      </w:r>
    </w:p>
    <w:p>
      <w:pPr>
        <w:spacing w:after="0" w:line="255" w:lineRule="exact"/>
        <w:rPr>
          <w:sz w:val="20"/>
          <w:szCs w:val="20"/>
          <w:color w:val="auto"/>
        </w:rPr>
      </w:pPr>
    </w:p>
    <w:p>
      <w:pPr>
        <w:ind w:left="1"/>
        <w:spacing w:after="0" w:line="262" w:lineRule="auto"/>
        <w:rPr>
          <w:sz w:val="20"/>
          <w:szCs w:val="20"/>
          <w:color w:val="auto"/>
        </w:rPr>
      </w:pPr>
      <w:r>
        <w:rPr>
          <w:rFonts w:ascii="Arial" w:cs="Arial" w:eastAsia="Arial" w:hAnsi="Arial"/>
          <w:sz w:val="20"/>
          <w:szCs w:val="20"/>
          <w:color w:val="2A2A2A"/>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2023 resulted in 0.5% net annual dilution.</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Process for equity grants</w:t>
      </w:r>
    </w:p>
    <w:p>
      <w:pPr>
        <w:spacing w:after="0" w:line="255" w:lineRule="exact"/>
        <w:rPr>
          <w:sz w:val="20"/>
          <w:szCs w:val="20"/>
          <w:color w:val="auto"/>
        </w:rPr>
      </w:pPr>
    </w:p>
    <w:p>
      <w:pPr>
        <w:ind w:left="1" w:right="20"/>
        <w:spacing w:after="0" w:line="262" w:lineRule="auto"/>
        <w:rPr>
          <w:sz w:val="20"/>
          <w:szCs w:val="20"/>
          <w:color w:val="auto"/>
        </w:rPr>
      </w:pPr>
      <w:r>
        <w:rPr>
          <w:rFonts w:ascii="Arial" w:cs="Arial" w:eastAsia="Arial" w:hAnsi="Arial"/>
          <w:sz w:val="20"/>
          <w:szCs w:val="20"/>
          <w:color w:val="2A2A2A"/>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96" w:lineRule="exact"/>
        <w:rPr>
          <w:sz w:val="20"/>
          <w:szCs w:val="20"/>
          <w:color w:val="auto"/>
        </w:rPr>
      </w:pPr>
    </w:p>
    <w:p>
      <w:pPr>
        <w:ind w:left="1" w:right="560"/>
        <w:spacing w:after="0" w:line="287" w:lineRule="auto"/>
        <w:rPr>
          <w:sz w:val="20"/>
          <w:szCs w:val="20"/>
          <w:color w:val="auto"/>
        </w:rPr>
      </w:pPr>
      <w:r>
        <w:rPr>
          <w:rFonts w:ascii="Arial" w:cs="Arial" w:eastAsia="Arial" w:hAnsi="Arial"/>
          <w:sz w:val="20"/>
          <w:szCs w:val="20"/>
          <w:color w:val="2A2A2A"/>
        </w:rPr>
        <w:t>On occasion, the committee may grant stock options or restricted stock units to executives at times other than January. For example, it has done so in connection with job promotions and for purposes of retention.</w:t>
      </w:r>
    </w:p>
    <w:p>
      <w:pPr>
        <w:spacing w:after="0" w:line="170" w:lineRule="exact"/>
        <w:rPr>
          <w:sz w:val="20"/>
          <w:szCs w:val="20"/>
          <w:color w:val="auto"/>
        </w:rPr>
      </w:pPr>
    </w:p>
    <w:p>
      <w:pPr>
        <w:ind w:left="1" w:right="60"/>
        <w:spacing w:after="0" w:line="287" w:lineRule="auto"/>
        <w:rPr>
          <w:sz w:val="20"/>
          <w:szCs w:val="20"/>
          <w:color w:val="auto"/>
        </w:rPr>
      </w:pPr>
      <w:r>
        <w:rPr>
          <w:rFonts w:ascii="Arial" w:cs="Arial" w:eastAsia="Arial" w:hAnsi="Arial"/>
          <w:sz w:val="20"/>
          <w:szCs w:val="20"/>
          <w:color w:val="2A2A2A"/>
        </w:rPr>
        <w:t>We do not backdate stock options or restricted stock units. We do not accelerate or delay the release of information due to plans for making equity grants.</w:t>
      </w:r>
    </w:p>
    <w:p>
      <w:pPr>
        <w:spacing w:after="0" w:line="170" w:lineRule="exact"/>
        <w:rPr>
          <w:sz w:val="20"/>
          <w:szCs w:val="20"/>
          <w:color w:val="auto"/>
        </w:rPr>
      </w:pPr>
    </w:p>
    <w:p>
      <w:pPr>
        <w:jc w:val="both"/>
        <w:ind w:left="1" w:right="120"/>
        <w:spacing w:after="0" w:line="259" w:lineRule="auto"/>
        <w:rPr>
          <w:sz w:val="20"/>
          <w:szCs w:val="20"/>
          <w:color w:val="auto"/>
        </w:rPr>
      </w:pPr>
      <w:r>
        <w:rPr>
          <w:rFonts w:ascii="Arial" w:cs="Arial" w:eastAsia="Arial" w:hAnsi="Arial"/>
          <w:sz w:val="20"/>
          <w:szCs w:val="20"/>
          <w:color w:val="2A2A2A"/>
        </w:rPr>
        <w:t>If the committee meeting falls in the same month as the release of the company’s financial results, the committee’s general practice is to make grants effective on the later to occur of (i) the second trading day after the results have been released or other information has been publicly disclosed or (ii) the meeting day. In other months, its practice is to make them effective on the day of committee action. The exercise price of stock options is the closing price of TI stock on the effective date of the grant.</w:t>
      </w:r>
    </w:p>
    <w:p>
      <w:pPr>
        <w:sectPr>
          <w:pgSz w:w="12240" w:h="15840" w:orient="portrait"/>
          <w:cols w:equalWidth="0" w:num="1">
            <w:col w:w="10241"/>
          </w:cols>
          <w:pgMar w:left="979" w:top="664" w:right="102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383838"/>
        </w:rPr>
        <w:t>2024 PROXY STATEMENT • PAGE 41</w:t>
      </w:r>
    </w:p>
    <w:p>
      <w:pPr>
        <w:sectPr>
          <w:pgSz w:w="12240" w:h="15840" w:orient="portrait"/>
          <w:cols w:equalWidth="0" w:num="1">
            <w:col w:w="10241"/>
          </w:cols>
          <w:pgMar w:left="979" w:top="664" w:right="1020" w:bottom="33" w:gutter="0" w:footer="0" w:header="0"/>
          <w:type w:val="continuous"/>
        </w:sectPr>
      </w:pPr>
    </w:p>
    <w:bookmarkStart w:id="113" w:name="page114"/>
    <w:bookmarkEnd w:id="113"/>
    <w:p>
      <w:pPr>
        <w:spacing w:after="0"/>
        <w:rPr>
          <w:sz w:val="20"/>
          <w:szCs w:val="20"/>
          <w:color w:val="auto"/>
        </w:rPr>
      </w:pPr>
      <w:r>
        <w:rPr>
          <w:rFonts w:ascii="Arial" w:cs="Arial" w:eastAsia="Arial" w:hAnsi="Arial"/>
          <w:sz w:val="22"/>
          <w:szCs w:val="22"/>
          <w:i w:val="1"/>
          <w:iCs w:val="1"/>
          <w:color w:val="2A2A2A"/>
        </w:rPr>
        <w:t>Recoupment policy</w:t>
      </w:r>
    </w:p>
    <w:p>
      <w:pPr>
        <w:spacing w:after="0" w:line="25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2A2A2A"/>
        </w:rPr>
        <w:t>The company has a policy concerning recoupment (“clawback”) of executive compensation in accordance with the regulations mandated under the Dodd-Frank Wall Street Reform and Consumer Protection Act. Under the policy, in the event the company is required to prepare an accounting restatement due to material noncompliance with any financial reporting requirement under securities laws, the committee shall seek to recover incentive-based compensation received by any executive officer during the three fiscal years immediately preceding the date that such a restatement is required in excess of the amount of incentive-based compensation that otherwise would have been received by the executive officer had such compensation been determined based on the restated financial results. In addition, the committee may determine whether and to what extent additional recoupment of any executive compensation is appropriate, including with respect to fraud or willful misconduct.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Most recent stockholder advisory vote on executive compensation</w:t>
      </w:r>
    </w:p>
    <w:p>
      <w:pPr>
        <w:spacing w:after="0" w:line="255" w:lineRule="exact"/>
        <w:rPr>
          <w:sz w:val="20"/>
          <w:szCs w:val="20"/>
          <w:color w:val="auto"/>
        </w:rPr>
      </w:pPr>
    </w:p>
    <w:p>
      <w:pPr>
        <w:ind w:right="520"/>
        <w:spacing w:after="0" w:line="259" w:lineRule="auto"/>
        <w:rPr>
          <w:sz w:val="20"/>
          <w:szCs w:val="20"/>
          <w:color w:val="auto"/>
        </w:rPr>
      </w:pPr>
      <w:r>
        <w:rPr>
          <w:rFonts w:ascii="Arial" w:cs="Arial" w:eastAsia="Arial" w:hAnsi="Arial"/>
          <w:sz w:val="20"/>
          <w:szCs w:val="20"/>
          <w:color w:val="2A2A2A"/>
        </w:rPr>
        <w:t>In April 2023, our shareholders cast an advisory vote on the company’s executive compensation decisions and policies as disclosed in the proxy statement issued by the company in March 2023. Approximately 84%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Benefits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Retirement plans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2A2A2A"/>
        </w:rPr>
        <w:t>The executive officers participate in our retirement plans under the same rules that apply to other U.S. employees.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A2A2A"/>
        </w:rPr>
        <w:t>We maintain these plans to have a competitive benefits program and for retention.</w:t>
      </w:r>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2A2A2A"/>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color w:val="2A2A2A"/>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“2023 pension benefits.”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99"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color w:val="2A2A2A"/>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80" w:lineRule="exact"/>
        <w:rPr>
          <w:sz w:val="20"/>
          <w:szCs w:val="20"/>
          <w:color w:val="auto"/>
        </w:rPr>
      </w:pPr>
    </w:p>
    <w:p>
      <w:pPr>
        <w:ind w:right="900"/>
        <w:spacing w:after="0" w:line="287" w:lineRule="auto"/>
        <w:rPr>
          <w:sz w:val="20"/>
          <w:szCs w:val="20"/>
          <w:color w:val="auto"/>
        </w:rPr>
      </w:pPr>
      <w:r>
        <w:rPr>
          <w:rFonts w:ascii="Arial" w:cs="Arial" w:eastAsia="Arial" w:hAnsi="Arial"/>
          <w:sz w:val="20"/>
          <w:szCs w:val="20"/>
          <w:color w:val="2A2A2A"/>
        </w:rPr>
        <w:t>The committee considers the potential effect on the executives’ retirement benefits when it sets salary and performance bonus levels.</w:t>
      </w:r>
    </w:p>
    <w:p>
      <w:pPr>
        <w:sectPr>
          <w:pgSz w:w="12240" w:h="15840" w:orient="portrait"/>
          <w:cols w:equalWidth="0" w:num="1">
            <w:col w:w="10260"/>
          </w:cols>
          <w:pgMar w:left="980" w:top="660"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42</w:t>
      </w:r>
    </w:p>
    <w:p>
      <w:pPr>
        <w:sectPr>
          <w:pgSz w:w="12240" w:h="15840" w:orient="portrait"/>
          <w:cols w:equalWidth="0" w:num="1">
            <w:col w:w="10260"/>
          </w:cols>
          <w:pgMar w:left="980" w:top="660" w:right="1000" w:bottom="33"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i w:val="1"/>
          <w:iCs w:val="1"/>
          <w:u w:val="single" w:color="auto"/>
          <w:color w:val="2A2A2A"/>
        </w:rPr>
        <w:t>Deferred compensation</w:t>
      </w:r>
    </w:p>
    <w:p>
      <w:pPr>
        <w:spacing w:after="0" w:line="28"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2A2A2A"/>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2023 because no “above market” rates were earned on deferred amounts in that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Employee stock purchase plan</w:t>
      </w:r>
    </w:p>
    <w:p>
      <w:pPr>
        <w:spacing w:after="0" w:line="28"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2A2A2A"/>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Health-related benefits</w:t>
      </w:r>
    </w:p>
    <w:p>
      <w:pPr>
        <w:spacing w:after="0" w:line="28"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color w:val="2A2A2A"/>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Other benefits</w:t>
      </w:r>
    </w:p>
    <w:p>
      <w:pPr>
        <w:spacing w:after="0" w:line="28" w:lineRule="exact"/>
        <w:rPr>
          <w:sz w:val="20"/>
          <w:szCs w:val="20"/>
          <w:color w:val="auto"/>
        </w:rPr>
      </w:pPr>
    </w:p>
    <w:p>
      <w:pPr>
        <w:spacing w:after="0" w:line="253" w:lineRule="auto"/>
        <w:rPr>
          <w:sz w:val="20"/>
          <w:szCs w:val="20"/>
          <w:color w:val="auto"/>
        </w:rPr>
      </w:pPr>
      <w:r>
        <w:rPr>
          <w:rFonts w:ascii="Arial" w:cs="Arial" w:eastAsia="Arial" w:hAnsi="Arial"/>
          <w:sz w:val="20"/>
          <w:szCs w:val="20"/>
          <w:color w:val="2A2A2A"/>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Ilan, at his option, to use company aircraft for personal air travel. Please see Note 6 to the summary compensation table for 2023 and “Potential payments upon termination or change in control – Termination – Perquisites” for further details. The company provides no tax gross-ups for perquisites to any of the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Compensation following employment termination or change in control</w:t>
      </w:r>
    </w:p>
    <w:p>
      <w:pPr>
        <w:spacing w:after="0" w:line="25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2A2A2A"/>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2023 based on this review.</w:t>
      </w:r>
    </w:p>
    <w:p>
      <w:pPr>
        <w:spacing w:after="0" w:line="203"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2A2A2A"/>
        </w:rPr>
        <w:t>The Texas Instruments 2009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ectPr>
          <w:pgSz w:w="12240" w:h="15840" w:orient="portrait"/>
          <w:cols w:equalWidth="0" w:num="1">
            <w:col w:w="10280"/>
          </w:cols>
          <w:pgMar w:left="980" w:top="666"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43</w:t>
      </w:r>
    </w:p>
    <w:p>
      <w:pPr>
        <w:sectPr>
          <w:pgSz w:w="12240" w:h="15840" w:orient="portrait"/>
          <w:cols w:equalWidth="0" w:num="1">
            <w:col w:w="10280"/>
          </w:cols>
          <w:pgMar w:left="980" w:top="666" w:right="980" w:bottom="33" w:gutter="0" w:footer="0" w:header="0"/>
          <w:type w:val="continuous"/>
        </w:sectPr>
      </w:pPr>
    </w:p>
    <w:bookmarkStart w:id="115" w:name="page116"/>
    <w:bookmarkEnd w:id="115"/>
    <w:p>
      <w:pPr>
        <w:spacing w:after="0"/>
        <w:rPr>
          <w:sz w:val="20"/>
          <w:szCs w:val="20"/>
          <w:color w:val="auto"/>
        </w:rPr>
      </w:pPr>
      <w:r>
        <w:rPr>
          <w:rFonts w:ascii="Arial" w:cs="Arial" w:eastAsia="Arial" w:hAnsi="Arial"/>
          <w:sz w:val="22"/>
          <w:szCs w:val="22"/>
          <w:i w:val="1"/>
          <w:iCs w:val="1"/>
          <w:color w:val="2A2A2A"/>
        </w:rPr>
        <w:t>Stock ownership guidelines and policy against hedging</w:t>
      </w:r>
    </w:p>
    <w:p>
      <w:pPr>
        <w:spacing w:after="0" w:line="255"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2A2A2A"/>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96"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2A2A2A"/>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20"/>
          <w:szCs w:val="20"/>
          <w:i w:val="1"/>
          <w:iCs w:val="1"/>
          <w:color w:val="2A2A2A"/>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Consideration of tax and accounting treatment of compensation</w:t>
      </w:r>
    </w:p>
    <w:p>
      <w:pPr>
        <w:spacing w:after="0" w:line="25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2A2A2A"/>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20"/>
          <w:szCs w:val="20"/>
          <w:color w:val="2A2A2A"/>
        </w:rPr>
        <w:t>When setting equity compensation, the committee considers the cost for financial reporting purposes of equity compensation it intends to grant. Its consideration of the cost of grants made in 2023 is discussed under “Analysis of compensation determinations – Equity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Compensation committee report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2A2A2A"/>
        </w:rPr>
        <w:t>The compensation committee of the board of directors has furnished the following report:</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2A2A2A"/>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2023 and the company’s proxy statement for the 2024 annual meeting of stockholders.</w:t>
      </w:r>
    </w:p>
    <w:p>
      <w:pPr>
        <w:spacing w:after="0" w:line="147" w:lineRule="exact"/>
        <w:rPr>
          <w:sz w:val="20"/>
          <w:szCs w:val="20"/>
          <w:color w:val="auto"/>
        </w:rPr>
      </w:pPr>
    </w:p>
    <w:p>
      <w:pPr>
        <w:ind w:left="580"/>
        <w:spacing w:after="0"/>
        <w:tabs>
          <w:tab w:leader="none" w:pos="4060" w:val="left"/>
          <w:tab w:leader="none" w:pos="6340" w:val="left"/>
          <w:tab w:leader="none" w:pos="8640" w:val="left"/>
        </w:tabs>
        <w:rPr>
          <w:sz w:val="20"/>
          <w:szCs w:val="20"/>
          <w:color w:val="auto"/>
        </w:rPr>
      </w:pPr>
      <w:r>
        <w:rPr>
          <w:rFonts w:ascii="Arial" w:cs="Arial" w:eastAsia="Arial" w:hAnsi="Arial"/>
          <w:sz w:val="20"/>
          <w:szCs w:val="20"/>
          <w:color w:val="2A2A2A"/>
        </w:rPr>
        <w:t>Martin S. Craighead, Chair</w:t>
      </w:r>
      <w:r>
        <w:rPr>
          <w:sz w:val="20"/>
          <w:szCs w:val="20"/>
          <w:color w:val="auto"/>
        </w:rPr>
        <w:tab/>
      </w:r>
      <w:r>
        <w:rPr>
          <w:rFonts w:ascii="Arial" w:cs="Arial" w:eastAsia="Arial" w:hAnsi="Arial"/>
          <w:sz w:val="20"/>
          <w:szCs w:val="20"/>
          <w:color w:val="2A2A2A"/>
        </w:rPr>
        <w:t>Mark A. Blinn</w:t>
      </w:r>
      <w:r>
        <w:rPr>
          <w:sz w:val="20"/>
          <w:szCs w:val="20"/>
          <w:color w:val="auto"/>
        </w:rPr>
        <w:tab/>
      </w:r>
      <w:r>
        <w:rPr>
          <w:rFonts w:ascii="Arial" w:cs="Arial" w:eastAsia="Arial" w:hAnsi="Arial"/>
          <w:sz w:val="20"/>
          <w:szCs w:val="20"/>
          <w:color w:val="2A2A2A"/>
        </w:rPr>
        <w:t>Carrie S. Cox</w:t>
      </w:r>
      <w:r>
        <w:rPr>
          <w:sz w:val="20"/>
          <w:szCs w:val="20"/>
          <w:color w:val="auto"/>
        </w:rPr>
        <w:tab/>
      </w:r>
      <w:r>
        <w:rPr>
          <w:rFonts w:ascii="Arial" w:cs="Arial" w:eastAsia="Arial" w:hAnsi="Arial"/>
          <w:sz w:val="20"/>
          <w:szCs w:val="20"/>
          <w:color w:val="2A2A2A"/>
        </w:rPr>
        <w:t>Ronald Kirk</w:t>
      </w:r>
    </w:p>
    <w:p>
      <w:pPr>
        <w:sectPr>
          <w:pgSz w:w="12240" w:h="15840" w:orient="portrait"/>
          <w:cols w:equalWidth="0" w:num="1">
            <w:col w:w="10280"/>
          </w:cols>
          <w:pgMar w:left="980" w:top="660"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44</w:t>
      </w:r>
    </w:p>
    <w:p>
      <w:pPr>
        <w:sectPr>
          <w:pgSz w:w="12240" w:h="15840" w:orient="portrait"/>
          <w:cols w:equalWidth="0" w:num="1">
            <w:col w:w="10280"/>
          </w:cols>
          <w:pgMar w:left="980" w:top="660" w:right="980" w:bottom="33" w:gutter="0" w:footer="0" w:header="0"/>
          <w:type w:val="continuous"/>
        </w:sectPr>
      </w:pPr>
    </w:p>
    <w:bookmarkStart w:id="116" w:name="page117"/>
    <w:bookmarkEnd w:id="116"/>
    <w:p>
      <w:pPr>
        <w:ind w:left="1"/>
        <w:spacing w:after="0"/>
        <w:rPr>
          <w:sz w:val="20"/>
          <w:szCs w:val="20"/>
          <w:color w:val="auto"/>
        </w:rPr>
      </w:pPr>
      <w:r>
        <w:rPr>
          <w:rFonts w:ascii="Arial" w:cs="Arial" w:eastAsia="Arial" w:hAnsi="Arial"/>
          <w:sz w:val="22"/>
          <w:szCs w:val="22"/>
          <w:b w:val="1"/>
          <w:bCs w:val="1"/>
          <w:color w:val="2A2A2A"/>
        </w:rPr>
        <w:t>2023 compensation tables</w:t>
      </w:r>
    </w:p>
    <w:p>
      <w:pPr>
        <w:spacing w:after="0" w:line="251"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2023 summary compensation table</w:t>
      </w:r>
    </w:p>
    <w:p>
      <w:pPr>
        <w:spacing w:after="0" w:line="257" w:lineRule="exact"/>
        <w:rPr>
          <w:sz w:val="20"/>
          <w:szCs w:val="20"/>
          <w:color w:val="auto"/>
        </w:rPr>
      </w:pPr>
    </w:p>
    <w:p>
      <w:pPr>
        <w:ind w:left="1" w:right="760"/>
        <w:spacing w:after="0" w:line="287" w:lineRule="auto"/>
        <w:rPr>
          <w:sz w:val="20"/>
          <w:szCs w:val="20"/>
          <w:color w:val="auto"/>
        </w:rPr>
      </w:pPr>
      <w:r>
        <w:rPr>
          <w:rFonts w:ascii="Arial" w:cs="Arial" w:eastAsia="Arial" w:hAnsi="Arial"/>
          <w:sz w:val="20"/>
          <w:szCs w:val="20"/>
          <w:color w:val="2A2A2A"/>
        </w:rPr>
        <w:t>The table below shows the compensation of the named executive officers for services in all capacities to the company in 2023.</w:t>
      </w:r>
    </w:p>
    <w:p>
      <w:pPr>
        <w:spacing w:after="0" w:line="22"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Change in</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center"/>
              <w:ind w:right="220"/>
              <w:spacing w:after="0"/>
              <w:rPr>
                <w:sz w:val="20"/>
                <w:szCs w:val="20"/>
                <w:color w:val="auto"/>
              </w:rPr>
            </w:pPr>
            <w:r>
              <w:rPr>
                <w:rFonts w:ascii="Arial" w:cs="Arial" w:eastAsia="Arial" w:hAnsi="Arial"/>
                <w:sz w:val="16"/>
                <w:szCs w:val="16"/>
                <w:b w:val="1"/>
                <w:bCs w:val="1"/>
                <w:color w:val="2A2A2A"/>
                <w:w w:val="99"/>
              </w:rPr>
              <w:t>Pension</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Value and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2A2A2A"/>
              </w:rPr>
              <w:t>Non-Equity   Non-qualified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7"/>
              </w:rPr>
              <w:t>Incentive</w:t>
            </w:r>
          </w:p>
        </w:tc>
        <w:tc>
          <w:tcPr>
            <w:tcW w:w="280" w:type="dxa"/>
            <w:vAlign w:val="bottom"/>
          </w:tcPr>
          <w:p>
            <w:pPr>
              <w:spacing w:after="0"/>
              <w:rPr>
                <w:sz w:val="16"/>
                <w:szCs w:val="16"/>
                <w:color w:val="auto"/>
              </w:rPr>
            </w:pPr>
          </w:p>
        </w:tc>
        <w:tc>
          <w:tcPr>
            <w:tcW w:w="960" w:type="dxa"/>
            <w:vAlign w:val="bottom"/>
          </w:tcPr>
          <w:p>
            <w:pPr>
              <w:jc w:val="center"/>
              <w:ind w:right="220"/>
              <w:spacing w:after="0"/>
              <w:rPr>
                <w:sz w:val="20"/>
                <w:szCs w:val="20"/>
                <w:color w:val="auto"/>
              </w:rPr>
            </w:pPr>
            <w:r>
              <w:rPr>
                <w:rFonts w:ascii="Arial" w:cs="Arial" w:eastAsia="Arial" w:hAnsi="Arial"/>
                <w:sz w:val="16"/>
                <w:szCs w:val="16"/>
                <w:b w:val="1"/>
                <w:bCs w:val="1"/>
                <w:color w:val="2A2A2A"/>
              </w:rPr>
              <w:t>Deferred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2A2A2A"/>
                <w:w w:val="96"/>
              </w:rPr>
              <w:t>Stock</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2A2A2A"/>
              </w:rPr>
              <w:t>Option</w:t>
            </w:r>
          </w:p>
        </w:tc>
        <w:tc>
          <w:tcPr>
            <w:tcW w:w="240" w:type="dxa"/>
            <w:vAlign w:val="bottom"/>
          </w:tcPr>
          <w:p>
            <w:pPr>
              <w:spacing w:after="0"/>
              <w:rPr>
                <w:sz w:val="16"/>
                <w:szCs w:val="16"/>
                <w:color w:val="auto"/>
              </w:rPr>
            </w:pPr>
          </w:p>
        </w:tc>
        <w:tc>
          <w:tcPr>
            <w:tcW w:w="800" w:type="dxa"/>
            <w:vAlign w:val="bottom"/>
          </w:tcPr>
          <w:p>
            <w:pPr>
              <w:jc w:val="center"/>
              <w:ind w:right="180"/>
              <w:spacing w:after="0"/>
              <w:rPr>
                <w:sz w:val="20"/>
                <w:szCs w:val="20"/>
                <w:color w:val="auto"/>
              </w:rPr>
            </w:pPr>
            <w:r>
              <w:rPr>
                <w:rFonts w:ascii="Arial" w:cs="Arial" w:eastAsia="Arial" w:hAnsi="Arial"/>
                <w:sz w:val="16"/>
                <w:szCs w:val="16"/>
                <w:b w:val="1"/>
                <w:bCs w:val="1"/>
                <w:color w:val="2A2A2A"/>
              </w:rPr>
              <w:t>Plan</w:t>
            </w:r>
          </w:p>
        </w:tc>
        <w:tc>
          <w:tcPr>
            <w:tcW w:w="280" w:type="dxa"/>
            <w:vAlign w:val="bottom"/>
          </w:tcPr>
          <w:p>
            <w:pPr>
              <w:spacing w:after="0"/>
              <w:rPr>
                <w:sz w:val="16"/>
                <w:szCs w:val="16"/>
                <w:color w:val="auto"/>
              </w:rPr>
            </w:pPr>
          </w:p>
        </w:tc>
        <w:tc>
          <w:tcPr>
            <w:tcW w:w="960" w:type="dxa"/>
            <w:vAlign w:val="bottom"/>
          </w:tcPr>
          <w:p>
            <w:pPr>
              <w:jc w:val="center"/>
              <w:ind w:right="200"/>
              <w:spacing w:after="0"/>
              <w:rPr>
                <w:sz w:val="20"/>
                <w:szCs w:val="20"/>
                <w:color w:val="auto"/>
              </w:rPr>
            </w:pPr>
            <w:r>
              <w:rPr>
                <w:rFonts w:ascii="Arial" w:cs="Arial" w:eastAsia="Arial" w:hAnsi="Arial"/>
                <w:sz w:val="16"/>
                <w:szCs w:val="16"/>
                <w:b w:val="1"/>
                <w:bCs w:val="1"/>
                <w:color w:val="2A2A2A"/>
                <w:w w:val="98"/>
              </w:rPr>
              <w:t>Compen-</w:t>
            </w: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2A2A2A"/>
              </w:rPr>
              <w:t>All Other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1840" w:type="dxa"/>
            <w:vAlign w:val="bottom"/>
          </w:tcPr>
          <w:p>
            <w:pPr>
              <w:ind w:left="60"/>
              <w:spacing w:after="0"/>
              <w:rPr>
                <w:sz w:val="20"/>
                <w:szCs w:val="20"/>
                <w:color w:val="auto"/>
              </w:rPr>
            </w:pPr>
            <w:r>
              <w:rPr>
                <w:rFonts w:ascii="Arial" w:cs="Arial" w:eastAsia="Arial" w:hAnsi="Arial"/>
                <w:sz w:val="16"/>
                <w:szCs w:val="16"/>
                <w:b w:val="1"/>
                <w:bCs w:val="1"/>
                <w:color w:val="2A2A2A"/>
              </w:rPr>
              <w:t>Name and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2A2A2A"/>
              </w:rPr>
              <w:t>Awards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2A2A2A"/>
              </w:rPr>
              <w:t>Awards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Compen-</w:t>
            </w:r>
          </w:p>
        </w:tc>
        <w:tc>
          <w:tcPr>
            <w:tcW w:w="280" w:type="dxa"/>
            <w:vAlign w:val="bottom"/>
          </w:tcPr>
          <w:p>
            <w:pPr>
              <w:spacing w:after="0"/>
              <w:rPr>
                <w:sz w:val="16"/>
                <w:szCs w:val="16"/>
                <w:color w:val="auto"/>
              </w:rPr>
            </w:pPr>
          </w:p>
        </w:tc>
        <w:tc>
          <w:tcPr>
            <w:tcW w:w="960" w:type="dxa"/>
            <w:vAlign w:val="bottom"/>
          </w:tcPr>
          <w:p>
            <w:pPr>
              <w:jc w:val="center"/>
              <w:ind w:right="200"/>
              <w:spacing w:after="0"/>
              <w:rPr>
                <w:sz w:val="20"/>
                <w:szCs w:val="20"/>
                <w:color w:val="auto"/>
              </w:rPr>
            </w:pPr>
            <w:r>
              <w:rPr>
                <w:rFonts w:ascii="Arial" w:cs="Arial" w:eastAsia="Arial" w:hAnsi="Arial"/>
                <w:sz w:val="16"/>
                <w:szCs w:val="16"/>
                <w:b w:val="1"/>
                <w:bCs w:val="1"/>
                <w:color w:val="2A2A2A"/>
              </w:rPr>
              <w:t>sation</w:t>
            </w: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2A2A2A"/>
              </w:rPr>
              <w:t>Compen-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18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Principal Position (1)</w:t>
            </w:r>
          </w:p>
        </w:tc>
        <w:tc>
          <w:tcPr>
            <w:tcW w:w="520" w:type="dxa"/>
            <w:vAlign w:val="bottom"/>
            <w:tcBorders>
              <w:bottom w:val="single" w:sz="8" w:color="2A2A2A"/>
            </w:tcBorders>
          </w:tcPr>
          <w:p>
            <w:pPr>
              <w:ind w:left="120"/>
              <w:spacing w:after="0"/>
              <w:rPr>
                <w:sz w:val="20"/>
                <w:szCs w:val="20"/>
                <w:color w:val="auto"/>
              </w:rPr>
            </w:pPr>
            <w:r>
              <w:rPr>
                <w:rFonts w:ascii="Arial" w:cs="Arial" w:eastAsia="Arial" w:hAnsi="Arial"/>
                <w:sz w:val="16"/>
                <w:szCs w:val="16"/>
                <w:b w:val="1"/>
                <w:bCs w:val="1"/>
                <w:color w:val="2A2A2A"/>
              </w:rPr>
              <w:t>Year</w:t>
            </w:r>
          </w:p>
        </w:tc>
        <w:tc>
          <w:tcPr>
            <w:tcW w:w="180" w:type="dxa"/>
            <w:vAlign w:val="bottom"/>
            <w:tcBorders>
              <w:bottom w:val="single" w:sz="8" w:color="2A2A2A"/>
            </w:tcBorders>
          </w:tcPr>
          <w:p>
            <w:pPr>
              <w:spacing w:after="0"/>
              <w:rPr>
                <w:sz w:val="19"/>
                <w:szCs w:val="19"/>
                <w:color w:val="auto"/>
              </w:rPr>
            </w:pPr>
          </w:p>
        </w:tc>
        <w:tc>
          <w:tcPr>
            <w:tcW w:w="720" w:type="dxa"/>
            <w:vAlign w:val="bottom"/>
            <w:tcBorders>
              <w:bottom w:val="single" w:sz="8" w:color="2A2A2A"/>
            </w:tcBorders>
          </w:tcPr>
          <w:p>
            <w:pPr>
              <w:jc w:val="right"/>
              <w:ind w:right="120"/>
              <w:spacing w:after="0"/>
              <w:rPr>
                <w:sz w:val="20"/>
                <w:szCs w:val="20"/>
                <w:color w:val="auto"/>
              </w:rPr>
            </w:pPr>
            <w:r>
              <w:rPr>
                <w:rFonts w:ascii="Arial" w:cs="Arial" w:eastAsia="Arial" w:hAnsi="Arial"/>
                <w:sz w:val="16"/>
                <w:szCs w:val="16"/>
                <w:b w:val="1"/>
                <w:bCs w:val="1"/>
                <w:color w:val="2A2A2A"/>
              </w:rPr>
              <w:t>Salary</w:t>
            </w:r>
          </w:p>
        </w:tc>
        <w:tc>
          <w:tcPr>
            <w:tcW w:w="9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Bonus</w:t>
            </w:r>
          </w:p>
        </w:tc>
        <w:tc>
          <w:tcPr>
            <w:tcW w:w="9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1"/>
              </w:rPr>
              <w:t>(2)</w:t>
            </w:r>
          </w:p>
        </w:tc>
        <w:tc>
          <w:tcPr>
            <w:tcW w:w="9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(3)</w:t>
            </w:r>
          </w:p>
        </w:tc>
        <w:tc>
          <w:tcPr>
            <w:tcW w:w="104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rPr>
              <w:t>sation (4)</w:t>
            </w:r>
          </w:p>
        </w:tc>
        <w:tc>
          <w:tcPr>
            <w:tcW w:w="124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Earnings (5)</w:t>
            </w:r>
          </w:p>
        </w:tc>
        <w:tc>
          <w:tcPr>
            <w:tcW w:w="940" w:type="dxa"/>
            <w:vAlign w:val="bottom"/>
            <w:tcBorders>
              <w:bottom w:val="single" w:sz="8" w:color="2A2A2A"/>
            </w:tcBorders>
            <w:gridSpan w:val="2"/>
          </w:tcPr>
          <w:p>
            <w:pPr>
              <w:ind w:left="120"/>
              <w:spacing w:after="0"/>
              <w:rPr>
                <w:sz w:val="20"/>
                <w:szCs w:val="20"/>
                <w:color w:val="auto"/>
              </w:rPr>
            </w:pPr>
            <w:r>
              <w:rPr>
                <w:rFonts w:ascii="Arial" w:cs="Arial" w:eastAsia="Arial" w:hAnsi="Arial"/>
                <w:sz w:val="16"/>
                <w:szCs w:val="16"/>
                <w:b w:val="1"/>
                <w:bCs w:val="1"/>
                <w:color w:val="2A2A2A"/>
              </w:rPr>
              <w:t>sation (6)</w:t>
            </w:r>
          </w:p>
        </w:tc>
        <w:tc>
          <w:tcPr>
            <w:tcW w:w="240" w:type="dxa"/>
            <w:vAlign w:val="bottom"/>
            <w:tcBorders>
              <w:bottom w:val="single" w:sz="8" w:color="2A2A2A"/>
            </w:tcBorders>
          </w:tcPr>
          <w:p>
            <w:pPr>
              <w:spacing w:after="0"/>
              <w:rPr>
                <w:sz w:val="19"/>
                <w:szCs w:val="19"/>
                <w:color w:val="auto"/>
              </w:rPr>
            </w:pPr>
          </w:p>
        </w:tc>
        <w:tc>
          <w:tcPr>
            <w:tcW w:w="820" w:type="dxa"/>
            <w:vAlign w:val="bottom"/>
            <w:tcBorders>
              <w:bottom w:val="single" w:sz="8" w:color="2A2A2A"/>
            </w:tcBorders>
          </w:tcPr>
          <w:p>
            <w:pPr>
              <w:jc w:val="right"/>
              <w:ind w:right="240"/>
              <w:spacing w:after="0"/>
              <w:rPr>
                <w:sz w:val="20"/>
                <w:szCs w:val="20"/>
                <w:color w:val="auto"/>
              </w:rPr>
            </w:pPr>
            <w:r>
              <w:rPr>
                <w:rFonts w:ascii="Arial" w:cs="Arial" w:eastAsia="Arial" w:hAnsi="Arial"/>
                <w:sz w:val="16"/>
                <w:szCs w:val="16"/>
                <w:b w:val="1"/>
                <w:bCs w:val="1"/>
                <w:color w:val="2A2A2A"/>
              </w:rPr>
              <w:t>Total</w:t>
            </w:r>
          </w:p>
        </w:tc>
      </w:tr>
      <w:tr>
        <w:trPr>
          <w:trHeight w:val="251"/>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Haviv Ilan</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900" w:type="dxa"/>
            <w:vAlign w:val="bottom"/>
            <w:tcBorders>
              <w:bottom w:val="single" w:sz="8" w:color="D7D7D7"/>
            </w:tcBorders>
            <w:gridSpan w:val="2"/>
            <w:shd w:val="clear" w:color="auto" w:fill="D7D7D7"/>
          </w:tcPr>
          <w:p>
            <w:pPr>
              <w:ind w:left="60"/>
              <w:spacing w:after="0"/>
              <w:rPr>
                <w:sz w:val="20"/>
                <w:szCs w:val="20"/>
                <w:color w:val="auto"/>
              </w:rPr>
            </w:pPr>
            <w:r>
              <w:rPr>
                <w:rFonts w:ascii="Arial" w:cs="Arial" w:eastAsia="Arial" w:hAnsi="Arial"/>
                <w:sz w:val="16"/>
                <w:szCs w:val="16"/>
                <w:color w:val="2A2A2A"/>
              </w:rPr>
              <w:t>$1,099,583</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$2,500,000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$6,000,008</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$6,000,001</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219,917</w:t>
            </w:r>
          </w:p>
        </w:tc>
        <w:tc>
          <w:tcPr>
            <w:tcW w:w="280" w:type="dxa"/>
            <w:vAlign w:val="bottom"/>
            <w:tcBorders>
              <w:bottom w:val="single" w:sz="8" w:color="D7D7D7"/>
            </w:tcBorders>
            <w:shd w:val="clear" w:color="auto" w:fill="D7D7D7"/>
          </w:tcPr>
          <w:p>
            <w:pPr>
              <w:spacing w:after="0"/>
              <w:rPr>
                <w:sz w:val="21"/>
                <w:szCs w:val="21"/>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379,528</w:t>
            </w:r>
          </w:p>
        </w:tc>
        <w:tc>
          <w:tcPr>
            <w:tcW w:w="106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$16,199,037</w:t>
            </w:r>
          </w:p>
        </w:tc>
      </w:tr>
      <w:tr>
        <w:trPr>
          <w:trHeight w:val="256"/>
        </w:trPr>
        <w:tc>
          <w:tcPr>
            <w:tcW w:w="1840" w:type="dxa"/>
            <w:vAlign w:val="bottom"/>
          </w:tcPr>
          <w:p>
            <w:pPr>
              <w:ind w:left="60"/>
              <w:spacing w:after="0"/>
              <w:rPr>
                <w:sz w:val="20"/>
                <w:szCs w:val="20"/>
                <w:color w:val="auto"/>
              </w:rPr>
            </w:pPr>
            <w:r>
              <w:rPr>
                <w:rFonts w:ascii="Arial" w:cs="Arial" w:eastAsia="Arial" w:hAnsi="Arial"/>
                <w:sz w:val="16"/>
                <w:szCs w:val="16"/>
                <w:color w:val="2A2A2A"/>
              </w:rPr>
              <w:t>Director, President &amp;</w:t>
            </w:r>
          </w:p>
        </w:tc>
        <w:tc>
          <w:tcPr>
            <w:tcW w:w="520" w:type="dxa"/>
            <w:vAlign w:val="bottom"/>
          </w:tcPr>
          <w:p>
            <w:pPr>
              <w:ind w:left="120"/>
              <w:spacing w:after="0"/>
              <w:rPr>
                <w:sz w:val="20"/>
                <w:szCs w:val="20"/>
                <w:color w:val="auto"/>
              </w:rPr>
            </w:pPr>
            <w:r>
              <w:rPr>
                <w:rFonts w:ascii="Arial" w:cs="Arial" w:eastAsia="Arial" w:hAnsi="Arial"/>
                <w:sz w:val="16"/>
                <w:szCs w:val="16"/>
                <w:color w:val="2A2A2A"/>
              </w:rPr>
              <w:t>2022</w:t>
            </w:r>
          </w:p>
        </w:tc>
        <w:tc>
          <w:tcPr>
            <w:tcW w:w="180" w:type="dxa"/>
            <w:vAlign w:val="bottom"/>
          </w:tcPr>
          <w:p>
            <w:pPr>
              <w:ind w:left="60"/>
              <w:spacing w:after="0"/>
              <w:rPr>
                <w:sz w:val="20"/>
                <w:szCs w:val="20"/>
                <w:color w:val="auto"/>
              </w:rPr>
            </w:pPr>
            <w:r>
              <w:rPr>
                <w:rFonts w:ascii="Arial" w:cs="Arial" w:eastAsia="Arial" w:hAnsi="Arial"/>
                <w:sz w:val="16"/>
                <w:szCs w:val="16"/>
                <w:color w:val="2A2A2A"/>
              </w:rPr>
              <w:t>$</w:t>
            </w:r>
          </w:p>
        </w:tc>
        <w:tc>
          <w:tcPr>
            <w:tcW w:w="720" w:type="dxa"/>
            <w:vAlign w:val="bottom"/>
          </w:tcPr>
          <w:p>
            <w:pPr>
              <w:jc w:val="right"/>
              <w:spacing w:after="0"/>
              <w:rPr>
                <w:sz w:val="20"/>
                <w:szCs w:val="20"/>
                <w:color w:val="auto"/>
              </w:rPr>
            </w:pPr>
            <w:r>
              <w:rPr>
                <w:rFonts w:ascii="Arial" w:cs="Arial" w:eastAsia="Arial" w:hAnsi="Arial"/>
                <w:sz w:val="16"/>
                <w:szCs w:val="16"/>
                <w:color w:val="2A2A2A"/>
              </w:rPr>
              <w:t>912,083</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$2,070,000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$4,500,134</w:t>
            </w:r>
          </w:p>
        </w:tc>
        <w:tc>
          <w:tcPr>
            <w:tcW w:w="940" w:type="dxa"/>
            <w:vAlign w:val="bottom"/>
          </w:tcPr>
          <w:p>
            <w:pPr>
              <w:jc w:val="center"/>
              <w:spacing w:after="0"/>
              <w:rPr>
                <w:sz w:val="20"/>
                <w:szCs w:val="20"/>
                <w:color w:val="auto"/>
              </w:rPr>
            </w:pPr>
            <w:r>
              <w:rPr>
                <w:rFonts w:ascii="Arial" w:cs="Arial" w:eastAsia="Arial" w:hAnsi="Arial"/>
                <w:sz w:val="16"/>
                <w:szCs w:val="16"/>
                <w:color w:val="2A2A2A"/>
                <w:w w:val="99"/>
              </w:rPr>
              <w:t>$4,500,028</w:t>
            </w:r>
          </w:p>
        </w:tc>
        <w:tc>
          <w:tcPr>
            <w:tcW w:w="240" w:type="dxa"/>
            <w:vAlign w:val="bottom"/>
          </w:tcPr>
          <w:p>
            <w:pPr>
              <w:ind w:left="100"/>
              <w:spacing w:after="0"/>
              <w:rPr>
                <w:sz w:val="20"/>
                <w:szCs w:val="20"/>
                <w:color w:val="auto"/>
              </w:rPr>
            </w:pPr>
            <w:r>
              <w:rPr>
                <w:rFonts w:ascii="Arial" w:cs="Arial" w:eastAsia="Arial" w:hAnsi="Arial"/>
                <w:sz w:val="16"/>
                <w:szCs w:val="16"/>
                <w:color w:val="2A2A2A"/>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2A2A2A"/>
              </w:rPr>
              <w:t>182,417</w:t>
            </w:r>
          </w:p>
        </w:tc>
        <w:tc>
          <w:tcPr>
            <w:tcW w:w="28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2A2A2A"/>
              </w:rPr>
              <w:t>127,334</w:t>
            </w:r>
          </w:p>
        </w:tc>
        <w:tc>
          <w:tcPr>
            <w:tcW w:w="1060" w:type="dxa"/>
            <w:vAlign w:val="bottom"/>
            <w:gridSpan w:val="2"/>
          </w:tcPr>
          <w:p>
            <w:pPr>
              <w:jc w:val="right"/>
              <w:spacing w:after="0"/>
              <w:rPr>
                <w:sz w:val="20"/>
                <w:szCs w:val="20"/>
                <w:color w:val="auto"/>
              </w:rPr>
            </w:pPr>
            <w:r>
              <w:rPr>
                <w:rFonts w:ascii="Arial" w:cs="Arial" w:eastAsia="Arial" w:hAnsi="Arial"/>
                <w:sz w:val="16"/>
                <w:szCs w:val="16"/>
                <w:color w:val="2A2A2A"/>
              </w:rPr>
              <w:t>$12,291,996</w:t>
            </w:r>
          </w:p>
        </w:tc>
      </w:tr>
      <w:tr>
        <w:trPr>
          <w:trHeight w:val="29"/>
        </w:trPr>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Chief Executive Officer</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2021</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877,500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$1,875,000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$3,500,015</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$3,500,021</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175,500</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100,282</w:t>
            </w:r>
          </w:p>
        </w:tc>
        <w:tc>
          <w:tcPr>
            <w:tcW w:w="106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$10,028,318</w:t>
            </w:r>
          </w:p>
        </w:tc>
      </w:tr>
      <w:tr>
        <w:trPr>
          <w:trHeight w:val="285"/>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Richard K. Templeton</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808,750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$2,000,000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$8,750,092</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$8,750,017</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161,750</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421,709</w:t>
            </w:r>
          </w:p>
        </w:tc>
        <w:tc>
          <w:tcPr>
            <w:tcW w:w="106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$20,892,318</w:t>
            </w:r>
          </w:p>
        </w:tc>
      </w:tr>
      <w:tr>
        <w:trPr>
          <w:trHeight w:val="256"/>
        </w:trPr>
        <w:tc>
          <w:tcPr>
            <w:tcW w:w="1840" w:type="dxa"/>
            <w:vAlign w:val="bottom"/>
          </w:tcPr>
          <w:p>
            <w:pPr>
              <w:ind w:left="60"/>
              <w:spacing w:after="0"/>
              <w:rPr>
                <w:sz w:val="20"/>
                <w:szCs w:val="20"/>
                <w:color w:val="auto"/>
              </w:rPr>
            </w:pPr>
            <w:r>
              <w:rPr>
                <w:rFonts w:ascii="Arial" w:cs="Arial" w:eastAsia="Arial" w:hAnsi="Arial"/>
                <w:sz w:val="16"/>
                <w:szCs w:val="16"/>
                <w:color w:val="2A2A2A"/>
              </w:rPr>
              <w:t>Chairman and Former</w:t>
            </w:r>
          </w:p>
        </w:tc>
        <w:tc>
          <w:tcPr>
            <w:tcW w:w="520" w:type="dxa"/>
            <w:vAlign w:val="bottom"/>
          </w:tcPr>
          <w:p>
            <w:pPr>
              <w:ind w:left="120"/>
              <w:spacing w:after="0"/>
              <w:rPr>
                <w:sz w:val="20"/>
                <w:szCs w:val="20"/>
                <w:color w:val="auto"/>
              </w:rPr>
            </w:pPr>
            <w:r>
              <w:rPr>
                <w:rFonts w:ascii="Arial" w:cs="Arial" w:eastAsia="Arial" w:hAnsi="Arial"/>
                <w:sz w:val="16"/>
                <w:szCs w:val="16"/>
                <w:color w:val="2A2A2A"/>
              </w:rPr>
              <w:t>2022</w:t>
            </w:r>
          </w:p>
        </w:tc>
        <w:tc>
          <w:tcPr>
            <w:tcW w:w="900" w:type="dxa"/>
            <w:vAlign w:val="bottom"/>
            <w:gridSpan w:val="2"/>
          </w:tcPr>
          <w:p>
            <w:pPr>
              <w:ind w:left="60"/>
              <w:spacing w:after="0"/>
              <w:rPr>
                <w:sz w:val="20"/>
                <w:szCs w:val="20"/>
                <w:color w:val="auto"/>
              </w:rPr>
            </w:pPr>
            <w:r>
              <w:rPr>
                <w:rFonts w:ascii="Arial" w:cs="Arial" w:eastAsia="Arial" w:hAnsi="Arial"/>
                <w:sz w:val="16"/>
                <w:szCs w:val="16"/>
                <w:color w:val="2A2A2A"/>
              </w:rPr>
              <w:t>$1,430,417</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$4,550,000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$7,500,048</w:t>
            </w:r>
          </w:p>
        </w:tc>
        <w:tc>
          <w:tcPr>
            <w:tcW w:w="940" w:type="dxa"/>
            <w:vAlign w:val="bottom"/>
          </w:tcPr>
          <w:p>
            <w:pPr>
              <w:jc w:val="center"/>
              <w:spacing w:after="0"/>
              <w:rPr>
                <w:sz w:val="20"/>
                <w:szCs w:val="20"/>
                <w:color w:val="auto"/>
              </w:rPr>
            </w:pPr>
            <w:r>
              <w:rPr>
                <w:rFonts w:ascii="Arial" w:cs="Arial" w:eastAsia="Arial" w:hAnsi="Arial"/>
                <w:sz w:val="16"/>
                <w:szCs w:val="16"/>
                <w:color w:val="2A2A2A"/>
                <w:w w:val="99"/>
              </w:rPr>
              <w:t>$7,500,034</w:t>
            </w:r>
          </w:p>
        </w:tc>
        <w:tc>
          <w:tcPr>
            <w:tcW w:w="240" w:type="dxa"/>
            <w:vAlign w:val="bottom"/>
          </w:tcPr>
          <w:p>
            <w:pPr>
              <w:ind w:left="100"/>
              <w:spacing w:after="0"/>
              <w:rPr>
                <w:sz w:val="20"/>
                <w:szCs w:val="20"/>
                <w:color w:val="auto"/>
              </w:rPr>
            </w:pPr>
            <w:r>
              <w:rPr>
                <w:rFonts w:ascii="Arial" w:cs="Arial" w:eastAsia="Arial" w:hAnsi="Arial"/>
                <w:sz w:val="16"/>
                <w:szCs w:val="16"/>
                <w:color w:val="2A2A2A"/>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2A2A2A"/>
              </w:rPr>
              <w:t>286,083</w:t>
            </w:r>
          </w:p>
        </w:tc>
        <w:tc>
          <w:tcPr>
            <w:tcW w:w="28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2A2A2A"/>
              </w:rPr>
              <w:t>363,004</w:t>
            </w:r>
          </w:p>
        </w:tc>
        <w:tc>
          <w:tcPr>
            <w:tcW w:w="1060" w:type="dxa"/>
            <w:vAlign w:val="bottom"/>
            <w:gridSpan w:val="2"/>
          </w:tcPr>
          <w:p>
            <w:pPr>
              <w:jc w:val="right"/>
              <w:spacing w:after="0"/>
              <w:rPr>
                <w:sz w:val="20"/>
                <w:szCs w:val="20"/>
                <w:color w:val="auto"/>
              </w:rPr>
            </w:pPr>
            <w:r>
              <w:rPr>
                <w:rFonts w:ascii="Arial" w:cs="Arial" w:eastAsia="Arial" w:hAnsi="Arial"/>
                <w:sz w:val="16"/>
                <w:szCs w:val="16"/>
                <w:color w:val="2A2A2A"/>
              </w:rPr>
              <w:t>$21,629,586</w:t>
            </w:r>
          </w:p>
        </w:tc>
      </w:tr>
      <w:tr>
        <w:trPr>
          <w:trHeight w:val="29"/>
        </w:trPr>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Chief Executive Officer</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2021</w:t>
            </w:r>
          </w:p>
        </w:tc>
        <w:tc>
          <w:tcPr>
            <w:tcW w:w="900" w:type="dxa"/>
            <w:vAlign w:val="bottom"/>
            <w:tcBorders>
              <w:bottom w:val="single" w:sz="8" w:color="D7D7D7"/>
            </w:tcBorders>
            <w:gridSpan w:val="2"/>
            <w:shd w:val="clear" w:color="auto" w:fill="D7D7D7"/>
          </w:tcPr>
          <w:p>
            <w:pPr>
              <w:ind w:left="60"/>
              <w:spacing w:after="0"/>
              <w:rPr>
                <w:sz w:val="20"/>
                <w:szCs w:val="20"/>
                <w:color w:val="auto"/>
              </w:rPr>
            </w:pPr>
            <w:r>
              <w:rPr>
                <w:rFonts w:ascii="Arial" w:cs="Arial" w:eastAsia="Arial" w:hAnsi="Arial"/>
                <w:sz w:val="16"/>
                <w:szCs w:val="16"/>
                <w:color w:val="2A2A2A"/>
              </w:rPr>
              <w:t>$1,376,667</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$4,125,000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$6,500,124</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$6,500,005</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275,333</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418,282</w:t>
            </w:r>
          </w:p>
        </w:tc>
        <w:tc>
          <w:tcPr>
            <w:tcW w:w="106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$19,195,411</w:t>
            </w:r>
          </w:p>
        </w:tc>
      </w:tr>
      <w:tr>
        <w:trPr>
          <w:trHeight w:val="285"/>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5"/>
        </w:trPr>
        <w:tc>
          <w:tcPr>
            <w:tcW w:w="18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Rafael R. Lizardi</w:t>
            </w:r>
          </w:p>
        </w:tc>
        <w:tc>
          <w:tcPr>
            <w:tcW w:w="520" w:type="dxa"/>
            <w:vAlign w:val="bottom"/>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18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806,667</w:t>
            </w:r>
          </w:p>
        </w:tc>
        <w:tc>
          <w:tcPr>
            <w:tcW w:w="90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$1,090,000</w:t>
            </w:r>
          </w:p>
        </w:tc>
        <w:tc>
          <w:tcPr>
            <w:tcW w:w="90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$2,400,143</w:t>
            </w:r>
          </w:p>
        </w:tc>
        <w:tc>
          <w:tcPr>
            <w:tcW w:w="94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$2,400,001</w:t>
            </w:r>
          </w:p>
        </w:tc>
        <w:tc>
          <w:tcPr>
            <w:tcW w:w="240" w:type="dxa"/>
            <w:vAlign w:val="bottom"/>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shd w:val="clear" w:color="auto" w:fill="D7D7D7"/>
          </w:tcPr>
          <w:p>
            <w:pPr>
              <w:jc w:val="right"/>
              <w:ind w:right="80"/>
              <w:spacing w:after="0"/>
              <w:rPr>
                <w:sz w:val="20"/>
                <w:szCs w:val="20"/>
                <w:color w:val="auto"/>
              </w:rPr>
            </w:pPr>
            <w:r>
              <w:rPr>
                <w:rFonts w:ascii="Arial" w:cs="Arial" w:eastAsia="Arial" w:hAnsi="Arial"/>
                <w:sz w:val="16"/>
                <w:szCs w:val="16"/>
                <w:color w:val="2A2A2A"/>
              </w:rPr>
              <w:t>161,333</w:t>
            </w:r>
          </w:p>
        </w:tc>
        <w:tc>
          <w:tcPr>
            <w:tcW w:w="280" w:type="dxa"/>
            <w:vAlign w:val="bottom"/>
            <w:shd w:val="clear" w:color="auto" w:fill="D7D7D7"/>
          </w:tcPr>
          <w:p>
            <w:pPr>
              <w:spacing w:after="0"/>
              <w:rPr>
                <w:sz w:val="24"/>
                <w:szCs w:val="24"/>
                <w:color w:val="auto"/>
              </w:rPr>
            </w:pPr>
          </w:p>
        </w:tc>
        <w:tc>
          <w:tcPr>
            <w:tcW w:w="96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136,074</w:t>
            </w:r>
          </w:p>
        </w:tc>
        <w:tc>
          <w:tcPr>
            <w:tcW w:w="2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6,994,218</w:t>
            </w:r>
          </w:p>
        </w:tc>
      </w:tr>
      <w:tr>
        <w:trPr>
          <w:trHeight w:val="258"/>
        </w:trPr>
        <w:tc>
          <w:tcPr>
            <w:tcW w:w="1840" w:type="dxa"/>
            <w:vAlign w:val="bottom"/>
          </w:tcPr>
          <w:p>
            <w:pPr>
              <w:ind w:left="60"/>
              <w:spacing w:after="0"/>
              <w:rPr>
                <w:sz w:val="20"/>
                <w:szCs w:val="20"/>
                <w:color w:val="auto"/>
              </w:rPr>
            </w:pPr>
            <w:r>
              <w:rPr>
                <w:rFonts w:ascii="Arial" w:cs="Arial" w:eastAsia="Arial" w:hAnsi="Arial"/>
                <w:sz w:val="16"/>
                <w:szCs w:val="16"/>
                <w:color w:val="2A2A2A"/>
              </w:rPr>
              <w:t>Senior Vice President &amp;</w:t>
            </w:r>
          </w:p>
        </w:tc>
        <w:tc>
          <w:tcPr>
            <w:tcW w:w="520" w:type="dxa"/>
            <w:vAlign w:val="bottom"/>
          </w:tcPr>
          <w:p>
            <w:pPr>
              <w:ind w:left="120"/>
              <w:spacing w:after="0"/>
              <w:rPr>
                <w:sz w:val="20"/>
                <w:szCs w:val="20"/>
                <w:color w:val="auto"/>
              </w:rPr>
            </w:pPr>
            <w:r>
              <w:rPr>
                <w:rFonts w:ascii="Arial" w:cs="Arial" w:eastAsia="Arial" w:hAnsi="Arial"/>
                <w:sz w:val="16"/>
                <w:szCs w:val="16"/>
                <w:color w:val="2A2A2A"/>
              </w:rPr>
              <w:t>2022</w:t>
            </w:r>
          </w:p>
        </w:tc>
        <w:tc>
          <w:tcPr>
            <w:tcW w:w="180" w:type="dxa"/>
            <w:vAlign w:val="bottom"/>
          </w:tcPr>
          <w:p>
            <w:pPr>
              <w:ind w:left="60"/>
              <w:spacing w:after="0"/>
              <w:rPr>
                <w:sz w:val="20"/>
                <w:szCs w:val="20"/>
                <w:color w:val="auto"/>
              </w:rPr>
            </w:pPr>
            <w:r>
              <w:rPr>
                <w:rFonts w:ascii="Arial" w:cs="Arial" w:eastAsia="Arial" w:hAnsi="Arial"/>
                <w:sz w:val="16"/>
                <w:szCs w:val="16"/>
                <w:color w:val="2A2A2A"/>
              </w:rPr>
              <w:t>$</w:t>
            </w:r>
          </w:p>
        </w:tc>
        <w:tc>
          <w:tcPr>
            <w:tcW w:w="720" w:type="dxa"/>
            <w:vAlign w:val="bottom"/>
          </w:tcPr>
          <w:p>
            <w:pPr>
              <w:jc w:val="right"/>
              <w:spacing w:after="0"/>
              <w:rPr>
                <w:sz w:val="20"/>
                <w:szCs w:val="20"/>
                <w:color w:val="auto"/>
              </w:rPr>
            </w:pPr>
            <w:r>
              <w:rPr>
                <w:rFonts w:ascii="Arial" w:cs="Arial" w:eastAsia="Arial" w:hAnsi="Arial"/>
                <w:sz w:val="16"/>
                <w:szCs w:val="16"/>
                <w:color w:val="2A2A2A"/>
              </w:rPr>
              <w:t>767,500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$1,210,000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$1,900,010</w:t>
            </w:r>
          </w:p>
        </w:tc>
        <w:tc>
          <w:tcPr>
            <w:tcW w:w="940" w:type="dxa"/>
            <w:vAlign w:val="bottom"/>
          </w:tcPr>
          <w:p>
            <w:pPr>
              <w:jc w:val="center"/>
              <w:spacing w:after="0"/>
              <w:rPr>
                <w:sz w:val="20"/>
                <w:szCs w:val="20"/>
                <w:color w:val="auto"/>
              </w:rPr>
            </w:pPr>
            <w:r>
              <w:rPr>
                <w:rFonts w:ascii="Arial" w:cs="Arial" w:eastAsia="Arial" w:hAnsi="Arial"/>
                <w:sz w:val="16"/>
                <w:szCs w:val="16"/>
                <w:color w:val="2A2A2A"/>
                <w:w w:val="99"/>
              </w:rPr>
              <w:t>$1,900,015</w:t>
            </w:r>
          </w:p>
        </w:tc>
        <w:tc>
          <w:tcPr>
            <w:tcW w:w="240" w:type="dxa"/>
            <w:vAlign w:val="bottom"/>
          </w:tcPr>
          <w:p>
            <w:pPr>
              <w:ind w:left="100"/>
              <w:spacing w:after="0"/>
              <w:rPr>
                <w:sz w:val="20"/>
                <w:szCs w:val="20"/>
                <w:color w:val="auto"/>
              </w:rPr>
            </w:pPr>
            <w:r>
              <w:rPr>
                <w:rFonts w:ascii="Arial" w:cs="Arial" w:eastAsia="Arial" w:hAnsi="Arial"/>
                <w:sz w:val="16"/>
                <w:szCs w:val="16"/>
                <w:color w:val="2A2A2A"/>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2A2A2A"/>
              </w:rPr>
              <w:t>153,500</w:t>
            </w:r>
          </w:p>
        </w:tc>
        <w:tc>
          <w:tcPr>
            <w:tcW w:w="28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2A2A2A"/>
              </w:rPr>
              <w:t>124,280</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820" w:type="dxa"/>
            <w:vAlign w:val="bottom"/>
          </w:tcPr>
          <w:p>
            <w:pPr>
              <w:jc w:val="right"/>
              <w:spacing w:after="0"/>
              <w:rPr>
                <w:sz w:val="20"/>
                <w:szCs w:val="20"/>
                <w:color w:val="auto"/>
              </w:rPr>
            </w:pPr>
            <w:r>
              <w:rPr>
                <w:rFonts w:ascii="Arial" w:cs="Arial" w:eastAsia="Arial" w:hAnsi="Arial"/>
                <w:sz w:val="16"/>
                <w:szCs w:val="16"/>
                <w:color w:val="2A2A2A"/>
              </w:rPr>
              <w:t>6,055,305</w:t>
            </w:r>
          </w:p>
        </w:tc>
      </w:tr>
      <w:tr>
        <w:trPr>
          <w:trHeight w:val="27"/>
        </w:trPr>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Chief Financial Officer</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2021</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736,667</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$1,100,000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$1,650,162</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$1,650,011</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147,333</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112,797</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5,396,970</w:t>
            </w:r>
          </w:p>
        </w:tc>
      </w:tr>
      <w:tr>
        <w:trPr>
          <w:trHeight w:val="285"/>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5"/>
        </w:trPr>
        <w:tc>
          <w:tcPr>
            <w:tcW w:w="18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Hagop H. Kozanian</w:t>
            </w:r>
          </w:p>
        </w:tc>
        <w:tc>
          <w:tcPr>
            <w:tcW w:w="520" w:type="dxa"/>
            <w:vAlign w:val="bottom"/>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18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766,667</w:t>
            </w:r>
          </w:p>
        </w:tc>
        <w:tc>
          <w:tcPr>
            <w:tcW w:w="90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$1,315,000</w:t>
            </w:r>
          </w:p>
        </w:tc>
        <w:tc>
          <w:tcPr>
            <w:tcW w:w="90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$2,550,043</w:t>
            </w:r>
          </w:p>
        </w:tc>
        <w:tc>
          <w:tcPr>
            <w:tcW w:w="94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9"/>
              </w:rPr>
              <w:t>$2,550,001</w:t>
            </w:r>
          </w:p>
        </w:tc>
        <w:tc>
          <w:tcPr>
            <w:tcW w:w="240" w:type="dxa"/>
            <w:vAlign w:val="bottom"/>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shd w:val="clear" w:color="auto" w:fill="D7D7D7"/>
          </w:tcPr>
          <w:p>
            <w:pPr>
              <w:jc w:val="right"/>
              <w:ind w:right="80"/>
              <w:spacing w:after="0"/>
              <w:rPr>
                <w:sz w:val="20"/>
                <w:szCs w:val="20"/>
                <w:color w:val="auto"/>
              </w:rPr>
            </w:pPr>
            <w:r>
              <w:rPr>
                <w:rFonts w:ascii="Arial" w:cs="Arial" w:eastAsia="Arial" w:hAnsi="Arial"/>
                <w:sz w:val="16"/>
                <w:szCs w:val="16"/>
                <w:color w:val="2A2A2A"/>
              </w:rPr>
              <w:t>153,333</w:t>
            </w:r>
          </w:p>
        </w:tc>
        <w:tc>
          <w:tcPr>
            <w:tcW w:w="280" w:type="dxa"/>
            <w:vAlign w:val="bottom"/>
            <w:shd w:val="clear" w:color="auto" w:fill="D7D7D7"/>
          </w:tcPr>
          <w:p>
            <w:pPr>
              <w:spacing w:after="0"/>
              <w:rPr>
                <w:sz w:val="24"/>
                <w:szCs w:val="24"/>
                <w:color w:val="auto"/>
              </w:rPr>
            </w:pPr>
          </w:p>
        </w:tc>
        <w:tc>
          <w:tcPr>
            <w:tcW w:w="96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89,216</w:t>
            </w:r>
          </w:p>
        </w:tc>
        <w:tc>
          <w:tcPr>
            <w:tcW w:w="2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7,424,260</w:t>
            </w:r>
          </w:p>
        </w:tc>
      </w:tr>
      <w:tr>
        <w:trPr>
          <w:trHeight w:val="258"/>
        </w:trPr>
        <w:tc>
          <w:tcPr>
            <w:tcW w:w="1840" w:type="dxa"/>
            <w:vAlign w:val="bottom"/>
          </w:tcPr>
          <w:p>
            <w:pPr>
              <w:ind w:left="60"/>
              <w:spacing w:after="0"/>
              <w:rPr>
                <w:sz w:val="20"/>
                <w:szCs w:val="20"/>
                <w:color w:val="auto"/>
              </w:rPr>
            </w:pPr>
            <w:r>
              <w:rPr>
                <w:rFonts w:ascii="Arial" w:cs="Arial" w:eastAsia="Arial" w:hAnsi="Arial"/>
                <w:sz w:val="16"/>
                <w:szCs w:val="16"/>
                <w:color w:val="2A2A2A"/>
              </w:rPr>
              <w:t>Senior Vice President</w:t>
            </w:r>
          </w:p>
        </w:tc>
        <w:tc>
          <w:tcPr>
            <w:tcW w:w="520" w:type="dxa"/>
            <w:vAlign w:val="bottom"/>
          </w:tcPr>
          <w:p>
            <w:pPr>
              <w:ind w:left="120"/>
              <w:spacing w:after="0"/>
              <w:rPr>
                <w:sz w:val="20"/>
                <w:szCs w:val="20"/>
                <w:color w:val="auto"/>
              </w:rPr>
            </w:pPr>
            <w:r>
              <w:rPr>
                <w:rFonts w:ascii="Arial" w:cs="Arial" w:eastAsia="Arial" w:hAnsi="Arial"/>
                <w:sz w:val="16"/>
                <w:szCs w:val="16"/>
                <w:color w:val="2A2A2A"/>
              </w:rPr>
              <w:t>2022</w:t>
            </w:r>
          </w:p>
        </w:tc>
        <w:tc>
          <w:tcPr>
            <w:tcW w:w="180" w:type="dxa"/>
            <w:vAlign w:val="bottom"/>
          </w:tcPr>
          <w:p>
            <w:pPr>
              <w:ind w:left="60"/>
              <w:spacing w:after="0"/>
              <w:rPr>
                <w:sz w:val="20"/>
                <w:szCs w:val="20"/>
                <w:color w:val="auto"/>
              </w:rPr>
            </w:pPr>
            <w:r>
              <w:rPr>
                <w:rFonts w:ascii="Arial" w:cs="Arial" w:eastAsia="Arial" w:hAnsi="Arial"/>
                <w:sz w:val="16"/>
                <w:szCs w:val="16"/>
                <w:color w:val="2A2A2A"/>
              </w:rPr>
              <w:t>$</w:t>
            </w:r>
          </w:p>
        </w:tc>
        <w:tc>
          <w:tcPr>
            <w:tcW w:w="720" w:type="dxa"/>
            <w:vAlign w:val="bottom"/>
          </w:tcPr>
          <w:p>
            <w:pPr>
              <w:jc w:val="right"/>
              <w:spacing w:after="0"/>
              <w:rPr>
                <w:sz w:val="20"/>
                <w:szCs w:val="20"/>
                <w:color w:val="auto"/>
              </w:rPr>
            </w:pPr>
            <w:r>
              <w:rPr>
                <w:rFonts w:ascii="Arial" w:cs="Arial" w:eastAsia="Arial" w:hAnsi="Arial"/>
                <w:sz w:val="16"/>
                <w:szCs w:val="16"/>
                <w:color w:val="2A2A2A"/>
              </w:rPr>
              <w:t>725,833</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$1,460,000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$2,200,159</w:t>
            </w:r>
          </w:p>
        </w:tc>
        <w:tc>
          <w:tcPr>
            <w:tcW w:w="940" w:type="dxa"/>
            <w:vAlign w:val="bottom"/>
          </w:tcPr>
          <w:p>
            <w:pPr>
              <w:jc w:val="center"/>
              <w:spacing w:after="0"/>
              <w:rPr>
                <w:sz w:val="20"/>
                <w:szCs w:val="20"/>
                <w:color w:val="auto"/>
              </w:rPr>
            </w:pPr>
            <w:r>
              <w:rPr>
                <w:rFonts w:ascii="Arial" w:cs="Arial" w:eastAsia="Arial" w:hAnsi="Arial"/>
                <w:sz w:val="16"/>
                <w:szCs w:val="16"/>
                <w:color w:val="2A2A2A"/>
                <w:w w:val="99"/>
              </w:rPr>
              <w:t>$2,200,020</w:t>
            </w:r>
          </w:p>
        </w:tc>
        <w:tc>
          <w:tcPr>
            <w:tcW w:w="240" w:type="dxa"/>
            <w:vAlign w:val="bottom"/>
          </w:tcPr>
          <w:p>
            <w:pPr>
              <w:ind w:left="100"/>
              <w:spacing w:after="0"/>
              <w:rPr>
                <w:sz w:val="20"/>
                <w:szCs w:val="20"/>
                <w:color w:val="auto"/>
              </w:rPr>
            </w:pPr>
            <w:r>
              <w:rPr>
                <w:rFonts w:ascii="Arial" w:cs="Arial" w:eastAsia="Arial" w:hAnsi="Arial"/>
                <w:sz w:val="16"/>
                <w:szCs w:val="16"/>
                <w:color w:val="2A2A2A"/>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2A2A2A"/>
              </w:rPr>
              <w:t>145,167</w:t>
            </w:r>
          </w:p>
        </w:tc>
        <w:tc>
          <w:tcPr>
            <w:tcW w:w="28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2A2A2A"/>
              </w:rPr>
              <w:t>86,047</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820" w:type="dxa"/>
            <w:vAlign w:val="bottom"/>
          </w:tcPr>
          <w:p>
            <w:pPr>
              <w:jc w:val="right"/>
              <w:spacing w:after="0"/>
              <w:rPr>
                <w:sz w:val="20"/>
                <w:szCs w:val="20"/>
                <w:color w:val="auto"/>
              </w:rPr>
            </w:pPr>
            <w:r>
              <w:rPr>
                <w:rFonts w:ascii="Arial" w:cs="Arial" w:eastAsia="Arial" w:hAnsi="Arial"/>
                <w:sz w:val="16"/>
                <w:szCs w:val="16"/>
                <w:color w:val="2A2A2A"/>
              </w:rPr>
              <w:t>6,817,226</w:t>
            </w:r>
          </w:p>
        </w:tc>
      </w:tr>
      <w:tr>
        <w:trPr>
          <w:trHeight w:val="27"/>
        </w:trPr>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5"/>
        </w:trPr>
        <w:tc>
          <w:tcPr>
            <w:tcW w:w="1840" w:type="dxa"/>
            <w:vAlign w:val="bottom"/>
            <w:tcBorders>
              <w:bottom w:val="single" w:sz="8" w:color="D7D7D7"/>
            </w:tcBorders>
            <w:shd w:val="clear" w:color="auto" w:fill="D7D7D7"/>
          </w:tcPr>
          <w:p>
            <w:pPr>
              <w:spacing w:after="0"/>
              <w:rPr>
                <w:sz w:val="23"/>
                <w:szCs w:val="23"/>
                <w:color w:val="auto"/>
              </w:rPr>
            </w:pP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2021</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673,333</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$1,393,000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$1,900,114</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$1,900,030</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134,667</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216,790</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6,217,934</w:t>
            </w:r>
          </w:p>
        </w:tc>
      </w:tr>
      <w:tr>
        <w:trPr>
          <w:trHeight w:val="285"/>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Kyle M. Flessner</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766,667</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$1,315,000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$2,450,109</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$2,450,016</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153,333</w:t>
            </w:r>
          </w:p>
        </w:tc>
        <w:tc>
          <w:tcPr>
            <w:tcW w:w="2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1,223</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127,903</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7,264,251</w:t>
            </w:r>
          </w:p>
        </w:tc>
      </w:tr>
      <w:tr>
        <w:trPr>
          <w:trHeight w:val="256"/>
        </w:trPr>
        <w:tc>
          <w:tcPr>
            <w:tcW w:w="1840" w:type="dxa"/>
            <w:vAlign w:val="bottom"/>
          </w:tcPr>
          <w:p>
            <w:pPr>
              <w:ind w:left="60"/>
              <w:spacing w:after="0"/>
              <w:rPr>
                <w:sz w:val="20"/>
                <w:szCs w:val="20"/>
                <w:color w:val="auto"/>
              </w:rPr>
            </w:pPr>
            <w:r>
              <w:rPr>
                <w:rFonts w:ascii="Arial" w:cs="Arial" w:eastAsia="Arial" w:hAnsi="Arial"/>
                <w:sz w:val="16"/>
                <w:szCs w:val="16"/>
                <w:color w:val="2A2A2A"/>
              </w:rPr>
              <w:t>Senior Vice President</w:t>
            </w:r>
          </w:p>
        </w:tc>
        <w:tc>
          <w:tcPr>
            <w:tcW w:w="520" w:type="dxa"/>
            <w:vAlign w:val="bottom"/>
          </w:tcPr>
          <w:p>
            <w:pPr>
              <w:ind w:left="120"/>
              <w:spacing w:after="0"/>
              <w:rPr>
                <w:sz w:val="20"/>
                <w:szCs w:val="20"/>
                <w:color w:val="auto"/>
              </w:rPr>
            </w:pPr>
            <w:r>
              <w:rPr>
                <w:rFonts w:ascii="Arial" w:cs="Arial" w:eastAsia="Arial" w:hAnsi="Arial"/>
                <w:sz w:val="16"/>
                <w:szCs w:val="16"/>
                <w:color w:val="2A2A2A"/>
              </w:rPr>
              <w:t>2022</w:t>
            </w:r>
          </w:p>
        </w:tc>
        <w:tc>
          <w:tcPr>
            <w:tcW w:w="180" w:type="dxa"/>
            <w:vAlign w:val="bottom"/>
          </w:tcPr>
          <w:p>
            <w:pPr>
              <w:ind w:left="60"/>
              <w:spacing w:after="0"/>
              <w:rPr>
                <w:sz w:val="20"/>
                <w:szCs w:val="20"/>
                <w:color w:val="auto"/>
              </w:rPr>
            </w:pPr>
            <w:r>
              <w:rPr>
                <w:rFonts w:ascii="Arial" w:cs="Arial" w:eastAsia="Arial" w:hAnsi="Arial"/>
                <w:sz w:val="16"/>
                <w:szCs w:val="16"/>
                <w:color w:val="2A2A2A"/>
              </w:rPr>
              <w:t>$</w:t>
            </w:r>
          </w:p>
        </w:tc>
        <w:tc>
          <w:tcPr>
            <w:tcW w:w="720" w:type="dxa"/>
            <w:vAlign w:val="bottom"/>
          </w:tcPr>
          <w:p>
            <w:pPr>
              <w:jc w:val="right"/>
              <w:spacing w:after="0"/>
              <w:rPr>
                <w:sz w:val="20"/>
                <w:szCs w:val="20"/>
                <w:color w:val="auto"/>
              </w:rPr>
            </w:pPr>
            <w:r>
              <w:rPr>
                <w:rFonts w:ascii="Arial" w:cs="Arial" w:eastAsia="Arial" w:hAnsi="Arial"/>
                <w:sz w:val="16"/>
                <w:szCs w:val="16"/>
                <w:color w:val="2A2A2A"/>
              </w:rPr>
              <w:t>727,500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$1,460,000</w:t>
            </w:r>
          </w:p>
        </w:tc>
        <w:tc>
          <w:tcPr>
            <w:tcW w:w="900" w:type="dxa"/>
            <w:vAlign w:val="bottom"/>
          </w:tcPr>
          <w:p>
            <w:pPr>
              <w:jc w:val="center"/>
              <w:spacing w:after="0"/>
              <w:rPr>
                <w:sz w:val="20"/>
                <w:szCs w:val="20"/>
                <w:color w:val="auto"/>
              </w:rPr>
            </w:pPr>
            <w:r>
              <w:rPr>
                <w:rFonts w:ascii="Arial" w:cs="Arial" w:eastAsia="Arial" w:hAnsi="Arial"/>
                <w:sz w:val="16"/>
                <w:szCs w:val="16"/>
                <w:color w:val="2A2A2A"/>
                <w:w w:val="99"/>
              </w:rPr>
              <w:t>$2,100,167</w:t>
            </w:r>
          </w:p>
        </w:tc>
        <w:tc>
          <w:tcPr>
            <w:tcW w:w="940" w:type="dxa"/>
            <w:vAlign w:val="bottom"/>
          </w:tcPr>
          <w:p>
            <w:pPr>
              <w:jc w:val="center"/>
              <w:spacing w:after="0"/>
              <w:rPr>
                <w:sz w:val="20"/>
                <w:szCs w:val="20"/>
                <w:color w:val="auto"/>
              </w:rPr>
            </w:pPr>
            <w:r>
              <w:rPr>
                <w:rFonts w:ascii="Arial" w:cs="Arial" w:eastAsia="Arial" w:hAnsi="Arial"/>
                <w:sz w:val="16"/>
                <w:szCs w:val="16"/>
                <w:color w:val="2A2A2A"/>
                <w:w w:val="99"/>
              </w:rPr>
              <w:t>$2,100,032</w:t>
            </w:r>
          </w:p>
        </w:tc>
        <w:tc>
          <w:tcPr>
            <w:tcW w:w="240" w:type="dxa"/>
            <w:vAlign w:val="bottom"/>
          </w:tcPr>
          <w:p>
            <w:pPr>
              <w:ind w:left="100"/>
              <w:spacing w:after="0"/>
              <w:rPr>
                <w:sz w:val="20"/>
                <w:szCs w:val="20"/>
                <w:color w:val="auto"/>
              </w:rPr>
            </w:pPr>
            <w:r>
              <w:rPr>
                <w:rFonts w:ascii="Arial" w:cs="Arial" w:eastAsia="Arial" w:hAnsi="Arial"/>
                <w:sz w:val="16"/>
                <w:szCs w:val="16"/>
                <w:color w:val="2A2A2A"/>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2A2A2A"/>
              </w:rPr>
              <w:t>145,500</w:t>
            </w:r>
          </w:p>
        </w:tc>
        <w:tc>
          <w:tcPr>
            <w:tcW w:w="28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2A2A2A"/>
              </w:rPr>
              <w:t>139,176</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820" w:type="dxa"/>
            <w:vAlign w:val="bottom"/>
          </w:tcPr>
          <w:p>
            <w:pPr>
              <w:jc w:val="right"/>
              <w:spacing w:after="0"/>
              <w:rPr>
                <w:sz w:val="20"/>
                <w:szCs w:val="20"/>
                <w:color w:val="auto"/>
              </w:rPr>
            </w:pPr>
            <w:r>
              <w:rPr>
                <w:rFonts w:ascii="Arial" w:cs="Arial" w:eastAsia="Arial" w:hAnsi="Arial"/>
                <w:sz w:val="16"/>
                <w:szCs w:val="16"/>
                <w:color w:val="2A2A2A"/>
              </w:rPr>
              <w:t>6,672,375</w:t>
            </w:r>
          </w:p>
        </w:tc>
      </w:tr>
      <w:tr>
        <w:trPr>
          <w:trHeight w:val="29"/>
        </w:trPr>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5"/>
        </w:trPr>
        <w:tc>
          <w:tcPr>
            <w:tcW w:w="1840" w:type="dxa"/>
            <w:vAlign w:val="bottom"/>
            <w:tcBorders>
              <w:bottom w:val="single" w:sz="8" w:color="D7D7D7"/>
            </w:tcBorders>
            <w:shd w:val="clear" w:color="auto" w:fill="D7D7D7"/>
          </w:tcPr>
          <w:p>
            <w:pPr>
              <w:spacing w:after="0"/>
              <w:rPr>
                <w:sz w:val="23"/>
                <w:szCs w:val="23"/>
                <w:color w:val="auto"/>
              </w:rPr>
            </w:pP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2021</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696,667</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$1,395,000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$1,800,100</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$1,800,031</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139,333</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138,892</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5,970,023</w:t>
            </w:r>
          </w:p>
        </w:tc>
      </w:tr>
      <w:tr>
        <w:trPr>
          <w:trHeight w:val="285"/>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5"/>
        </w:trPr>
        <w:tc>
          <w:tcPr>
            <w:tcW w:w="184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Amichai Ron</w:t>
            </w:r>
          </w:p>
        </w:tc>
        <w:tc>
          <w:tcPr>
            <w:tcW w:w="5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rPr>
              <w:t>2023</w:t>
            </w:r>
          </w:p>
        </w:tc>
        <w:tc>
          <w:tcPr>
            <w:tcW w:w="18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7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736,667</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$1,210,000</w:t>
            </w:r>
          </w:p>
        </w:tc>
        <w:tc>
          <w:tcPr>
            <w:tcW w:w="9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$2,400,143</w:t>
            </w:r>
          </w:p>
        </w:tc>
        <w:tc>
          <w:tcPr>
            <w:tcW w:w="94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2A2A2A"/>
                <w:w w:val="99"/>
              </w:rPr>
              <w:t>$2,400,001</w:t>
            </w:r>
          </w:p>
        </w:tc>
        <w:tc>
          <w:tcPr>
            <w:tcW w:w="24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w:t>
            </w:r>
          </w:p>
        </w:tc>
        <w:tc>
          <w:tcPr>
            <w:tcW w:w="80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2A2A2A"/>
              </w:rPr>
              <w:t>147,333</w:t>
            </w:r>
          </w:p>
        </w:tc>
        <w:tc>
          <w:tcPr>
            <w:tcW w:w="28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ind w:right="120"/>
              <w:spacing w:after="0"/>
              <w:rPr>
                <w:sz w:val="20"/>
                <w:szCs w:val="20"/>
                <w:color w:val="auto"/>
              </w:rPr>
            </w:pPr>
            <w:r>
              <w:rPr>
                <w:rFonts w:ascii="Arial" w:cs="Arial" w:eastAsia="Arial" w:hAnsi="Arial"/>
                <w:sz w:val="16"/>
                <w:szCs w:val="16"/>
                <w:color w:val="2A2A2A"/>
              </w:rPr>
              <w:t>—</w:t>
            </w:r>
          </w:p>
        </w:tc>
        <w:tc>
          <w:tcPr>
            <w:tcW w:w="220" w:type="dxa"/>
            <w:vAlign w:val="bottom"/>
            <w:tcBorders>
              <w:bottom w:val="single" w:sz="8" w:color="D7D7D7"/>
            </w:tcBorders>
            <w:shd w:val="clear" w:color="auto" w:fill="D7D7D7"/>
          </w:tcPr>
          <w:p>
            <w:pPr>
              <w:ind w:left="120"/>
              <w:spacing w:after="0"/>
              <w:rPr>
                <w:sz w:val="20"/>
                <w:szCs w:val="20"/>
                <w:color w:val="auto"/>
              </w:rPr>
            </w:pPr>
            <w:r>
              <w:rPr>
                <w:rFonts w:ascii="Arial" w:cs="Arial" w:eastAsia="Arial" w:hAnsi="Arial"/>
                <w:sz w:val="16"/>
                <w:szCs w:val="16"/>
                <w:color w:val="2A2A2A"/>
                <w:w w:val="89"/>
              </w:rPr>
              <w:t>$</w:t>
            </w:r>
          </w:p>
        </w:tc>
        <w:tc>
          <w:tcPr>
            <w:tcW w:w="720" w:type="dxa"/>
            <w:vAlign w:val="bottom"/>
            <w:tcBorders>
              <w:bottom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2A2A2A"/>
              </w:rPr>
              <w:t>82,075</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6,976,219</w:t>
            </w:r>
          </w:p>
        </w:tc>
      </w:tr>
      <w:tr>
        <w:trPr>
          <w:trHeight w:val="256"/>
        </w:trPr>
        <w:tc>
          <w:tcPr>
            <w:tcW w:w="1840" w:type="dxa"/>
            <w:vAlign w:val="bottom"/>
          </w:tcPr>
          <w:p>
            <w:pPr>
              <w:ind w:left="60"/>
              <w:spacing w:after="0"/>
              <w:rPr>
                <w:sz w:val="20"/>
                <w:szCs w:val="20"/>
                <w:color w:val="auto"/>
              </w:rPr>
            </w:pPr>
            <w:r>
              <w:rPr>
                <w:rFonts w:ascii="Arial" w:cs="Arial" w:eastAsia="Arial" w:hAnsi="Arial"/>
                <w:sz w:val="16"/>
                <w:szCs w:val="16"/>
                <w:color w:val="2A2A2A"/>
              </w:rPr>
              <w:t>Senior Vice President</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-3976370</wp:posOffset>
            </wp:positionV>
            <wp:extent cx="655256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52565" cy="27940"/>
                    </a:xfrm>
                    <a:prstGeom prst="rect">
                      <a:avLst/>
                    </a:prstGeom>
                    <a:noFill/>
                  </pic:spPr>
                </pic:pic>
              </a:graphicData>
            </a:graphic>
          </wp:anchor>
        </w:drawing>
      </w:r>
    </w:p>
    <w:p>
      <w:pPr>
        <w:spacing w:after="0" w:line="293" w:lineRule="exact"/>
        <w:rPr>
          <w:sz w:val="20"/>
          <w:szCs w:val="20"/>
          <w:color w:val="auto"/>
        </w:rPr>
      </w:pPr>
    </w:p>
    <w:p>
      <w:pPr>
        <w:ind w:left="541" w:right="40" w:hanging="541"/>
        <w:spacing w:after="0" w:line="314" w:lineRule="auto"/>
        <w:tabs>
          <w:tab w:leader="none" w:pos="541" w:val="left"/>
        </w:tabs>
        <w:numPr>
          <w:ilvl w:val="0"/>
          <w:numId w:val="128"/>
        </w:numPr>
        <w:rPr>
          <w:rFonts w:ascii="Arial" w:cs="Arial" w:eastAsia="Arial" w:hAnsi="Arial"/>
          <w:sz w:val="19"/>
          <w:szCs w:val="19"/>
          <w:color w:val="2A2A2A"/>
        </w:rPr>
      </w:pPr>
      <w:r>
        <w:rPr>
          <w:rFonts w:ascii="Arial" w:cs="Arial" w:eastAsia="Arial" w:hAnsi="Arial"/>
          <w:sz w:val="19"/>
          <w:szCs w:val="19"/>
          <w:color w:val="2A2A2A"/>
        </w:rPr>
        <w:t>Mr. Templeton was the company’s president and chief executive officer through March 31, 2023, and chairman for all of 2023. Mr. Ilan became the company’s president and chief executive officer on April 1, 2023.</w:t>
      </w:r>
    </w:p>
    <w:p>
      <w:pPr>
        <w:spacing w:after="0" w:line="28" w:lineRule="exact"/>
        <w:rPr>
          <w:rFonts w:ascii="Arial" w:cs="Arial" w:eastAsia="Arial" w:hAnsi="Arial"/>
          <w:sz w:val="19"/>
          <w:szCs w:val="19"/>
          <w:color w:val="2A2A2A"/>
        </w:rPr>
      </w:pPr>
    </w:p>
    <w:p>
      <w:pPr>
        <w:ind w:left="541" w:right="100" w:hanging="541"/>
        <w:spacing w:after="0" w:line="255" w:lineRule="auto"/>
        <w:tabs>
          <w:tab w:leader="none" w:pos="541" w:val="left"/>
        </w:tabs>
        <w:numPr>
          <w:ilvl w:val="0"/>
          <w:numId w:val="128"/>
        </w:numPr>
        <w:rPr>
          <w:rFonts w:ascii="Arial" w:cs="Arial" w:eastAsia="Arial" w:hAnsi="Arial"/>
          <w:sz w:val="20"/>
          <w:szCs w:val="20"/>
          <w:color w:val="2A2A2A"/>
        </w:rPr>
      </w:pPr>
      <w:r>
        <w:rPr>
          <w:rFonts w:ascii="Arial" w:cs="Arial" w:eastAsia="Arial" w:hAnsi="Arial"/>
          <w:sz w:val="20"/>
          <w:szCs w:val="20"/>
          <w:color w:val="2A2A2A"/>
        </w:rPr>
        <w:t>Shown is the aggregate grant date fair value of restricted stock unit (RSU) awards calculated in accordance with ASC 718. The discussion of the assumptions used for purposes of the valuation of the awards granted in 2023 appears in Note 3 to the 2023 financial statements. For a description of the grant terms, see the discussion following the outstanding equity awards at fiscal year-end 2023 table. The discussion of the assumptions used for purposes of the valuation of the awards granted in 2022 and 2021 appears in Note 3 to the financial statements in TI’s annual report on Form 10-K for the year ended December 31, 2022 (2022 financial statements), and the financial statements in TI’s annual report on Form 10-K for the year ended December 31, 2021 (2021 financial statements).</w:t>
      </w:r>
    </w:p>
    <w:p>
      <w:pPr>
        <w:spacing w:after="0" w:line="85" w:lineRule="exact"/>
        <w:rPr>
          <w:rFonts w:ascii="Arial" w:cs="Arial" w:eastAsia="Arial" w:hAnsi="Arial"/>
          <w:sz w:val="20"/>
          <w:szCs w:val="20"/>
          <w:color w:val="2A2A2A"/>
        </w:rPr>
      </w:pPr>
    </w:p>
    <w:p>
      <w:pPr>
        <w:ind w:left="541" w:hanging="541"/>
        <w:spacing w:after="0" w:line="257" w:lineRule="auto"/>
        <w:tabs>
          <w:tab w:leader="none" w:pos="541" w:val="left"/>
        </w:tabs>
        <w:numPr>
          <w:ilvl w:val="0"/>
          <w:numId w:val="128"/>
        </w:numPr>
        <w:rPr>
          <w:rFonts w:ascii="Arial" w:cs="Arial" w:eastAsia="Arial" w:hAnsi="Arial"/>
          <w:sz w:val="20"/>
          <w:szCs w:val="20"/>
          <w:color w:val="2A2A2A"/>
        </w:rPr>
      </w:pPr>
      <w:r>
        <w:rPr>
          <w:rFonts w:ascii="Arial" w:cs="Arial" w:eastAsia="Arial" w:hAnsi="Arial"/>
          <w:sz w:val="20"/>
          <w:szCs w:val="20"/>
          <w:color w:val="2A2A2A"/>
        </w:rPr>
        <w:t>Shown is the aggregate grant date fair value of options calculated in accordance with ASC 718. The discussion of the assumptions used for purposes of the valuation of options granted in 2023 appears in Note 3 to the 2023 financial statements. For a description of the grant terms, see the discussion following the outstanding equity awards at fiscal year-end 2023 table. The discussion of the assumptions used for purposes of the valuation of the awards granted in 2022 and 2021 appears in Note 3 to the 2022 and 2021 financial statements.</w:t>
      </w:r>
    </w:p>
    <w:p>
      <w:pPr>
        <w:sectPr>
          <w:pgSz w:w="12240" w:h="15840" w:orient="portrait"/>
          <w:cols w:equalWidth="0" w:num="1">
            <w:col w:w="10281"/>
          </w:cols>
          <w:pgMar w:left="979" w:top="658" w:right="980" w:bottom="33"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45</w:t>
      </w:r>
    </w:p>
    <w:p>
      <w:pPr>
        <w:sectPr>
          <w:pgSz w:w="12240" w:h="15840" w:orient="portrait"/>
          <w:cols w:equalWidth="0" w:num="1">
            <w:col w:w="10281"/>
          </w:cols>
          <w:pgMar w:left="979" w:top="658" w:right="980" w:bottom="33" w:gutter="0" w:footer="0" w:header="0"/>
          <w:type w:val="continuous"/>
        </w:sectPr>
      </w:pPr>
    </w:p>
    <w:bookmarkStart w:id="117" w:name="page118"/>
    <w:bookmarkEnd w:id="117"/>
    <w:p>
      <w:pPr>
        <w:ind w:left="541" w:hanging="541"/>
        <w:spacing w:after="0"/>
        <w:tabs>
          <w:tab w:leader="none" w:pos="541" w:val="left"/>
        </w:tabs>
        <w:numPr>
          <w:ilvl w:val="0"/>
          <w:numId w:val="129"/>
        </w:numPr>
        <w:rPr>
          <w:rFonts w:ascii="Arial" w:cs="Arial" w:eastAsia="Arial" w:hAnsi="Arial"/>
          <w:sz w:val="20"/>
          <w:szCs w:val="20"/>
          <w:color w:val="2A2A2A"/>
        </w:rPr>
      </w:pPr>
      <w:r>
        <w:rPr>
          <w:rFonts w:ascii="Arial" w:cs="Arial" w:eastAsia="Arial" w:hAnsi="Arial"/>
          <w:sz w:val="20"/>
          <w:szCs w:val="20"/>
          <w:color w:val="2A2A2A"/>
        </w:rPr>
        <w:t>Consists of the profit sharing amount paid to each of the named executive officers for 2023.</w:t>
      </w:r>
    </w:p>
    <w:p>
      <w:pPr>
        <w:spacing w:after="0" w:line="130" w:lineRule="exact"/>
        <w:rPr>
          <w:rFonts w:ascii="Arial" w:cs="Arial" w:eastAsia="Arial" w:hAnsi="Arial"/>
          <w:sz w:val="20"/>
          <w:szCs w:val="20"/>
          <w:color w:val="2A2A2A"/>
        </w:rPr>
      </w:pPr>
    </w:p>
    <w:p>
      <w:pPr>
        <w:ind w:left="541" w:hanging="541"/>
        <w:spacing w:after="0" w:line="254" w:lineRule="auto"/>
        <w:tabs>
          <w:tab w:leader="none" w:pos="541" w:val="left"/>
        </w:tabs>
        <w:numPr>
          <w:ilvl w:val="0"/>
          <w:numId w:val="129"/>
        </w:numPr>
        <w:rPr>
          <w:rFonts w:ascii="Arial" w:cs="Arial" w:eastAsia="Arial" w:hAnsi="Arial"/>
          <w:sz w:val="20"/>
          <w:szCs w:val="20"/>
          <w:color w:val="2A2A2A"/>
        </w:rPr>
      </w:pPr>
      <w:r>
        <w:rPr>
          <w:rFonts w:ascii="Arial" w:cs="Arial" w:eastAsia="Arial" w:hAnsi="Arial"/>
          <w:sz w:val="20"/>
          <w:szCs w:val="20"/>
          <w:color w:val="2A2A2A"/>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2022, through December 31, 2023. This “change in the actuarial value” is the difference between the 2022 and 2023 present value of the pension benefit accumulated as of year-end by the named executive officer, assuming that benefit is not paid until age 65. Mr. Templeton’s and Mr. Flessner’s benefits under the company’s pension plans were frozen as of December 31, 1997. Messrs. Lizardi, Ilan, Kozanian and Ron do not participate in any of the company’s defined benefit pension plans.</w:t>
      </w:r>
    </w:p>
    <w:p>
      <w:pPr>
        <w:spacing w:after="0" w:line="86" w:lineRule="exact"/>
        <w:rPr>
          <w:rFonts w:ascii="Arial" w:cs="Arial" w:eastAsia="Arial" w:hAnsi="Arial"/>
          <w:sz w:val="20"/>
          <w:szCs w:val="20"/>
          <w:color w:val="2A2A2A"/>
        </w:rPr>
      </w:pPr>
    </w:p>
    <w:p>
      <w:pPr>
        <w:ind w:left="541" w:right="220" w:hanging="541"/>
        <w:spacing w:after="0" w:line="268" w:lineRule="auto"/>
        <w:tabs>
          <w:tab w:leader="none" w:pos="541" w:val="left"/>
        </w:tabs>
        <w:numPr>
          <w:ilvl w:val="0"/>
          <w:numId w:val="129"/>
        </w:numPr>
        <w:rPr>
          <w:rFonts w:ascii="Arial" w:cs="Arial" w:eastAsia="Arial" w:hAnsi="Arial"/>
          <w:sz w:val="20"/>
          <w:szCs w:val="20"/>
          <w:color w:val="2A2A2A"/>
        </w:rPr>
      </w:pPr>
      <w:r>
        <w:rPr>
          <w:rFonts w:ascii="Arial" w:cs="Arial" w:eastAsia="Arial" w:hAnsi="Arial"/>
          <w:sz w:val="20"/>
          <w:szCs w:val="20"/>
          <w:color w:val="2A2A2A"/>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54" w:lineRule="exact"/>
        <w:rPr>
          <w:sz w:val="20"/>
          <w:szCs w:val="20"/>
          <w:color w:val="auto"/>
        </w:rPr>
      </w:pPr>
    </w:p>
    <w:tbl>
      <w:tblPr>
        <w:tblLayout w:type="fixed"/>
        <w:tblInd w:w="541"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60" w:type="dxa"/>
            <w:vAlign w:val="bottom"/>
          </w:tcPr>
          <w:p>
            <w:pPr>
              <w:jc w:val="right"/>
              <w:ind w:right="523"/>
              <w:spacing w:after="0"/>
              <w:rPr>
                <w:sz w:val="20"/>
                <w:szCs w:val="20"/>
                <w:color w:val="auto"/>
              </w:rPr>
            </w:pPr>
            <w:r>
              <w:rPr>
                <w:rFonts w:ascii="Arial" w:cs="Arial" w:eastAsia="Arial" w:hAnsi="Arial"/>
                <w:sz w:val="16"/>
                <w:szCs w:val="16"/>
                <w:b w:val="1"/>
                <w:bCs w:val="1"/>
                <w:color w:val="2A2A2A"/>
              </w:rPr>
              <w:t>401(k)</w:t>
            </w:r>
          </w:p>
        </w:tc>
        <w:tc>
          <w:tcPr>
            <w:tcW w:w="24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2A2A2A"/>
              </w:rPr>
              <w:t>Defined Contribution</w:t>
            </w:r>
          </w:p>
        </w:tc>
      </w:tr>
      <w:tr>
        <w:trPr>
          <w:trHeight w:val="214"/>
        </w:trPr>
        <w:tc>
          <w:tcPr>
            <w:tcW w:w="39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3320" w:type="dxa"/>
            <w:vAlign w:val="bottom"/>
            <w:tcBorders>
              <w:bottom w:val="single" w:sz="8" w:color="2A2A2A"/>
            </w:tcBorders>
            <w:gridSpan w:val="2"/>
          </w:tcPr>
          <w:p>
            <w:pPr>
              <w:ind w:left="1980"/>
              <w:spacing w:after="0"/>
              <w:rPr>
                <w:sz w:val="20"/>
                <w:szCs w:val="20"/>
                <w:color w:val="auto"/>
              </w:rPr>
            </w:pPr>
            <w:r>
              <w:rPr>
                <w:rFonts w:ascii="Arial" w:cs="Arial" w:eastAsia="Arial" w:hAnsi="Arial"/>
                <w:sz w:val="16"/>
                <w:szCs w:val="16"/>
                <w:b w:val="1"/>
                <w:bCs w:val="1"/>
                <w:color w:val="2A2A2A"/>
              </w:rPr>
              <w:t>Contribution</w:t>
            </w:r>
          </w:p>
        </w:tc>
        <w:tc>
          <w:tcPr>
            <w:tcW w:w="2440" w:type="dxa"/>
            <w:vAlign w:val="bottom"/>
            <w:tcBorders>
              <w:bottom w:val="single" w:sz="8" w:color="2A2A2A"/>
            </w:tcBorders>
            <w:gridSpan w:val="2"/>
          </w:tcPr>
          <w:p>
            <w:pPr>
              <w:jc w:val="right"/>
              <w:ind w:right="420"/>
              <w:spacing w:after="0"/>
              <w:rPr>
                <w:sz w:val="20"/>
                <w:szCs w:val="20"/>
                <w:color w:val="auto"/>
              </w:rPr>
            </w:pPr>
            <w:r>
              <w:rPr>
                <w:rFonts w:ascii="Arial" w:cs="Arial" w:eastAsia="Arial" w:hAnsi="Arial"/>
                <w:sz w:val="16"/>
                <w:szCs w:val="16"/>
                <w:b w:val="1"/>
                <w:bCs w:val="1"/>
                <w:color w:val="2A2A2A"/>
              </w:rPr>
              <w:t>Retirement Plan (a)</w:t>
            </w:r>
          </w:p>
        </w:tc>
      </w:tr>
      <w:tr>
        <w:trPr>
          <w:trHeight w:val="275"/>
        </w:trPr>
        <w:tc>
          <w:tcPr>
            <w:tcW w:w="39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2160" w:type="dxa"/>
            <w:vAlign w:val="bottom"/>
            <w:shd w:val="clear" w:color="auto" w:fill="D7D7D7"/>
          </w:tcPr>
          <w:p>
            <w:pPr>
              <w:ind w:left="1980"/>
              <w:spacing w:after="0"/>
              <w:rPr>
                <w:sz w:val="20"/>
                <w:szCs w:val="20"/>
                <w:color w:val="auto"/>
              </w:rPr>
            </w:pPr>
            <w:r>
              <w:rPr>
                <w:rFonts w:ascii="Arial" w:cs="Arial" w:eastAsia="Arial" w:hAnsi="Arial"/>
                <w:sz w:val="20"/>
                <w:szCs w:val="20"/>
                <w:color w:val="2A2A2A"/>
              </w:rPr>
              <w:t>$</w:t>
            </w:r>
          </w:p>
        </w:tc>
        <w:tc>
          <w:tcPr>
            <w:tcW w:w="1160" w:type="dxa"/>
            <w:vAlign w:val="bottom"/>
            <w:shd w:val="clear" w:color="auto" w:fill="D7D7D7"/>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520" w:type="dxa"/>
            <w:vAlign w:val="bottom"/>
            <w:shd w:val="clear" w:color="auto" w:fill="D7D7D7"/>
          </w:tcPr>
          <w:p>
            <w:pPr>
              <w:jc w:val="right"/>
              <w:ind w:right="660"/>
              <w:spacing w:after="0"/>
              <w:rPr>
                <w:sz w:val="20"/>
                <w:szCs w:val="20"/>
                <w:color w:val="auto"/>
              </w:rPr>
            </w:pPr>
            <w:r>
              <w:rPr>
                <w:rFonts w:ascii="Arial" w:cs="Arial" w:eastAsia="Arial" w:hAnsi="Arial"/>
                <w:sz w:val="20"/>
                <w:szCs w:val="20"/>
                <w:color w:val="2A2A2A"/>
              </w:rPr>
              <w:t>100,828</w:t>
            </w:r>
          </w:p>
        </w:tc>
      </w:tr>
      <w:tr>
        <w:trPr>
          <w:trHeight w:val="283"/>
        </w:trPr>
        <w:tc>
          <w:tcPr>
            <w:tcW w:w="396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2160" w:type="dxa"/>
            <w:vAlign w:val="bottom"/>
          </w:tcPr>
          <w:p>
            <w:pPr>
              <w:ind w:left="1980"/>
              <w:spacing w:after="0"/>
              <w:rPr>
                <w:sz w:val="20"/>
                <w:szCs w:val="20"/>
                <w:color w:val="auto"/>
              </w:rPr>
            </w:pPr>
            <w:r>
              <w:rPr>
                <w:rFonts w:ascii="Arial" w:cs="Arial" w:eastAsia="Arial" w:hAnsi="Arial"/>
                <w:sz w:val="20"/>
                <w:szCs w:val="20"/>
                <w:color w:val="2A2A2A"/>
              </w:rPr>
              <w:t>$</w:t>
            </w:r>
          </w:p>
        </w:tc>
        <w:tc>
          <w:tcPr>
            <w:tcW w:w="1160" w:type="dxa"/>
            <w:vAlign w:val="bottom"/>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1520" w:type="dxa"/>
            <w:vAlign w:val="bottom"/>
          </w:tcPr>
          <w:p>
            <w:pPr>
              <w:jc w:val="right"/>
              <w:ind w:right="660"/>
              <w:spacing w:after="0"/>
              <w:rPr>
                <w:sz w:val="20"/>
                <w:szCs w:val="20"/>
                <w:color w:val="auto"/>
              </w:rPr>
            </w:pPr>
            <w:r>
              <w:rPr>
                <w:rFonts w:ascii="Arial" w:cs="Arial" w:eastAsia="Arial" w:hAnsi="Arial"/>
                <w:sz w:val="20"/>
                <w:szCs w:val="20"/>
                <w:color w:val="2A2A2A"/>
              </w:rPr>
              <w:t>316,155</w:t>
            </w:r>
          </w:p>
        </w:tc>
      </w:tr>
      <w:tr>
        <w:trPr>
          <w:trHeight w:val="287"/>
        </w:trPr>
        <w:tc>
          <w:tcPr>
            <w:tcW w:w="39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2160" w:type="dxa"/>
            <w:vAlign w:val="bottom"/>
            <w:shd w:val="clear" w:color="auto" w:fill="D7D7D7"/>
          </w:tcPr>
          <w:p>
            <w:pPr>
              <w:ind w:left="1980"/>
              <w:spacing w:after="0"/>
              <w:rPr>
                <w:sz w:val="20"/>
                <w:szCs w:val="20"/>
                <w:color w:val="auto"/>
              </w:rPr>
            </w:pPr>
            <w:r>
              <w:rPr>
                <w:rFonts w:ascii="Arial" w:cs="Arial" w:eastAsia="Arial" w:hAnsi="Arial"/>
                <w:sz w:val="20"/>
                <w:szCs w:val="20"/>
                <w:color w:val="2A2A2A"/>
              </w:rPr>
              <w:t>$</w:t>
            </w:r>
          </w:p>
        </w:tc>
        <w:tc>
          <w:tcPr>
            <w:tcW w:w="1160" w:type="dxa"/>
            <w:vAlign w:val="bottom"/>
            <w:shd w:val="clear" w:color="auto" w:fill="D7D7D7"/>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520" w:type="dxa"/>
            <w:vAlign w:val="bottom"/>
            <w:shd w:val="clear" w:color="auto" w:fill="D7D7D7"/>
          </w:tcPr>
          <w:p>
            <w:pPr>
              <w:jc w:val="right"/>
              <w:ind w:right="660"/>
              <w:spacing w:after="0"/>
              <w:rPr>
                <w:sz w:val="20"/>
                <w:szCs w:val="20"/>
                <w:color w:val="auto"/>
              </w:rPr>
            </w:pPr>
            <w:r>
              <w:rPr>
                <w:rFonts w:ascii="Arial" w:cs="Arial" w:eastAsia="Arial" w:hAnsi="Arial"/>
                <w:sz w:val="20"/>
                <w:szCs w:val="20"/>
                <w:color w:val="2A2A2A"/>
              </w:rPr>
              <w:t>102,959</w:t>
            </w:r>
          </w:p>
        </w:tc>
      </w:tr>
      <w:tr>
        <w:trPr>
          <w:trHeight w:val="283"/>
        </w:trPr>
        <w:tc>
          <w:tcPr>
            <w:tcW w:w="396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2160" w:type="dxa"/>
            <w:vAlign w:val="bottom"/>
          </w:tcPr>
          <w:p>
            <w:pPr>
              <w:ind w:left="1980"/>
              <w:spacing w:after="0"/>
              <w:rPr>
                <w:sz w:val="20"/>
                <w:szCs w:val="20"/>
                <w:color w:val="auto"/>
              </w:rPr>
            </w:pPr>
            <w:r>
              <w:rPr>
                <w:rFonts w:ascii="Arial" w:cs="Arial" w:eastAsia="Arial" w:hAnsi="Arial"/>
                <w:sz w:val="20"/>
                <w:szCs w:val="20"/>
                <w:color w:val="2A2A2A"/>
              </w:rPr>
              <w:t>$</w:t>
            </w:r>
          </w:p>
        </w:tc>
        <w:tc>
          <w:tcPr>
            <w:tcW w:w="1160" w:type="dxa"/>
            <w:vAlign w:val="bottom"/>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1520" w:type="dxa"/>
            <w:vAlign w:val="bottom"/>
          </w:tcPr>
          <w:p>
            <w:pPr>
              <w:jc w:val="right"/>
              <w:ind w:right="660"/>
              <w:spacing w:after="0"/>
              <w:rPr>
                <w:sz w:val="20"/>
                <w:szCs w:val="20"/>
                <w:color w:val="auto"/>
              </w:rPr>
            </w:pPr>
            <w:r>
              <w:rPr>
                <w:rFonts w:ascii="Arial" w:cs="Arial" w:eastAsia="Arial" w:hAnsi="Arial"/>
                <w:sz w:val="20"/>
                <w:szCs w:val="20"/>
                <w:color w:val="2A2A2A"/>
              </w:rPr>
              <w:t>59,180</w:t>
            </w:r>
          </w:p>
        </w:tc>
      </w:tr>
      <w:tr>
        <w:trPr>
          <w:trHeight w:val="287"/>
        </w:trPr>
        <w:tc>
          <w:tcPr>
            <w:tcW w:w="39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2160" w:type="dxa"/>
            <w:vAlign w:val="bottom"/>
            <w:shd w:val="clear" w:color="auto" w:fill="D7D7D7"/>
          </w:tcPr>
          <w:p>
            <w:pPr>
              <w:ind w:left="1980"/>
              <w:spacing w:after="0"/>
              <w:rPr>
                <w:sz w:val="20"/>
                <w:szCs w:val="20"/>
                <w:color w:val="auto"/>
              </w:rPr>
            </w:pPr>
            <w:r>
              <w:rPr>
                <w:rFonts w:ascii="Arial" w:cs="Arial" w:eastAsia="Arial" w:hAnsi="Arial"/>
                <w:sz w:val="20"/>
                <w:szCs w:val="20"/>
                <w:color w:val="2A2A2A"/>
              </w:rPr>
              <w:t>$</w:t>
            </w:r>
          </w:p>
        </w:tc>
        <w:tc>
          <w:tcPr>
            <w:tcW w:w="1160" w:type="dxa"/>
            <w:vAlign w:val="bottom"/>
            <w:shd w:val="clear" w:color="auto" w:fill="D7D7D7"/>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520" w:type="dxa"/>
            <w:vAlign w:val="bottom"/>
            <w:shd w:val="clear" w:color="auto" w:fill="D7D7D7"/>
          </w:tcPr>
          <w:p>
            <w:pPr>
              <w:jc w:val="right"/>
              <w:ind w:right="660"/>
              <w:spacing w:after="0"/>
              <w:rPr>
                <w:sz w:val="20"/>
                <w:szCs w:val="20"/>
                <w:color w:val="auto"/>
              </w:rPr>
            </w:pPr>
            <w:r>
              <w:rPr>
                <w:rFonts w:ascii="Arial" w:cs="Arial" w:eastAsia="Arial" w:hAnsi="Arial"/>
                <w:sz w:val="20"/>
                <w:szCs w:val="20"/>
                <w:color w:val="2A2A2A"/>
              </w:rPr>
              <w:t>114,703</w:t>
            </w:r>
          </w:p>
        </w:tc>
      </w:tr>
      <w:tr>
        <w:trPr>
          <w:trHeight w:val="281"/>
        </w:trPr>
        <w:tc>
          <w:tcPr>
            <w:tcW w:w="396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2160" w:type="dxa"/>
            <w:vAlign w:val="bottom"/>
          </w:tcPr>
          <w:p>
            <w:pPr>
              <w:ind w:left="1980"/>
              <w:spacing w:after="0"/>
              <w:rPr>
                <w:sz w:val="20"/>
                <w:szCs w:val="20"/>
                <w:color w:val="auto"/>
              </w:rPr>
            </w:pPr>
            <w:r>
              <w:rPr>
                <w:rFonts w:ascii="Arial" w:cs="Arial" w:eastAsia="Arial" w:hAnsi="Arial"/>
                <w:sz w:val="20"/>
                <w:szCs w:val="20"/>
                <w:color w:val="2A2A2A"/>
              </w:rPr>
              <w:t>$</w:t>
            </w:r>
          </w:p>
        </w:tc>
        <w:tc>
          <w:tcPr>
            <w:tcW w:w="1160" w:type="dxa"/>
            <w:vAlign w:val="bottom"/>
          </w:tcPr>
          <w:p>
            <w:pPr>
              <w:jc w:val="right"/>
              <w:ind w:right="303"/>
              <w:spacing w:after="0"/>
              <w:rPr>
                <w:sz w:val="20"/>
                <w:szCs w:val="20"/>
                <w:color w:val="auto"/>
              </w:rPr>
            </w:pPr>
            <w:r>
              <w:rPr>
                <w:rFonts w:ascii="Arial" w:cs="Arial" w:eastAsia="Arial" w:hAnsi="Arial"/>
                <w:sz w:val="20"/>
                <w:szCs w:val="20"/>
                <w:color w:val="2A2A2A"/>
              </w:rPr>
              <w:t>13,200</w:t>
            </w:r>
          </w:p>
        </w:tc>
        <w:tc>
          <w:tcPr>
            <w:tcW w:w="920" w:type="dxa"/>
            <w:vAlign w:val="bottom"/>
          </w:tcPr>
          <w:p>
            <w:pPr>
              <w:jc w:val="right"/>
              <w:spacing w:after="0"/>
              <w:rPr>
                <w:sz w:val="20"/>
                <w:szCs w:val="20"/>
                <w:color w:val="auto"/>
              </w:rPr>
            </w:pPr>
            <w:r>
              <w:rPr>
                <w:rFonts w:ascii="Arial" w:cs="Arial" w:eastAsia="Arial" w:hAnsi="Arial"/>
                <w:sz w:val="20"/>
                <w:szCs w:val="20"/>
                <w:color w:val="2A2A2A"/>
              </w:rPr>
              <w:t>$</w:t>
            </w:r>
          </w:p>
        </w:tc>
        <w:tc>
          <w:tcPr>
            <w:tcW w:w="1520" w:type="dxa"/>
            <w:vAlign w:val="bottom"/>
          </w:tcPr>
          <w:p>
            <w:pPr>
              <w:jc w:val="right"/>
              <w:ind w:right="660"/>
              <w:spacing w:after="0"/>
              <w:rPr>
                <w:sz w:val="20"/>
                <w:szCs w:val="20"/>
                <w:color w:val="auto"/>
              </w:rPr>
            </w:pPr>
            <w:r>
              <w:rPr>
                <w:rFonts w:ascii="Arial" w:cs="Arial" w:eastAsia="Arial" w:hAnsi="Arial"/>
                <w:sz w:val="20"/>
                <w:szCs w:val="20"/>
                <w:color w:val="2A2A2A"/>
              </w:rPr>
              <w:t>68,875</w:t>
            </w:r>
          </w:p>
        </w:tc>
      </w:tr>
    </w:tbl>
    <w:p>
      <w:pPr>
        <w:spacing w:after="0" w:line="229" w:lineRule="exact"/>
        <w:rPr>
          <w:sz w:val="20"/>
          <w:szCs w:val="20"/>
          <w:color w:val="auto"/>
        </w:rPr>
      </w:pPr>
    </w:p>
    <w:p>
      <w:pPr>
        <w:ind w:left="1081" w:right="300" w:hanging="541"/>
        <w:spacing w:after="0" w:line="257" w:lineRule="auto"/>
        <w:tabs>
          <w:tab w:leader="none" w:pos="1081" w:val="left"/>
        </w:tabs>
        <w:numPr>
          <w:ilvl w:val="0"/>
          <w:numId w:val="130"/>
        </w:numPr>
        <w:rPr>
          <w:rFonts w:ascii="Arial" w:cs="Arial" w:eastAsia="Arial" w:hAnsi="Arial"/>
          <w:sz w:val="20"/>
          <w:szCs w:val="20"/>
          <w:color w:val="2A2A2A"/>
        </w:rPr>
      </w:pPr>
      <w:r>
        <w:rPr>
          <w:rFonts w:ascii="Arial" w:cs="Arial" w:eastAsia="Arial" w:hAnsi="Arial"/>
          <w:sz w:val="20"/>
          <w:szCs w:val="20"/>
          <w:color w:val="2A2A2A"/>
        </w:rPr>
        <w:t>Consists of (i) contributions under the company’s enhanced defined contribution retirement plan of $6,600 for Messrs. Templeton, Lizardi and Flessner and (ii) an additional amount of $309,555 for Mr. Templeton, $96,359 for Mr. Lizardi, $100,828 for Mr. Ilan, $59,180 for Mr. Kozanian, $108,103 for Mr. Flessner and $68,875 for Mr. Ron, applied by TI to offset IRC limitations on amounts that could be contributed to the enhanced defined contribution retirement plan, which amount is also shown in the 2023 non-qualified deferred compensation table.</w:t>
      </w:r>
    </w:p>
    <w:p>
      <w:pPr>
        <w:spacing w:after="0" w:line="202" w:lineRule="exact"/>
        <w:rPr>
          <w:sz w:val="20"/>
          <w:szCs w:val="20"/>
          <w:color w:val="auto"/>
        </w:rPr>
      </w:pPr>
    </w:p>
    <w:p>
      <w:pPr>
        <w:ind w:left="541" w:right="40"/>
        <w:spacing w:after="0" w:line="268" w:lineRule="auto"/>
        <w:rPr>
          <w:sz w:val="20"/>
          <w:szCs w:val="20"/>
          <w:color w:val="auto"/>
        </w:rPr>
      </w:pPr>
      <w:r>
        <w:rPr>
          <w:rFonts w:ascii="Arial" w:cs="Arial" w:eastAsia="Arial" w:hAnsi="Arial"/>
          <w:sz w:val="19"/>
          <w:szCs w:val="19"/>
          <w:color w:val="2A2A2A"/>
        </w:rPr>
        <w:t>The perquisites and personal benefits for 2023 are $92,354 for Mr. Templeton, consisting of financial counseling, an executive physical, payment of a regulatory filing fee ($30,000), the taxable value of a gift from the company and personal use of company aircraft ($39,638), $19,915 for Mr. Lizardi, consisting of financial counseling and an executive physical, $265,500 for Mr. Ilan, consisting of financial counseling, the taxable value of a gift from the company, an executive physical and personal use of company aircraft ($246,380), and $16,836 for Mr. Kozanian, consisting of financial counseling and an executive physical. Financial counseling and an executive physical were made available to the other named executive officers, but the amounts attributable to those officers were below the disclosure thresholds. The aggregate incremental cost to the company for personal use of the company aircraft is calculated using a method that takes into account the cost of fuel, trip-related maintenance and crew travel expenses, as well as other variable costs. Because the aircraft is used primarily for business travel, the calculation does not include fixed costs.</w:t>
      </w:r>
    </w:p>
    <w:p>
      <w:pPr>
        <w:sectPr>
          <w:pgSz w:w="12240" w:h="15840" w:orient="portrait"/>
          <w:cols w:equalWidth="0" w:num="1">
            <w:col w:w="10261"/>
          </w:cols>
          <w:pgMar w:left="979"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46</w:t>
      </w:r>
    </w:p>
    <w:p>
      <w:pPr>
        <w:sectPr>
          <w:pgSz w:w="12240" w:h="15840" w:orient="portrait"/>
          <w:cols w:equalWidth="0" w:num="1">
            <w:col w:w="10261"/>
          </w:cols>
          <w:pgMar w:left="979" w:top="664" w:right="1000" w:bottom="33" w:gutter="0" w:footer="0" w:header="0"/>
          <w:type w:val="continuous"/>
        </w:sectPr>
      </w:pPr>
    </w:p>
    <w:bookmarkStart w:id="118" w:name="page119"/>
    <w:bookmarkEnd w:id="118"/>
    <w:p>
      <w:pPr>
        <w:ind w:left="1"/>
        <w:spacing w:after="0"/>
        <w:rPr>
          <w:sz w:val="20"/>
          <w:szCs w:val="20"/>
          <w:color w:val="auto"/>
        </w:rPr>
      </w:pPr>
      <w:r>
        <w:rPr>
          <w:rFonts w:ascii="Arial" w:cs="Arial" w:eastAsia="Arial" w:hAnsi="Arial"/>
          <w:sz w:val="22"/>
          <w:szCs w:val="22"/>
          <w:u w:val="single" w:color="auto"/>
          <w:color w:val="2A2A2A"/>
        </w:rPr>
        <w:t>Grants of plan-based awards in 2023</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following table shows the grants of plan-based awards to the named executive officers in 2023.</w:t>
      </w:r>
    </w:p>
    <w:p>
      <w:pPr>
        <w:spacing w:after="0" w:line="246"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A2A2A"/>
                <w:w w:val="97"/>
              </w:rPr>
              <w:t>All Other</w:t>
            </w:r>
          </w:p>
        </w:tc>
        <w:tc>
          <w:tcPr>
            <w:tcW w:w="1420" w:type="dxa"/>
            <w:vAlign w:val="bottom"/>
          </w:tcPr>
          <w:p>
            <w:pPr>
              <w:ind w:left="340"/>
              <w:spacing w:after="0"/>
              <w:rPr>
                <w:sz w:val="20"/>
                <w:szCs w:val="20"/>
                <w:color w:val="auto"/>
              </w:rPr>
            </w:pPr>
            <w:r>
              <w:rPr>
                <w:rFonts w:ascii="Arial" w:cs="Arial" w:eastAsia="Arial" w:hAnsi="Arial"/>
                <w:sz w:val="16"/>
                <w:szCs w:val="16"/>
                <w:b w:val="1"/>
                <w:bCs w:val="1"/>
                <w:color w:val="2A2A2A"/>
              </w:rPr>
              <w:t>All Other</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A2A2A"/>
              </w:rPr>
              <w:t>Exercise</w:t>
            </w:r>
          </w:p>
        </w:tc>
        <w:tc>
          <w:tcPr>
            <w:tcW w:w="1340" w:type="dxa"/>
            <w:vAlign w:val="bottom"/>
          </w:tcPr>
          <w:p>
            <w:pPr>
              <w:spacing w:after="0"/>
              <w:rPr>
                <w:sz w:val="16"/>
                <w:szCs w:val="16"/>
                <w:color w:val="auto"/>
              </w:rPr>
            </w:pPr>
          </w:p>
        </w:tc>
      </w:tr>
      <w:tr>
        <w:trPr>
          <w:trHeight w:val="192"/>
        </w:trPr>
        <w:tc>
          <w:tcPr>
            <w:tcW w:w="2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A2A2A"/>
                <w:w w:val="98"/>
              </w:rPr>
              <w:t>Stock Awards:</w:t>
            </w:r>
          </w:p>
        </w:tc>
        <w:tc>
          <w:tcPr>
            <w:tcW w:w="1420" w:type="dxa"/>
            <w:vAlign w:val="bottom"/>
          </w:tcPr>
          <w:p>
            <w:pPr>
              <w:ind w:left="80"/>
              <w:spacing w:after="0"/>
              <w:rPr>
                <w:sz w:val="20"/>
                <w:szCs w:val="20"/>
                <w:color w:val="auto"/>
              </w:rPr>
            </w:pPr>
            <w:r>
              <w:rPr>
                <w:rFonts w:ascii="Arial" w:cs="Arial" w:eastAsia="Arial" w:hAnsi="Arial"/>
                <w:sz w:val="16"/>
                <w:szCs w:val="16"/>
                <w:b w:val="1"/>
                <w:bCs w:val="1"/>
                <w:color w:val="2A2A2A"/>
              </w:rPr>
              <w:t>Option Awards: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A2A2A"/>
                <w:w w:val="98"/>
              </w:rPr>
              <w:t>or Base</w:t>
            </w:r>
          </w:p>
        </w:tc>
        <w:tc>
          <w:tcPr>
            <w:tcW w:w="1340" w:type="dxa"/>
            <w:vAlign w:val="bottom"/>
          </w:tcPr>
          <w:p>
            <w:pPr>
              <w:jc w:val="center"/>
              <w:ind w:left="66"/>
              <w:spacing w:after="0"/>
              <w:rPr>
                <w:sz w:val="20"/>
                <w:szCs w:val="20"/>
                <w:color w:val="auto"/>
              </w:rPr>
            </w:pPr>
            <w:r>
              <w:rPr>
                <w:rFonts w:ascii="Arial" w:cs="Arial" w:eastAsia="Arial" w:hAnsi="Arial"/>
                <w:sz w:val="16"/>
                <w:szCs w:val="16"/>
                <w:b w:val="1"/>
                <w:bCs w:val="1"/>
                <w:color w:val="2A2A2A"/>
              </w:rPr>
              <w:t>Grant Date</w:t>
            </w:r>
          </w:p>
        </w:tc>
      </w:tr>
      <w:tr>
        <w:trPr>
          <w:trHeight w:val="192"/>
        </w:trPr>
        <w:tc>
          <w:tcPr>
            <w:tcW w:w="2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1420" w:type="dxa"/>
            <w:vAlign w:val="bottom"/>
          </w:tcPr>
          <w:p>
            <w:pPr>
              <w:ind w:left="280"/>
              <w:spacing w:after="0"/>
              <w:rPr>
                <w:sz w:val="20"/>
                <w:szCs w:val="20"/>
                <w:color w:val="auto"/>
              </w:rPr>
            </w:pPr>
            <w:r>
              <w:rPr>
                <w:rFonts w:ascii="Arial" w:cs="Arial" w:eastAsia="Arial" w:hAnsi="Arial"/>
                <w:sz w:val="16"/>
                <w:szCs w:val="16"/>
                <w:b w:val="1"/>
                <w:bCs w:val="1"/>
                <w:color w:val="2A2A2A"/>
              </w:rPr>
              <w:t>Number of</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A2A2A"/>
              </w:rPr>
              <w:t>Price of</w:t>
            </w:r>
          </w:p>
        </w:tc>
        <w:tc>
          <w:tcPr>
            <w:tcW w:w="1340" w:type="dxa"/>
            <w:vAlign w:val="bottom"/>
          </w:tcPr>
          <w:p>
            <w:pPr>
              <w:jc w:val="center"/>
              <w:ind w:left="46"/>
              <w:spacing w:after="0"/>
              <w:rPr>
                <w:sz w:val="20"/>
                <w:szCs w:val="20"/>
                <w:color w:val="auto"/>
              </w:rPr>
            </w:pPr>
            <w:r>
              <w:rPr>
                <w:rFonts w:ascii="Arial" w:cs="Arial" w:eastAsia="Arial" w:hAnsi="Arial"/>
                <w:sz w:val="16"/>
                <w:szCs w:val="16"/>
                <w:b w:val="1"/>
                <w:bCs w:val="1"/>
                <w:color w:val="2A2A2A"/>
                <w:w w:val="99"/>
              </w:rPr>
              <w:t>Fair Value</w:t>
            </w:r>
          </w:p>
        </w:tc>
      </w:tr>
      <w:tr>
        <w:trPr>
          <w:trHeight w:val="192"/>
        </w:trPr>
        <w:tc>
          <w:tcPr>
            <w:tcW w:w="2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A2A2A"/>
                <w:w w:val="99"/>
              </w:rPr>
              <w:t>Date of</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A2A2A"/>
              </w:rPr>
              <w:t>Shares of</w:t>
            </w:r>
          </w:p>
        </w:tc>
        <w:tc>
          <w:tcPr>
            <w:tcW w:w="1420" w:type="dxa"/>
            <w:vAlign w:val="bottom"/>
          </w:tcPr>
          <w:p>
            <w:pPr>
              <w:ind w:left="300"/>
              <w:spacing w:after="0"/>
              <w:rPr>
                <w:sz w:val="20"/>
                <w:szCs w:val="20"/>
                <w:color w:val="auto"/>
              </w:rPr>
            </w:pPr>
            <w:r>
              <w:rPr>
                <w:rFonts w:ascii="Arial" w:cs="Arial" w:eastAsia="Arial" w:hAnsi="Arial"/>
                <w:sz w:val="16"/>
                <w:szCs w:val="16"/>
                <w:b w:val="1"/>
                <w:bCs w:val="1"/>
                <w:color w:val="2A2A2A"/>
              </w:rPr>
              <w:t>Securities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A2A2A"/>
              </w:rPr>
              <w:t>Option</w:t>
            </w:r>
          </w:p>
        </w:tc>
        <w:tc>
          <w:tcPr>
            <w:tcW w:w="1340" w:type="dxa"/>
            <w:vAlign w:val="bottom"/>
          </w:tcPr>
          <w:p>
            <w:pPr>
              <w:jc w:val="center"/>
              <w:ind w:left="46"/>
              <w:spacing w:after="0"/>
              <w:rPr>
                <w:sz w:val="20"/>
                <w:szCs w:val="20"/>
                <w:color w:val="auto"/>
              </w:rPr>
            </w:pPr>
            <w:r>
              <w:rPr>
                <w:rFonts w:ascii="Arial" w:cs="Arial" w:eastAsia="Arial" w:hAnsi="Arial"/>
                <w:sz w:val="16"/>
                <w:szCs w:val="16"/>
                <w:b w:val="1"/>
                <w:bCs w:val="1"/>
                <w:color w:val="2A2A2A"/>
              </w:rPr>
              <w:t>of Stock</w:t>
            </w:r>
          </w:p>
        </w:tc>
      </w:tr>
      <w:tr>
        <w:trPr>
          <w:trHeight w:val="192"/>
        </w:trPr>
        <w:tc>
          <w:tcPr>
            <w:tcW w:w="2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A2A2A"/>
                <w:w w:val="99"/>
              </w:rPr>
              <w:t>Committee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A2A2A"/>
                <w:w w:val="99"/>
              </w:rPr>
              <w:t>Stock or</w:t>
            </w:r>
          </w:p>
        </w:tc>
        <w:tc>
          <w:tcPr>
            <w:tcW w:w="1420" w:type="dxa"/>
            <w:vAlign w:val="bottom"/>
          </w:tcPr>
          <w:p>
            <w:pPr>
              <w:ind w:left="260"/>
              <w:spacing w:after="0"/>
              <w:rPr>
                <w:sz w:val="20"/>
                <w:szCs w:val="20"/>
                <w:color w:val="auto"/>
              </w:rPr>
            </w:pPr>
            <w:r>
              <w:rPr>
                <w:rFonts w:ascii="Arial" w:cs="Arial" w:eastAsia="Arial" w:hAnsi="Arial"/>
                <w:sz w:val="16"/>
                <w:szCs w:val="16"/>
                <w:b w:val="1"/>
                <w:bCs w:val="1"/>
                <w:color w:val="2A2A2A"/>
              </w:rPr>
              <w:t>Underlying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A2A2A"/>
              </w:rPr>
              <w:t>Awards</w:t>
            </w:r>
          </w:p>
        </w:tc>
        <w:tc>
          <w:tcPr>
            <w:tcW w:w="1340" w:type="dxa"/>
            <w:vAlign w:val="bottom"/>
          </w:tcPr>
          <w:p>
            <w:pPr>
              <w:jc w:val="center"/>
              <w:ind w:left="46"/>
              <w:spacing w:after="0"/>
              <w:rPr>
                <w:sz w:val="20"/>
                <w:szCs w:val="20"/>
                <w:color w:val="auto"/>
              </w:rPr>
            </w:pPr>
            <w:r>
              <w:rPr>
                <w:rFonts w:ascii="Arial" w:cs="Arial" w:eastAsia="Arial" w:hAnsi="Arial"/>
                <w:sz w:val="16"/>
                <w:szCs w:val="16"/>
                <w:b w:val="1"/>
                <w:bCs w:val="1"/>
                <w:color w:val="2A2A2A"/>
                <w:w w:val="99"/>
              </w:rPr>
              <w:t>and Option</w:t>
            </w:r>
          </w:p>
        </w:tc>
      </w:tr>
      <w:tr>
        <w:trPr>
          <w:trHeight w:val="219"/>
        </w:trPr>
        <w:tc>
          <w:tcPr>
            <w:tcW w:w="2200" w:type="dxa"/>
            <w:vAlign w:val="bottom"/>
            <w:tcBorders>
              <w:bottom w:val="single" w:sz="8" w:color="2A2A2A"/>
            </w:tcBorders>
          </w:tcPr>
          <w:p>
            <w:pPr>
              <w:ind w:left="980"/>
              <w:spacing w:after="0"/>
              <w:rPr>
                <w:sz w:val="20"/>
                <w:szCs w:val="20"/>
                <w:color w:val="auto"/>
              </w:rPr>
            </w:pPr>
            <w:r>
              <w:rPr>
                <w:rFonts w:ascii="Arial" w:cs="Arial" w:eastAsia="Arial" w:hAnsi="Arial"/>
                <w:sz w:val="16"/>
                <w:szCs w:val="16"/>
                <w:b w:val="1"/>
                <w:bCs w:val="1"/>
                <w:color w:val="2A2A2A"/>
              </w:rPr>
              <w:t>Name</w:t>
            </w:r>
          </w:p>
        </w:tc>
        <w:tc>
          <w:tcPr>
            <w:tcW w:w="1680" w:type="dxa"/>
            <w:vAlign w:val="bottom"/>
            <w:tcBorders>
              <w:bottom w:val="single" w:sz="8" w:color="2A2A2A"/>
            </w:tcBorders>
          </w:tcPr>
          <w:p>
            <w:pPr>
              <w:jc w:val="right"/>
              <w:ind w:right="482"/>
              <w:spacing w:after="0"/>
              <w:rPr>
                <w:sz w:val="20"/>
                <w:szCs w:val="20"/>
                <w:color w:val="auto"/>
              </w:rPr>
            </w:pPr>
            <w:r>
              <w:rPr>
                <w:rFonts w:ascii="Arial" w:cs="Arial" w:eastAsia="Arial" w:hAnsi="Arial"/>
                <w:sz w:val="16"/>
                <w:szCs w:val="16"/>
                <w:b w:val="1"/>
                <w:bCs w:val="1"/>
                <w:color w:val="2A2A2A"/>
              </w:rPr>
              <w:t>Grant Date</w:t>
            </w:r>
          </w:p>
        </w:tc>
        <w:tc>
          <w:tcPr>
            <w:tcW w:w="12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Action</w:t>
            </w:r>
          </w:p>
        </w:tc>
        <w:tc>
          <w:tcPr>
            <w:tcW w:w="13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Units (2)</w:t>
            </w:r>
          </w:p>
        </w:tc>
        <w:tc>
          <w:tcPr>
            <w:tcW w:w="1420" w:type="dxa"/>
            <w:vAlign w:val="bottom"/>
            <w:tcBorders>
              <w:bottom w:val="single" w:sz="8" w:color="2A2A2A"/>
            </w:tcBorders>
          </w:tcPr>
          <w:p>
            <w:pPr>
              <w:ind w:left="260"/>
              <w:spacing w:after="0"/>
              <w:rPr>
                <w:sz w:val="20"/>
                <w:szCs w:val="20"/>
                <w:color w:val="auto"/>
              </w:rPr>
            </w:pPr>
            <w:r>
              <w:rPr>
                <w:rFonts w:ascii="Arial" w:cs="Arial" w:eastAsia="Arial" w:hAnsi="Arial"/>
                <w:sz w:val="16"/>
                <w:szCs w:val="16"/>
                <w:b w:val="1"/>
                <w:bCs w:val="1"/>
                <w:color w:val="2A2A2A"/>
              </w:rPr>
              <w:t>Options (3)</w:t>
            </w:r>
          </w:p>
        </w:tc>
        <w:tc>
          <w:tcPr>
            <w:tcW w:w="11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($/Sh) (4)</w:t>
            </w:r>
          </w:p>
        </w:tc>
        <w:tc>
          <w:tcPr>
            <w:tcW w:w="1340" w:type="dxa"/>
            <w:vAlign w:val="bottom"/>
            <w:tcBorders>
              <w:bottom w:val="single" w:sz="8" w:color="2A2A2A"/>
            </w:tcBorders>
          </w:tcPr>
          <w:p>
            <w:pPr>
              <w:jc w:val="center"/>
              <w:ind w:left="66"/>
              <w:spacing w:after="0"/>
              <w:rPr>
                <w:sz w:val="20"/>
                <w:szCs w:val="20"/>
                <w:color w:val="auto"/>
              </w:rPr>
            </w:pPr>
            <w:r>
              <w:rPr>
                <w:rFonts w:ascii="Arial" w:cs="Arial" w:eastAsia="Arial" w:hAnsi="Arial"/>
                <w:sz w:val="16"/>
                <w:szCs w:val="16"/>
                <w:b w:val="1"/>
                <w:bCs w:val="1"/>
                <w:color w:val="2A2A2A"/>
              </w:rPr>
              <w:t>Awards (5)</w:t>
            </w:r>
          </w:p>
        </w:tc>
      </w:tr>
      <w:tr>
        <w:trPr>
          <w:trHeight w:val="271"/>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3"/>
                <w:szCs w:val="23"/>
                <w:color w:val="auto"/>
              </w:rPr>
            </w:pPr>
          </w:p>
        </w:tc>
        <w:tc>
          <w:tcPr>
            <w:tcW w:w="1420" w:type="dxa"/>
            <w:vAlign w:val="bottom"/>
            <w:shd w:val="clear" w:color="auto" w:fill="D7D7D7"/>
          </w:tcPr>
          <w:p>
            <w:pPr>
              <w:ind w:left="260"/>
              <w:spacing w:after="0"/>
              <w:rPr>
                <w:sz w:val="20"/>
                <w:szCs w:val="20"/>
                <w:color w:val="auto"/>
              </w:rPr>
            </w:pPr>
            <w:r>
              <w:rPr>
                <w:rFonts w:ascii="Arial" w:cs="Arial" w:eastAsia="Arial" w:hAnsi="Arial"/>
                <w:sz w:val="20"/>
                <w:szCs w:val="20"/>
                <w:color w:val="2A2A2A"/>
              </w:rPr>
              <w:t>129,560</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$ 6,000,001</w:t>
            </w:r>
          </w:p>
        </w:tc>
      </w:tr>
      <w:tr>
        <w:trPr>
          <w:trHeight w:val="283"/>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90"/>
              <w:spacing w:after="0"/>
              <w:rPr>
                <w:sz w:val="20"/>
                <w:szCs w:val="20"/>
                <w:color w:val="auto"/>
              </w:rPr>
            </w:pPr>
            <w:r>
              <w:rPr>
                <w:rFonts w:ascii="Arial" w:cs="Arial" w:eastAsia="Arial" w:hAnsi="Arial"/>
                <w:sz w:val="20"/>
                <w:szCs w:val="20"/>
                <w:color w:val="2A2A2A"/>
              </w:rPr>
              <w:t>34,463</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$ 6,000,008</w:t>
            </w:r>
          </w:p>
        </w:tc>
      </w:tr>
      <w:tr>
        <w:trPr>
          <w:trHeight w:val="287"/>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Richard K. Templeton</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4"/>
                <w:szCs w:val="24"/>
                <w:color w:val="auto"/>
              </w:rPr>
            </w:pPr>
          </w:p>
        </w:tc>
        <w:tc>
          <w:tcPr>
            <w:tcW w:w="1420" w:type="dxa"/>
            <w:vAlign w:val="bottom"/>
            <w:shd w:val="clear" w:color="auto" w:fill="D7D7D7"/>
          </w:tcPr>
          <w:p>
            <w:pPr>
              <w:ind w:left="260"/>
              <w:spacing w:after="0"/>
              <w:rPr>
                <w:sz w:val="20"/>
                <w:szCs w:val="20"/>
                <w:color w:val="auto"/>
              </w:rPr>
            </w:pPr>
            <w:r>
              <w:rPr>
                <w:rFonts w:ascii="Arial" w:cs="Arial" w:eastAsia="Arial" w:hAnsi="Arial"/>
                <w:sz w:val="20"/>
                <w:szCs w:val="20"/>
                <w:color w:val="2A2A2A"/>
              </w:rPr>
              <w:t>188,942</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$ 8,750,017</w:t>
            </w:r>
          </w:p>
        </w:tc>
      </w:tr>
      <w:tr>
        <w:trPr>
          <w:trHeight w:val="283"/>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90"/>
              <w:spacing w:after="0"/>
              <w:rPr>
                <w:sz w:val="20"/>
                <w:szCs w:val="20"/>
                <w:color w:val="auto"/>
              </w:rPr>
            </w:pPr>
            <w:r>
              <w:rPr>
                <w:rFonts w:ascii="Arial" w:cs="Arial" w:eastAsia="Arial" w:hAnsi="Arial"/>
                <w:sz w:val="20"/>
                <w:szCs w:val="20"/>
                <w:color w:val="2A2A2A"/>
              </w:rPr>
              <w:t>50,259</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$ 8,750,092</w:t>
            </w:r>
          </w:p>
        </w:tc>
      </w:tr>
      <w:tr>
        <w:trPr>
          <w:trHeight w:val="287"/>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4"/>
                <w:szCs w:val="24"/>
                <w:color w:val="auto"/>
              </w:rPr>
            </w:pPr>
          </w:p>
        </w:tc>
        <w:tc>
          <w:tcPr>
            <w:tcW w:w="1420" w:type="dxa"/>
            <w:vAlign w:val="bottom"/>
            <w:shd w:val="clear" w:color="auto" w:fill="D7D7D7"/>
          </w:tcPr>
          <w:p>
            <w:pPr>
              <w:ind w:left="320"/>
              <w:spacing w:after="0"/>
              <w:rPr>
                <w:sz w:val="20"/>
                <w:szCs w:val="20"/>
                <w:color w:val="auto"/>
              </w:rPr>
            </w:pPr>
            <w:r>
              <w:rPr>
                <w:rFonts w:ascii="Arial" w:cs="Arial" w:eastAsia="Arial" w:hAnsi="Arial"/>
                <w:sz w:val="20"/>
                <w:szCs w:val="20"/>
                <w:color w:val="2A2A2A"/>
              </w:rPr>
              <w:t>51,824</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$ 2,400,001</w:t>
            </w:r>
          </w:p>
        </w:tc>
      </w:tr>
      <w:tr>
        <w:trPr>
          <w:trHeight w:val="283"/>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90"/>
              <w:spacing w:after="0"/>
              <w:rPr>
                <w:sz w:val="20"/>
                <w:szCs w:val="20"/>
                <w:color w:val="auto"/>
              </w:rPr>
            </w:pPr>
            <w:r>
              <w:rPr>
                <w:rFonts w:ascii="Arial" w:cs="Arial" w:eastAsia="Arial" w:hAnsi="Arial"/>
                <w:sz w:val="20"/>
                <w:szCs w:val="20"/>
                <w:color w:val="2A2A2A"/>
              </w:rPr>
              <w:t>13,786</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$ 2,400,143</w:t>
            </w:r>
          </w:p>
        </w:tc>
      </w:tr>
      <w:tr>
        <w:trPr>
          <w:trHeight w:val="287"/>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Hagop H. Kozanian</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4"/>
                <w:szCs w:val="24"/>
                <w:color w:val="auto"/>
              </w:rPr>
            </w:pPr>
          </w:p>
        </w:tc>
        <w:tc>
          <w:tcPr>
            <w:tcW w:w="1420" w:type="dxa"/>
            <w:vAlign w:val="bottom"/>
            <w:shd w:val="clear" w:color="auto" w:fill="D7D7D7"/>
          </w:tcPr>
          <w:p>
            <w:pPr>
              <w:ind w:left="320"/>
              <w:spacing w:after="0"/>
              <w:rPr>
                <w:sz w:val="20"/>
                <w:szCs w:val="20"/>
                <w:color w:val="auto"/>
              </w:rPr>
            </w:pPr>
            <w:r>
              <w:rPr>
                <w:rFonts w:ascii="Arial" w:cs="Arial" w:eastAsia="Arial" w:hAnsi="Arial"/>
                <w:sz w:val="20"/>
                <w:szCs w:val="20"/>
                <w:color w:val="2A2A2A"/>
              </w:rPr>
              <w:t>55,063</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$ 2,550,001</w:t>
            </w:r>
          </w:p>
        </w:tc>
      </w:tr>
      <w:tr>
        <w:trPr>
          <w:trHeight w:val="283"/>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90"/>
              <w:spacing w:after="0"/>
              <w:rPr>
                <w:sz w:val="20"/>
                <w:szCs w:val="20"/>
                <w:color w:val="auto"/>
              </w:rPr>
            </w:pPr>
            <w:r>
              <w:rPr>
                <w:rFonts w:ascii="Arial" w:cs="Arial" w:eastAsia="Arial" w:hAnsi="Arial"/>
                <w:sz w:val="20"/>
                <w:szCs w:val="20"/>
                <w:color w:val="2A2A2A"/>
              </w:rPr>
              <w:t>14,647</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$ 2,550,043</w:t>
            </w:r>
          </w:p>
        </w:tc>
      </w:tr>
      <w:tr>
        <w:trPr>
          <w:trHeight w:val="287"/>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4"/>
                <w:szCs w:val="24"/>
                <w:color w:val="auto"/>
              </w:rPr>
            </w:pPr>
          </w:p>
        </w:tc>
        <w:tc>
          <w:tcPr>
            <w:tcW w:w="1420" w:type="dxa"/>
            <w:vAlign w:val="bottom"/>
            <w:shd w:val="clear" w:color="auto" w:fill="D7D7D7"/>
          </w:tcPr>
          <w:p>
            <w:pPr>
              <w:ind w:left="320"/>
              <w:spacing w:after="0"/>
              <w:rPr>
                <w:sz w:val="20"/>
                <w:szCs w:val="20"/>
                <w:color w:val="auto"/>
              </w:rPr>
            </w:pPr>
            <w:r>
              <w:rPr>
                <w:rFonts w:ascii="Arial" w:cs="Arial" w:eastAsia="Arial" w:hAnsi="Arial"/>
                <w:sz w:val="20"/>
                <w:szCs w:val="20"/>
                <w:color w:val="2A2A2A"/>
              </w:rPr>
              <w:t>52,904</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$ 2,450,016</w:t>
            </w:r>
          </w:p>
        </w:tc>
      </w:tr>
      <w:tr>
        <w:trPr>
          <w:trHeight w:val="283"/>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90"/>
              <w:spacing w:after="0"/>
              <w:rPr>
                <w:sz w:val="20"/>
                <w:szCs w:val="20"/>
                <w:color w:val="auto"/>
              </w:rPr>
            </w:pPr>
            <w:r>
              <w:rPr>
                <w:rFonts w:ascii="Arial" w:cs="Arial" w:eastAsia="Arial" w:hAnsi="Arial"/>
                <w:sz w:val="20"/>
                <w:szCs w:val="20"/>
                <w:color w:val="2A2A2A"/>
              </w:rPr>
              <w:t>14,073</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$ 2,450,109</w:t>
            </w:r>
          </w:p>
        </w:tc>
      </w:tr>
      <w:tr>
        <w:trPr>
          <w:trHeight w:val="287"/>
        </w:trPr>
        <w:tc>
          <w:tcPr>
            <w:tcW w:w="220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Amichai Ron</w:t>
            </w:r>
          </w:p>
        </w:tc>
        <w:tc>
          <w:tcPr>
            <w:tcW w:w="1680" w:type="dxa"/>
            <w:vAlign w:val="bottom"/>
            <w:shd w:val="clear" w:color="auto" w:fill="D7D7D7"/>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shd w:val="clear" w:color="auto" w:fill="D7D7D7"/>
          </w:tcPr>
          <w:p>
            <w:pPr>
              <w:spacing w:after="0"/>
              <w:rPr>
                <w:sz w:val="24"/>
                <w:szCs w:val="24"/>
                <w:color w:val="auto"/>
              </w:rPr>
            </w:pPr>
          </w:p>
        </w:tc>
        <w:tc>
          <w:tcPr>
            <w:tcW w:w="1420" w:type="dxa"/>
            <w:vAlign w:val="bottom"/>
            <w:shd w:val="clear" w:color="auto" w:fill="D7D7D7"/>
          </w:tcPr>
          <w:p>
            <w:pPr>
              <w:ind w:left="320"/>
              <w:spacing w:after="0"/>
              <w:rPr>
                <w:sz w:val="20"/>
                <w:szCs w:val="20"/>
                <w:color w:val="auto"/>
              </w:rPr>
            </w:pPr>
            <w:r>
              <w:rPr>
                <w:rFonts w:ascii="Arial" w:cs="Arial" w:eastAsia="Arial" w:hAnsi="Arial"/>
                <w:sz w:val="20"/>
                <w:szCs w:val="20"/>
                <w:color w:val="2A2A2A"/>
              </w:rPr>
              <w:t>51,824</w:t>
            </w:r>
          </w:p>
        </w:tc>
        <w:tc>
          <w:tcPr>
            <w:tcW w:w="110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$ 174.10</w:t>
            </w:r>
          </w:p>
        </w:tc>
        <w:tc>
          <w:tcPr>
            <w:tcW w:w="1340" w:type="dxa"/>
            <w:vAlign w:val="bottom"/>
            <w:shd w:val="clear" w:color="auto" w:fill="D7D7D7"/>
          </w:tcPr>
          <w:p>
            <w:pPr>
              <w:jc w:val="center"/>
              <w:ind w:left="26"/>
              <w:spacing w:after="0"/>
              <w:rPr>
                <w:sz w:val="20"/>
                <w:szCs w:val="20"/>
                <w:color w:val="auto"/>
              </w:rPr>
            </w:pPr>
            <w:r>
              <w:rPr>
                <w:rFonts w:ascii="Arial" w:cs="Arial" w:eastAsia="Arial" w:hAnsi="Arial"/>
                <w:sz w:val="20"/>
                <w:szCs w:val="20"/>
                <w:color w:val="2A2A2A"/>
              </w:rPr>
              <w:t>$ 2,400,001</w:t>
            </w:r>
          </w:p>
        </w:tc>
      </w:tr>
      <w:tr>
        <w:trPr>
          <w:trHeight w:val="281"/>
        </w:trPr>
        <w:tc>
          <w:tcPr>
            <w:tcW w:w="2200" w:type="dxa"/>
            <w:vAlign w:val="bottom"/>
          </w:tcPr>
          <w:p>
            <w:pPr>
              <w:spacing w:after="0"/>
              <w:rPr>
                <w:sz w:val="24"/>
                <w:szCs w:val="24"/>
                <w:color w:val="auto"/>
              </w:rPr>
            </w:pPr>
          </w:p>
        </w:tc>
        <w:tc>
          <w:tcPr>
            <w:tcW w:w="1680" w:type="dxa"/>
            <w:vAlign w:val="bottom"/>
          </w:tcPr>
          <w:p>
            <w:pPr>
              <w:jc w:val="right"/>
              <w:ind w:right="102"/>
              <w:spacing w:after="0"/>
              <w:rPr>
                <w:sz w:val="20"/>
                <w:szCs w:val="20"/>
                <w:color w:val="auto"/>
              </w:rPr>
            </w:pPr>
            <w:r>
              <w:rPr>
                <w:rFonts w:ascii="Arial" w:cs="Arial" w:eastAsia="Arial" w:hAnsi="Arial"/>
                <w:sz w:val="20"/>
                <w:szCs w:val="20"/>
                <w:color w:val="2A2A2A"/>
              </w:rPr>
              <w:t>1/26/2023 (1)</w:t>
            </w:r>
          </w:p>
        </w:tc>
        <w:tc>
          <w:tcPr>
            <w:tcW w:w="1220" w:type="dxa"/>
            <w:vAlign w:val="bottom"/>
          </w:tcPr>
          <w:p>
            <w:pPr>
              <w:jc w:val="center"/>
              <w:spacing w:after="0"/>
              <w:rPr>
                <w:sz w:val="20"/>
                <w:szCs w:val="20"/>
                <w:color w:val="auto"/>
              </w:rPr>
            </w:pPr>
            <w:r>
              <w:rPr>
                <w:rFonts w:ascii="Arial" w:cs="Arial" w:eastAsia="Arial" w:hAnsi="Arial"/>
                <w:sz w:val="20"/>
                <w:szCs w:val="20"/>
                <w:color w:val="2A2A2A"/>
              </w:rPr>
              <w:t>1/19/2023</w:t>
            </w:r>
          </w:p>
        </w:tc>
        <w:tc>
          <w:tcPr>
            <w:tcW w:w="1320" w:type="dxa"/>
            <w:vAlign w:val="bottom"/>
          </w:tcPr>
          <w:p>
            <w:pPr>
              <w:jc w:val="right"/>
              <w:ind w:right="150"/>
              <w:spacing w:after="0"/>
              <w:rPr>
                <w:sz w:val="20"/>
                <w:szCs w:val="20"/>
                <w:color w:val="auto"/>
              </w:rPr>
            </w:pPr>
            <w:r>
              <w:rPr>
                <w:rFonts w:ascii="Arial" w:cs="Arial" w:eastAsia="Arial" w:hAnsi="Arial"/>
                <w:sz w:val="20"/>
                <w:szCs w:val="20"/>
                <w:color w:val="2A2A2A"/>
              </w:rPr>
              <w:t>13,786</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center"/>
              <w:ind w:left="26"/>
              <w:spacing w:after="0"/>
              <w:rPr>
                <w:sz w:val="20"/>
                <w:szCs w:val="20"/>
                <w:color w:val="auto"/>
              </w:rPr>
            </w:pPr>
            <w:r>
              <w:rPr>
                <w:rFonts w:ascii="Arial" w:cs="Arial" w:eastAsia="Arial" w:hAnsi="Arial"/>
                <w:sz w:val="20"/>
                <w:szCs w:val="20"/>
                <w:color w:val="2A2A2A"/>
              </w:rPr>
              <w:t>$ 2,400,143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-2182495</wp:posOffset>
            </wp:positionV>
            <wp:extent cx="655256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552565" cy="27940"/>
                    </a:xfrm>
                    <a:prstGeom prst="rect">
                      <a:avLst/>
                    </a:prstGeom>
                    <a:noFill/>
                  </pic:spPr>
                </pic:pic>
              </a:graphicData>
            </a:graphic>
          </wp:anchor>
        </w:drawing>
      </w:r>
    </w:p>
    <w:p>
      <w:pPr>
        <w:spacing w:after="0" w:line="269" w:lineRule="exact"/>
        <w:rPr>
          <w:sz w:val="20"/>
          <w:szCs w:val="20"/>
          <w:color w:val="auto"/>
        </w:rPr>
      </w:pPr>
    </w:p>
    <w:p>
      <w:pPr>
        <w:jc w:val="both"/>
        <w:ind w:left="541" w:right="20" w:hanging="541"/>
        <w:spacing w:after="0" w:line="289" w:lineRule="auto"/>
        <w:tabs>
          <w:tab w:leader="none" w:pos="541" w:val="left"/>
        </w:tabs>
        <w:numPr>
          <w:ilvl w:val="0"/>
          <w:numId w:val="131"/>
        </w:numPr>
        <w:rPr>
          <w:rFonts w:ascii="Arial" w:cs="Arial" w:eastAsia="Arial" w:hAnsi="Arial"/>
          <w:sz w:val="19"/>
          <w:szCs w:val="19"/>
          <w:color w:val="2A2A2A"/>
        </w:rPr>
      </w:pPr>
      <w:r>
        <w:rPr>
          <w:rFonts w:ascii="Arial" w:cs="Arial" w:eastAsia="Arial" w:hAnsi="Arial"/>
          <w:sz w:val="19"/>
          <w:szCs w:val="19"/>
          <w:color w:val="2A2A2A"/>
        </w:rPr>
        <w:t>In accordance with the grant policy of the compensation committee of the board (described under “Process for equity grants”), the grants became effective on the second trading day after the company released its financial results for the fourth quarter and year 2022. The company released these results on January 24, 2023.</w:t>
      </w:r>
    </w:p>
    <w:p>
      <w:pPr>
        <w:spacing w:after="0" w:line="50" w:lineRule="exact"/>
        <w:rPr>
          <w:rFonts w:ascii="Arial" w:cs="Arial" w:eastAsia="Arial" w:hAnsi="Arial"/>
          <w:sz w:val="19"/>
          <w:szCs w:val="19"/>
          <w:color w:val="2A2A2A"/>
        </w:rPr>
      </w:pPr>
    </w:p>
    <w:p>
      <w:pPr>
        <w:ind w:left="541" w:right="160" w:hanging="541"/>
        <w:spacing w:after="0" w:line="289" w:lineRule="auto"/>
        <w:tabs>
          <w:tab w:leader="none" w:pos="541" w:val="left"/>
        </w:tabs>
        <w:numPr>
          <w:ilvl w:val="0"/>
          <w:numId w:val="131"/>
        </w:numPr>
        <w:rPr>
          <w:rFonts w:ascii="Arial" w:cs="Arial" w:eastAsia="Arial" w:hAnsi="Arial"/>
          <w:sz w:val="19"/>
          <w:szCs w:val="19"/>
          <w:color w:val="2A2A2A"/>
        </w:rPr>
      </w:pPr>
      <w:r>
        <w:rPr>
          <w:rFonts w:ascii="Arial" w:cs="Arial" w:eastAsia="Arial" w:hAnsi="Arial"/>
          <w:sz w:val="19"/>
          <w:szCs w:val="19"/>
          <w:color w:val="2A2A2A"/>
        </w:rPr>
        <w:t>The stock awards granted to the named executive officers in 2023 were RSU awards. These awards were made under the company’s 2009 Long-Term Incentive Plan. For information on the terms and conditions of these RSU awards, see the discussion following the outstanding equity awards at fiscal year-end 2023 table.</w:t>
      </w:r>
    </w:p>
    <w:p>
      <w:pPr>
        <w:spacing w:after="0" w:line="50" w:lineRule="exact"/>
        <w:rPr>
          <w:rFonts w:ascii="Arial" w:cs="Arial" w:eastAsia="Arial" w:hAnsi="Arial"/>
          <w:sz w:val="19"/>
          <w:szCs w:val="19"/>
          <w:color w:val="2A2A2A"/>
        </w:rPr>
      </w:pPr>
    </w:p>
    <w:p>
      <w:pPr>
        <w:jc w:val="both"/>
        <w:ind w:left="541" w:right="100" w:hanging="541"/>
        <w:spacing w:after="0" w:line="268" w:lineRule="auto"/>
        <w:tabs>
          <w:tab w:leader="none" w:pos="541" w:val="left"/>
        </w:tabs>
        <w:numPr>
          <w:ilvl w:val="0"/>
          <w:numId w:val="131"/>
        </w:numPr>
        <w:rPr>
          <w:rFonts w:ascii="Arial" w:cs="Arial" w:eastAsia="Arial" w:hAnsi="Arial"/>
          <w:sz w:val="20"/>
          <w:szCs w:val="20"/>
          <w:color w:val="2A2A2A"/>
        </w:rPr>
      </w:pPr>
      <w:r>
        <w:rPr>
          <w:rFonts w:ascii="Arial" w:cs="Arial" w:eastAsia="Arial" w:hAnsi="Arial"/>
          <w:sz w:val="20"/>
          <w:szCs w:val="20"/>
          <w:color w:val="2A2A2A"/>
        </w:rPr>
        <w:t>The options were granted under the company’s 2009 Long-Term Incentive Plan. For information on the terms and conditions of these options, see the discussion following the outstanding equity awards at fiscal year-end 2023 table.</w:t>
      </w:r>
    </w:p>
    <w:p>
      <w:pPr>
        <w:spacing w:after="0" w:line="69" w:lineRule="exact"/>
        <w:rPr>
          <w:rFonts w:ascii="Arial" w:cs="Arial" w:eastAsia="Arial" w:hAnsi="Arial"/>
          <w:sz w:val="20"/>
          <w:szCs w:val="20"/>
          <w:color w:val="2A2A2A"/>
        </w:rPr>
      </w:pPr>
    </w:p>
    <w:p>
      <w:pPr>
        <w:ind w:left="541" w:hanging="541"/>
        <w:spacing w:after="0"/>
        <w:tabs>
          <w:tab w:leader="none" w:pos="541" w:val="left"/>
        </w:tabs>
        <w:numPr>
          <w:ilvl w:val="0"/>
          <w:numId w:val="131"/>
        </w:numPr>
        <w:rPr>
          <w:rFonts w:ascii="Arial" w:cs="Arial" w:eastAsia="Arial" w:hAnsi="Arial"/>
          <w:sz w:val="20"/>
          <w:szCs w:val="20"/>
          <w:color w:val="2A2A2A"/>
        </w:rPr>
      </w:pPr>
      <w:r>
        <w:rPr>
          <w:rFonts w:ascii="Arial" w:cs="Arial" w:eastAsia="Arial" w:hAnsi="Arial"/>
          <w:sz w:val="20"/>
          <w:szCs w:val="20"/>
          <w:color w:val="2A2A2A"/>
        </w:rPr>
        <w:t>The exercise price of the options is the closing price of TI common stock on January 26, 2023.</w:t>
      </w:r>
    </w:p>
    <w:p>
      <w:pPr>
        <w:spacing w:after="0" w:line="130" w:lineRule="exact"/>
        <w:rPr>
          <w:rFonts w:ascii="Arial" w:cs="Arial" w:eastAsia="Arial" w:hAnsi="Arial"/>
          <w:sz w:val="20"/>
          <w:szCs w:val="20"/>
          <w:color w:val="2A2A2A"/>
        </w:rPr>
      </w:pPr>
    </w:p>
    <w:p>
      <w:pPr>
        <w:ind w:left="541" w:right="300" w:hanging="541"/>
        <w:spacing w:after="0" w:line="268" w:lineRule="auto"/>
        <w:tabs>
          <w:tab w:leader="none" w:pos="541" w:val="left"/>
        </w:tabs>
        <w:numPr>
          <w:ilvl w:val="0"/>
          <w:numId w:val="131"/>
        </w:numPr>
        <w:rPr>
          <w:rFonts w:ascii="Arial" w:cs="Arial" w:eastAsia="Arial" w:hAnsi="Arial"/>
          <w:sz w:val="20"/>
          <w:szCs w:val="20"/>
          <w:color w:val="2A2A2A"/>
        </w:rPr>
      </w:pPr>
      <w:r>
        <w:rPr>
          <w:rFonts w:ascii="Arial" w:cs="Arial" w:eastAsia="Arial" w:hAnsi="Arial"/>
          <w:sz w:val="20"/>
          <w:szCs w:val="20"/>
          <w:color w:val="2A2A2A"/>
        </w:rPr>
        <w:t>Shown is the aggregate grant date fair value computed in accordance with ASC 718 for stock and option awards in 2023. The discussion of the assumptions used for purposes of the valuation appears in Note 3 to the 2023 financial statements.</w:t>
      </w:r>
    </w:p>
    <w:p>
      <w:pPr>
        <w:spacing w:after="0" w:line="190" w:lineRule="exact"/>
        <w:rPr>
          <w:sz w:val="20"/>
          <w:szCs w:val="20"/>
          <w:color w:val="auto"/>
        </w:rPr>
      </w:pPr>
    </w:p>
    <w:p>
      <w:pPr>
        <w:ind w:left="1" w:right="460"/>
        <w:spacing w:after="0" w:line="287" w:lineRule="auto"/>
        <w:rPr>
          <w:sz w:val="20"/>
          <w:szCs w:val="20"/>
          <w:color w:val="auto"/>
        </w:rPr>
      </w:pPr>
      <w:r>
        <w:rPr>
          <w:rFonts w:ascii="Arial" w:cs="Arial" w:eastAsia="Arial" w:hAnsi="Arial"/>
          <w:sz w:val="20"/>
          <w:szCs w:val="20"/>
          <w:color w:val="2A2A2A"/>
        </w:rPr>
        <w:t>None of the options or other equity awards granted to the named executive officers was repriced or modified by the company.</w:t>
      </w:r>
    </w:p>
    <w:p>
      <w:pPr>
        <w:spacing w:after="0" w:line="170" w:lineRule="exact"/>
        <w:rPr>
          <w:sz w:val="20"/>
          <w:szCs w:val="20"/>
          <w:color w:val="auto"/>
        </w:rPr>
      </w:pPr>
    </w:p>
    <w:p>
      <w:pPr>
        <w:ind w:left="1" w:right="360"/>
        <w:spacing w:after="0" w:line="287" w:lineRule="auto"/>
        <w:rPr>
          <w:sz w:val="20"/>
          <w:szCs w:val="20"/>
          <w:color w:val="auto"/>
        </w:rPr>
      </w:pPr>
      <w:r>
        <w:rPr>
          <w:rFonts w:ascii="Arial" w:cs="Arial" w:eastAsia="Arial" w:hAnsi="Arial"/>
          <w:sz w:val="20"/>
          <w:szCs w:val="20"/>
          <w:color w:val="2A2A2A"/>
        </w:rPr>
        <w:t>For additional information regarding TI’s equity compensation grant practices, see the Compensation Discussion and Analysis.</w:t>
      </w:r>
    </w:p>
    <w:p>
      <w:pPr>
        <w:sectPr>
          <w:pgSz w:w="12240" w:h="15840" w:orient="portrait"/>
          <w:cols w:equalWidth="0" w:num="1">
            <w:col w:w="10281"/>
          </w:cols>
          <w:pgMar w:left="979"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47</w:t>
      </w:r>
    </w:p>
    <w:p>
      <w:pPr>
        <w:sectPr>
          <w:pgSz w:w="12240" w:h="15840" w:orient="portrait"/>
          <w:cols w:equalWidth="0" w:num="1">
            <w:col w:w="10281"/>
          </w:cols>
          <w:pgMar w:left="979" w:top="658" w:right="980" w:bottom="33" w:gutter="0" w:footer="0" w:header="0"/>
          <w:type w:val="continuous"/>
        </w:sectPr>
      </w:pPr>
    </w:p>
    <w:bookmarkStart w:id="119" w:name="page120"/>
    <w:bookmarkEnd w:id="119"/>
    <w:p>
      <w:pPr>
        <w:spacing w:after="0"/>
        <w:rPr>
          <w:sz w:val="20"/>
          <w:szCs w:val="20"/>
          <w:color w:val="auto"/>
        </w:rPr>
      </w:pPr>
      <w:r>
        <w:rPr>
          <w:rFonts w:ascii="Arial" w:cs="Arial" w:eastAsia="Arial" w:hAnsi="Arial"/>
          <w:sz w:val="22"/>
          <w:szCs w:val="22"/>
          <w:u w:val="single" w:color="auto"/>
          <w:color w:val="2A2A2A"/>
        </w:rPr>
        <w:t xml:space="preserve">Outstanding equity awards at fiscal year-end </w:t>
      </w:r>
      <w:r>
        <w:rPr>
          <w:rFonts w:ascii="Arial" w:cs="Arial" w:eastAsia="Arial" w:hAnsi="Arial"/>
          <w:sz w:val="20"/>
          <w:szCs w:val="20"/>
          <w:u w:val="single" w:color="auto"/>
          <w:color w:val="2A2A2A"/>
        </w:rPr>
        <w:t>2023</w:t>
      </w:r>
    </w:p>
    <w:p>
      <w:pPr>
        <w:spacing w:after="0" w:line="257" w:lineRule="exact"/>
        <w:rPr>
          <w:sz w:val="20"/>
          <w:szCs w:val="20"/>
          <w:color w:val="auto"/>
        </w:rPr>
      </w:pPr>
    </w:p>
    <w:p>
      <w:pPr>
        <w:ind w:right="1020"/>
        <w:spacing w:after="0" w:line="287" w:lineRule="auto"/>
        <w:rPr>
          <w:sz w:val="20"/>
          <w:szCs w:val="20"/>
          <w:color w:val="auto"/>
        </w:rPr>
      </w:pPr>
      <w:r>
        <w:rPr>
          <w:rFonts w:ascii="Arial" w:cs="Arial" w:eastAsia="Arial" w:hAnsi="Arial"/>
          <w:sz w:val="20"/>
          <w:szCs w:val="20"/>
          <w:color w:val="2A2A2A"/>
        </w:rPr>
        <w:t>The following table shows the outstanding equity awards for each of the named executive officers as of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540" w:type="dxa"/>
            <w:vAlign w:val="bottom"/>
          </w:tcPr>
          <w:p>
            <w:pPr>
              <w:spacing w:after="0"/>
              <w:rPr>
                <w:sz w:val="19"/>
                <w:szCs w:val="19"/>
                <w:color w:val="auto"/>
              </w:rPr>
            </w:pPr>
          </w:p>
        </w:tc>
        <w:tc>
          <w:tcPr>
            <w:tcW w:w="1120" w:type="dxa"/>
            <w:vAlign w:val="bottom"/>
            <w:tcBorders>
              <w:bottom w:val="single" w:sz="8" w:color="2A2A2A"/>
            </w:tcBorders>
          </w:tcPr>
          <w:p>
            <w:pPr>
              <w:spacing w:after="0"/>
              <w:rPr>
                <w:sz w:val="19"/>
                <w:szCs w:val="19"/>
                <w:color w:val="auto"/>
              </w:rPr>
            </w:pPr>
          </w:p>
        </w:tc>
        <w:tc>
          <w:tcPr>
            <w:tcW w:w="2540" w:type="dxa"/>
            <w:vAlign w:val="bottom"/>
            <w:tcBorders>
              <w:bottom w:val="single" w:sz="8" w:color="2A2A2A"/>
            </w:tcBorders>
            <w:gridSpan w:val="4"/>
          </w:tcPr>
          <w:p>
            <w:pPr>
              <w:jc w:val="right"/>
              <w:ind w:right="640"/>
              <w:spacing w:after="0"/>
              <w:rPr>
                <w:sz w:val="20"/>
                <w:szCs w:val="20"/>
                <w:color w:val="auto"/>
              </w:rPr>
            </w:pPr>
            <w:r>
              <w:rPr>
                <w:rFonts w:ascii="Arial" w:cs="Arial" w:eastAsia="Arial" w:hAnsi="Arial"/>
                <w:sz w:val="16"/>
                <w:szCs w:val="16"/>
                <w:b w:val="1"/>
                <w:bCs w:val="1"/>
                <w:color w:val="2A2A2A"/>
              </w:rPr>
              <w:t>Option Awards</w:t>
            </w:r>
          </w:p>
        </w:tc>
        <w:tc>
          <w:tcPr>
            <w:tcW w:w="1080" w:type="dxa"/>
            <w:vAlign w:val="bottom"/>
            <w:tcBorders>
              <w:bottom w:val="single" w:sz="8" w:color="2A2A2A"/>
            </w:tcBorders>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Borders>
              <w:bottom w:val="single" w:sz="8" w:color="2A2A2A"/>
            </w:tcBorders>
            <w:gridSpan w:val="4"/>
          </w:tcPr>
          <w:p>
            <w:pPr>
              <w:jc w:val="right"/>
              <w:ind w:right="800"/>
              <w:spacing w:after="0"/>
              <w:rPr>
                <w:sz w:val="20"/>
                <w:szCs w:val="20"/>
                <w:color w:val="auto"/>
              </w:rPr>
            </w:pPr>
            <w:r>
              <w:rPr>
                <w:rFonts w:ascii="Arial" w:cs="Arial" w:eastAsia="Arial" w:hAnsi="Arial"/>
                <w:sz w:val="16"/>
                <w:szCs w:val="16"/>
                <w:b w:val="1"/>
                <w:bCs w:val="1"/>
                <w:color w:val="2A2A2A"/>
              </w:rPr>
              <w:t>Stock Awards</w:t>
            </w:r>
          </w:p>
        </w:tc>
      </w:tr>
      <w:tr>
        <w:trPr>
          <w:trHeight w:val="238"/>
        </w:trPr>
        <w:tc>
          <w:tcPr>
            <w:tcW w:w="25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14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2A2A2A"/>
                <w:w w:val="99"/>
              </w:rPr>
              <w:t>Number of</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280" w:type="dxa"/>
            <w:vAlign w:val="bottom"/>
          </w:tcPr>
          <w:p>
            <w:pPr>
              <w:spacing w:after="0"/>
              <w:rPr>
                <w:sz w:val="20"/>
                <w:szCs w:val="20"/>
                <w:color w:val="auto"/>
              </w:rPr>
            </w:pPr>
          </w:p>
        </w:tc>
        <w:tc>
          <w:tcPr>
            <w:tcW w:w="1180" w:type="dxa"/>
            <w:vAlign w:val="bottom"/>
          </w:tcPr>
          <w:p>
            <w:pPr>
              <w:jc w:val="center"/>
              <w:ind w:right="80"/>
              <w:spacing w:after="0"/>
              <w:rPr>
                <w:sz w:val="20"/>
                <w:szCs w:val="20"/>
                <w:color w:val="auto"/>
              </w:rPr>
            </w:pPr>
            <w:r>
              <w:rPr>
                <w:rFonts w:ascii="Arial" w:cs="Arial" w:eastAsia="Arial" w:hAnsi="Arial"/>
                <w:sz w:val="16"/>
                <w:szCs w:val="16"/>
                <w:b w:val="1"/>
                <w:bCs w:val="1"/>
                <w:color w:val="2A2A2A"/>
                <w:w w:val="99"/>
              </w:rPr>
              <w:t>Market Value</w:t>
            </w:r>
          </w:p>
        </w:tc>
      </w:tr>
      <w:tr>
        <w:trPr>
          <w:trHeight w:val="192"/>
        </w:trPr>
        <w:tc>
          <w:tcPr>
            <w:tcW w:w="25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2A2A2A"/>
                <w:w w:val="99"/>
              </w:rPr>
              <w:t>Securities</w:t>
            </w:r>
          </w:p>
        </w:tc>
        <w:tc>
          <w:tcPr>
            <w:tcW w:w="1040" w:type="dxa"/>
            <w:vAlign w:val="bottom"/>
          </w:tcPr>
          <w:p>
            <w:pPr>
              <w:jc w:val="center"/>
              <w:ind w:left="180"/>
              <w:spacing w:after="0"/>
              <w:rPr>
                <w:sz w:val="20"/>
                <w:szCs w:val="20"/>
                <w:color w:val="auto"/>
              </w:rPr>
            </w:pPr>
            <w:r>
              <w:rPr>
                <w:rFonts w:ascii="Arial" w:cs="Arial" w:eastAsia="Arial" w:hAnsi="Arial"/>
                <w:sz w:val="16"/>
                <w:szCs w:val="16"/>
                <w:b w:val="1"/>
                <w:bCs w:val="1"/>
                <w:color w:val="2A2A2A"/>
              </w:rPr>
              <w:t>Securities</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Shares or</w:t>
            </w:r>
          </w:p>
        </w:tc>
        <w:tc>
          <w:tcPr>
            <w:tcW w:w="280" w:type="dxa"/>
            <w:vAlign w:val="bottom"/>
          </w:tcPr>
          <w:p>
            <w:pPr>
              <w:spacing w:after="0"/>
              <w:rPr>
                <w:sz w:val="16"/>
                <w:szCs w:val="16"/>
                <w:color w:val="auto"/>
              </w:rPr>
            </w:pPr>
          </w:p>
        </w:tc>
        <w:tc>
          <w:tcPr>
            <w:tcW w:w="1180" w:type="dxa"/>
            <w:vAlign w:val="bottom"/>
          </w:tcPr>
          <w:p>
            <w:pPr>
              <w:jc w:val="center"/>
              <w:ind w:right="80"/>
              <w:spacing w:after="0"/>
              <w:rPr>
                <w:sz w:val="20"/>
                <w:szCs w:val="20"/>
                <w:color w:val="auto"/>
              </w:rPr>
            </w:pPr>
            <w:r>
              <w:rPr>
                <w:rFonts w:ascii="Arial" w:cs="Arial" w:eastAsia="Arial" w:hAnsi="Arial"/>
                <w:sz w:val="16"/>
                <w:szCs w:val="16"/>
                <w:b w:val="1"/>
                <w:bCs w:val="1"/>
                <w:color w:val="2A2A2A"/>
              </w:rPr>
              <w:t>of Shares or</w:t>
            </w:r>
          </w:p>
        </w:tc>
      </w:tr>
      <w:tr>
        <w:trPr>
          <w:trHeight w:val="192"/>
        </w:trPr>
        <w:tc>
          <w:tcPr>
            <w:tcW w:w="25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2A2A2A"/>
              </w:rPr>
              <w:t>Underlying</w:t>
            </w:r>
          </w:p>
        </w:tc>
        <w:tc>
          <w:tcPr>
            <w:tcW w:w="14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2A2A2A"/>
                <w:w w:val="98"/>
              </w:rPr>
              <w:t>Underlying</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7"/>
              </w:rPr>
              <w:t>Units of</w:t>
            </w:r>
          </w:p>
        </w:tc>
        <w:tc>
          <w:tcPr>
            <w:tcW w:w="280" w:type="dxa"/>
            <w:vAlign w:val="bottom"/>
          </w:tcPr>
          <w:p>
            <w:pPr>
              <w:spacing w:after="0"/>
              <w:rPr>
                <w:sz w:val="16"/>
                <w:szCs w:val="16"/>
                <w:color w:val="auto"/>
              </w:rPr>
            </w:pPr>
          </w:p>
        </w:tc>
        <w:tc>
          <w:tcPr>
            <w:tcW w:w="1180" w:type="dxa"/>
            <w:vAlign w:val="bottom"/>
          </w:tcPr>
          <w:p>
            <w:pPr>
              <w:jc w:val="right"/>
              <w:ind w:right="320"/>
              <w:spacing w:after="0"/>
              <w:rPr>
                <w:sz w:val="20"/>
                <w:szCs w:val="20"/>
                <w:color w:val="auto"/>
              </w:rPr>
            </w:pPr>
            <w:r>
              <w:rPr>
                <w:rFonts w:ascii="Arial" w:cs="Arial" w:eastAsia="Arial" w:hAnsi="Arial"/>
                <w:sz w:val="16"/>
                <w:szCs w:val="16"/>
                <w:b w:val="1"/>
                <w:bCs w:val="1"/>
                <w:color w:val="2A2A2A"/>
              </w:rPr>
              <w:t>Units of</w:t>
            </w:r>
          </w:p>
        </w:tc>
      </w:tr>
      <w:tr>
        <w:trPr>
          <w:trHeight w:val="192"/>
        </w:trPr>
        <w:tc>
          <w:tcPr>
            <w:tcW w:w="25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2A2A2A"/>
              </w:rPr>
              <w:t>Unexercised</w:t>
            </w:r>
          </w:p>
        </w:tc>
        <w:tc>
          <w:tcPr>
            <w:tcW w:w="14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2A2A2A"/>
                <w:w w:val="98"/>
              </w:rPr>
              <w:t>Unexercised</w:t>
            </w:r>
          </w:p>
        </w:tc>
        <w:tc>
          <w:tcPr>
            <w:tcW w:w="280" w:type="dxa"/>
            <w:vAlign w:val="bottom"/>
          </w:tcPr>
          <w:p>
            <w:pPr>
              <w:spacing w:after="0"/>
              <w:rPr>
                <w:sz w:val="16"/>
                <w:szCs w:val="16"/>
                <w:color w:val="auto"/>
              </w:rPr>
            </w:pPr>
          </w:p>
        </w:tc>
        <w:tc>
          <w:tcPr>
            <w:tcW w:w="840" w:type="dxa"/>
            <w:vAlign w:val="bottom"/>
          </w:tcPr>
          <w:p>
            <w:pPr>
              <w:jc w:val="center"/>
              <w:ind w:right="200"/>
              <w:spacing w:after="0"/>
              <w:rPr>
                <w:sz w:val="20"/>
                <w:szCs w:val="20"/>
                <w:color w:val="auto"/>
              </w:rPr>
            </w:pPr>
            <w:r>
              <w:rPr>
                <w:rFonts w:ascii="Arial" w:cs="Arial" w:eastAsia="Arial" w:hAnsi="Arial"/>
                <w:sz w:val="16"/>
                <w:szCs w:val="16"/>
                <w:b w:val="1"/>
                <w:bCs w:val="1"/>
                <w:color w:val="2A2A2A"/>
              </w:rPr>
              <w:t>Option</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2A2A2A"/>
              </w:rPr>
              <w:t>Option</w:t>
            </w:r>
          </w:p>
        </w:tc>
        <w:tc>
          <w:tcPr>
            <w:tcW w:w="80" w:type="dxa"/>
            <w:vAlign w:val="bottom"/>
          </w:tcPr>
          <w:p>
            <w:pPr>
              <w:spacing w:after="0"/>
              <w:rPr>
                <w:sz w:val="16"/>
                <w:szCs w:val="16"/>
                <w:color w:val="auto"/>
              </w:rPr>
            </w:pPr>
          </w:p>
        </w:tc>
        <w:tc>
          <w:tcPr>
            <w:tcW w:w="900" w:type="dxa"/>
            <w:vAlign w:val="bottom"/>
          </w:tcPr>
          <w:p>
            <w:pPr>
              <w:jc w:val="center"/>
              <w:ind w:left="360"/>
              <w:spacing w:after="0"/>
              <w:rPr>
                <w:sz w:val="20"/>
                <w:szCs w:val="20"/>
                <w:color w:val="auto"/>
              </w:rPr>
            </w:pPr>
            <w:r>
              <w:rPr>
                <w:rFonts w:ascii="Arial" w:cs="Arial" w:eastAsia="Arial" w:hAnsi="Arial"/>
                <w:sz w:val="16"/>
                <w:szCs w:val="16"/>
                <w:b w:val="1"/>
                <w:bCs w:val="1"/>
                <w:color w:val="2A2A2A"/>
                <w:w w:val="96"/>
              </w:rPr>
              <w:t>Stock</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6"/>
                <w:szCs w:val="16"/>
                <w:b w:val="1"/>
                <w:bCs w:val="1"/>
                <w:color w:val="2A2A2A"/>
              </w:rPr>
              <w:t>Stock</w:t>
            </w:r>
          </w:p>
        </w:tc>
      </w:tr>
      <w:tr>
        <w:trPr>
          <w:trHeight w:val="192"/>
        </w:trPr>
        <w:tc>
          <w:tcPr>
            <w:tcW w:w="25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2A2A2A"/>
                <w:w w:val="99"/>
              </w:rPr>
              <w:t>Options</w:t>
            </w:r>
          </w:p>
        </w:tc>
        <w:tc>
          <w:tcPr>
            <w:tcW w:w="1040" w:type="dxa"/>
            <w:vAlign w:val="bottom"/>
          </w:tcPr>
          <w:p>
            <w:pPr>
              <w:jc w:val="center"/>
              <w:ind w:left="180"/>
              <w:spacing w:after="0"/>
              <w:rPr>
                <w:sz w:val="20"/>
                <w:szCs w:val="20"/>
                <w:color w:val="auto"/>
              </w:rPr>
            </w:pPr>
            <w:r>
              <w:rPr>
                <w:rFonts w:ascii="Arial" w:cs="Arial" w:eastAsia="Arial" w:hAnsi="Arial"/>
                <w:sz w:val="16"/>
                <w:szCs w:val="16"/>
                <w:b w:val="1"/>
                <w:bCs w:val="1"/>
                <w:color w:val="2A2A2A"/>
              </w:rPr>
              <w:t>Options</w:t>
            </w:r>
          </w:p>
        </w:tc>
        <w:tc>
          <w:tcPr>
            <w:tcW w:w="3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Exercise</w:t>
            </w:r>
          </w:p>
        </w:tc>
        <w:tc>
          <w:tcPr>
            <w:tcW w:w="1080" w:type="dxa"/>
            <w:vAlign w:val="bottom"/>
          </w:tcPr>
          <w:p>
            <w:pPr>
              <w:jc w:val="center"/>
              <w:ind w:left="20"/>
              <w:spacing w:after="0"/>
              <w:rPr>
                <w:sz w:val="20"/>
                <w:szCs w:val="20"/>
                <w:color w:val="auto"/>
              </w:rPr>
            </w:pPr>
            <w:r>
              <w:rPr>
                <w:rFonts w:ascii="Arial" w:cs="Arial" w:eastAsia="Arial" w:hAnsi="Arial"/>
                <w:sz w:val="16"/>
                <w:szCs w:val="16"/>
                <w:b w:val="1"/>
                <w:bCs w:val="1"/>
                <w:color w:val="2A2A2A"/>
                <w:w w:val="99"/>
              </w:rPr>
              <w:t>Expiration</w:t>
            </w: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2A2A2A"/>
              </w:rPr>
              <w:t>That Have</w:t>
            </w:r>
          </w:p>
        </w:tc>
        <w:tc>
          <w:tcPr>
            <w:tcW w:w="28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6"/>
                <w:szCs w:val="16"/>
                <w:b w:val="1"/>
                <w:bCs w:val="1"/>
                <w:color w:val="2A2A2A"/>
                <w:w w:val="99"/>
              </w:rPr>
              <w:t>That Have</w:t>
            </w:r>
          </w:p>
        </w:tc>
      </w:tr>
      <w:tr>
        <w:trPr>
          <w:trHeight w:val="219"/>
        </w:trPr>
        <w:tc>
          <w:tcPr>
            <w:tcW w:w="25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11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8"/>
              </w:rPr>
              <w:t>Exercisable</w:t>
            </w:r>
          </w:p>
        </w:tc>
        <w:tc>
          <w:tcPr>
            <w:tcW w:w="1420" w:type="dxa"/>
            <w:vAlign w:val="bottom"/>
            <w:tcBorders>
              <w:bottom w:val="single" w:sz="8" w:color="2A2A2A"/>
            </w:tcBorders>
            <w:gridSpan w:val="2"/>
          </w:tcPr>
          <w:p>
            <w:pPr>
              <w:jc w:val="center"/>
              <w:ind w:right="20"/>
              <w:spacing w:after="0"/>
              <w:rPr>
                <w:sz w:val="20"/>
                <w:szCs w:val="20"/>
                <w:color w:val="auto"/>
              </w:rPr>
            </w:pPr>
            <w:r>
              <w:rPr>
                <w:rFonts w:ascii="Arial" w:cs="Arial" w:eastAsia="Arial" w:hAnsi="Arial"/>
                <w:sz w:val="16"/>
                <w:szCs w:val="16"/>
                <w:b w:val="1"/>
                <w:bCs w:val="1"/>
                <w:color w:val="2A2A2A"/>
                <w:w w:val="99"/>
              </w:rPr>
              <w:t>Unexercisable</w:t>
            </w:r>
          </w:p>
        </w:tc>
        <w:tc>
          <w:tcPr>
            <w:tcW w:w="280" w:type="dxa"/>
            <w:vAlign w:val="bottom"/>
            <w:tcBorders>
              <w:bottom w:val="single" w:sz="8" w:color="2A2A2A"/>
            </w:tcBorders>
          </w:tcPr>
          <w:p>
            <w:pPr>
              <w:spacing w:after="0"/>
              <w:rPr>
                <w:sz w:val="19"/>
                <w:szCs w:val="19"/>
                <w:color w:val="auto"/>
              </w:rPr>
            </w:pPr>
          </w:p>
        </w:tc>
        <w:tc>
          <w:tcPr>
            <w:tcW w:w="840" w:type="dxa"/>
            <w:vAlign w:val="bottom"/>
            <w:tcBorders>
              <w:bottom w:val="single" w:sz="8" w:color="2A2A2A"/>
            </w:tcBorders>
          </w:tcPr>
          <w:p>
            <w:pPr>
              <w:jc w:val="center"/>
              <w:ind w:right="180"/>
              <w:spacing w:after="0"/>
              <w:rPr>
                <w:sz w:val="20"/>
                <w:szCs w:val="20"/>
                <w:color w:val="auto"/>
              </w:rPr>
            </w:pPr>
            <w:r>
              <w:rPr>
                <w:rFonts w:ascii="Arial" w:cs="Arial" w:eastAsia="Arial" w:hAnsi="Arial"/>
                <w:sz w:val="16"/>
                <w:szCs w:val="16"/>
                <w:b w:val="1"/>
                <w:bCs w:val="1"/>
                <w:color w:val="2A2A2A"/>
                <w:w w:val="96"/>
              </w:rPr>
              <w:t>Price</w:t>
            </w:r>
          </w:p>
        </w:tc>
        <w:tc>
          <w:tcPr>
            <w:tcW w:w="1080" w:type="dxa"/>
            <w:vAlign w:val="bottom"/>
            <w:tcBorders>
              <w:bottom w:val="single" w:sz="8" w:color="2A2A2A"/>
            </w:tcBorders>
          </w:tcPr>
          <w:p>
            <w:pPr>
              <w:jc w:val="center"/>
              <w:ind w:left="20"/>
              <w:spacing w:after="0"/>
              <w:rPr>
                <w:sz w:val="20"/>
                <w:szCs w:val="20"/>
                <w:color w:val="auto"/>
              </w:rPr>
            </w:pPr>
            <w:r>
              <w:rPr>
                <w:rFonts w:ascii="Arial" w:cs="Arial" w:eastAsia="Arial" w:hAnsi="Arial"/>
                <w:sz w:val="16"/>
                <w:szCs w:val="16"/>
                <w:b w:val="1"/>
                <w:bCs w:val="1"/>
                <w:color w:val="2A2A2A"/>
                <w:w w:val="97"/>
              </w:rPr>
              <w:t>Date</w:t>
            </w:r>
          </w:p>
        </w:tc>
        <w:tc>
          <w:tcPr>
            <w:tcW w:w="80" w:type="dxa"/>
            <w:vAlign w:val="bottom"/>
            <w:tcBorders>
              <w:bottom w:val="single" w:sz="8" w:color="2A2A2A"/>
            </w:tcBorders>
          </w:tcPr>
          <w:p>
            <w:pPr>
              <w:spacing w:after="0"/>
              <w:rPr>
                <w:sz w:val="19"/>
                <w:szCs w:val="19"/>
                <w:color w:val="auto"/>
              </w:rPr>
            </w:pPr>
          </w:p>
        </w:tc>
        <w:tc>
          <w:tcPr>
            <w:tcW w:w="1280" w:type="dxa"/>
            <w:vAlign w:val="bottom"/>
            <w:tcBorders>
              <w:bottom w:val="single" w:sz="8" w:color="2A2A2A"/>
            </w:tcBorders>
            <w:gridSpan w:val="2"/>
          </w:tcPr>
          <w:p>
            <w:pPr>
              <w:jc w:val="right"/>
              <w:ind w:right="120"/>
              <w:spacing w:after="0"/>
              <w:rPr>
                <w:sz w:val="20"/>
                <w:szCs w:val="20"/>
                <w:color w:val="auto"/>
              </w:rPr>
            </w:pPr>
            <w:r>
              <w:rPr>
                <w:rFonts w:ascii="Arial" w:cs="Arial" w:eastAsia="Arial" w:hAnsi="Arial"/>
                <w:sz w:val="16"/>
                <w:szCs w:val="16"/>
                <w:b w:val="1"/>
                <w:bCs w:val="1"/>
                <w:color w:val="2A2A2A"/>
              </w:rPr>
              <w:t>Not Vested</w:t>
            </w:r>
          </w:p>
        </w:tc>
        <w:tc>
          <w:tcPr>
            <w:tcW w:w="1460" w:type="dxa"/>
            <w:vAlign w:val="bottom"/>
            <w:tcBorders>
              <w:bottom w:val="single" w:sz="8" w:color="2A2A2A"/>
            </w:tcBorders>
            <w:gridSpan w:val="2"/>
          </w:tcPr>
          <w:p>
            <w:pPr>
              <w:jc w:val="center"/>
              <w:ind w:left="60"/>
              <w:spacing w:after="0"/>
              <w:rPr>
                <w:sz w:val="20"/>
                <w:szCs w:val="20"/>
                <w:color w:val="auto"/>
              </w:rPr>
            </w:pPr>
            <w:r>
              <w:rPr>
                <w:rFonts w:ascii="Arial" w:cs="Arial" w:eastAsia="Arial" w:hAnsi="Arial"/>
                <w:sz w:val="16"/>
                <w:szCs w:val="16"/>
                <w:b w:val="1"/>
                <w:bCs w:val="1"/>
                <w:color w:val="2A2A2A"/>
              </w:rPr>
              <w:t>Not Vested (1)</w:t>
            </w:r>
          </w:p>
        </w:tc>
      </w:tr>
      <w:tr>
        <w:trPr>
          <w:trHeight w:val="240"/>
        </w:trPr>
        <w:tc>
          <w:tcPr>
            <w:tcW w:w="25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Haviv Ilan</w:t>
            </w: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129,560</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34,463</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5,874,563</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28,263</w:t>
            </w:r>
          </w:p>
        </w:tc>
        <w:tc>
          <w:tcPr>
            <w:tcW w:w="1040" w:type="dxa"/>
            <w:vAlign w:val="bottom"/>
          </w:tcPr>
          <w:p>
            <w:pPr>
              <w:jc w:val="right"/>
              <w:spacing w:after="0"/>
              <w:rPr>
                <w:sz w:val="20"/>
                <w:szCs w:val="20"/>
                <w:color w:val="auto"/>
              </w:rPr>
            </w:pPr>
            <w:r>
              <w:rPr>
                <w:rFonts w:ascii="Arial" w:cs="Arial" w:eastAsia="Arial" w:hAnsi="Arial"/>
                <w:sz w:val="16"/>
                <w:szCs w:val="16"/>
                <w:color w:val="2A2A2A"/>
              </w:rPr>
              <w:t>84,791</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25,743</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4,388,152</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42,998</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42,998</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20,682</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3,525,454</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65,998</w:t>
            </w:r>
          </w:p>
        </w:tc>
        <w:tc>
          <w:tcPr>
            <w:tcW w:w="1040" w:type="dxa"/>
            <w:vAlign w:val="bottom"/>
          </w:tcPr>
          <w:p>
            <w:pPr>
              <w:jc w:val="right"/>
              <w:spacing w:after="0"/>
              <w:rPr>
                <w:sz w:val="20"/>
                <w:szCs w:val="20"/>
                <w:color w:val="auto"/>
              </w:rPr>
            </w:pPr>
            <w:r>
              <w:rPr>
                <w:rFonts w:ascii="Arial" w:cs="Arial" w:eastAsia="Arial" w:hAnsi="Arial"/>
                <w:sz w:val="16"/>
                <w:szCs w:val="16"/>
                <w:color w:val="2A2A2A"/>
              </w:rPr>
              <w:t>22,000</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17,239</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2,938,560</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86,122</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81,828</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110.15</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58,151</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79.26</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1/26/2027</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55"/>
        </w:trPr>
        <w:tc>
          <w:tcPr>
            <w:tcW w:w="2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5"/>
        </w:trPr>
        <w:tc>
          <w:tcPr>
            <w:tcW w:w="25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Richard K. Templeton</w:t>
            </w: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188,942</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50,259</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8,567,149</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47,105</w:t>
            </w:r>
          </w:p>
        </w:tc>
        <w:tc>
          <w:tcPr>
            <w:tcW w:w="1040" w:type="dxa"/>
            <w:vAlign w:val="bottom"/>
          </w:tcPr>
          <w:p>
            <w:pPr>
              <w:jc w:val="right"/>
              <w:spacing w:after="0"/>
              <w:rPr>
                <w:sz w:val="20"/>
                <w:szCs w:val="20"/>
                <w:color w:val="auto"/>
              </w:rPr>
            </w:pPr>
            <w:r>
              <w:rPr>
                <w:rFonts w:ascii="Arial" w:cs="Arial" w:eastAsia="Arial" w:hAnsi="Arial"/>
                <w:sz w:val="16"/>
                <w:szCs w:val="16"/>
                <w:color w:val="2A2A2A"/>
              </w:rPr>
              <w:t>141,318</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42,904</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7,313,416</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79,853</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79,853</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38,410</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6,547,369</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190,662</w:t>
            </w:r>
          </w:p>
        </w:tc>
        <w:tc>
          <w:tcPr>
            <w:tcW w:w="1040" w:type="dxa"/>
            <w:vAlign w:val="bottom"/>
          </w:tcPr>
          <w:p>
            <w:pPr>
              <w:jc w:val="right"/>
              <w:spacing w:after="0"/>
              <w:rPr>
                <w:sz w:val="20"/>
                <w:szCs w:val="20"/>
                <w:color w:val="auto"/>
              </w:rPr>
            </w:pPr>
            <w:r>
              <w:rPr>
                <w:rFonts w:ascii="Arial" w:cs="Arial" w:eastAsia="Arial" w:hAnsi="Arial"/>
                <w:sz w:val="16"/>
                <w:szCs w:val="16"/>
                <w:color w:val="2A2A2A"/>
              </w:rPr>
              <w:t>63,554</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49,801</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8,489,078</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294,627</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258,403</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110.15</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333,615</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79.26</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1/26/2027</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48"/>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489,557</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52.93</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1/29/2026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516,440</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53.94</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1/28/2025</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55"/>
        </w:trPr>
        <w:tc>
          <w:tcPr>
            <w:tcW w:w="2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5"/>
        </w:trPr>
        <w:tc>
          <w:tcPr>
            <w:tcW w:w="25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Rafael R. Lizardi</w:t>
            </w: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51,824</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13,786</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2,349,962</w:t>
            </w:r>
          </w:p>
        </w:tc>
      </w:tr>
      <w:tr>
        <w:trPr>
          <w:trHeight w:val="248"/>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11,933</w:t>
            </w:r>
          </w:p>
        </w:tc>
        <w:tc>
          <w:tcPr>
            <w:tcW w:w="1040" w:type="dxa"/>
            <w:vAlign w:val="bottom"/>
          </w:tcPr>
          <w:p>
            <w:pPr>
              <w:jc w:val="right"/>
              <w:spacing w:after="0"/>
              <w:rPr>
                <w:sz w:val="20"/>
                <w:szCs w:val="20"/>
                <w:color w:val="auto"/>
              </w:rPr>
            </w:pPr>
            <w:r>
              <w:rPr>
                <w:rFonts w:ascii="Arial" w:cs="Arial" w:eastAsia="Arial" w:hAnsi="Arial"/>
                <w:sz w:val="16"/>
                <w:szCs w:val="16"/>
                <w:color w:val="2A2A2A"/>
              </w:rPr>
              <w:t>35,801</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10,869</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1,852,730</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20,270</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20,271</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9,751</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1,662,155</w:t>
            </w:r>
          </w:p>
        </w:tc>
      </w:tr>
      <w:tr>
        <w:trPr>
          <w:trHeight w:val="248"/>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48,399</w:t>
            </w:r>
          </w:p>
        </w:tc>
        <w:tc>
          <w:tcPr>
            <w:tcW w:w="1040" w:type="dxa"/>
            <w:vAlign w:val="bottom"/>
          </w:tcPr>
          <w:p>
            <w:pPr>
              <w:jc w:val="right"/>
              <w:spacing w:after="0"/>
              <w:rPr>
                <w:sz w:val="20"/>
                <w:szCs w:val="20"/>
                <w:color w:val="auto"/>
              </w:rPr>
            </w:pPr>
            <w:r>
              <w:rPr>
                <w:rFonts w:ascii="Arial" w:cs="Arial" w:eastAsia="Arial" w:hAnsi="Arial"/>
                <w:sz w:val="16"/>
                <w:szCs w:val="16"/>
                <w:color w:val="2A2A2A"/>
              </w:rPr>
              <w:t>16,133</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12,642</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2,154,955</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33,996</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12,921</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110.15</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spacing w:after="0"/>
              <w:rPr>
                <w:sz w:val="22"/>
                <w:szCs w:val="22"/>
                <w:color w:val="auto"/>
              </w:rPr>
            </w:pPr>
          </w:p>
        </w:tc>
        <w:tc>
          <w:tcPr>
            <w:tcW w:w="104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10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spacing w:after="0"/>
              <w:rPr>
                <w:sz w:val="22"/>
                <w:szCs w:val="22"/>
                <w:color w:val="auto"/>
              </w:rPr>
            </w:pPr>
          </w:p>
        </w:tc>
      </w:tr>
      <w:tr>
        <w:trPr>
          <w:trHeight w:val="249"/>
        </w:trPr>
        <w:tc>
          <w:tcPr>
            <w:tcW w:w="2540" w:type="dxa"/>
            <w:vAlign w:val="bottom"/>
          </w:tcPr>
          <w:p>
            <w:pPr>
              <w:ind w:left="60"/>
              <w:spacing w:after="0"/>
              <w:rPr>
                <w:sz w:val="20"/>
                <w:szCs w:val="20"/>
                <w:color w:val="auto"/>
              </w:rPr>
            </w:pPr>
            <w:r>
              <w:rPr>
                <w:rFonts w:ascii="Arial" w:cs="Arial" w:eastAsia="Arial" w:hAnsi="Arial"/>
                <w:sz w:val="16"/>
                <w:szCs w:val="16"/>
                <w:color w:val="2A2A2A"/>
              </w:rPr>
              <w:t>Hagop H. Kozanian</w:t>
            </w: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tcPr>
          <w:p>
            <w:pPr>
              <w:jc w:val="right"/>
              <w:spacing w:after="0"/>
              <w:rPr>
                <w:sz w:val="20"/>
                <w:szCs w:val="20"/>
                <w:color w:val="auto"/>
              </w:rPr>
            </w:pPr>
            <w:r>
              <w:rPr>
                <w:rFonts w:ascii="Arial" w:cs="Arial" w:eastAsia="Arial" w:hAnsi="Arial"/>
                <w:sz w:val="16"/>
                <w:szCs w:val="16"/>
                <w:color w:val="2A2A2A"/>
              </w:rPr>
              <w:t>55,063</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14,647</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2,496,728</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13,817</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41,454</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12,586</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2,145,410</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23,342</w:t>
            </w:r>
          </w:p>
        </w:tc>
        <w:tc>
          <w:tcPr>
            <w:tcW w:w="1040" w:type="dxa"/>
            <w:vAlign w:val="bottom"/>
          </w:tcPr>
          <w:p>
            <w:pPr>
              <w:jc w:val="right"/>
              <w:spacing w:after="0"/>
              <w:rPr>
                <w:sz w:val="20"/>
                <w:szCs w:val="20"/>
                <w:color w:val="auto"/>
              </w:rPr>
            </w:pPr>
            <w:r>
              <w:rPr>
                <w:rFonts w:ascii="Arial" w:cs="Arial" w:eastAsia="Arial" w:hAnsi="Arial"/>
                <w:sz w:val="16"/>
                <w:szCs w:val="16"/>
                <w:color w:val="2A2A2A"/>
              </w:rPr>
              <w:t>23,342</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11,228</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1,913,925</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14,666</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14,667</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11,493</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1,959,097</w:t>
            </w:r>
          </w:p>
        </w:tc>
      </w:tr>
      <w:tr>
        <w:trPr>
          <w:trHeight w:val="248"/>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11,332</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spacing w:after="0"/>
              <w:rPr>
                <w:sz w:val="22"/>
                <w:szCs w:val="22"/>
                <w:color w:val="auto"/>
              </w:rPr>
            </w:pPr>
          </w:p>
        </w:tc>
        <w:tc>
          <w:tcPr>
            <w:tcW w:w="104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10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spacing w:after="0"/>
              <w:rPr>
                <w:sz w:val="22"/>
                <w:szCs w:val="22"/>
                <w:color w:val="auto"/>
              </w:rPr>
            </w:pPr>
          </w:p>
        </w:tc>
      </w:tr>
      <w:tr>
        <w:trPr>
          <w:trHeight w:val="248"/>
        </w:trPr>
        <w:tc>
          <w:tcPr>
            <w:tcW w:w="2540" w:type="dxa"/>
            <w:vAlign w:val="bottom"/>
          </w:tcPr>
          <w:p>
            <w:pPr>
              <w:ind w:left="60"/>
              <w:spacing w:after="0"/>
              <w:rPr>
                <w:sz w:val="20"/>
                <w:szCs w:val="20"/>
                <w:color w:val="auto"/>
              </w:rPr>
            </w:pPr>
            <w:r>
              <w:rPr>
                <w:rFonts w:ascii="Arial" w:cs="Arial" w:eastAsia="Arial" w:hAnsi="Arial"/>
                <w:sz w:val="16"/>
                <w:szCs w:val="16"/>
                <w:color w:val="2A2A2A"/>
              </w:rPr>
              <w:t>Kyle M. Flessner</w:t>
            </w: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tcPr>
          <w:p>
            <w:pPr>
              <w:jc w:val="right"/>
              <w:spacing w:after="0"/>
              <w:rPr>
                <w:sz w:val="20"/>
                <w:szCs w:val="20"/>
                <w:color w:val="auto"/>
              </w:rPr>
            </w:pPr>
            <w:r>
              <w:rPr>
                <w:rFonts w:ascii="Arial" w:cs="Arial" w:eastAsia="Arial" w:hAnsi="Arial"/>
                <w:sz w:val="16"/>
                <w:szCs w:val="16"/>
                <w:color w:val="2A2A2A"/>
              </w:rPr>
              <w:t>52,904</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14,073</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2,398,884</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13,189</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39,570</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12,014</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2,047,906</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22,113</w:t>
            </w:r>
          </w:p>
        </w:tc>
        <w:tc>
          <w:tcPr>
            <w:tcW w:w="1040" w:type="dxa"/>
            <w:vAlign w:val="bottom"/>
          </w:tcPr>
          <w:p>
            <w:pPr>
              <w:jc w:val="right"/>
              <w:spacing w:after="0"/>
              <w:rPr>
                <w:sz w:val="20"/>
                <w:szCs w:val="20"/>
                <w:color w:val="auto"/>
              </w:rPr>
            </w:pPr>
            <w:r>
              <w:rPr>
                <w:rFonts w:ascii="Arial" w:cs="Arial" w:eastAsia="Arial" w:hAnsi="Arial"/>
                <w:sz w:val="16"/>
                <w:szCs w:val="16"/>
                <w:color w:val="2A2A2A"/>
              </w:rPr>
              <w:t>22,114</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10,637</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1,813,183</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52,799</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17,600</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13,791</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2,350,814</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67,991</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spacing w:after="0"/>
              <w:rPr>
                <w:sz w:val="22"/>
                <w:szCs w:val="22"/>
                <w:color w:val="auto"/>
              </w:rPr>
            </w:pPr>
          </w:p>
        </w:tc>
        <w:tc>
          <w:tcPr>
            <w:tcW w:w="104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840" w:type="dxa"/>
            <w:vAlign w:val="bottom"/>
            <w:shd w:val="clear" w:color="auto" w:fill="D7D7D7"/>
          </w:tcPr>
          <w:p>
            <w:pPr>
              <w:spacing w:after="0"/>
              <w:rPr>
                <w:sz w:val="22"/>
                <w:szCs w:val="22"/>
                <w:color w:val="auto"/>
              </w:rPr>
            </w:pPr>
          </w:p>
        </w:tc>
        <w:tc>
          <w:tcPr>
            <w:tcW w:w="1080" w:type="dxa"/>
            <w:vAlign w:val="bottom"/>
            <w:shd w:val="clear" w:color="auto" w:fill="D7D7D7"/>
          </w:tcPr>
          <w:p>
            <w:pPr>
              <w:spacing w:after="0"/>
              <w:rPr>
                <w:sz w:val="22"/>
                <w:szCs w:val="22"/>
                <w:color w:val="auto"/>
              </w:rPr>
            </w:pP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spacing w:after="0"/>
              <w:rPr>
                <w:sz w:val="22"/>
                <w:szCs w:val="22"/>
                <w:color w:val="auto"/>
              </w:rPr>
            </w:pP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spacing w:after="0"/>
              <w:rPr>
                <w:sz w:val="22"/>
                <w:szCs w:val="22"/>
                <w:color w:val="auto"/>
              </w:rPr>
            </w:pPr>
          </w:p>
        </w:tc>
      </w:tr>
      <w:tr>
        <w:trPr>
          <w:trHeight w:val="249"/>
        </w:trPr>
        <w:tc>
          <w:tcPr>
            <w:tcW w:w="2540" w:type="dxa"/>
            <w:vAlign w:val="bottom"/>
          </w:tcPr>
          <w:p>
            <w:pPr>
              <w:ind w:left="60"/>
              <w:spacing w:after="0"/>
              <w:rPr>
                <w:sz w:val="20"/>
                <w:szCs w:val="20"/>
                <w:color w:val="auto"/>
              </w:rPr>
            </w:pPr>
            <w:r>
              <w:rPr>
                <w:rFonts w:ascii="Arial" w:cs="Arial" w:eastAsia="Arial" w:hAnsi="Arial"/>
                <w:sz w:val="16"/>
                <w:szCs w:val="16"/>
                <w:color w:val="2A2A2A"/>
              </w:rPr>
              <w:t>Amichai Ron</w:t>
            </w: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w:t>
            </w:r>
          </w:p>
        </w:tc>
        <w:tc>
          <w:tcPr>
            <w:tcW w:w="1040" w:type="dxa"/>
            <w:vAlign w:val="bottom"/>
          </w:tcPr>
          <w:p>
            <w:pPr>
              <w:jc w:val="right"/>
              <w:spacing w:after="0"/>
              <w:rPr>
                <w:sz w:val="20"/>
                <w:szCs w:val="20"/>
                <w:color w:val="auto"/>
              </w:rPr>
            </w:pPr>
            <w:r>
              <w:rPr>
                <w:rFonts w:ascii="Arial" w:cs="Arial" w:eastAsia="Arial" w:hAnsi="Arial"/>
                <w:sz w:val="16"/>
                <w:szCs w:val="16"/>
                <w:color w:val="2A2A2A"/>
              </w:rPr>
              <w:t>51,824</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(2)</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174.10</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1/26/2033</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13,786</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(6)</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2,349,962</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12,561</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37,685</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(3)</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174.81</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1/27/2032</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11,441</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(7)</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1,950,233</w:t>
            </w:r>
          </w:p>
        </w:tc>
      </w:tr>
      <w:tr>
        <w:trPr>
          <w:trHeight w:val="249"/>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18,428</w:t>
            </w:r>
          </w:p>
        </w:tc>
        <w:tc>
          <w:tcPr>
            <w:tcW w:w="1040" w:type="dxa"/>
            <w:vAlign w:val="bottom"/>
          </w:tcPr>
          <w:p>
            <w:pPr>
              <w:jc w:val="right"/>
              <w:spacing w:after="0"/>
              <w:rPr>
                <w:sz w:val="20"/>
                <w:szCs w:val="20"/>
                <w:color w:val="auto"/>
              </w:rPr>
            </w:pPr>
            <w:r>
              <w:rPr>
                <w:rFonts w:ascii="Arial" w:cs="Arial" w:eastAsia="Arial" w:hAnsi="Arial"/>
                <w:sz w:val="16"/>
                <w:szCs w:val="16"/>
                <w:color w:val="2A2A2A"/>
              </w:rPr>
              <w:t>18,428</w:t>
            </w:r>
          </w:p>
        </w:tc>
        <w:tc>
          <w:tcPr>
            <w:tcW w:w="380" w:type="dxa"/>
            <w:vAlign w:val="bottom"/>
          </w:tcPr>
          <w:p>
            <w:pPr>
              <w:jc w:val="right"/>
              <w:ind w:right="120"/>
              <w:spacing w:after="0"/>
              <w:rPr>
                <w:sz w:val="20"/>
                <w:szCs w:val="20"/>
                <w:color w:val="auto"/>
              </w:rPr>
            </w:pPr>
            <w:r>
              <w:rPr>
                <w:rFonts w:ascii="Arial" w:cs="Arial" w:eastAsia="Arial" w:hAnsi="Arial"/>
                <w:sz w:val="16"/>
                <w:szCs w:val="16"/>
                <w:color w:val="2A2A2A"/>
                <w:w w:val="81"/>
              </w:rPr>
              <w:t>(4)</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169.23</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1/28/2031</w:t>
            </w:r>
          </w:p>
        </w:tc>
        <w:tc>
          <w:tcPr>
            <w:tcW w:w="980" w:type="dxa"/>
            <w:vAlign w:val="bottom"/>
            <w:gridSpan w:val="2"/>
          </w:tcPr>
          <w:p>
            <w:pPr>
              <w:jc w:val="right"/>
              <w:spacing w:after="0"/>
              <w:rPr>
                <w:sz w:val="20"/>
                <w:szCs w:val="20"/>
                <w:color w:val="auto"/>
              </w:rPr>
            </w:pPr>
            <w:r>
              <w:rPr>
                <w:rFonts w:ascii="Arial" w:cs="Arial" w:eastAsia="Arial" w:hAnsi="Arial"/>
                <w:sz w:val="16"/>
                <w:szCs w:val="16"/>
                <w:color w:val="2A2A2A"/>
              </w:rPr>
              <w:t>8,864</w:t>
            </w:r>
          </w:p>
        </w:tc>
        <w:tc>
          <w:tcPr>
            <w:tcW w:w="380" w:type="dxa"/>
            <w:vAlign w:val="bottom"/>
          </w:tcPr>
          <w:p>
            <w:pPr>
              <w:jc w:val="right"/>
              <w:ind w:right="100"/>
              <w:spacing w:after="0"/>
              <w:rPr>
                <w:sz w:val="20"/>
                <w:szCs w:val="20"/>
                <w:color w:val="auto"/>
              </w:rPr>
            </w:pPr>
            <w:r>
              <w:rPr>
                <w:rFonts w:ascii="Arial" w:cs="Arial" w:eastAsia="Arial" w:hAnsi="Arial"/>
                <w:sz w:val="16"/>
                <w:szCs w:val="16"/>
                <w:color w:val="2A2A2A"/>
                <w:w w:val="91"/>
              </w:rPr>
              <w:t>(8)</w:t>
            </w: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1180" w:type="dxa"/>
            <w:vAlign w:val="bottom"/>
          </w:tcPr>
          <w:p>
            <w:pPr>
              <w:jc w:val="right"/>
              <w:spacing w:after="0"/>
              <w:rPr>
                <w:sz w:val="20"/>
                <w:szCs w:val="20"/>
                <w:color w:val="auto"/>
              </w:rPr>
            </w:pPr>
            <w:r>
              <w:rPr>
                <w:rFonts w:ascii="Arial" w:cs="Arial" w:eastAsia="Arial" w:hAnsi="Arial"/>
                <w:sz w:val="16"/>
                <w:szCs w:val="16"/>
                <w:color w:val="2A2A2A"/>
              </w:rPr>
              <w:t>1,510,957</w:t>
            </w:r>
          </w:p>
        </w:tc>
      </w:tr>
      <w:tr>
        <w:trPr>
          <w:trHeight w:val="261"/>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29,333</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9,778</w:t>
            </w:r>
          </w:p>
        </w:tc>
        <w:tc>
          <w:tcPr>
            <w:tcW w:w="380" w:type="dxa"/>
            <w:vAlign w:val="bottom"/>
            <w:shd w:val="clear" w:color="auto" w:fill="D7D7D7"/>
          </w:tcPr>
          <w:p>
            <w:pPr>
              <w:jc w:val="right"/>
              <w:ind w:right="120"/>
              <w:spacing w:after="0"/>
              <w:rPr>
                <w:sz w:val="20"/>
                <w:szCs w:val="20"/>
                <w:color w:val="auto"/>
              </w:rPr>
            </w:pPr>
            <w:r>
              <w:rPr>
                <w:rFonts w:ascii="Arial" w:cs="Arial" w:eastAsia="Arial" w:hAnsi="Arial"/>
                <w:sz w:val="16"/>
                <w:szCs w:val="16"/>
                <w:color w:val="2A2A2A"/>
                <w:w w:val="81"/>
              </w:rPr>
              <w:t>(5)</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130.52</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1/24/2030</w:t>
            </w:r>
          </w:p>
        </w:tc>
        <w:tc>
          <w:tcPr>
            <w:tcW w:w="980" w:type="dxa"/>
            <w:vAlign w:val="bottom"/>
            <w:gridSpan w:val="2"/>
            <w:shd w:val="clear" w:color="auto" w:fill="D7D7D7"/>
          </w:tcPr>
          <w:p>
            <w:pPr>
              <w:jc w:val="right"/>
              <w:spacing w:after="0"/>
              <w:rPr>
                <w:sz w:val="20"/>
                <w:szCs w:val="20"/>
                <w:color w:val="auto"/>
              </w:rPr>
            </w:pPr>
            <w:r>
              <w:rPr>
                <w:rFonts w:ascii="Arial" w:cs="Arial" w:eastAsia="Arial" w:hAnsi="Arial"/>
                <w:sz w:val="16"/>
                <w:szCs w:val="16"/>
                <w:color w:val="2A2A2A"/>
              </w:rPr>
              <w:t>7,662</w:t>
            </w:r>
          </w:p>
        </w:tc>
        <w:tc>
          <w:tcPr>
            <w:tcW w:w="38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w w:val="91"/>
              </w:rPr>
              <w:t>(9)</w:t>
            </w: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1,306,065</w:t>
            </w:r>
          </w:p>
        </w:tc>
      </w:tr>
      <w:tr>
        <w:trPr>
          <w:trHeight w:val="248"/>
        </w:trPr>
        <w:tc>
          <w:tcPr>
            <w:tcW w:w="25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A2A2A"/>
              </w:rPr>
              <w:t>15,865</w:t>
            </w:r>
          </w:p>
        </w:tc>
        <w:tc>
          <w:tcPr>
            <w:tcW w:w="104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2A2A2A"/>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2A2A2A"/>
              </w:rPr>
              <w:t>104.41</w:t>
            </w:r>
          </w:p>
        </w:tc>
        <w:tc>
          <w:tcPr>
            <w:tcW w:w="1080" w:type="dxa"/>
            <w:vAlign w:val="bottom"/>
          </w:tcPr>
          <w:p>
            <w:pPr>
              <w:jc w:val="center"/>
              <w:ind w:left="20"/>
              <w:spacing w:after="0"/>
              <w:rPr>
                <w:sz w:val="20"/>
                <w:szCs w:val="20"/>
                <w:color w:val="auto"/>
              </w:rPr>
            </w:pPr>
            <w:r>
              <w:rPr>
                <w:rFonts w:ascii="Arial" w:cs="Arial" w:eastAsia="Arial" w:hAnsi="Arial"/>
                <w:sz w:val="16"/>
                <w:szCs w:val="16"/>
                <w:color w:val="2A2A2A"/>
                <w:w w:val="98"/>
              </w:rPr>
              <w:t>1/25/2029</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A2A2A"/>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A2A2A"/>
              </w:rPr>
              <w:t>—</w:t>
            </w:r>
          </w:p>
        </w:tc>
      </w:tr>
      <w:tr>
        <w:trPr>
          <w:trHeight w:val="262"/>
        </w:trPr>
        <w:tc>
          <w:tcPr>
            <w:tcW w:w="2540" w:type="dxa"/>
            <w:vAlign w:val="bottom"/>
            <w:shd w:val="clear" w:color="auto" w:fill="D7D7D7"/>
          </w:tcPr>
          <w:p>
            <w:pPr>
              <w:spacing w:after="0"/>
              <w:rPr>
                <w:sz w:val="22"/>
                <w:szCs w:val="22"/>
                <w:color w:val="auto"/>
              </w:rPr>
            </w:pPr>
          </w:p>
        </w:tc>
        <w:tc>
          <w:tcPr>
            <w:tcW w:w="1120" w:type="dxa"/>
            <w:vAlign w:val="bottom"/>
            <w:shd w:val="clear" w:color="auto" w:fill="D7D7D7"/>
          </w:tcPr>
          <w:p>
            <w:pPr>
              <w:jc w:val="right"/>
              <w:ind w:right="40"/>
              <w:spacing w:after="0"/>
              <w:rPr>
                <w:sz w:val="20"/>
                <w:szCs w:val="20"/>
                <w:color w:val="auto"/>
              </w:rPr>
            </w:pPr>
            <w:r>
              <w:rPr>
                <w:rFonts w:ascii="Arial" w:cs="Arial" w:eastAsia="Arial" w:hAnsi="Arial"/>
                <w:sz w:val="16"/>
                <w:szCs w:val="16"/>
                <w:color w:val="2A2A2A"/>
              </w:rPr>
              <w:t>12,921</w:t>
            </w:r>
          </w:p>
        </w:tc>
        <w:tc>
          <w:tcPr>
            <w:tcW w:w="10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shd w:val="clear" w:color="auto" w:fill="D7D7D7"/>
          </w:tcPr>
          <w:p>
            <w:pPr>
              <w:jc w:val="right"/>
              <w:ind w:right="100"/>
              <w:spacing w:after="0"/>
              <w:rPr>
                <w:sz w:val="20"/>
                <w:szCs w:val="20"/>
                <w:color w:val="auto"/>
              </w:rPr>
            </w:pPr>
            <w:r>
              <w:rPr>
                <w:rFonts w:ascii="Arial" w:cs="Arial" w:eastAsia="Arial" w:hAnsi="Arial"/>
                <w:sz w:val="16"/>
                <w:szCs w:val="16"/>
                <w:color w:val="2A2A2A"/>
              </w:rPr>
              <w:t>110.15</w:t>
            </w:r>
          </w:p>
        </w:tc>
        <w:tc>
          <w:tcPr>
            <w:tcW w:w="1080" w:type="dxa"/>
            <w:vAlign w:val="bottom"/>
            <w:shd w:val="clear" w:color="auto" w:fill="D7D7D7"/>
          </w:tcPr>
          <w:p>
            <w:pPr>
              <w:jc w:val="center"/>
              <w:ind w:left="20"/>
              <w:spacing w:after="0"/>
              <w:rPr>
                <w:sz w:val="20"/>
                <w:szCs w:val="20"/>
                <w:color w:val="auto"/>
              </w:rPr>
            </w:pPr>
            <w:r>
              <w:rPr>
                <w:rFonts w:ascii="Arial" w:cs="Arial" w:eastAsia="Arial" w:hAnsi="Arial"/>
                <w:sz w:val="16"/>
                <w:szCs w:val="16"/>
                <w:color w:val="2A2A2A"/>
                <w:w w:val="98"/>
              </w:rPr>
              <w:t>1/25/2028</w:t>
            </w:r>
          </w:p>
        </w:tc>
        <w:tc>
          <w:tcPr>
            <w:tcW w:w="80" w:type="dxa"/>
            <w:vAlign w:val="bottom"/>
            <w:shd w:val="clear" w:color="auto" w:fill="D7D7D7"/>
          </w:tcPr>
          <w:p>
            <w:pPr>
              <w:spacing w:after="0"/>
              <w:rPr>
                <w:sz w:val="22"/>
                <w:szCs w:val="22"/>
                <w:color w:val="auto"/>
              </w:rPr>
            </w:pPr>
          </w:p>
        </w:tc>
        <w:tc>
          <w:tcPr>
            <w:tcW w:w="9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80" w:type="dxa"/>
            <w:vAlign w:val="bottom"/>
            <w:shd w:val="clear" w:color="auto" w:fill="D7D7D7"/>
          </w:tcPr>
          <w:p>
            <w:pPr>
              <w:spacing w:after="0"/>
              <w:rPr>
                <w:sz w:val="22"/>
                <w:szCs w:val="22"/>
                <w:color w:val="auto"/>
              </w:rPr>
            </w:pPr>
          </w:p>
        </w:tc>
        <w:tc>
          <w:tcPr>
            <w:tcW w:w="280" w:type="dxa"/>
            <w:vAlign w:val="bottom"/>
            <w:shd w:val="clear" w:color="auto" w:fill="D7D7D7"/>
          </w:tcPr>
          <w:p>
            <w:pPr>
              <w:spacing w:after="0"/>
              <w:rPr>
                <w:sz w:val="22"/>
                <w:szCs w:val="22"/>
                <w:color w:val="auto"/>
              </w:rPr>
            </w:pPr>
          </w:p>
        </w:tc>
        <w:tc>
          <w:tcPr>
            <w:tcW w:w="11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-6974840</wp:posOffset>
            </wp:positionV>
            <wp:extent cx="643572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35725" cy="25400"/>
                    </a:xfrm>
                    <a:prstGeom prst="rect">
                      <a:avLst/>
                    </a:prstGeom>
                    <a:noFill/>
                  </pic:spPr>
                </pic:pic>
              </a:graphicData>
            </a:graphic>
          </wp:anchor>
        </w:drawing>
      </w:r>
    </w:p>
    <w:p>
      <w:pPr>
        <w:sectPr>
          <w:pgSz w:w="12240" w:h="15840" w:orient="portrait"/>
          <w:cols w:equalWidth="0" w:num="1">
            <w:col w:w="10100"/>
          </w:cols>
          <w:pgMar w:left="980" w:top="658" w:right="11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383838"/>
        </w:rPr>
        <w:t>2024 PROXY STATEMENT • PAGE 48</w:t>
      </w:r>
    </w:p>
    <w:p>
      <w:pPr>
        <w:sectPr>
          <w:pgSz w:w="12240" w:h="15840" w:orient="portrait"/>
          <w:cols w:equalWidth="0" w:num="1">
            <w:col w:w="10100"/>
          </w:cols>
          <w:pgMar w:left="980" w:top="658" w:right="1160" w:bottom="33" w:gutter="0" w:footer="0" w:header="0"/>
          <w:type w:val="continuous"/>
        </w:sectPr>
      </w:pPr>
    </w:p>
    <w:bookmarkStart w:id="120" w:name="page121"/>
    <w:bookmarkEnd w:id="120"/>
    <w:p>
      <w:pPr>
        <w:ind w:left="541" w:right="20" w:hanging="541"/>
        <w:spacing w:after="0" w:line="287" w:lineRule="auto"/>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Calculated by multiplying the number of RSUs by the closing price of TI common stock on December 29, 2023 ($170.46).</w:t>
      </w:r>
    </w:p>
    <w:p>
      <w:pPr>
        <w:spacing w:after="0" w:line="49" w:lineRule="exact"/>
        <w:rPr>
          <w:rFonts w:ascii="Arial" w:cs="Arial" w:eastAsia="Arial" w:hAnsi="Arial"/>
          <w:sz w:val="20"/>
          <w:szCs w:val="20"/>
          <w:color w:val="2A2A2A"/>
        </w:rPr>
      </w:pPr>
    </w:p>
    <w:p>
      <w:pPr>
        <w:ind w:left="541" w:right="300" w:hanging="541"/>
        <w:spacing w:after="0" w:line="287" w:lineRule="auto"/>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One-quarter of the shares became exercisable on January 26, 2024, and one-third of the remaining shares become exercisable on each of January 26, 2025 and January 26, 2026 and January 26, 2027.</w:t>
      </w:r>
    </w:p>
    <w:p>
      <w:pPr>
        <w:spacing w:after="0" w:line="49" w:lineRule="exact"/>
        <w:rPr>
          <w:rFonts w:ascii="Arial" w:cs="Arial" w:eastAsia="Arial" w:hAnsi="Arial"/>
          <w:sz w:val="20"/>
          <w:szCs w:val="20"/>
          <w:color w:val="2A2A2A"/>
        </w:rPr>
      </w:pPr>
    </w:p>
    <w:p>
      <w:pPr>
        <w:ind w:left="541" w:right="620" w:hanging="541"/>
        <w:spacing w:after="0" w:line="287" w:lineRule="auto"/>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One-third of the shares became exercisable on January 27, 2024, and one-half of the remaining shares become exercisable on each of January 27, 2025 and January 27, 2026 .</w:t>
      </w:r>
    </w:p>
    <w:p>
      <w:pPr>
        <w:spacing w:after="0" w:line="49" w:lineRule="exact"/>
        <w:rPr>
          <w:rFonts w:ascii="Arial" w:cs="Arial" w:eastAsia="Arial" w:hAnsi="Arial"/>
          <w:sz w:val="20"/>
          <w:szCs w:val="20"/>
          <w:color w:val="2A2A2A"/>
        </w:rPr>
      </w:pPr>
    </w:p>
    <w:p>
      <w:pPr>
        <w:ind w:left="541" w:right="800" w:hanging="541"/>
        <w:spacing w:after="0" w:line="287" w:lineRule="auto"/>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One-half of the shares became exercisable on January 28, 2024, and the remaining one-half become exercisable on January 28, 2025.</w:t>
      </w:r>
    </w:p>
    <w:p>
      <w:pPr>
        <w:spacing w:after="0" w:line="49" w:lineRule="exact"/>
        <w:rPr>
          <w:rFonts w:ascii="Arial" w:cs="Arial" w:eastAsia="Arial" w:hAnsi="Arial"/>
          <w:sz w:val="20"/>
          <w:szCs w:val="20"/>
          <w:color w:val="2A2A2A"/>
        </w:rPr>
      </w:pPr>
    </w:p>
    <w:p>
      <w:pPr>
        <w:ind w:left="541" w:hanging="541"/>
        <w:spacing w:after="0"/>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Became fully exercisable on January 24, 2024.</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Vesting date is January 29, 2027.</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Vesting date is January 30, 2026.</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Vesting date is January 31, 2025.</w:t>
      </w:r>
    </w:p>
    <w:p>
      <w:pPr>
        <w:spacing w:after="0" w:line="130" w:lineRule="exact"/>
        <w:rPr>
          <w:rFonts w:ascii="Arial" w:cs="Arial" w:eastAsia="Arial" w:hAnsi="Arial"/>
          <w:sz w:val="20"/>
          <w:szCs w:val="20"/>
          <w:color w:val="2A2A2A"/>
        </w:rPr>
      </w:pPr>
    </w:p>
    <w:p>
      <w:pPr>
        <w:ind w:left="541" w:hanging="541"/>
        <w:spacing w:after="0"/>
        <w:tabs>
          <w:tab w:leader="none" w:pos="541" w:val="left"/>
        </w:tabs>
        <w:numPr>
          <w:ilvl w:val="0"/>
          <w:numId w:val="132"/>
        </w:numPr>
        <w:rPr>
          <w:rFonts w:ascii="Arial" w:cs="Arial" w:eastAsia="Arial" w:hAnsi="Arial"/>
          <w:sz w:val="20"/>
          <w:szCs w:val="20"/>
          <w:color w:val="2A2A2A"/>
        </w:rPr>
      </w:pPr>
      <w:r>
        <w:rPr>
          <w:rFonts w:ascii="Arial" w:cs="Arial" w:eastAsia="Arial" w:hAnsi="Arial"/>
          <w:sz w:val="20"/>
          <w:szCs w:val="20"/>
          <w:color w:val="2A2A2A"/>
        </w:rPr>
        <w:t>Vested on January 31, 2024.</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Option awards</w:t>
      </w:r>
    </w:p>
    <w:p>
      <w:pPr>
        <w:spacing w:after="0" w:line="255" w:lineRule="exact"/>
        <w:rPr>
          <w:sz w:val="20"/>
          <w:szCs w:val="20"/>
          <w:color w:val="auto"/>
        </w:rPr>
      </w:pPr>
    </w:p>
    <w:p>
      <w:pPr>
        <w:ind w:left="1" w:right="80"/>
        <w:spacing w:after="0" w:line="255" w:lineRule="auto"/>
        <w:rPr>
          <w:sz w:val="20"/>
          <w:szCs w:val="20"/>
          <w:color w:val="auto"/>
        </w:rPr>
      </w:pPr>
      <w:r>
        <w:rPr>
          <w:rFonts w:ascii="Arial" w:cs="Arial" w:eastAsia="Arial" w:hAnsi="Arial"/>
          <w:sz w:val="20"/>
          <w:szCs w:val="20"/>
          <w:color w:val="2A2A2A"/>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2023. The compensation committee of the board of directors established these termination provisions to promote employee retention while offering competitive terms.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2A2A2A"/>
              </w:rPr>
              <w:t>Employment Termination due to</w:t>
            </w:r>
          </w:p>
        </w:tc>
        <w:tc>
          <w:tcPr>
            <w:tcW w:w="18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92"/>
        </w:trPr>
        <w:tc>
          <w:tcPr>
            <w:tcW w:w="3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2A2A2A"/>
                <w:w w:val="99"/>
              </w:rPr>
              <w:t>Death or Permanent Disability</w:t>
            </w:r>
          </w:p>
        </w:tc>
        <w:tc>
          <w:tcPr>
            <w:tcW w:w="1880" w:type="dxa"/>
            <w:vAlign w:val="bottom"/>
          </w:tcPr>
          <w:p>
            <w:pPr>
              <w:jc w:val="center"/>
              <w:ind w:left="72"/>
              <w:spacing w:after="0"/>
              <w:rPr>
                <w:sz w:val="20"/>
                <w:szCs w:val="20"/>
                <w:color w:val="auto"/>
              </w:rPr>
            </w:pPr>
            <w:r>
              <w:rPr>
                <w:rFonts w:ascii="Arial" w:cs="Arial" w:eastAsia="Arial" w:hAnsi="Arial"/>
                <w:sz w:val="16"/>
                <w:szCs w:val="16"/>
                <w:b w:val="1"/>
                <w:bCs w:val="1"/>
                <w:color w:val="2A2A2A"/>
                <w:w w:val="99"/>
              </w:rPr>
              <w:t>Employment</w:t>
            </w:r>
          </w:p>
        </w:tc>
        <w:tc>
          <w:tcPr>
            <w:tcW w:w="2400" w:type="dxa"/>
            <w:vAlign w:val="bottom"/>
          </w:tcPr>
          <w:p>
            <w:pPr>
              <w:jc w:val="center"/>
              <w:ind w:left="50"/>
              <w:spacing w:after="0"/>
              <w:rPr>
                <w:sz w:val="20"/>
                <w:szCs w:val="20"/>
                <w:color w:val="auto"/>
              </w:rPr>
            </w:pPr>
            <w:r>
              <w:rPr>
                <w:rFonts w:ascii="Arial" w:cs="Arial" w:eastAsia="Arial" w:hAnsi="Arial"/>
                <w:sz w:val="16"/>
                <w:szCs w:val="16"/>
                <w:b w:val="1"/>
                <w:bCs w:val="1"/>
                <w:color w:val="2A2A2A"/>
              </w:rPr>
              <w:t>Other Circumstances</w:t>
            </w:r>
          </w:p>
        </w:tc>
      </w:tr>
      <w:tr>
        <w:trPr>
          <w:trHeight w:val="192"/>
        </w:trPr>
        <w:tc>
          <w:tcPr>
            <w:tcW w:w="3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2A2A2A"/>
              </w:rPr>
              <w:t>or at Least 6 Months after Grant</w:t>
            </w:r>
          </w:p>
        </w:tc>
        <w:tc>
          <w:tcPr>
            <w:tcW w:w="1880" w:type="dxa"/>
            <w:vAlign w:val="bottom"/>
          </w:tcPr>
          <w:p>
            <w:pPr>
              <w:jc w:val="center"/>
              <w:ind w:left="52"/>
              <w:spacing w:after="0"/>
              <w:rPr>
                <w:sz w:val="20"/>
                <w:szCs w:val="20"/>
                <w:color w:val="auto"/>
              </w:rPr>
            </w:pPr>
            <w:r>
              <w:rPr>
                <w:rFonts w:ascii="Arial" w:cs="Arial" w:eastAsia="Arial" w:hAnsi="Arial"/>
                <w:sz w:val="16"/>
                <w:szCs w:val="16"/>
                <w:b w:val="1"/>
                <w:bCs w:val="1"/>
                <w:color w:val="2A2A2A"/>
                <w:w w:val="98"/>
              </w:rPr>
              <w:t>Termination</w:t>
            </w:r>
          </w:p>
        </w:tc>
        <w:tc>
          <w:tcPr>
            <w:tcW w:w="2400" w:type="dxa"/>
            <w:vAlign w:val="bottom"/>
          </w:tcPr>
          <w:p>
            <w:pPr>
              <w:jc w:val="center"/>
              <w:ind w:left="50"/>
              <w:spacing w:after="0"/>
              <w:rPr>
                <w:sz w:val="20"/>
                <w:szCs w:val="20"/>
                <w:color w:val="auto"/>
              </w:rPr>
            </w:pPr>
            <w:r>
              <w:rPr>
                <w:rFonts w:ascii="Arial" w:cs="Arial" w:eastAsia="Arial" w:hAnsi="Arial"/>
                <w:sz w:val="16"/>
                <w:szCs w:val="16"/>
                <w:b w:val="1"/>
                <w:bCs w:val="1"/>
                <w:color w:val="2A2A2A"/>
                <w:w w:val="98"/>
              </w:rPr>
              <w:t>of Employment</w:t>
            </w:r>
          </w:p>
        </w:tc>
      </w:tr>
      <w:tr>
        <w:trPr>
          <w:trHeight w:val="214"/>
        </w:trPr>
        <w:tc>
          <w:tcPr>
            <w:tcW w:w="3060" w:type="dxa"/>
            <w:vAlign w:val="bottom"/>
            <w:tcBorders>
              <w:bottom w:val="single" w:sz="8" w:color="2A2A2A"/>
            </w:tcBorders>
          </w:tcPr>
          <w:p>
            <w:pPr>
              <w:spacing w:after="0"/>
              <w:rPr>
                <w:sz w:val="18"/>
                <w:szCs w:val="18"/>
                <w:color w:val="auto"/>
              </w:rPr>
            </w:pPr>
          </w:p>
        </w:tc>
        <w:tc>
          <w:tcPr>
            <w:tcW w:w="29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When Retirement Eligible *</w:t>
            </w:r>
          </w:p>
        </w:tc>
        <w:tc>
          <w:tcPr>
            <w:tcW w:w="1880" w:type="dxa"/>
            <w:vAlign w:val="bottom"/>
            <w:tcBorders>
              <w:bottom w:val="single" w:sz="8" w:color="2A2A2A"/>
            </w:tcBorders>
          </w:tcPr>
          <w:p>
            <w:pPr>
              <w:jc w:val="center"/>
              <w:ind w:left="52"/>
              <w:spacing w:after="0"/>
              <w:rPr>
                <w:sz w:val="20"/>
                <w:szCs w:val="20"/>
                <w:color w:val="auto"/>
              </w:rPr>
            </w:pPr>
            <w:r>
              <w:rPr>
                <w:rFonts w:ascii="Arial" w:cs="Arial" w:eastAsia="Arial" w:hAnsi="Arial"/>
                <w:sz w:val="16"/>
                <w:szCs w:val="16"/>
                <w:b w:val="1"/>
                <w:bCs w:val="1"/>
                <w:color w:val="2A2A2A"/>
              </w:rPr>
              <w:t>for Cause</w:t>
            </w:r>
          </w:p>
        </w:tc>
        <w:tc>
          <w:tcPr>
            <w:tcW w:w="2400" w:type="dxa"/>
            <w:vAlign w:val="bottom"/>
            <w:tcBorders>
              <w:bottom w:val="single" w:sz="8" w:color="2A2A2A"/>
            </w:tcBorders>
          </w:tcPr>
          <w:p>
            <w:pPr>
              <w:jc w:val="center"/>
              <w:ind w:left="50"/>
              <w:spacing w:after="0"/>
              <w:rPr>
                <w:sz w:val="20"/>
                <w:szCs w:val="20"/>
                <w:color w:val="auto"/>
              </w:rPr>
            </w:pPr>
            <w:r>
              <w:rPr>
                <w:rFonts w:ascii="Arial" w:cs="Arial" w:eastAsia="Arial" w:hAnsi="Arial"/>
                <w:sz w:val="16"/>
                <w:szCs w:val="16"/>
                <w:b w:val="1"/>
                <w:bCs w:val="1"/>
                <w:color w:val="2A2A2A"/>
                <w:w w:val="98"/>
              </w:rPr>
              <w:t>Termination</w:t>
            </w:r>
          </w:p>
        </w:tc>
      </w:tr>
      <w:tr>
        <w:trPr>
          <w:trHeight w:val="250"/>
        </w:trPr>
        <w:tc>
          <w:tcPr>
            <w:tcW w:w="3060" w:type="dxa"/>
            <w:vAlign w:val="bottom"/>
            <w:tcBorders>
              <w:right w:val="single" w:sz="8" w:color="D7D7D7"/>
            </w:tcBorders>
          </w:tcPr>
          <w:p>
            <w:pPr>
              <w:ind w:left="60"/>
              <w:spacing w:after="0"/>
              <w:rPr>
                <w:sz w:val="20"/>
                <w:szCs w:val="20"/>
                <w:color w:val="auto"/>
              </w:rPr>
            </w:pPr>
            <w:r>
              <w:rPr>
                <w:rFonts w:ascii="Arial" w:cs="Arial" w:eastAsia="Arial" w:hAnsi="Arial"/>
                <w:sz w:val="20"/>
                <w:szCs w:val="20"/>
                <w:b w:val="1"/>
                <w:bCs w:val="1"/>
                <w:color w:val="2A2A2A"/>
              </w:rPr>
              <w:t>Unexercisable</w:t>
            </w:r>
          </w:p>
        </w:tc>
        <w:tc>
          <w:tcPr>
            <w:tcW w:w="294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9"/>
              </w:rPr>
              <w:t>Continues</w:t>
            </w:r>
          </w:p>
        </w:tc>
        <w:tc>
          <w:tcPr>
            <w:tcW w:w="1880" w:type="dxa"/>
            <w:vAlign w:val="bottom"/>
            <w:shd w:val="clear" w:color="auto" w:fill="D7D7D7"/>
          </w:tcPr>
          <w:p>
            <w:pPr>
              <w:jc w:val="center"/>
              <w:ind w:left="52"/>
              <w:spacing w:after="0"/>
              <w:rPr>
                <w:sz w:val="20"/>
                <w:szCs w:val="20"/>
                <w:color w:val="auto"/>
              </w:rPr>
            </w:pPr>
            <w:r>
              <w:rPr>
                <w:rFonts w:ascii="Arial" w:cs="Arial" w:eastAsia="Arial" w:hAnsi="Arial"/>
                <w:sz w:val="20"/>
                <w:szCs w:val="20"/>
                <w:color w:val="2A2A2A"/>
                <w:w w:val="97"/>
              </w:rPr>
              <w:t>Stops</w:t>
            </w:r>
          </w:p>
        </w:tc>
        <w:tc>
          <w:tcPr>
            <w:tcW w:w="2400" w:type="dxa"/>
            <w:vAlign w:val="bottom"/>
            <w:shd w:val="clear" w:color="auto" w:fill="D7D7D7"/>
          </w:tcPr>
          <w:p>
            <w:pPr>
              <w:jc w:val="center"/>
              <w:ind w:left="50"/>
              <w:spacing w:after="0"/>
              <w:rPr>
                <w:sz w:val="20"/>
                <w:szCs w:val="20"/>
                <w:color w:val="auto"/>
              </w:rPr>
            </w:pPr>
            <w:r>
              <w:rPr>
                <w:rFonts w:ascii="Arial" w:cs="Arial" w:eastAsia="Arial" w:hAnsi="Arial"/>
                <w:sz w:val="20"/>
                <w:szCs w:val="20"/>
                <w:color w:val="2A2A2A"/>
                <w:w w:val="97"/>
              </w:rPr>
              <w:t>Stops</w:t>
            </w:r>
          </w:p>
        </w:tc>
      </w:tr>
      <w:tr>
        <w:trPr>
          <w:trHeight w:val="280"/>
        </w:trPr>
        <w:tc>
          <w:tcPr>
            <w:tcW w:w="3060" w:type="dxa"/>
            <w:vAlign w:val="bottom"/>
            <w:tcBorders>
              <w:right w:val="single" w:sz="8" w:color="D7D7D7"/>
            </w:tcBorders>
          </w:tcPr>
          <w:p>
            <w:pPr>
              <w:ind w:left="60"/>
              <w:spacing w:after="0"/>
              <w:rPr>
                <w:sz w:val="20"/>
                <w:szCs w:val="20"/>
                <w:color w:val="auto"/>
              </w:rPr>
            </w:pPr>
            <w:r>
              <w:rPr>
                <w:rFonts w:ascii="Arial" w:cs="Arial" w:eastAsia="Arial" w:hAnsi="Arial"/>
                <w:sz w:val="20"/>
                <w:szCs w:val="20"/>
                <w:b w:val="1"/>
                <w:bCs w:val="1"/>
                <w:color w:val="2A2A2A"/>
              </w:rPr>
              <w:t>portion of option</w:t>
            </w:r>
          </w:p>
        </w:tc>
        <w:tc>
          <w:tcPr>
            <w:tcW w:w="2940" w:type="dxa"/>
            <w:vAlign w:val="bottom"/>
            <w:tcBorders>
              <w:right w:val="single" w:sz="8" w:color="D7D7D7"/>
            </w:tcBorders>
          </w:tcPr>
          <w:p>
            <w:pPr>
              <w:spacing w:after="0"/>
              <w:rPr>
                <w:sz w:val="24"/>
                <w:szCs w:val="24"/>
                <w:color w:val="auto"/>
              </w:rPr>
            </w:pPr>
          </w:p>
        </w:tc>
        <w:tc>
          <w:tcPr>
            <w:tcW w:w="1880" w:type="dxa"/>
            <w:vAlign w:val="bottom"/>
            <w:shd w:val="clear" w:color="auto" w:fill="D7D7D7"/>
          </w:tcPr>
          <w:p>
            <w:pPr>
              <w:spacing w:after="0"/>
              <w:rPr>
                <w:sz w:val="24"/>
                <w:szCs w:val="24"/>
                <w:color w:val="auto"/>
              </w:rPr>
            </w:pPr>
          </w:p>
        </w:tc>
        <w:tc>
          <w:tcPr>
            <w:tcW w:w="2400" w:type="dxa"/>
            <w:vAlign w:val="bottom"/>
            <w:shd w:val="clear" w:color="auto" w:fill="D7D7D7"/>
          </w:tcPr>
          <w:p>
            <w:pPr>
              <w:spacing w:after="0"/>
              <w:rPr>
                <w:sz w:val="24"/>
                <w:szCs w:val="24"/>
                <w:color w:val="auto"/>
              </w:rPr>
            </w:pPr>
          </w:p>
        </w:tc>
      </w:tr>
      <w:tr>
        <w:trPr>
          <w:trHeight w:val="260"/>
        </w:trPr>
        <w:tc>
          <w:tcPr>
            <w:tcW w:w="3060" w:type="dxa"/>
            <w:vAlign w:val="bottom"/>
          </w:tcPr>
          <w:p>
            <w:pPr>
              <w:ind w:left="60"/>
              <w:spacing w:after="0"/>
              <w:rPr>
                <w:sz w:val="20"/>
                <w:szCs w:val="20"/>
                <w:color w:val="auto"/>
              </w:rPr>
            </w:pPr>
            <w:r>
              <w:rPr>
                <w:rFonts w:ascii="Arial" w:cs="Arial" w:eastAsia="Arial" w:hAnsi="Arial"/>
                <w:sz w:val="20"/>
                <w:szCs w:val="20"/>
                <w:b w:val="1"/>
                <w:bCs w:val="1"/>
                <w:color w:val="2A2A2A"/>
              </w:rPr>
              <w:t>Exercisable</w:t>
            </w:r>
          </w:p>
        </w:tc>
        <w:tc>
          <w:tcPr>
            <w:tcW w:w="2940" w:type="dxa"/>
            <w:vAlign w:val="bottom"/>
          </w:tcPr>
          <w:p>
            <w:pPr>
              <w:jc w:val="center"/>
              <w:spacing w:after="0"/>
              <w:rPr>
                <w:sz w:val="20"/>
                <w:szCs w:val="20"/>
                <w:color w:val="auto"/>
              </w:rPr>
            </w:pPr>
            <w:r>
              <w:rPr>
                <w:rFonts w:ascii="Arial" w:cs="Arial" w:eastAsia="Arial" w:hAnsi="Arial"/>
                <w:sz w:val="20"/>
                <w:szCs w:val="20"/>
                <w:color w:val="2A2A2A"/>
              </w:rPr>
              <w:t>Remains exercisable</w:t>
            </w:r>
          </w:p>
        </w:tc>
        <w:tc>
          <w:tcPr>
            <w:tcW w:w="1880" w:type="dxa"/>
            <w:vAlign w:val="bottom"/>
          </w:tcPr>
          <w:p>
            <w:pPr>
              <w:jc w:val="center"/>
              <w:ind w:left="92"/>
              <w:spacing w:after="0"/>
              <w:rPr>
                <w:sz w:val="20"/>
                <w:szCs w:val="20"/>
                <w:color w:val="auto"/>
              </w:rPr>
            </w:pPr>
            <w:r>
              <w:rPr>
                <w:rFonts w:ascii="Arial" w:cs="Arial" w:eastAsia="Arial" w:hAnsi="Arial"/>
                <w:sz w:val="20"/>
                <w:szCs w:val="20"/>
                <w:color w:val="2A2A2A"/>
                <w:w w:val="97"/>
              </w:rPr>
              <w:t>Terminates</w:t>
            </w:r>
          </w:p>
        </w:tc>
        <w:tc>
          <w:tcPr>
            <w:tcW w:w="2400" w:type="dxa"/>
            <w:vAlign w:val="bottom"/>
          </w:tcPr>
          <w:p>
            <w:pPr>
              <w:jc w:val="center"/>
              <w:ind w:left="50"/>
              <w:spacing w:after="0"/>
              <w:rPr>
                <w:sz w:val="20"/>
                <w:szCs w:val="20"/>
                <w:color w:val="auto"/>
              </w:rPr>
            </w:pPr>
            <w:r>
              <w:rPr>
                <w:rFonts w:ascii="Arial" w:cs="Arial" w:eastAsia="Arial" w:hAnsi="Arial"/>
                <w:sz w:val="20"/>
                <w:szCs w:val="20"/>
                <w:color w:val="2A2A2A"/>
              </w:rPr>
              <w:t>Remains exercisable</w:t>
            </w:r>
          </w:p>
        </w:tc>
      </w:tr>
      <w:tr>
        <w:trPr>
          <w:trHeight w:val="275"/>
        </w:trPr>
        <w:tc>
          <w:tcPr>
            <w:tcW w:w="3060" w:type="dxa"/>
            <w:vAlign w:val="bottom"/>
          </w:tcPr>
          <w:p>
            <w:pPr>
              <w:ind w:left="60"/>
              <w:spacing w:after="0"/>
              <w:rPr>
                <w:sz w:val="20"/>
                <w:szCs w:val="20"/>
                <w:color w:val="auto"/>
              </w:rPr>
            </w:pPr>
            <w:r>
              <w:rPr>
                <w:rFonts w:ascii="Arial" w:cs="Arial" w:eastAsia="Arial" w:hAnsi="Arial"/>
                <w:sz w:val="20"/>
                <w:szCs w:val="20"/>
                <w:b w:val="1"/>
                <w:bCs w:val="1"/>
                <w:color w:val="2A2A2A"/>
              </w:rPr>
              <w:t>portion of option</w:t>
            </w:r>
          </w:p>
        </w:tc>
        <w:tc>
          <w:tcPr>
            <w:tcW w:w="2940" w:type="dxa"/>
            <w:vAlign w:val="bottom"/>
          </w:tcPr>
          <w:p>
            <w:pPr>
              <w:jc w:val="center"/>
              <w:spacing w:after="0"/>
              <w:rPr>
                <w:sz w:val="20"/>
                <w:szCs w:val="20"/>
                <w:color w:val="auto"/>
              </w:rPr>
            </w:pPr>
            <w:r>
              <w:rPr>
                <w:rFonts w:ascii="Arial" w:cs="Arial" w:eastAsia="Arial" w:hAnsi="Arial"/>
                <w:sz w:val="20"/>
                <w:szCs w:val="20"/>
                <w:color w:val="2A2A2A"/>
                <w:w w:val="98"/>
              </w:rPr>
              <w:t>to end of term</w:t>
            </w:r>
          </w:p>
        </w:tc>
        <w:tc>
          <w:tcPr>
            <w:tcW w:w="1880" w:type="dxa"/>
            <w:vAlign w:val="bottom"/>
          </w:tcPr>
          <w:p>
            <w:pPr>
              <w:spacing w:after="0"/>
              <w:rPr>
                <w:sz w:val="23"/>
                <w:szCs w:val="23"/>
                <w:color w:val="auto"/>
              </w:rPr>
            </w:pPr>
          </w:p>
        </w:tc>
        <w:tc>
          <w:tcPr>
            <w:tcW w:w="2400" w:type="dxa"/>
            <w:vAlign w:val="bottom"/>
          </w:tcPr>
          <w:p>
            <w:pPr>
              <w:jc w:val="center"/>
              <w:ind w:left="50"/>
              <w:spacing w:after="0"/>
              <w:rPr>
                <w:sz w:val="20"/>
                <w:szCs w:val="20"/>
                <w:color w:val="auto"/>
              </w:rPr>
            </w:pPr>
            <w:r>
              <w:rPr>
                <w:rFonts w:ascii="Arial" w:cs="Arial" w:eastAsia="Arial" w:hAnsi="Arial"/>
                <w:sz w:val="20"/>
                <w:szCs w:val="20"/>
                <w:color w:val="2A2A2A"/>
                <w:w w:val="99"/>
              </w:rPr>
              <w:t>for 30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-694690</wp:posOffset>
            </wp:positionV>
            <wp:extent cx="25400" cy="3683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400" cy="368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-694690</wp:posOffset>
            </wp:positionV>
            <wp:extent cx="3835400" cy="3683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35400" cy="368300"/>
                    </a:xfrm>
                    <a:prstGeom prst="rect">
                      <a:avLst/>
                    </a:prstGeom>
                    <a:noFill/>
                  </pic:spPr>
                </pic:pic>
              </a:graphicData>
            </a:graphic>
          </wp:anchor>
        </w:drawing>
      </w:r>
    </w:p>
    <w:p>
      <w:pPr>
        <w:spacing w:after="0" w:line="150" w:lineRule="exact"/>
        <w:rPr>
          <w:sz w:val="20"/>
          <w:szCs w:val="20"/>
          <w:color w:val="auto"/>
        </w:rPr>
      </w:pPr>
    </w:p>
    <w:p>
      <w:pPr>
        <w:ind w:left="361" w:right="480" w:hanging="361"/>
        <w:spacing w:after="0" w:line="287" w:lineRule="auto"/>
        <w:tabs>
          <w:tab w:leader="none" w:pos="361" w:val="left"/>
        </w:tabs>
        <w:numPr>
          <w:ilvl w:val="0"/>
          <w:numId w:val="133"/>
        </w:numPr>
        <w:rPr>
          <w:rFonts w:ascii="Arial" w:cs="Arial" w:eastAsia="Arial" w:hAnsi="Arial"/>
          <w:sz w:val="20"/>
          <w:szCs w:val="20"/>
          <w:color w:val="2A2A2A"/>
        </w:rPr>
      </w:pPr>
      <w:r>
        <w:rPr>
          <w:rFonts w:ascii="Arial" w:cs="Arial" w:eastAsia="Arial" w:hAnsi="Arial"/>
          <w:sz w:val="20"/>
          <w:szCs w:val="20"/>
          <w:color w:val="2A2A2A"/>
        </w:rPr>
        <w:t>Retirement eligibility is defined for purposes of equity awards as at least age 55 with 10 or more years of TI service or at least age 65.</w:t>
      </w:r>
    </w:p>
    <w:p>
      <w:pPr>
        <w:spacing w:after="0" w:line="170" w:lineRule="exact"/>
        <w:rPr>
          <w:sz w:val="20"/>
          <w:szCs w:val="20"/>
          <w:color w:val="auto"/>
        </w:rPr>
      </w:pPr>
    </w:p>
    <w:p>
      <w:pPr>
        <w:ind w:left="1" w:right="40"/>
        <w:spacing w:after="0" w:line="257" w:lineRule="auto"/>
        <w:rPr>
          <w:sz w:val="20"/>
          <w:szCs w:val="20"/>
          <w:color w:val="auto"/>
        </w:rPr>
      </w:pPr>
      <w:r>
        <w:rPr>
          <w:rFonts w:ascii="Arial" w:cs="Arial" w:eastAsia="Arial" w:hAnsi="Arial"/>
          <w:sz w:val="20"/>
          <w:szCs w:val="20"/>
          <w:color w:val="2A2A2A"/>
        </w:rPr>
        <w:t>Options may be canceled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2" w:lineRule="exact"/>
        <w:rPr>
          <w:sz w:val="20"/>
          <w:szCs w:val="20"/>
          <w:color w:val="auto"/>
        </w:rPr>
      </w:pPr>
    </w:p>
    <w:p>
      <w:pPr>
        <w:ind w:left="1" w:right="40"/>
        <w:spacing w:after="0" w:line="256" w:lineRule="auto"/>
        <w:rPr>
          <w:sz w:val="20"/>
          <w:szCs w:val="20"/>
          <w:color w:val="auto"/>
        </w:rPr>
      </w:pPr>
      <w:r>
        <w:rPr>
          <w:rFonts w:ascii="Arial" w:cs="Arial" w:eastAsia="Arial" w:hAnsi="Arial"/>
          <w:sz w:val="20"/>
          <w:szCs w:val="20"/>
          <w:color w:val="2A2A2A"/>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 (i) acquisition of more than 50% of the voting stock or at least 80% of the assets of TI or (ii)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ectPr>
          <w:pgSz w:w="12240" w:h="15840" w:orient="portrait"/>
          <w:cols w:equalWidth="0" w:num="1">
            <w:col w:w="10281"/>
          </w:cols>
          <w:pgMar w:left="979"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49</w:t>
      </w:r>
    </w:p>
    <w:p>
      <w:pPr>
        <w:sectPr>
          <w:pgSz w:w="12240" w:h="15840" w:orient="portrait"/>
          <w:cols w:equalWidth="0" w:num="1">
            <w:col w:w="10281"/>
          </w:cols>
          <w:pgMar w:left="979" w:top="664" w:right="980" w:bottom="33" w:gutter="0" w:footer="0" w:header="0"/>
          <w:type w:val="continuous"/>
        </w:sectPr>
      </w:pPr>
    </w:p>
    <w:bookmarkStart w:id="121" w:name="page122"/>
    <w:bookmarkEnd w:id="121"/>
    <w:p>
      <w:pPr>
        <w:spacing w:after="0"/>
        <w:rPr>
          <w:sz w:val="20"/>
          <w:szCs w:val="20"/>
          <w:color w:val="auto"/>
        </w:rPr>
      </w:pPr>
      <w:r>
        <w:rPr>
          <w:rFonts w:ascii="Arial" w:cs="Arial" w:eastAsia="Arial" w:hAnsi="Arial"/>
          <w:sz w:val="22"/>
          <w:szCs w:val="22"/>
          <w:i w:val="1"/>
          <w:iCs w:val="1"/>
          <w:color w:val="2A2A2A"/>
        </w:rPr>
        <w:t>Stock awards</w:t>
      </w: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The “Stock Awards” column in the table of outstanding equity awards at fiscal year-end 2023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2A2A2A"/>
        </w:rPr>
        <w:t>The table below shows the termination provisions of RSUs outstanding as of December 31, 2023.</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jc w:val="center"/>
              <w:spacing w:after="0"/>
              <w:rPr>
                <w:sz w:val="20"/>
                <w:szCs w:val="20"/>
                <w:color w:val="auto"/>
              </w:rPr>
            </w:pPr>
            <w:r>
              <w:rPr>
                <w:rFonts w:ascii="Arial" w:cs="Arial" w:eastAsia="Arial" w:hAnsi="Arial"/>
                <w:sz w:val="16"/>
                <w:szCs w:val="16"/>
                <w:b w:val="1"/>
                <w:bCs w:val="1"/>
                <w:color w:val="2A2A2A"/>
              </w:rPr>
              <w:t>Employment Termination Due to Death or</w:t>
            </w:r>
          </w:p>
        </w:tc>
        <w:tc>
          <w:tcPr>
            <w:tcW w:w="2800" w:type="dxa"/>
            <w:vAlign w:val="bottom"/>
          </w:tcPr>
          <w:p>
            <w:pPr>
              <w:jc w:val="center"/>
              <w:spacing w:after="0"/>
              <w:rPr>
                <w:sz w:val="20"/>
                <w:szCs w:val="20"/>
                <w:color w:val="auto"/>
              </w:rPr>
            </w:pPr>
            <w:r>
              <w:rPr>
                <w:rFonts w:ascii="Arial" w:cs="Arial" w:eastAsia="Arial" w:hAnsi="Arial"/>
                <w:sz w:val="16"/>
                <w:szCs w:val="16"/>
                <w:b w:val="1"/>
                <w:bCs w:val="1"/>
                <w:color w:val="2A2A2A"/>
                <w:w w:val="99"/>
              </w:rPr>
              <w:t>Employment</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2A2A2A"/>
              </w:rPr>
              <w:t>Other Circumstances of</w:t>
            </w:r>
          </w:p>
        </w:tc>
      </w:tr>
      <w:tr>
        <w:trPr>
          <w:trHeight w:val="192"/>
        </w:trPr>
        <w:tc>
          <w:tcPr>
            <w:tcW w:w="4540" w:type="dxa"/>
            <w:vAlign w:val="bottom"/>
          </w:tcPr>
          <w:p>
            <w:pPr>
              <w:jc w:val="center"/>
              <w:spacing w:after="0"/>
              <w:rPr>
                <w:sz w:val="20"/>
                <w:szCs w:val="20"/>
                <w:color w:val="auto"/>
              </w:rPr>
            </w:pPr>
            <w:r>
              <w:rPr>
                <w:rFonts w:ascii="Arial" w:cs="Arial" w:eastAsia="Arial" w:hAnsi="Arial"/>
                <w:sz w:val="16"/>
                <w:szCs w:val="16"/>
                <w:b w:val="1"/>
                <w:bCs w:val="1"/>
                <w:color w:val="2A2A2A"/>
                <w:w w:val="99"/>
              </w:rPr>
              <w:t>Permanent Disability or at Least Six Months</w:t>
            </w:r>
          </w:p>
        </w:tc>
        <w:tc>
          <w:tcPr>
            <w:tcW w:w="2800" w:type="dxa"/>
            <w:vAlign w:val="bottom"/>
          </w:tcPr>
          <w:p>
            <w:pPr>
              <w:jc w:val="center"/>
              <w:spacing w:after="0"/>
              <w:rPr>
                <w:sz w:val="20"/>
                <w:szCs w:val="20"/>
                <w:color w:val="auto"/>
              </w:rPr>
            </w:pPr>
            <w:r>
              <w:rPr>
                <w:rFonts w:ascii="Arial" w:cs="Arial" w:eastAsia="Arial" w:hAnsi="Arial"/>
                <w:sz w:val="16"/>
                <w:szCs w:val="16"/>
                <w:b w:val="1"/>
                <w:bCs w:val="1"/>
                <w:color w:val="2A2A2A"/>
              </w:rPr>
              <w:t>Termination</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2A2A2A"/>
                <w:w w:val="99"/>
              </w:rPr>
              <w:t>Employment</w:t>
            </w:r>
          </w:p>
        </w:tc>
      </w:tr>
      <w:tr>
        <w:trPr>
          <w:trHeight w:val="214"/>
        </w:trPr>
        <w:tc>
          <w:tcPr>
            <w:tcW w:w="45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after Grant When Retirement Eligible</w:t>
            </w:r>
          </w:p>
        </w:tc>
        <w:tc>
          <w:tcPr>
            <w:tcW w:w="28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For Cause</w:t>
            </w:r>
          </w:p>
        </w:tc>
        <w:tc>
          <w:tcPr>
            <w:tcW w:w="29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Termination</w:t>
            </w:r>
          </w:p>
        </w:tc>
      </w:tr>
      <w:tr>
        <w:trPr>
          <w:trHeight w:val="253"/>
        </w:trPr>
        <w:tc>
          <w:tcPr>
            <w:tcW w:w="4540" w:type="dxa"/>
            <w:vAlign w:val="bottom"/>
          </w:tcPr>
          <w:p>
            <w:pPr>
              <w:jc w:val="center"/>
              <w:spacing w:after="0"/>
              <w:rPr>
                <w:sz w:val="20"/>
                <w:szCs w:val="20"/>
                <w:color w:val="auto"/>
              </w:rPr>
            </w:pPr>
            <w:r>
              <w:rPr>
                <w:rFonts w:ascii="Arial" w:cs="Arial" w:eastAsia="Arial" w:hAnsi="Arial"/>
                <w:sz w:val="20"/>
                <w:szCs w:val="20"/>
                <w:color w:val="2A2A2A"/>
                <w:w w:val="99"/>
              </w:rPr>
              <w:t>Vesting continues; shares are paid</w:t>
            </w:r>
          </w:p>
        </w:tc>
        <w:tc>
          <w:tcPr>
            <w:tcW w:w="2800" w:type="dxa"/>
            <w:vAlign w:val="bottom"/>
          </w:tcPr>
          <w:p>
            <w:pPr>
              <w:ind w:left="600"/>
              <w:spacing w:after="0"/>
              <w:rPr>
                <w:sz w:val="20"/>
                <w:szCs w:val="20"/>
                <w:color w:val="auto"/>
              </w:rPr>
            </w:pPr>
            <w:r>
              <w:rPr>
                <w:rFonts w:ascii="Arial" w:cs="Arial" w:eastAsia="Arial" w:hAnsi="Arial"/>
                <w:sz w:val="20"/>
                <w:szCs w:val="20"/>
                <w:color w:val="2A2A2A"/>
              </w:rPr>
              <w:t>Grant cancels; no</w:t>
            </w:r>
          </w:p>
        </w:tc>
        <w:tc>
          <w:tcPr>
            <w:tcW w:w="2940" w:type="dxa"/>
            <w:vAlign w:val="bottom"/>
          </w:tcPr>
          <w:p>
            <w:pPr>
              <w:jc w:val="center"/>
              <w:spacing w:after="0"/>
              <w:rPr>
                <w:sz w:val="20"/>
                <w:szCs w:val="20"/>
                <w:color w:val="auto"/>
              </w:rPr>
            </w:pPr>
            <w:r>
              <w:rPr>
                <w:rFonts w:ascii="Arial" w:cs="Arial" w:eastAsia="Arial" w:hAnsi="Arial"/>
                <w:sz w:val="20"/>
                <w:szCs w:val="20"/>
                <w:color w:val="2A2A2A"/>
                <w:w w:val="99"/>
              </w:rPr>
              <w:t>Grant cancels; no</w:t>
            </w:r>
          </w:p>
        </w:tc>
      </w:tr>
      <w:tr>
        <w:trPr>
          <w:trHeight w:val="265"/>
        </w:trPr>
        <w:tc>
          <w:tcPr>
            <w:tcW w:w="4540" w:type="dxa"/>
            <w:vAlign w:val="bottom"/>
          </w:tcPr>
          <w:p>
            <w:pPr>
              <w:jc w:val="center"/>
              <w:spacing w:after="0"/>
              <w:rPr>
                <w:sz w:val="20"/>
                <w:szCs w:val="20"/>
                <w:color w:val="auto"/>
              </w:rPr>
            </w:pPr>
            <w:r>
              <w:rPr>
                <w:rFonts w:ascii="Arial" w:cs="Arial" w:eastAsia="Arial" w:hAnsi="Arial"/>
                <w:sz w:val="20"/>
                <w:szCs w:val="20"/>
                <w:color w:val="2A2A2A"/>
                <w:w w:val="99"/>
              </w:rPr>
              <w:t>at the scheduled vesting date</w:t>
            </w:r>
          </w:p>
        </w:tc>
        <w:tc>
          <w:tcPr>
            <w:tcW w:w="2800" w:type="dxa"/>
            <w:vAlign w:val="bottom"/>
          </w:tcPr>
          <w:p>
            <w:pPr>
              <w:jc w:val="center"/>
              <w:spacing w:after="0"/>
              <w:rPr>
                <w:sz w:val="20"/>
                <w:szCs w:val="20"/>
                <w:color w:val="auto"/>
              </w:rPr>
            </w:pPr>
            <w:r>
              <w:rPr>
                <w:rFonts w:ascii="Arial" w:cs="Arial" w:eastAsia="Arial" w:hAnsi="Arial"/>
                <w:sz w:val="20"/>
                <w:szCs w:val="20"/>
                <w:color w:val="2A2A2A"/>
              </w:rPr>
              <w:t>shares are issued</w:t>
            </w:r>
          </w:p>
        </w:tc>
        <w:tc>
          <w:tcPr>
            <w:tcW w:w="2940" w:type="dxa"/>
            <w:vAlign w:val="bottom"/>
          </w:tcPr>
          <w:p>
            <w:pPr>
              <w:jc w:val="center"/>
              <w:spacing w:after="0"/>
              <w:rPr>
                <w:sz w:val="20"/>
                <w:szCs w:val="20"/>
                <w:color w:val="auto"/>
              </w:rPr>
            </w:pPr>
            <w:r>
              <w:rPr>
                <w:rFonts w:ascii="Arial" w:cs="Arial" w:eastAsia="Arial" w:hAnsi="Arial"/>
                <w:sz w:val="20"/>
                <w:szCs w:val="20"/>
                <w:color w:val="2A2A2A"/>
              </w:rPr>
              <w:t>shares are issued</w:t>
            </w:r>
          </w:p>
        </w:tc>
      </w:tr>
    </w:tbl>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A2A2A"/>
        </w:rPr>
        <w:t>In addition to the “Stock Awards” shown in the outstanding equity awards at fiscal year-end 2023 table,</w:t>
      </w:r>
    </w:p>
    <w:p>
      <w:pPr>
        <w:spacing w:after="0" w:line="30"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2A2A2A"/>
        </w:rPr>
        <w:t>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2023 non-qualified deferred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A2A2A"/>
        </w:rPr>
        <w:t>2023 option exercises and stock vested</w:t>
      </w:r>
    </w:p>
    <w:p>
      <w:pPr>
        <w:spacing w:after="0" w:line="25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The following table lists the number of shares acquired and the value realized as a result of option exercises by the named executive officers in 2023 and the value of any RSUs that vested in 2023.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40" w:type="dxa"/>
            <w:vAlign w:val="bottom"/>
          </w:tcPr>
          <w:p>
            <w:pPr>
              <w:spacing w:after="0"/>
              <w:rPr>
                <w:sz w:val="19"/>
                <w:szCs w:val="19"/>
                <w:color w:val="auto"/>
              </w:rPr>
            </w:pPr>
          </w:p>
        </w:tc>
        <w:tc>
          <w:tcPr>
            <w:tcW w:w="2820" w:type="dxa"/>
            <w:vAlign w:val="bottom"/>
            <w:tcBorders>
              <w:bottom w:val="single" w:sz="8" w:color="2A2A2A"/>
            </w:tcBorders>
            <w:gridSpan w:val="2"/>
          </w:tcPr>
          <w:p>
            <w:pPr>
              <w:ind w:left="840"/>
              <w:spacing w:after="0"/>
              <w:rPr>
                <w:sz w:val="20"/>
                <w:szCs w:val="20"/>
                <w:color w:val="auto"/>
              </w:rPr>
            </w:pPr>
            <w:r>
              <w:rPr>
                <w:rFonts w:ascii="Arial" w:cs="Arial" w:eastAsia="Arial" w:hAnsi="Arial"/>
                <w:sz w:val="16"/>
                <w:szCs w:val="16"/>
                <w:b w:val="1"/>
                <w:bCs w:val="1"/>
                <w:color w:val="2A2A2A"/>
              </w:rPr>
              <w:t>Option Awards</w:t>
            </w:r>
          </w:p>
        </w:tc>
        <w:tc>
          <w:tcPr>
            <w:tcW w:w="100" w:type="dxa"/>
            <w:vAlign w:val="bottom"/>
          </w:tcPr>
          <w:p>
            <w:pPr>
              <w:spacing w:after="0"/>
              <w:rPr>
                <w:sz w:val="19"/>
                <w:szCs w:val="19"/>
                <w:color w:val="auto"/>
              </w:rPr>
            </w:pPr>
          </w:p>
        </w:tc>
        <w:tc>
          <w:tcPr>
            <w:tcW w:w="2820" w:type="dxa"/>
            <w:vAlign w:val="bottom"/>
            <w:tcBorders>
              <w:bottom w:val="single" w:sz="8" w:color="2A2A2A"/>
            </w:tcBorders>
            <w:gridSpan w:val="3"/>
          </w:tcPr>
          <w:p>
            <w:pPr>
              <w:jc w:val="right"/>
              <w:ind w:right="787"/>
              <w:spacing w:after="0"/>
              <w:rPr>
                <w:sz w:val="20"/>
                <w:szCs w:val="20"/>
                <w:color w:val="auto"/>
              </w:rPr>
            </w:pPr>
            <w:r>
              <w:rPr>
                <w:rFonts w:ascii="Arial" w:cs="Arial" w:eastAsia="Arial" w:hAnsi="Arial"/>
                <w:sz w:val="16"/>
                <w:szCs w:val="16"/>
                <w:b w:val="1"/>
                <w:bCs w:val="1"/>
                <w:color w:val="2A2A2A"/>
              </w:rPr>
              <w:t>Stock Awards</w:t>
            </w:r>
          </w:p>
        </w:tc>
      </w:tr>
      <w:tr>
        <w:trPr>
          <w:trHeight w:val="214"/>
        </w:trPr>
        <w:tc>
          <w:tcPr>
            <w:tcW w:w="45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2A2A2A"/>
                <w:w w:val="98"/>
              </w:rPr>
              <w:t>Value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200" w:type="dxa"/>
            <w:vAlign w:val="bottom"/>
          </w:tcPr>
          <w:p>
            <w:pPr>
              <w:spacing w:after="0"/>
              <w:rPr>
                <w:sz w:val="18"/>
                <w:szCs w:val="18"/>
                <w:color w:val="auto"/>
              </w:rPr>
            </w:pPr>
          </w:p>
        </w:tc>
        <w:tc>
          <w:tcPr>
            <w:tcW w:w="1100" w:type="dxa"/>
            <w:vAlign w:val="bottom"/>
          </w:tcPr>
          <w:p>
            <w:pPr>
              <w:jc w:val="center"/>
              <w:ind w:right="67"/>
              <w:spacing w:after="0"/>
              <w:rPr>
                <w:sz w:val="20"/>
                <w:szCs w:val="20"/>
                <w:color w:val="auto"/>
              </w:rPr>
            </w:pPr>
            <w:r>
              <w:rPr>
                <w:rFonts w:ascii="Arial" w:cs="Arial" w:eastAsia="Arial" w:hAnsi="Arial"/>
                <w:sz w:val="16"/>
                <w:szCs w:val="16"/>
                <w:b w:val="1"/>
                <w:bCs w:val="1"/>
                <w:color w:val="2A2A2A"/>
                <w:w w:val="98"/>
              </w:rPr>
              <w:t>Value</w:t>
            </w:r>
          </w:p>
        </w:tc>
      </w:tr>
      <w:tr>
        <w:trPr>
          <w:trHeight w:val="192"/>
        </w:trPr>
        <w:tc>
          <w:tcPr>
            <w:tcW w:w="45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A2A2A"/>
              </w:rPr>
              <w:t>Shares Acquired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2A2A2A"/>
              </w:rPr>
              <w:t>Realized</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A2A2A"/>
              </w:rPr>
              <w:t>Shares Acquired</w:t>
            </w:r>
          </w:p>
        </w:tc>
        <w:tc>
          <w:tcPr>
            <w:tcW w:w="200" w:type="dxa"/>
            <w:vAlign w:val="bottom"/>
          </w:tcPr>
          <w:p>
            <w:pPr>
              <w:spacing w:after="0"/>
              <w:rPr>
                <w:sz w:val="16"/>
                <w:szCs w:val="16"/>
                <w:color w:val="auto"/>
              </w:rPr>
            </w:pPr>
          </w:p>
        </w:tc>
        <w:tc>
          <w:tcPr>
            <w:tcW w:w="1100" w:type="dxa"/>
            <w:vAlign w:val="bottom"/>
          </w:tcPr>
          <w:p>
            <w:pPr>
              <w:jc w:val="center"/>
              <w:ind w:right="87"/>
              <w:spacing w:after="0"/>
              <w:rPr>
                <w:sz w:val="20"/>
                <w:szCs w:val="20"/>
                <w:color w:val="auto"/>
              </w:rPr>
            </w:pPr>
            <w:r>
              <w:rPr>
                <w:rFonts w:ascii="Arial" w:cs="Arial" w:eastAsia="Arial" w:hAnsi="Arial"/>
                <w:sz w:val="16"/>
                <w:szCs w:val="16"/>
                <w:b w:val="1"/>
                <w:bCs w:val="1"/>
                <w:color w:val="2A2A2A"/>
                <w:w w:val="98"/>
              </w:rPr>
              <w:t>Realized</w:t>
            </w:r>
          </w:p>
        </w:tc>
      </w:tr>
      <w:tr>
        <w:trPr>
          <w:trHeight w:val="219"/>
        </w:trPr>
        <w:tc>
          <w:tcPr>
            <w:tcW w:w="454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15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on Exercise</w:t>
            </w:r>
          </w:p>
        </w:tc>
        <w:tc>
          <w:tcPr>
            <w:tcW w:w="12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on Exercise</w:t>
            </w:r>
          </w:p>
        </w:tc>
        <w:tc>
          <w:tcPr>
            <w:tcW w:w="100" w:type="dxa"/>
            <w:vAlign w:val="bottom"/>
            <w:tcBorders>
              <w:bottom w:val="single" w:sz="8" w:color="2A2A2A"/>
            </w:tcBorders>
          </w:tcPr>
          <w:p>
            <w:pPr>
              <w:spacing w:after="0"/>
              <w:rPr>
                <w:sz w:val="19"/>
                <w:szCs w:val="19"/>
                <w:color w:val="auto"/>
              </w:rPr>
            </w:pPr>
          </w:p>
        </w:tc>
        <w:tc>
          <w:tcPr>
            <w:tcW w:w="15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on Vesting</w:t>
            </w:r>
          </w:p>
        </w:tc>
        <w:tc>
          <w:tcPr>
            <w:tcW w:w="200" w:type="dxa"/>
            <w:vAlign w:val="bottom"/>
            <w:tcBorders>
              <w:bottom w:val="single" w:sz="8" w:color="2A2A2A"/>
            </w:tcBorders>
          </w:tcPr>
          <w:p>
            <w:pPr>
              <w:spacing w:after="0"/>
              <w:rPr>
                <w:sz w:val="19"/>
                <w:szCs w:val="19"/>
                <w:color w:val="auto"/>
              </w:rPr>
            </w:pPr>
          </w:p>
        </w:tc>
        <w:tc>
          <w:tcPr>
            <w:tcW w:w="1100" w:type="dxa"/>
            <w:vAlign w:val="bottom"/>
            <w:tcBorders>
              <w:bottom w:val="single" w:sz="8" w:color="2A2A2A"/>
            </w:tcBorders>
          </w:tcPr>
          <w:p>
            <w:pPr>
              <w:jc w:val="center"/>
              <w:ind w:right="67"/>
              <w:spacing w:after="0"/>
              <w:rPr>
                <w:sz w:val="20"/>
                <w:szCs w:val="20"/>
                <w:color w:val="auto"/>
              </w:rPr>
            </w:pPr>
            <w:r>
              <w:rPr>
                <w:rFonts w:ascii="Arial" w:cs="Arial" w:eastAsia="Arial" w:hAnsi="Arial"/>
                <w:sz w:val="16"/>
                <w:szCs w:val="16"/>
                <w:b w:val="1"/>
                <w:bCs w:val="1"/>
                <w:color w:val="2A2A2A"/>
              </w:rPr>
              <w:t>on Vesting</w:t>
            </w:r>
          </w:p>
        </w:tc>
      </w:tr>
      <w:tr>
        <w:trPr>
          <w:trHeight w:val="270"/>
        </w:trPr>
        <w:tc>
          <w:tcPr>
            <w:tcW w:w="45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1560" w:type="dxa"/>
            <w:vAlign w:val="bottom"/>
            <w:shd w:val="clear" w:color="auto" w:fill="D7D7D7"/>
          </w:tcPr>
          <w:p>
            <w:pPr>
              <w:ind w:left="940"/>
              <w:spacing w:after="0"/>
              <w:rPr>
                <w:sz w:val="20"/>
                <w:szCs w:val="20"/>
                <w:color w:val="auto"/>
              </w:rPr>
            </w:pPr>
            <w:r>
              <w:rPr>
                <w:rFonts w:ascii="Arial" w:cs="Arial" w:eastAsia="Arial" w:hAnsi="Arial"/>
                <w:sz w:val="20"/>
                <w:szCs w:val="20"/>
                <w:color w:val="2A2A2A"/>
              </w:rPr>
              <w:t>—</w:t>
            </w:r>
          </w:p>
        </w:tc>
        <w:tc>
          <w:tcPr>
            <w:tcW w:w="1260" w:type="dxa"/>
            <w:vAlign w:val="bottom"/>
            <w:shd w:val="clear" w:color="auto" w:fill="D7D7D7"/>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shd w:val="clear" w:color="auto" w:fill="D7D7D7"/>
          </w:tcPr>
          <w:p>
            <w:pPr>
              <w:jc w:val="right"/>
              <w:ind w:right="260"/>
              <w:spacing w:after="0"/>
              <w:rPr>
                <w:sz w:val="20"/>
                <w:szCs w:val="20"/>
                <w:color w:val="auto"/>
              </w:rPr>
            </w:pPr>
            <w:r>
              <w:rPr>
                <w:rFonts w:ascii="Arial" w:cs="Arial" w:eastAsia="Arial" w:hAnsi="Arial"/>
                <w:sz w:val="20"/>
                <w:szCs w:val="20"/>
                <w:color w:val="2A2A2A"/>
              </w:rPr>
              <w:t>18,198</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3,150,620</w:t>
            </w:r>
          </w:p>
        </w:tc>
      </w:tr>
      <w:tr>
        <w:trPr>
          <w:trHeight w:val="283"/>
        </w:trPr>
        <w:tc>
          <w:tcPr>
            <w:tcW w:w="454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1560" w:type="dxa"/>
            <w:vAlign w:val="bottom"/>
          </w:tcPr>
          <w:p>
            <w:pPr>
              <w:ind w:left="940"/>
              <w:spacing w:after="0"/>
              <w:rPr>
                <w:sz w:val="20"/>
                <w:szCs w:val="20"/>
                <w:color w:val="auto"/>
              </w:rPr>
            </w:pPr>
            <w:r>
              <w:rPr>
                <w:rFonts w:ascii="Arial" w:cs="Arial" w:eastAsia="Arial" w:hAnsi="Arial"/>
                <w:sz w:val="20"/>
                <w:szCs w:val="20"/>
                <w:color w:val="2A2A2A"/>
              </w:rPr>
              <w:t>—</w:t>
            </w:r>
          </w:p>
        </w:tc>
        <w:tc>
          <w:tcPr>
            <w:tcW w:w="1260" w:type="dxa"/>
            <w:vAlign w:val="bottom"/>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tcPr>
          <w:p>
            <w:pPr>
              <w:jc w:val="right"/>
              <w:ind w:right="260"/>
              <w:spacing w:after="0"/>
              <w:rPr>
                <w:sz w:val="20"/>
                <w:szCs w:val="20"/>
                <w:color w:val="auto"/>
              </w:rPr>
            </w:pPr>
            <w:r>
              <w:rPr>
                <w:rFonts w:ascii="Arial" w:cs="Arial" w:eastAsia="Arial" w:hAnsi="Arial"/>
                <w:sz w:val="20"/>
                <w:szCs w:val="20"/>
                <w:color w:val="2A2A2A"/>
              </w:rPr>
              <w:t>62,255</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100" w:type="dxa"/>
            <w:vAlign w:val="bottom"/>
          </w:tcPr>
          <w:p>
            <w:pPr>
              <w:jc w:val="right"/>
              <w:spacing w:after="0"/>
              <w:rPr>
                <w:sz w:val="20"/>
                <w:szCs w:val="20"/>
                <w:color w:val="auto"/>
              </w:rPr>
            </w:pPr>
            <w:r>
              <w:rPr>
                <w:rFonts w:ascii="Arial" w:cs="Arial" w:eastAsia="Arial" w:hAnsi="Arial"/>
                <w:sz w:val="20"/>
                <w:szCs w:val="20"/>
                <w:color w:val="2A2A2A"/>
                <w:w w:val="99"/>
              </w:rPr>
              <w:t>10,778,208</w:t>
            </w:r>
          </w:p>
        </w:tc>
      </w:tr>
      <w:tr>
        <w:trPr>
          <w:trHeight w:val="287"/>
        </w:trPr>
        <w:tc>
          <w:tcPr>
            <w:tcW w:w="45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1560" w:type="dxa"/>
            <w:vAlign w:val="bottom"/>
            <w:shd w:val="clear" w:color="auto" w:fill="D7D7D7"/>
          </w:tcPr>
          <w:p>
            <w:pPr>
              <w:ind w:left="940"/>
              <w:spacing w:after="0"/>
              <w:rPr>
                <w:sz w:val="20"/>
                <w:szCs w:val="20"/>
                <w:color w:val="auto"/>
              </w:rPr>
            </w:pPr>
            <w:r>
              <w:rPr>
                <w:rFonts w:ascii="Arial" w:cs="Arial" w:eastAsia="Arial" w:hAnsi="Arial"/>
                <w:sz w:val="20"/>
                <w:szCs w:val="20"/>
                <w:color w:val="2A2A2A"/>
              </w:rPr>
              <w:t>—</w:t>
            </w:r>
          </w:p>
        </w:tc>
        <w:tc>
          <w:tcPr>
            <w:tcW w:w="1260" w:type="dxa"/>
            <w:vAlign w:val="bottom"/>
            <w:shd w:val="clear" w:color="auto" w:fill="D7D7D7"/>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shd w:val="clear" w:color="auto" w:fill="D7D7D7"/>
          </w:tcPr>
          <w:p>
            <w:pPr>
              <w:jc w:val="right"/>
              <w:ind w:right="260"/>
              <w:spacing w:after="0"/>
              <w:rPr>
                <w:sz w:val="20"/>
                <w:szCs w:val="20"/>
                <w:color w:val="auto"/>
              </w:rPr>
            </w:pPr>
            <w:r>
              <w:rPr>
                <w:rFonts w:ascii="Arial" w:cs="Arial" w:eastAsia="Arial" w:hAnsi="Arial"/>
                <w:sz w:val="20"/>
                <w:szCs w:val="20"/>
                <w:color w:val="2A2A2A"/>
              </w:rPr>
              <w:t>14,367</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2,487,359</w:t>
            </w:r>
          </w:p>
        </w:tc>
      </w:tr>
      <w:tr>
        <w:trPr>
          <w:trHeight w:val="283"/>
        </w:trPr>
        <w:tc>
          <w:tcPr>
            <w:tcW w:w="454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1560" w:type="dxa"/>
            <w:vAlign w:val="bottom"/>
          </w:tcPr>
          <w:p>
            <w:pPr>
              <w:ind w:left="940"/>
              <w:spacing w:after="0"/>
              <w:rPr>
                <w:sz w:val="20"/>
                <w:szCs w:val="20"/>
                <w:color w:val="auto"/>
              </w:rPr>
            </w:pPr>
            <w:r>
              <w:rPr>
                <w:rFonts w:ascii="Arial" w:cs="Arial" w:eastAsia="Arial" w:hAnsi="Arial"/>
                <w:sz w:val="20"/>
                <w:szCs w:val="20"/>
                <w:color w:val="2A2A2A"/>
              </w:rPr>
              <w:t>—</w:t>
            </w:r>
          </w:p>
        </w:tc>
        <w:tc>
          <w:tcPr>
            <w:tcW w:w="1260" w:type="dxa"/>
            <w:vAlign w:val="bottom"/>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tcPr>
          <w:p>
            <w:pPr>
              <w:jc w:val="right"/>
              <w:ind w:right="260"/>
              <w:spacing w:after="0"/>
              <w:rPr>
                <w:sz w:val="20"/>
                <w:szCs w:val="20"/>
                <w:color w:val="auto"/>
              </w:rPr>
            </w:pPr>
            <w:r>
              <w:rPr>
                <w:rFonts w:ascii="Arial" w:cs="Arial" w:eastAsia="Arial" w:hAnsi="Arial"/>
                <w:sz w:val="20"/>
                <w:szCs w:val="20"/>
                <w:color w:val="2A2A2A"/>
              </w:rPr>
              <w:t>9,578</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100" w:type="dxa"/>
            <w:vAlign w:val="bottom"/>
          </w:tcPr>
          <w:p>
            <w:pPr>
              <w:jc w:val="right"/>
              <w:spacing w:after="0"/>
              <w:rPr>
                <w:sz w:val="20"/>
                <w:szCs w:val="20"/>
                <w:color w:val="auto"/>
              </w:rPr>
            </w:pPr>
            <w:r>
              <w:rPr>
                <w:rFonts w:ascii="Arial" w:cs="Arial" w:eastAsia="Arial" w:hAnsi="Arial"/>
                <w:sz w:val="20"/>
                <w:szCs w:val="20"/>
                <w:color w:val="2A2A2A"/>
              </w:rPr>
              <w:t>1,658,239</w:t>
            </w:r>
          </w:p>
        </w:tc>
      </w:tr>
      <w:tr>
        <w:trPr>
          <w:trHeight w:val="287"/>
        </w:trPr>
        <w:tc>
          <w:tcPr>
            <w:tcW w:w="454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1560" w:type="dxa"/>
            <w:vAlign w:val="bottom"/>
            <w:shd w:val="clear" w:color="auto" w:fill="D7D7D7"/>
          </w:tcPr>
          <w:p>
            <w:pPr>
              <w:ind w:left="940"/>
              <w:spacing w:after="0"/>
              <w:rPr>
                <w:sz w:val="20"/>
                <w:szCs w:val="20"/>
                <w:color w:val="auto"/>
              </w:rPr>
            </w:pPr>
            <w:r>
              <w:rPr>
                <w:rFonts w:ascii="Arial" w:cs="Arial" w:eastAsia="Arial" w:hAnsi="Arial"/>
                <w:sz w:val="20"/>
                <w:szCs w:val="20"/>
                <w:color w:val="2A2A2A"/>
              </w:rPr>
              <w:t>—</w:t>
            </w:r>
          </w:p>
        </w:tc>
        <w:tc>
          <w:tcPr>
            <w:tcW w:w="1260" w:type="dxa"/>
            <w:vAlign w:val="bottom"/>
            <w:shd w:val="clear" w:color="auto" w:fill="D7D7D7"/>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shd w:val="clear" w:color="auto" w:fill="D7D7D7"/>
          </w:tcPr>
          <w:p>
            <w:pPr>
              <w:jc w:val="right"/>
              <w:ind w:right="260"/>
              <w:spacing w:after="0"/>
              <w:rPr>
                <w:sz w:val="20"/>
                <w:szCs w:val="20"/>
                <w:color w:val="auto"/>
              </w:rPr>
            </w:pPr>
            <w:r>
              <w:rPr>
                <w:rFonts w:ascii="Arial" w:cs="Arial" w:eastAsia="Arial" w:hAnsi="Arial"/>
                <w:sz w:val="20"/>
                <w:szCs w:val="20"/>
                <w:color w:val="2A2A2A"/>
              </w:rPr>
              <w:t>14,367</w:t>
            </w:r>
          </w:p>
        </w:tc>
        <w:tc>
          <w:tcPr>
            <w:tcW w:w="2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2,487,359</w:t>
            </w:r>
          </w:p>
        </w:tc>
      </w:tr>
      <w:tr>
        <w:trPr>
          <w:trHeight w:val="281"/>
        </w:trPr>
        <w:tc>
          <w:tcPr>
            <w:tcW w:w="454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1560" w:type="dxa"/>
            <w:vAlign w:val="bottom"/>
          </w:tcPr>
          <w:p>
            <w:pPr>
              <w:ind w:left="940"/>
              <w:spacing w:after="0"/>
              <w:rPr>
                <w:sz w:val="20"/>
                <w:szCs w:val="20"/>
                <w:color w:val="auto"/>
              </w:rPr>
            </w:pPr>
            <w:r>
              <w:rPr>
                <w:rFonts w:ascii="Arial" w:cs="Arial" w:eastAsia="Arial" w:hAnsi="Arial"/>
                <w:sz w:val="20"/>
                <w:szCs w:val="20"/>
                <w:color w:val="2A2A2A"/>
              </w:rPr>
              <w:t>—</w:t>
            </w:r>
          </w:p>
        </w:tc>
        <w:tc>
          <w:tcPr>
            <w:tcW w:w="1260" w:type="dxa"/>
            <w:vAlign w:val="bottom"/>
          </w:tcPr>
          <w:p>
            <w:pPr>
              <w:ind w:left="980"/>
              <w:spacing w:after="0"/>
              <w:rPr>
                <w:sz w:val="20"/>
                <w:szCs w:val="20"/>
                <w:color w:val="auto"/>
              </w:rPr>
            </w:pPr>
            <w:r>
              <w:rPr>
                <w:rFonts w:ascii="Arial" w:cs="Arial" w:eastAsia="Arial" w:hAnsi="Arial"/>
                <w:sz w:val="20"/>
                <w:szCs w:val="20"/>
                <w:color w:val="2A2A2A"/>
              </w:rPr>
              <w:t>—</w:t>
            </w:r>
          </w:p>
        </w:tc>
        <w:tc>
          <w:tcPr>
            <w:tcW w:w="1620" w:type="dxa"/>
            <w:vAlign w:val="bottom"/>
            <w:gridSpan w:val="2"/>
          </w:tcPr>
          <w:p>
            <w:pPr>
              <w:jc w:val="right"/>
              <w:ind w:right="260"/>
              <w:spacing w:after="0"/>
              <w:rPr>
                <w:sz w:val="20"/>
                <w:szCs w:val="20"/>
                <w:color w:val="auto"/>
              </w:rPr>
            </w:pPr>
            <w:r>
              <w:rPr>
                <w:rFonts w:ascii="Arial" w:cs="Arial" w:eastAsia="Arial" w:hAnsi="Arial"/>
                <w:sz w:val="20"/>
                <w:szCs w:val="20"/>
                <w:color w:val="2A2A2A"/>
              </w:rPr>
              <w:t>11,180</w:t>
            </w:r>
          </w:p>
        </w:tc>
        <w:tc>
          <w:tcPr>
            <w:tcW w:w="200" w:type="dxa"/>
            <w:vAlign w:val="bottom"/>
          </w:tcPr>
          <w:p>
            <w:pPr>
              <w:jc w:val="right"/>
              <w:spacing w:after="0"/>
              <w:rPr>
                <w:sz w:val="20"/>
                <w:szCs w:val="20"/>
                <w:color w:val="auto"/>
              </w:rPr>
            </w:pPr>
            <w:r>
              <w:rPr>
                <w:rFonts w:ascii="Arial" w:cs="Arial" w:eastAsia="Arial" w:hAnsi="Arial"/>
                <w:sz w:val="20"/>
                <w:szCs w:val="20"/>
                <w:color w:val="2A2A2A"/>
              </w:rPr>
              <w:t>$</w:t>
            </w:r>
          </w:p>
        </w:tc>
        <w:tc>
          <w:tcPr>
            <w:tcW w:w="1100" w:type="dxa"/>
            <w:vAlign w:val="bottom"/>
          </w:tcPr>
          <w:p>
            <w:pPr>
              <w:jc w:val="right"/>
              <w:spacing w:after="0"/>
              <w:rPr>
                <w:sz w:val="20"/>
                <w:szCs w:val="20"/>
                <w:color w:val="auto"/>
              </w:rPr>
            </w:pPr>
            <w:r>
              <w:rPr>
                <w:rFonts w:ascii="Arial" w:cs="Arial" w:eastAsia="Arial" w:hAnsi="Arial"/>
                <w:sz w:val="20"/>
                <w:szCs w:val="20"/>
                <w:color w:val="2A2A2A"/>
              </w:rPr>
              <w:t>1,680,198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-1096645</wp:posOffset>
            </wp:positionV>
            <wp:extent cx="655256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52565" cy="27940"/>
                    </a:xfrm>
                    <a:prstGeom prst="rect">
                      <a:avLst/>
                    </a:prstGeom>
                    <a:noFill/>
                  </pic:spPr>
                </pic:pic>
              </a:graphicData>
            </a:graphic>
          </wp:anchor>
        </w:drawing>
      </w:r>
    </w:p>
    <w:p>
      <w:pPr>
        <w:sectPr>
          <w:pgSz w:w="12240" w:h="15840" w:orient="portrait"/>
          <w:cols w:equalWidth="0" w:num="1">
            <w:col w:w="10280"/>
          </w:cols>
          <w:pgMar w:left="980" w:top="660"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50</w:t>
      </w:r>
    </w:p>
    <w:p>
      <w:pPr>
        <w:sectPr>
          <w:pgSz w:w="12240" w:h="15840" w:orient="portrait"/>
          <w:cols w:equalWidth="0" w:num="1">
            <w:col w:w="10280"/>
          </w:cols>
          <w:pgMar w:left="980" w:top="660" w:right="980" w:bottom="33" w:gutter="0" w:footer="0" w:header="0"/>
          <w:type w:val="continuous"/>
        </w:sectPr>
      </w:pPr>
    </w:p>
    <w:bookmarkStart w:id="122" w:name="page123"/>
    <w:bookmarkEnd w:id="122"/>
    <w:p>
      <w:pPr>
        <w:ind w:left="1"/>
        <w:spacing w:after="0"/>
        <w:rPr>
          <w:sz w:val="20"/>
          <w:szCs w:val="20"/>
          <w:color w:val="auto"/>
        </w:rPr>
      </w:pPr>
      <w:r>
        <w:rPr>
          <w:rFonts w:ascii="Arial" w:cs="Arial" w:eastAsia="Arial" w:hAnsi="Arial"/>
          <w:sz w:val="22"/>
          <w:szCs w:val="22"/>
          <w:u w:val="single" w:color="auto"/>
          <w:color w:val="2A2A2A"/>
        </w:rPr>
        <w:t>2023 pension benefits</w:t>
      </w:r>
    </w:p>
    <w:p>
      <w:pPr>
        <w:spacing w:after="0" w:line="257" w:lineRule="exact"/>
        <w:rPr>
          <w:sz w:val="20"/>
          <w:szCs w:val="20"/>
          <w:color w:val="auto"/>
        </w:rPr>
      </w:pPr>
    </w:p>
    <w:p>
      <w:pPr>
        <w:ind w:left="1" w:right="20"/>
        <w:spacing w:after="0" w:line="256" w:lineRule="auto"/>
        <w:rPr>
          <w:sz w:val="20"/>
          <w:szCs w:val="20"/>
          <w:color w:val="auto"/>
        </w:rPr>
      </w:pPr>
      <w:r>
        <w:rPr>
          <w:rFonts w:ascii="Arial" w:cs="Arial" w:eastAsia="Arial" w:hAnsi="Arial"/>
          <w:sz w:val="20"/>
          <w:szCs w:val="20"/>
          <w:color w:val="2A2A2A"/>
        </w:rPr>
        <w:t>The following table shows the present value as of December 31, 2023,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2023.</w:t>
      </w:r>
    </w:p>
    <w:p>
      <w:pPr>
        <w:spacing w:after="0" w:line="58"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205"/>
              <w:spacing w:after="0"/>
              <w:rPr>
                <w:sz w:val="20"/>
                <w:szCs w:val="20"/>
                <w:color w:val="auto"/>
              </w:rPr>
            </w:pPr>
            <w:r>
              <w:rPr>
                <w:rFonts w:ascii="Arial" w:cs="Arial" w:eastAsia="Arial" w:hAnsi="Arial"/>
                <w:sz w:val="16"/>
                <w:szCs w:val="16"/>
                <w:b w:val="1"/>
                <w:bCs w:val="1"/>
                <w:color w:val="2A2A2A"/>
                <w:w w:val="98"/>
              </w:rPr>
              <w:t>Present</w:t>
            </w:r>
          </w:p>
        </w:tc>
        <w:tc>
          <w:tcPr>
            <w:tcW w:w="1220" w:type="dxa"/>
            <w:vAlign w:val="bottom"/>
          </w:tcPr>
          <w:p>
            <w:pPr>
              <w:spacing w:after="0"/>
              <w:rPr>
                <w:sz w:val="16"/>
                <w:szCs w:val="16"/>
                <w:color w:val="auto"/>
              </w:rPr>
            </w:pPr>
          </w:p>
        </w:tc>
      </w:tr>
      <w:tr>
        <w:trPr>
          <w:trHeight w:val="192"/>
        </w:trPr>
        <w:tc>
          <w:tcPr>
            <w:tcW w:w="2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Number of</w:t>
            </w:r>
          </w:p>
        </w:tc>
        <w:tc>
          <w:tcPr>
            <w:tcW w:w="260" w:type="dxa"/>
            <w:vAlign w:val="bottom"/>
          </w:tcPr>
          <w:p>
            <w:pPr>
              <w:spacing w:after="0"/>
              <w:rPr>
                <w:sz w:val="16"/>
                <w:szCs w:val="16"/>
                <w:color w:val="auto"/>
              </w:rPr>
            </w:pPr>
          </w:p>
        </w:tc>
        <w:tc>
          <w:tcPr>
            <w:tcW w:w="1000" w:type="dxa"/>
            <w:vAlign w:val="bottom"/>
          </w:tcPr>
          <w:p>
            <w:pPr>
              <w:jc w:val="center"/>
              <w:ind w:right="205"/>
              <w:spacing w:after="0"/>
              <w:rPr>
                <w:sz w:val="20"/>
                <w:szCs w:val="20"/>
                <w:color w:val="auto"/>
              </w:rPr>
            </w:pPr>
            <w:r>
              <w:rPr>
                <w:rFonts w:ascii="Arial" w:cs="Arial" w:eastAsia="Arial" w:hAnsi="Arial"/>
                <w:sz w:val="16"/>
                <w:szCs w:val="16"/>
                <w:b w:val="1"/>
                <w:bCs w:val="1"/>
                <w:color w:val="2A2A2A"/>
                <w:w w:val="99"/>
              </w:rPr>
              <w:t>Value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A2A2A"/>
              </w:rPr>
              <w:t>Payments</w:t>
            </w:r>
          </w:p>
        </w:tc>
      </w:tr>
      <w:tr>
        <w:trPr>
          <w:trHeight w:val="192"/>
        </w:trPr>
        <w:tc>
          <w:tcPr>
            <w:tcW w:w="2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Years Credited</w:t>
            </w: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2A2A2A"/>
              </w:rPr>
              <w:t>Accumulated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A2A2A"/>
                <w:w w:val="98"/>
              </w:rPr>
              <w:t>During Last</w:t>
            </w:r>
          </w:p>
        </w:tc>
      </w:tr>
      <w:tr>
        <w:trPr>
          <w:trHeight w:val="219"/>
        </w:trPr>
        <w:tc>
          <w:tcPr>
            <w:tcW w:w="21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 (1)</w:t>
            </w:r>
          </w:p>
        </w:tc>
        <w:tc>
          <w:tcPr>
            <w:tcW w:w="4300" w:type="dxa"/>
            <w:vAlign w:val="bottom"/>
            <w:tcBorders>
              <w:bottom w:val="single" w:sz="8" w:color="2A2A2A"/>
            </w:tcBorders>
          </w:tcPr>
          <w:p>
            <w:pPr>
              <w:ind w:left="1900"/>
              <w:spacing w:after="0"/>
              <w:rPr>
                <w:sz w:val="20"/>
                <w:szCs w:val="20"/>
                <w:color w:val="auto"/>
              </w:rPr>
            </w:pPr>
            <w:r>
              <w:rPr>
                <w:rFonts w:ascii="Arial" w:cs="Arial" w:eastAsia="Arial" w:hAnsi="Arial"/>
                <w:sz w:val="16"/>
                <w:szCs w:val="16"/>
                <w:b w:val="1"/>
                <w:bCs w:val="1"/>
                <w:color w:val="2A2A2A"/>
              </w:rPr>
              <w:t>Plan Name</w:t>
            </w:r>
          </w:p>
        </w:tc>
        <w:tc>
          <w:tcPr>
            <w:tcW w:w="138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8"/>
              </w:rPr>
              <w:t>Service</w:t>
            </w:r>
          </w:p>
        </w:tc>
        <w:tc>
          <w:tcPr>
            <w:tcW w:w="126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Benefit (5)</w:t>
            </w:r>
          </w:p>
        </w:tc>
        <w:tc>
          <w:tcPr>
            <w:tcW w:w="12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Fiscal Year</w:t>
            </w:r>
          </w:p>
        </w:tc>
      </w:tr>
      <w:tr>
        <w:trPr>
          <w:trHeight w:val="271"/>
        </w:trPr>
        <w:tc>
          <w:tcPr>
            <w:tcW w:w="6420" w:type="dxa"/>
            <w:vAlign w:val="bottom"/>
            <w:gridSpan w:val="2"/>
            <w:shd w:val="clear" w:color="auto" w:fill="D7D7D7"/>
          </w:tcPr>
          <w:p>
            <w:pPr>
              <w:ind w:left="60"/>
              <w:spacing w:after="0"/>
              <w:rPr>
                <w:sz w:val="20"/>
                <w:szCs w:val="20"/>
                <w:color w:val="auto"/>
              </w:rPr>
            </w:pPr>
            <w:r>
              <w:rPr>
                <w:rFonts w:ascii="Arial" w:cs="Arial" w:eastAsia="Arial" w:hAnsi="Arial"/>
                <w:sz w:val="20"/>
                <w:szCs w:val="20"/>
                <w:color w:val="2A2A2A"/>
              </w:rPr>
              <w:t>Richard K. Templeton (2)  TI Employees Pension Plan</w:t>
            </w:r>
          </w:p>
        </w:tc>
        <w:tc>
          <w:tcPr>
            <w:tcW w:w="7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16</w:t>
            </w:r>
          </w:p>
        </w:tc>
        <w:tc>
          <w:tcPr>
            <w:tcW w:w="680" w:type="dxa"/>
            <w:vAlign w:val="bottom"/>
            <w:shd w:val="clear" w:color="auto" w:fill="D7D7D7"/>
          </w:tcPr>
          <w:p>
            <w:pPr>
              <w:ind w:left="20"/>
              <w:spacing w:after="0"/>
              <w:rPr>
                <w:sz w:val="20"/>
                <w:szCs w:val="20"/>
                <w:color w:val="auto"/>
              </w:rPr>
            </w:pPr>
            <w:r>
              <w:rPr>
                <w:rFonts w:ascii="Arial" w:cs="Arial" w:eastAsia="Arial" w:hAnsi="Arial"/>
                <w:sz w:val="20"/>
                <w:szCs w:val="20"/>
                <w:color w:val="2A2A2A"/>
              </w:rPr>
              <w:t>(3)</w:t>
            </w:r>
          </w:p>
        </w:tc>
        <w:tc>
          <w:tcPr>
            <w:tcW w:w="260" w:type="dxa"/>
            <w:vAlign w:val="bottom"/>
            <w:shd w:val="clear" w:color="auto" w:fill="D7D7D7"/>
          </w:tcPr>
          <w:p>
            <w:pPr>
              <w:ind w:left="120"/>
              <w:spacing w:after="0"/>
              <w:rPr>
                <w:sz w:val="20"/>
                <w:szCs w:val="20"/>
                <w:color w:val="auto"/>
              </w:rPr>
            </w:pPr>
            <w:r>
              <w:rPr>
                <w:rFonts w:ascii="Arial" w:cs="Arial" w:eastAsia="Arial" w:hAnsi="Arial"/>
                <w:sz w:val="20"/>
                <w:szCs w:val="20"/>
                <w:color w:val="2A2A2A"/>
              </w:rPr>
              <w:t>$</w:t>
            </w:r>
          </w:p>
        </w:tc>
        <w:tc>
          <w:tcPr>
            <w:tcW w:w="1000" w:type="dxa"/>
            <w:vAlign w:val="bottom"/>
            <w:shd w:val="clear" w:color="auto" w:fill="D7D7D7"/>
          </w:tcPr>
          <w:p>
            <w:pPr>
              <w:jc w:val="right"/>
              <w:ind w:right="105"/>
              <w:spacing w:after="0"/>
              <w:rPr>
                <w:sz w:val="20"/>
                <w:szCs w:val="20"/>
                <w:color w:val="auto"/>
              </w:rPr>
            </w:pPr>
            <w:r>
              <w:rPr>
                <w:rFonts w:ascii="Arial" w:cs="Arial" w:eastAsia="Arial" w:hAnsi="Arial"/>
                <w:sz w:val="20"/>
                <w:szCs w:val="20"/>
                <w:color w:val="2A2A2A"/>
              </w:rPr>
              <w:t>866,873</w:t>
            </w:r>
          </w:p>
        </w:tc>
        <w:tc>
          <w:tcPr>
            <w:tcW w:w="1220" w:type="dxa"/>
            <w:vAlign w:val="bottom"/>
            <w:shd w:val="clear" w:color="auto" w:fill="D7D7D7"/>
          </w:tcPr>
          <w:p>
            <w:pPr>
              <w:ind w:left="760"/>
              <w:spacing w:after="0"/>
              <w:rPr>
                <w:sz w:val="20"/>
                <w:szCs w:val="20"/>
                <w:color w:val="auto"/>
              </w:rPr>
            </w:pPr>
            <w:r>
              <w:rPr>
                <w:rFonts w:ascii="Arial" w:cs="Arial" w:eastAsia="Arial" w:hAnsi="Arial"/>
                <w:sz w:val="20"/>
                <w:szCs w:val="20"/>
                <w:color w:val="2A2A2A"/>
              </w:rPr>
              <w:t>—</w:t>
            </w:r>
          </w:p>
        </w:tc>
      </w:tr>
      <w:tr>
        <w:trPr>
          <w:trHeight w:val="283"/>
        </w:trPr>
        <w:tc>
          <w:tcPr>
            <w:tcW w:w="2120" w:type="dxa"/>
            <w:vAlign w:val="bottom"/>
          </w:tcPr>
          <w:p>
            <w:pPr>
              <w:spacing w:after="0"/>
              <w:rPr>
                <w:sz w:val="24"/>
                <w:szCs w:val="24"/>
                <w:color w:val="auto"/>
              </w:rPr>
            </w:pPr>
          </w:p>
        </w:tc>
        <w:tc>
          <w:tcPr>
            <w:tcW w:w="4300" w:type="dxa"/>
            <w:vAlign w:val="bottom"/>
          </w:tcPr>
          <w:p>
            <w:pPr>
              <w:ind w:left="280"/>
              <w:spacing w:after="0"/>
              <w:rPr>
                <w:sz w:val="20"/>
                <w:szCs w:val="20"/>
                <w:color w:val="auto"/>
              </w:rPr>
            </w:pPr>
            <w:r>
              <w:rPr>
                <w:rFonts w:ascii="Arial" w:cs="Arial" w:eastAsia="Arial" w:hAnsi="Arial"/>
                <w:sz w:val="20"/>
                <w:szCs w:val="20"/>
                <w:color w:val="2A2A2A"/>
              </w:rPr>
              <w:t>TI Employees Non-Qualified Pension Plan</w:t>
            </w:r>
          </w:p>
        </w:tc>
        <w:tc>
          <w:tcPr>
            <w:tcW w:w="700" w:type="dxa"/>
            <w:vAlign w:val="bottom"/>
          </w:tcPr>
          <w:p>
            <w:pPr>
              <w:jc w:val="right"/>
              <w:spacing w:after="0"/>
              <w:rPr>
                <w:sz w:val="20"/>
                <w:szCs w:val="20"/>
                <w:color w:val="auto"/>
              </w:rPr>
            </w:pPr>
            <w:r>
              <w:rPr>
                <w:rFonts w:ascii="Arial" w:cs="Arial" w:eastAsia="Arial" w:hAnsi="Arial"/>
                <w:sz w:val="20"/>
                <w:szCs w:val="20"/>
                <w:color w:val="2A2A2A"/>
              </w:rPr>
              <w:t>16</w:t>
            </w:r>
          </w:p>
        </w:tc>
        <w:tc>
          <w:tcPr>
            <w:tcW w:w="680" w:type="dxa"/>
            <w:vAlign w:val="bottom"/>
          </w:tcPr>
          <w:p>
            <w:pPr>
              <w:ind w:left="20"/>
              <w:spacing w:after="0"/>
              <w:rPr>
                <w:sz w:val="20"/>
                <w:szCs w:val="20"/>
                <w:color w:val="auto"/>
              </w:rPr>
            </w:pPr>
            <w:r>
              <w:rPr>
                <w:rFonts w:ascii="Arial" w:cs="Arial" w:eastAsia="Arial" w:hAnsi="Arial"/>
                <w:sz w:val="20"/>
                <w:szCs w:val="20"/>
                <w:color w:val="2A2A2A"/>
              </w:rPr>
              <w:t>(3)</w:t>
            </w:r>
          </w:p>
        </w:tc>
        <w:tc>
          <w:tcPr>
            <w:tcW w:w="260" w:type="dxa"/>
            <w:vAlign w:val="bottom"/>
          </w:tcPr>
          <w:p>
            <w:pPr>
              <w:ind w:left="120"/>
              <w:spacing w:after="0"/>
              <w:rPr>
                <w:sz w:val="20"/>
                <w:szCs w:val="20"/>
                <w:color w:val="auto"/>
              </w:rPr>
            </w:pPr>
            <w:r>
              <w:rPr>
                <w:rFonts w:ascii="Arial" w:cs="Arial" w:eastAsia="Arial" w:hAnsi="Arial"/>
                <w:sz w:val="20"/>
                <w:szCs w:val="20"/>
                <w:color w:val="2A2A2A"/>
              </w:rPr>
              <w:t>$</w:t>
            </w:r>
          </w:p>
        </w:tc>
        <w:tc>
          <w:tcPr>
            <w:tcW w:w="1000" w:type="dxa"/>
            <w:vAlign w:val="bottom"/>
          </w:tcPr>
          <w:p>
            <w:pPr>
              <w:jc w:val="right"/>
              <w:ind w:right="105"/>
              <w:spacing w:after="0"/>
              <w:rPr>
                <w:sz w:val="20"/>
                <w:szCs w:val="20"/>
                <w:color w:val="auto"/>
              </w:rPr>
            </w:pPr>
            <w:r>
              <w:rPr>
                <w:rFonts w:ascii="Arial" w:cs="Arial" w:eastAsia="Arial" w:hAnsi="Arial"/>
                <w:sz w:val="20"/>
                <w:szCs w:val="20"/>
                <w:color w:val="2A2A2A"/>
              </w:rPr>
              <w:t>605,068</w:t>
            </w:r>
          </w:p>
        </w:tc>
        <w:tc>
          <w:tcPr>
            <w:tcW w:w="1220" w:type="dxa"/>
            <w:vAlign w:val="bottom"/>
          </w:tcPr>
          <w:p>
            <w:pPr>
              <w:ind w:left="760"/>
              <w:spacing w:after="0"/>
              <w:rPr>
                <w:sz w:val="20"/>
                <w:szCs w:val="20"/>
                <w:color w:val="auto"/>
              </w:rPr>
            </w:pPr>
            <w:r>
              <w:rPr>
                <w:rFonts w:ascii="Arial" w:cs="Arial" w:eastAsia="Arial" w:hAnsi="Arial"/>
                <w:sz w:val="20"/>
                <w:szCs w:val="20"/>
                <w:color w:val="2A2A2A"/>
              </w:rPr>
              <w:t>—</w:t>
            </w:r>
          </w:p>
        </w:tc>
      </w:tr>
      <w:tr>
        <w:trPr>
          <w:trHeight w:val="287"/>
        </w:trPr>
        <w:tc>
          <w:tcPr>
            <w:tcW w:w="2120" w:type="dxa"/>
            <w:vAlign w:val="bottom"/>
            <w:shd w:val="clear" w:color="auto" w:fill="D7D7D7"/>
          </w:tcPr>
          <w:p>
            <w:pPr>
              <w:spacing w:after="0"/>
              <w:rPr>
                <w:sz w:val="24"/>
                <w:szCs w:val="24"/>
                <w:color w:val="auto"/>
              </w:rPr>
            </w:pPr>
          </w:p>
        </w:tc>
        <w:tc>
          <w:tcPr>
            <w:tcW w:w="43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TI Employees Non-Qualified Pension Plan II</w:t>
            </w:r>
          </w:p>
        </w:tc>
        <w:tc>
          <w:tcPr>
            <w:tcW w:w="7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16</w:t>
            </w:r>
          </w:p>
        </w:tc>
        <w:tc>
          <w:tcPr>
            <w:tcW w:w="680" w:type="dxa"/>
            <w:vAlign w:val="bottom"/>
            <w:shd w:val="clear" w:color="auto" w:fill="D7D7D7"/>
          </w:tcPr>
          <w:p>
            <w:pPr>
              <w:ind w:left="20"/>
              <w:spacing w:after="0"/>
              <w:rPr>
                <w:sz w:val="20"/>
                <w:szCs w:val="20"/>
                <w:color w:val="auto"/>
              </w:rPr>
            </w:pPr>
            <w:r>
              <w:rPr>
                <w:rFonts w:ascii="Arial" w:cs="Arial" w:eastAsia="Arial" w:hAnsi="Arial"/>
                <w:sz w:val="20"/>
                <w:szCs w:val="20"/>
                <w:color w:val="2A2A2A"/>
              </w:rPr>
              <w:t>(4)</w:t>
            </w:r>
          </w:p>
        </w:tc>
        <w:tc>
          <w:tcPr>
            <w:tcW w:w="260" w:type="dxa"/>
            <w:vAlign w:val="bottom"/>
            <w:shd w:val="clear" w:color="auto" w:fill="D7D7D7"/>
          </w:tcPr>
          <w:p>
            <w:pPr>
              <w:ind w:left="120"/>
              <w:spacing w:after="0"/>
              <w:rPr>
                <w:sz w:val="20"/>
                <w:szCs w:val="20"/>
                <w:color w:val="auto"/>
              </w:rPr>
            </w:pPr>
            <w:r>
              <w:rPr>
                <w:rFonts w:ascii="Arial" w:cs="Arial" w:eastAsia="Arial" w:hAnsi="Arial"/>
                <w:sz w:val="20"/>
                <w:szCs w:val="20"/>
                <w:color w:val="2A2A2A"/>
              </w:rPr>
              <w:t>$</w:t>
            </w:r>
          </w:p>
        </w:tc>
        <w:tc>
          <w:tcPr>
            <w:tcW w:w="1000" w:type="dxa"/>
            <w:vAlign w:val="bottom"/>
            <w:shd w:val="clear" w:color="auto" w:fill="D7D7D7"/>
          </w:tcPr>
          <w:p>
            <w:pPr>
              <w:jc w:val="right"/>
              <w:ind w:right="105"/>
              <w:spacing w:after="0"/>
              <w:rPr>
                <w:sz w:val="20"/>
                <w:szCs w:val="20"/>
                <w:color w:val="auto"/>
              </w:rPr>
            </w:pPr>
            <w:r>
              <w:rPr>
                <w:rFonts w:ascii="Arial" w:cs="Arial" w:eastAsia="Arial" w:hAnsi="Arial"/>
                <w:sz w:val="20"/>
                <w:szCs w:val="20"/>
                <w:color w:val="2A2A2A"/>
              </w:rPr>
              <w:t>35,486</w:t>
            </w:r>
          </w:p>
        </w:tc>
        <w:tc>
          <w:tcPr>
            <w:tcW w:w="1220" w:type="dxa"/>
            <w:vAlign w:val="bottom"/>
            <w:shd w:val="clear" w:color="auto" w:fill="D7D7D7"/>
          </w:tcPr>
          <w:p>
            <w:pPr>
              <w:ind w:left="760"/>
              <w:spacing w:after="0"/>
              <w:rPr>
                <w:sz w:val="20"/>
                <w:szCs w:val="20"/>
                <w:color w:val="auto"/>
              </w:rPr>
            </w:pPr>
            <w:r>
              <w:rPr>
                <w:rFonts w:ascii="Arial" w:cs="Arial" w:eastAsia="Arial" w:hAnsi="Arial"/>
                <w:sz w:val="20"/>
                <w:szCs w:val="20"/>
                <w:color w:val="2A2A2A"/>
              </w:rPr>
              <w:t>—</w:t>
            </w:r>
          </w:p>
        </w:tc>
      </w:tr>
      <w:tr>
        <w:trPr>
          <w:trHeight w:val="285"/>
        </w:trPr>
        <w:tc>
          <w:tcPr>
            <w:tcW w:w="2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5"/>
        </w:trPr>
        <w:tc>
          <w:tcPr>
            <w:tcW w:w="21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 (2)</w:t>
            </w:r>
          </w:p>
        </w:tc>
        <w:tc>
          <w:tcPr>
            <w:tcW w:w="43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TI Employees Pension Plan</w:t>
            </w:r>
          </w:p>
        </w:tc>
        <w:tc>
          <w:tcPr>
            <w:tcW w:w="7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w:t>
            </w:r>
          </w:p>
        </w:tc>
        <w:tc>
          <w:tcPr>
            <w:tcW w:w="680" w:type="dxa"/>
            <w:vAlign w:val="bottom"/>
            <w:shd w:val="clear" w:color="auto" w:fill="D7D7D7"/>
          </w:tcPr>
          <w:p>
            <w:pPr>
              <w:ind w:left="20"/>
              <w:spacing w:after="0"/>
              <w:rPr>
                <w:sz w:val="20"/>
                <w:szCs w:val="20"/>
                <w:color w:val="auto"/>
              </w:rPr>
            </w:pPr>
            <w:r>
              <w:rPr>
                <w:rFonts w:ascii="Arial" w:cs="Arial" w:eastAsia="Arial" w:hAnsi="Arial"/>
                <w:sz w:val="20"/>
                <w:szCs w:val="20"/>
                <w:color w:val="2A2A2A"/>
              </w:rPr>
              <w:t>(3)</w:t>
            </w:r>
          </w:p>
        </w:tc>
        <w:tc>
          <w:tcPr>
            <w:tcW w:w="260" w:type="dxa"/>
            <w:vAlign w:val="bottom"/>
            <w:shd w:val="clear" w:color="auto" w:fill="D7D7D7"/>
          </w:tcPr>
          <w:p>
            <w:pPr>
              <w:ind w:left="120"/>
              <w:spacing w:after="0"/>
              <w:rPr>
                <w:sz w:val="20"/>
                <w:szCs w:val="20"/>
                <w:color w:val="auto"/>
              </w:rPr>
            </w:pPr>
            <w:r>
              <w:rPr>
                <w:rFonts w:ascii="Arial" w:cs="Arial" w:eastAsia="Arial" w:hAnsi="Arial"/>
                <w:sz w:val="20"/>
                <w:szCs w:val="20"/>
                <w:color w:val="2A2A2A"/>
              </w:rPr>
              <w:t>$</w:t>
            </w:r>
          </w:p>
        </w:tc>
        <w:tc>
          <w:tcPr>
            <w:tcW w:w="1000" w:type="dxa"/>
            <w:vAlign w:val="bottom"/>
            <w:shd w:val="clear" w:color="auto" w:fill="D7D7D7"/>
          </w:tcPr>
          <w:p>
            <w:pPr>
              <w:jc w:val="right"/>
              <w:ind w:right="105"/>
              <w:spacing w:after="0"/>
              <w:rPr>
                <w:sz w:val="20"/>
                <w:szCs w:val="20"/>
                <w:color w:val="auto"/>
              </w:rPr>
            </w:pPr>
            <w:r>
              <w:rPr>
                <w:rFonts w:ascii="Arial" w:cs="Arial" w:eastAsia="Arial" w:hAnsi="Arial"/>
                <w:sz w:val="20"/>
                <w:szCs w:val="20"/>
                <w:color w:val="2A2A2A"/>
              </w:rPr>
              <w:t>13,535</w:t>
            </w:r>
          </w:p>
        </w:tc>
        <w:tc>
          <w:tcPr>
            <w:tcW w:w="1220" w:type="dxa"/>
            <w:vAlign w:val="bottom"/>
            <w:shd w:val="clear" w:color="auto" w:fill="D7D7D7"/>
          </w:tcPr>
          <w:p>
            <w:pPr>
              <w:ind w:left="760"/>
              <w:spacing w:after="0"/>
              <w:rPr>
                <w:sz w:val="20"/>
                <w:szCs w:val="20"/>
                <w:color w:val="auto"/>
              </w:rPr>
            </w:pPr>
            <w:r>
              <w:rPr>
                <w:rFonts w:ascii="Arial" w:cs="Arial" w:eastAsia="Arial" w:hAnsi="Arial"/>
                <w:sz w:val="20"/>
                <w:szCs w:val="20"/>
                <w:color w:val="2A2A2A"/>
              </w:rPr>
              <w:t>—</w:t>
            </w:r>
          </w:p>
        </w:tc>
      </w:tr>
      <w:tr>
        <w:trPr>
          <w:trHeight w:val="283"/>
        </w:trPr>
        <w:tc>
          <w:tcPr>
            <w:tcW w:w="2120" w:type="dxa"/>
            <w:vAlign w:val="bottom"/>
          </w:tcPr>
          <w:p>
            <w:pPr>
              <w:spacing w:after="0"/>
              <w:rPr>
                <w:sz w:val="24"/>
                <w:szCs w:val="24"/>
                <w:color w:val="auto"/>
              </w:rPr>
            </w:pPr>
          </w:p>
        </w:tc>
        <w:tc>
          <w:tcPr>
            <w:tcW w:w="4300" w:type="dxa"/>
            <w:vAlign w:val="bottom"/>
          </w:tcPr>
          <w:p>
            <w:pPr>
              <w:ind w:left="280"/>
              <w:spacing w:after="0"/>
              <w:rPr>
                <w:sz w:val="20"/>
                <w:szCs w:val="20"/>
                <w:color w:val="auto"/>
              </w:rPr>
            </w:pPr>
            <w:r>
              <w:rPr>
                <w:rFonts w:ascii="Arial" w:cs="Arial" w:eastAsia="Arial" w:hAnsi="Arial"/>
                <w:sz w:val="20"/>
                <w:szCs w:val="20"/>
                <w:color w:val="2A2A2A"/>
              </w:rPr>
              <w:t>TI Employees Non-Qualified Pension Plan</w:t>
            </w:r>
          </w:p>
        </w:tc>
        <w:tc>
          <w:tcPr>
            <w:tcW w:w="700" w:type="dxa"/>
            <w:vAlign w:val="bottom"/>
          </w:tcPr>
          <w:p>
            <w:pPr>
              <w:jc w:val="right"/>
              <w:spacing w:after="0"/>
              <w:rPr>
                <w:sz w:val="20"/>
                <w:szCs w:val="20"/>
                <w:color w:val="auto"/>
              </w:rPr>
            </w:pPr>
            <w:r>
              <w:rPr>
                <w:rFonts w:ascii="Arial" w:cs="Arial" w:eastAsia="Arial" w:hAnsi="Arial"/>
                <w:sz w:val="20"/>
                <w:szCs w:val="20"/>
                <w:color w:val="2A2A2A"/>
              </w:rPr>
              <w:t>4</w:t>
            </w:r>
          </w:p>
        </w:tc>
        <w:tc>
          <w:tcPr>
            <w:tcW w:w="680" w:type="dxa"/>
            <w:vAlign w:val="bottom"/>
          </w:tcPr>
          <w:p>
            <w:pPr>
              <w:ind w:left="20"/>
              <w:spacing w:after="0"/>
              <w:rPr>
                <w:sz w:val="20"/>
                <w:szCs w:val="20"/>
                <w:color w:val="auto"/>
              </w:rPr>
            </w:pPr>
            <w:r>
              <w:rPr>
                <w:rFonts w:ascii="Arial" w:cs="Arial" w:eastAsia="Arial" w:hAnsi="Arial"/>
                <w:sz w:val="20"/>
                <w:szCs w:val="20"/>
                <w:color w:val="2A2A2A"/>
              </w:rPr>
              <w:t>(3)</w:t>
            </w:r>
          </w:p>
        </w:tc>
        <w:tc>
          <w:tcPr>
            <w:tcW w:w="26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Arial" w:cs="Arial" w:eastAsia="Arial" w:hAnsi="Arial"/>
                <w:sz w:val="20"/>
                <w:szCs w:val="20"/>
                <w:color w:val="2A2A2A"/>
              </w:rPr>
              <w:t>—</w:t>
            </w:r>
          </w:p>
        </w:tc>
        <w:tc>
          <w:tcPr>
            <w:tcW w:w="1220" w:type="dxa"/>
            <w:vAlign w:val="bottom"/>
          </w:tcPr>
          <w:p>
            <w:pPr>
              <w:ind w:left="760"/>
              <w:spacing w:after="0"/>
              <w:rPr>
                <w:sz w:val="20"/>
                <w:szCs w:val="20"/>
                <w:color w:val="auto"/>
              </w:rPr>
            </w:pPr>
            <w:r>
              <w:rPr>
                <w:rFonts w:ascii="Arial" w:cs="Arial" w:eastAsia="Arial" w:hAnsi="Arial"/>
                <w:sz w:val="20"/>
                <w:szCs w:val="20"/>
                <w:color w:val="2A2A2A"/>
              </w:rPr>
              <w:t>—</w:t>
            </w:r>
          </w:p>
        </w:tc>
      </w:tr>
      <w:tr>
        <w:trPr>
          <w:trHeight w:val="287"/>
        </w:trPr>
        <w:tc>
          <w:tcPr>
            <w:tcW w:w="2120" w:type="dxa"/>
            <w:vAlign w:val="bottom"/>
            <w:shd w:val="clear" w:color="auto" w:fill="D7D7D7"/>
          </w:tcPr>
          <w:p>
            <w:pPr>
              <w:spacing w:after="0"/>
              <w:rPr>
                <w:sz w:val="24"/>
                <w:szCs w:val="24"/>
                <w:color w:val="auto"/>
              </w:rPr>
            </w:pPr>
          </w:p>
        </w:tc>
        <w:tc>
          <w:tcPr>
            <w:tcW w:w="4300" w:type="dxa"/>
            <w:vAlign w:val="bottom"/>
            <w:shd w:val="clear" w:color="auto" w:fill="D7D7D7"/>
          </w:tcPr>
          <w:p>
            <w:pPr>
              <w:ind w:left="280"/>
              <w:spacing w:after="0"/>
              <w:rPr>
                <w:sz w:val="20"/>
                <w:szCs w:val="20"/>
                <w:color w:val="auto"/>
              </w:rPr>
            </w:pPr>
            <w:r>
              <w:rPr>
                <w:rFonts w:ascii="Arial" w:cs="Arial" w:eastAsia="Arial" w:hAnsi="Arial"/>
                <w:sz w:val="20"/>
                <w:szCs w:val="20"/>
                <w:color w:val="2A2A2A"/>
              </w:rPr>
              <w:t>TI Employees Non-Qualified Pension Plan II</w:t>
            </w:r>
          </w:p>
        </w:tc>
        <w:tc>
          <w:tcPr>
            <w:tcW w:w="700" w:type="dxa"/>
            <w:vAlign w:val="bottom"/>
            <w:shd w:val="clear" w:color="auto" w:fill="D7D7D7"/>
          </w:tcPr>
          <w:p>
            <w:pPr>
              <w:spacing w:after="0"/>
              <w:rPr>
                <w:sz w:val="24"/>
                <w:szCs w:val="24"/>
                <w:color w:val="auto"/>
              </w:rPr>
            </w:pPr>
          </w:p>
        </w:tc>
        <w:tc>
          <w:tcPr>
            <w:tcW w:w="680" w:type="dxa"/>
            <w:vAlign w:val="bottom"/>
            <w:shd w:val="clear" w:color="auto" w:fill="D7D7D7"/>
          </w:tcPr>
          <w:p>
            <w:pPr>
              <w:ind w:left="40"/>
              <w:spacing w:after="0"/>
              <w:rPr>
                <w:sz w:val="20"/>
                <w:szCs w:val="20"/>
                <w:color w:val="auto"/>
              </w:rPr>
            </w:pPr>
            <w:r>
              <w:rPr>
                <w:rFonts w:ascii="Arial" w:cs="Arial" w:eastAsia="Arial" w:hAnsi="Arial"/>
                <w:sz w:val="20"/>
                <w:szCs w:val="20"/>
                <w:color w:val="2A2A2A"/>
              </w:rPr>
              <w:t>—</w:t>
            </w:r>
          </w:p>
        </w:tc>
        <w:tc>
          <w:tcPr>
            <w:tcW w:w="260" w:type="dxa"/>
            <w:vAlign w:val="bottom"/>
            <w:shd w:val="clear" w:color="auto" w:fill="D7D7D7"/>
          </w:tcPr>
          <w:p>
            <w:pPr>
              <w:spacing w:after="0"/>
              <w:rPr>
                <w:sz w:val="24"/>
                <w:szCs w:val="24"/>
                <w:color w:val="auto"/>
              </w:rPr>
            </w:pPr>
          </w:p>
        </w:tc>
        <w:tc>
          <w:tcPr>
            <w:tcW w:w="1000" w:type="dxa"/>
            <w:vAlign w:val="bottom"/>
            <w:shd w:val="clear" w:color="auto" w:fill="D7D7D7"/>
          </w:tcPr>
          <w:p>
            <w:pPr>
              <w:jc w:val="right"/>
              <w:ind w:right="105"/>
              <w:spacing w:after="0"/>
              <w:rPr>
                <w:sz w:val="20"/>
                <w:szCs w:val="20"/>
                <w:color w:val="auto"/>
              </w:rPr>
            </w:pPr>
            <w:r>
              <w:rPr>
                <w:rFonts w:ascii="Arial" w:cs="Arial" w:eastAsia="Arial" w:hAnsi="Arial"/>
                <w:sz w:val="20"/>
                <w:szCs w:val="20"/>
                <w:color w:val="2A2A2A"/>
              </w:rPr>
              <w:t>—</w:t>
            </w:r>
          </w:p>
        </w:tc>
        <w:tc>
          <w:tcPr>
            <w:tcW w:w="1220" w:type="dxa"/>
            <w:vAlign w:val="bottom"/>
            <w:shd w:val="clear" w:color="auto" w:fill="D7D7D7"/>
          </w:tcPr>
          <w:p>
            <w:pPr>
              <w:ind w:left="760"/>
              <w:spacing w:after="0"/>
              <w:rPr>
                <w:sz w:val="20"/>
                <w:szCs w:val="20"/>
                <w:color w:val="auto"/>
              </w:rPr>
            </w:pPr>
            <w:r>
              <w:rPr>
                <w:rFonts w:ascii="Arial" w:cs="Arial" w:eastAsia="Arial" w:hAnsi="Arial"/>
                <w:sz w:val="20"/>
                <w:szCs w:val="20"/>
                <w:color w:val="2A2A2A"/>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-1280160</wp:posOffset>
            </wp:positionV>
            <wp:extent cx="655256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52565" cy="27940"/>
                    </a:xfrm>
                    <a:prstGeom prst="rect">
                      <a:avLst/>
                    </a:prstGeom>
                    <a:noFill/>
                  </pic:spPr>
                </pic:pic>
              </a:graphicData>
            </a:graphic>
          </wp:anchor>
        </w:drawing>
      </w:r>
    </w:p>
    <w:p>
      <w:pPr>
        <w:spacing w:after="0" w:line="265" w:lineRule="exact"/>
        <w:rPr>
          <w:sz w:val="20"/>
          <w:szCs w:val="20"/>
          <w:color w:val="auto"/>
        </w:rPr>
      </w:pPr>
    </w:p>
    <w:p>
      <w:pPr>
        <w:ind w:left="541" w:right="340" w:hanging="541"/>
        <w:spacing w:after="0" w:line="287" w:lineRule="auto"/>
        <w:tabs>
          <w:tab w:leader="none" w:pos="541" w:val="left"/>
        </w:tabs>
        <w:numPr>
          <w:ilvl w:val="0"/>
          <w:numId w:val="134"/>
        </w:numPr>
        <w:rPr>
          <w:rFonts w:ascii="Arial" w:cs="Arial" w:eastAsia="Arial" w:hAnsi="Arial"/>
          <w:sz w:val="20"/>
          <w:szCs w:val="20"/>
          <w:color w:val="2A2A2A"/>
        </w:rPr>
      </w:pPr>
      <w:r>
        <w:rPr>
          <w:rFonts w:ascii="Arial" w:cs="Arial" w:eastAsia="Arial" w:hAnsi="Arial"/>
          <w:sz w:val="20"/>
          <w:szCs w:val="20"/>
          <w:color w:val="2A2A2A"/>
        </w:rPr>
        <w:t>Messrs. Lizardi, Ilan, Kozanian and Ron do not participate in any of the company’s defined benefit pension plans because they joined TI after these plans were closed to new participants.</w:t>
      </w:r>
    </w:p>
    <w:p>
      <w:pPr>
        <w:spacing w:after="0" w:line="49" w:lineRule="exact"/>
        <w:rPr>
          <w:rFonts w:ascii="Arial" w:cs="Arial" w:eastAsia="Arial" w:hAnsi="Arial"/>
          <w:sz w:val="20"/>
          <w:szCs w:val="20"/>
          <w:color w:val="2A2A2A"/>
        </w:rPr>
      </w:pPr>
    </w:p>
    <w:p>
      <w:pPr>
        <w:ind w:left="541" w:right="180" w:hanging="541"/>
        <w:spacing w:after="0" w:line="256" w:lineRule="auto"/>
        <w:tabs>
          <w:tab w:leader="none" w:pos="541" w:val="left"/>
        </w:tabs>
        <w:numPr>
          <w:ilvl w:val="0"/>
          <w:numId w:val="134"/>
        </w:numPr>
        <w:rPr>
          <w:rFonts w:ascii="Arial" w:cs="Arial" w:eastAsia="Arial" w:hAnsi="Arial"/>
          <w:sz w:val="20"/>
          <w:szCs w:val="20"/>
          <w:color w:val="2A2A2A"/>
        </w:rPr>
      </w:pPr>
      <w:r>
        <w:rPr>
          <w:rFonts w:ascii="Arial" w:cs="Arial" w:eastAsia="Arial" w:hAnsi="Arial"/>
          <w:sz w:val="20"/>
          <w:szCs w:val="20"/>
          <w:color w:val="2A2A2A"/>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2023 summary compensation table.</w:t>
      </w:r>
    </w:p>
    <w:p>
      <w:pPr>
        <w:spacing w:after="0" w:line="82" w:lineRule="exact"/>
        <w:rPr>
          <w:rFonts w:ascii="Arial" w:cs="Arial" w:eastAsia="Arial" w:hAnsi="Arial"/>
          <w:sz w:val="20"/>
          <w:szCs w:val="20"/>
          <w:color w:val="2A2A2A"/>
        </w:rPr>
      </w:pPr>
    </w:p>
    <w:p>
      <w:pPr>
        <w:ind w:left="541" w:right="200" w:hanging="541"/>
        <w:spacing w:after="0" w:line="262" w:lineRule="auto"/>
        <w:tabs>
          <w:tab w:leader="none" w:pos="541" w:val="left"/>
        </w:tabs>
        <w:numPr>
          <w:ilvl w:val="0"/>
          <w:numId w:val="134"/>
        </w:numPr>
        <w:rPr>
          <w:rFonts w:ascii="Arial" w:cs="Arial" w:eastAsia="Arial" w:hAnsi="Arial"/>
          <w:sz w:val="20"/>
          <w:szCs w:val="20"/>
          <w:color w:val="2A2A2A"/>
        </w:rPr>
      </w:pPr>
      <w:r>
        <w:rPr>
          <w:rFonts w:ascii="Arial" w:cs="Arial" w:eastAsia="Arial" w:hAnsi="Arial"/>
          <w:sz w:val="20"/>
          <w:szCs w:val="20"/>
          <w:color w:val="2A2A2A"/>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75" w:lineRule="exact"/>
        <w:rPr>
          <w:rFonts w:ascii="Arial" w:cs="Arial" w:eastAsia="Arial" w:hAnsi="Arial"/>
          <w:sz w:val="20"/>
          <w:szCs w:val="20"/>
          <w:color w:val="2A2A2A"/>
        </w:rPr>
      </w:pPr>
    </w:p>
    <w:p>
      <w:pPr>
        <w:ind w:left="541" w:right="720" w:hanging="541"/>
        <w:spacing w:after="0" w:line="287" w:lineRule="auto"/>
        <w:tabs>
          <w:tab w:leader="none" w:pos="541" w:val="left"/>
        </w:tabs>
        <w:numPr>
          <w:ilvl w:val="0"/>
          <w:numId w:val="134"/>
        </w:numPr>
        <w:rPr>
          <w:rFonts w:ascii="Arial" w:cs="Arial" w:eastAsia="Arial" w:hAnsi="Arial"/>
          <w:sz w:val="20"/>
          <w:szCs w:val="20"/>
          <w:color w:val="2A2A2A"/>
        </w:rPr>
      </w:pPr>
      <w:r>
        <w:rPr>
          <w:rFonts w:ascii="Arial" w:cs="Arial" w:eastAsia="Arial" w:hAnsi="Arial"/>
          <w:sz w:val="20"/>
          <w:szCs w:val="20"/>
          <w:color w:val="2A2A2A"/>
        </w:rPr>
        <w:t>Credited service began on the date the named executive officer became eligible to participate in the TI Employees Pension Plan as described in Note 3.</w:t>
      </w:r>
    </w:p>
    <w:p>
      <w:pPr>
        <w:spacing w:after="0" w:line="49" w:lineRule="exact"/>
        <w:rPr>
          <w:rFonts w:ascii="Arial" w:cs="Arial" w:eastAsia="Arial" w:hAnsi="Arial"/>
          <w:sz w:val="20"/>
          <w:szCs w:val="20"/>
          <w:color w:val="2A2A2A"/>
        </w:rPr>
      </w:pPr>
    </w:p>
    <w:p>
      <w:pPr>
        <w:ind w:left="541" w:right="40" w:hanging="541"/>
        <w:spacing w:after="0" w:line="254" w:lineRule="auto"/>
        <w:tabs>
          <w:tab w:leader="none" w:pos="541" w:val="left"/>
        </w:tabs>
        <w:numPr>
          <w:ilvl w:val="0"/>
          <w:numId w:val="134"/>
        </w:numPr>
        <w:rPr>
          <w:rFonts w:ascii="Arial" w:cs="Arial" w:eastAsia="Arial" w:hAnsi="Arial"/>
          <w:sz w:val="20"/>
          <w:szCs w:val="20"/>
          <w:color w:val="2A2A2A"/>
        </w:rPr>
      </w:pPr>
      <w:r>
        <w:rPr>
          <w:rFonts w:ascii="Arial" w:cs="Arial" w:eastAsia="Arial" w:hAnsi="Arial"/>
          <w:sz w:val="20"/>
          <w:szCs w:val="20"/>
          <w:color w:val="2A2A2A"/>
        </w:rPr>
        <w:t>The assumptions and valuation methods used to calculate the present value of the accumulated pension benefits shown are the same as those used by TI for financial reporting purposes and are described in Note 7 to the 2023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2023, is determined using either (i) the Pension Benefit Guaranty Corporation (PBGC) interest assumption of 2.50% in 2024; 2.55% 2025+ or (ii) the Pension Protection Act of 2006 (PPA) corporate bond yield interest assumption of 5.50% in 2024; and 5.55% in 2025+, whichever rates produce the higher lump-sum amount. A discount rate assumption of 5.20% for the TI Employees Pension Plan and 5.26% for the non-qualified pension plans was used to determine the present value of each lump sum.</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TI Employees Pension Plan</w:t>
      </w:r>
    </w:p>
    <w:p>
      <w:pPr>
        <w:spacing w:after="0" w:line="255" w:lineRule="exact"/>
        <w:rPr>
          <w:sz w:val="20"/>
          <w:szCs w:val="20"/>
          <w:color w:val="auto"/>
        </w:rPr>
      </w:pPr>
    </w:p>
    <w:p>
      <w:pPr>
        <w:jc w:val="both"/>
        <w:ind w:left="1" w:right="140"/>
        <w:spacing w:after="0" w:line="268" w:lineRule="auto"/>
        <w:rPr>
          <w:sz w:val="20"/>
          <w:szCs w:val="20"/>
          <w:color w:val="auto"/>
        </w:rPr>
      </w:pPr>
      <w:r>
        <w:rPr>
          <w:rFonts w:ascii="Arial" w:cs="Arial" w:eastAsia="Arial" w:hAnsi="Arial"/>
          <w:sz w:val="20"/>
          <w:szCs w:val="20"/>
          <w:color w:val="2A2A2A"/>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90" w:lineRule="exact"/>
        <w:rPr>
          <w:sz w:val="20"/>
          <w:szCs w:val="20"/>
          <w:color w:val="auto"/>
        </w:rPr>
      </w:pPr>
    </w:p>
    <w:p>
      <w:pPr>
        <w:ind w:left="1" w:right="200"/>
        <w:spacing w:after="0" w:line="314" w:lineRule="auto"/>
        <w:rPr>
          <w:sz w:val="20"/>
          <w:szCs w:val="20"/>
          <w:color w:val="auto"/>
        </w:rPr>
      </w:pPr>
      <w:r>
        <w:rPr>
          <w:rFonts w:ascii="Arial" w:cs="Arial" w:eastAsia="Arial" w:hAnsi="Arial"/>
          <w:sz w:val="19"/>
          <w:szCs w:val="19"/>
          <w:color w:val="2A2A2A"/>
        </w:rPr>
        <w:t>Plan participants are eligible for normal retirement under the terms of the plan at 65 years of age with one year of credited service. Participants are eligible for early retirement at 55 years of age with 20 years of employment or 60</w:t>
      </w:r>
    </w:p>
    <w:p>
      <w:pPr>
        <w:sectPr>
          <w:pgSz w:w="12240" w:h="15840" w:orient="portrait"/>
          <w:cols w:equalWidth="0" w:num="1">
            <w:col w:w="10281"/>
          </w:cols>
          <w:pgMar w:left="979" w:top="658" w:right="980" w:bottom="33"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51</w:t>
      </w:r>
    </w:p>
    <w:p>
      <w:pPr>
        <w:sectPr>
          <w:pgSz w:w="12240" w:h="15840" w:orient="portrait"/>
          <w:cols w:equalWidth="0" w:num="1">
            <w:col w:w="10281"/>
          </w:cols>
          <w:pgMar w:left="979" w:top="658" w:right="980" w:bottom="33" w:gutter="0" w:footer="0" w:header="0"/>
          <w:type w:val="continuous"/>
        </w:sectPr>
      </w:pPr>
    </w:p>
    <w:bookmarkStart w:id="123" w:name="page124"/>
    <w:bookmarkEnd w:id="123"/>
    <w:p>
      <w:pPr>
        <w:ind w:right="720"/>
        <w:spacing w:after="0" w:line="287" w:lineRule="auto"/>
        <w:rPr>
          <w:sz w:val="20"/>
          <w:szCs w:val="20"/>
          <w:color w:val="auto"/>
        </w:rPr>
      </w:pPr>
      <w:r>
        <w:rPr>
          <w:rFonts w:ascii="Arial" w:cs="Arial" w:eastAsia="Arial" w:hAnsi="Arial"/>
          <w:sz w:val="20"/>
          <w:szCs w:val="20"/>
          <w:color w:val="2A2A2A"/>
        </w:rPr>
        <w:t>years of age with five years of employment. As of December 31, 2023, Mr. Templeton was eligible for normal retirement.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A2A2A"/>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2A2A2A"/>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20"/>
          <w:szCs w:val="20"/>
          <w:color w:val="2A2A2A"/>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2A2A2A"/>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TI employees non-qualified pension plans</w:t>
      </w:r>
    </w:p>
    <w:p>
      <w:pPr>
        <w:spacing w:after="0" w:line="25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2A2A2A"/>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2A2A2A"/>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2A2A2A"/>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99" w:lineRule="exact"/>
        <w:rPr>
          <w:sz w:val="20"/>
          <w:szCs w:val="20"/>
          <w:color w:val="auto"/>
        </w:rPr>
      </w:pPr>
    </w:p>
    <w:p>
      <w:pPr>
        <w:ind w:right="320"/>
        <w:spacing w:after="0" w:line="289" w:lineRule="auto"/>
        <w:rPr>
          <w:sz w:val="20"/>
          <w:szCs w:val="20"/>
          <w:color w:val="auto"/>
        </w:rPr>
      </w:pPr>
      <w:r>
        <w:rPr>
          <w:rFonts w:ascii="Arial" w:cs="Arial" w:eastAsia="Arial" w:hAnsi="Arial"/>
          <w:sz w:val="19"/>
          <w:szCs w:val="19"/>
          <w:color w:val="2A2A2A"/>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52</w:t>
      </w:r>
    </w:p>
    <w:p>
      <w:pPr>
        <w:sectPr>
          <w:pgSz w:w="12240" w:h="15840" w:orient="portrait"/>
          <w:cols w:equalWidth="0" w:num="1">
            <w:col w:w="10280"/>
          </w:cols>
          <w:pgMar w:left="980" w:top="664" w:right="980" w:bottom="33" w:gutter="0" w:footer="0" w:header="0"/>
          <w:type w:val="continuous"/>
        </w:sectPr>
      </w:pPr>
    </w:p>
    <w:bookmarkStart w:id="124" w:name="page125"/>
    <w:bookmarkEnd w:id="124"/>
    <w:p>
      <w:pPr>
        <w:ind w:left="1" w:right="80"/>
        <w:spacing w:after="0" w:line="268" w:lineRule="auto"/>
        <w:rPr>
          <w:sz w:val="20"/>
          <w:szCs w:val="20"/>
          <w:color w:val="auto"/>
        </w:rPr>
      </w:pPr>
      <w:r>
        <w:rPr>
          <w:rFonts w:ascii="Arial" w:cs="Arial" w:eastAsia="Arial" w:hAnsi="Arial"/>
          <w:sz w:val="20"/>
          <w:szCs w:val="20"/>
          <w:color w:val="2A2A2A"/>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90" w:lineRule="exact"/>
        <w:rPr>
          <w:sz w:val="20"/>
          <w:szCs w:val="20"/>
          <w:color w:val="auto"/>
        </w:rPr>
      </w:pPr>
    </w:p>
    <w:p>
      <w:pPr>
        <w:ind w:left="1"/>
        <w:spacing w:after="0" w:line="255" w:lineRule="auto"/>
        <w:rPr>
          <w:sz w:val="20"/>
          <w:szCs w:val="20"/>
          <w:color w:val="auto"/>
        </w:rPr>
      </w:pPr>
      <w:r>
        <w:rPr>
          <w:rFonts w:ascii="Arial" w:cs="Arial" w:eastAsia="Arial" w:hAnsi="Arial"/>
          <w:sz w:val="20"/>
          <w:szCs w:val="20"/>
          <w:color w:val="2A2A2A"/>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TI Employees Survivor Benefit Plan</w:t>
      </w:r>
    </w:p>
    <w:p>
      <w:pPr>
        <w:spacing w:after="0" w:line="255" w:lineRule="exact"/>
        <w:rPr>
          <w:sz w:val="20"/>
          <w:szCs w:val="20"/>
          <w:color w:val="auto"/>
        </w:rPr>
      </w:pPr>
    </w:p>
    <w:p>
      <w:pPr>
        <w:ind w:left="1" w:right="40"/>
        <w:spacing w:after="0" w:line="256" w:lineRule="auto"/>
        <w:rPr>
          <w:sz w:val="20"/>
          <w:szCs w:val="20"/>
          <w:color w:val="auto"/>
        </w:rPr>
      </w:pPr>
      <w:r>
        <w:rPr>
          <w:rFonts w:ascii="Arial" w:cs="Arial" w:eastAsia="Arial" w:hAnsi="Arial"/>
          <w:sz w:val="20"/>
          <w:szCs w:val="20"/>
          <w:color w:val="2A2A2A"/>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retirement as of December 31, 2023, his beneficiaries would be eligible for benefits under the survivor benefit plan if he were to die.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2023 non-qualified deferred compensation</w:t>
      </w:r>
    </w:p>
    <w:p>
      <w:pPr>
        <w:spacing w:after="0" w:line="257" w:lineRule="exact"/>
        <w:rPr>
          <w:sz w:val="20"/>
          <w:szCs w:val="20"/>
          <w:color w:val="auto"/>
        </w:rPr>
      </w:pPr>
    </w:p>
    <w:p>
      <w:pPr>
        <w:ind w:left="1" w:right="200"/>
        <w:spacing w:after="0" w:line="287" w:lineRule="auto"/>
        <w:rPr>
          <w:sz w:val="20"/>
          <w:szCs w:val="20"/>
          <w:color w:val="auto"/>
        </w:rPr>
      </w:pPr>
      <w:r>
        <w:rPr>
          <w:rFonts w:ascii="Arial" w:cs="Arial" w:eastAsia="Arial" w:hAnsi="Arial"/>
          <w:sz w:val="20"/>
          <w:szCs w:val="20"/>
          <w:color w:val="2A2A2A"/>
        </w:rPr>
        <w:t>The following table shows contributions to each named executive officer’s deferred compensation account in 2023 and the aggregate amount of his deferred compensation as of December 31, 2023.</w:t>
      </w:r>
    </w:p>
    <w:p>
      <w:pPr>
        <w:spacing w:after="0" w:line="142"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Executive</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Registrant</w:t>
            </w:r>
          </w:p>
        </w:tc>
        <w:tc>
          <w:tcPr>
            <w:tcW w:w="3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2A2A2A"/>
              </w:rPr>
              <w:t>Aggregate</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403"/>
              <w:spacing w:after="0"/>
              <w:rPr>
                <w:sz w:val="20"/>
                <w:szCs w:val="20"/>
                <w:color w:val="auto"/>
              </w:rPr>
            </w:pPr>
            <w:r>
              <w:rPr>
                <w:rFonts w:ascii="Arial" w:cs="Arial" w:eastAsia="Arial" w:hAnsi="Arial"/>
                <w:sz w:val="16"/>
                <w:szCs w:val="16"/>
                <w:b w:val="1"/>
                <w:bCs w:val="1"/>
                <w:color w:val="2A2A2A"/>
                <w:w w:val="98"/>
              </w:rPr>
              <w:t>Aggregate</w:t>
            </w:r>
          </w:p>
        </w:tc>
        <w:tc>
          <w:tcPr>
            <w:tcW w:w="240" w:type="dxa"/>
            <w:vAlign w:val="bottom"/>
          </w:tcPr>
          <w:p>
            <w:pPr>
              <w:spacing w:after="0"/>
              <w:rPr>
                <w:sz w:val="16"/>
                <w:szCs w:val="16"/>
                <w:color w:val="auto"/>
              </w:rPr>
            </w:pPr>
          </w:p>
        </w:tc>
        <w:tc>
          <w:tcPr>
            <w:tcW w:w="1080" w:type="dxa"/>
            <w:vAlign w:val="bottom"/>
          </w:tcPr>
          <w:p>
            <w:pPr>
              <w:jc w:val="right"/>
              <w:ind w:right="105"/>
              <w:spacing w:after="0"/>
              <w:rPr>
                <w:sz w:val="20"/>
                <w:szCs w:val="20"/>
                <w:color w:val="auto"/>
              </w:rPr>
            </w:pPr>
            <w:r>
              <w:rPr>
                <w:rFonts w:ascii="Arial" w:cs="Arial" w:eastAsia="Arial" w:hAnsi="Arial"/>
                <w:sz w:val="16"/>
                <w:szCs w:val="16"/>
                <w:b w:val="1"/>
                <w:bCs w:val="1"/>
                <w:color w:val="2A2A2A"/>
              </w:rPr>
              <w:t>Aggregate</w:t>
            </w:r>
          </w:p>
        </w:tc>
        <w:tc>
          <w:tcPr>
            <w:tcW w:w="420" w:type="dxa"/>
            <w:vAlign w:val="bottom"/>
          </w:tcPr>
          <w:p>
            <w:pPr>
              <w:spacing w:after="0"/>
              <w:rPr>
                <w:sz w:val="16"/>
                <w:szCs w:val="16"/>
                <w:color w:val="auto"/>
              </w:rPr>
            </w:pPr>
          </w:p>
        </w:tc>
      </w:tr>
      <w:tr>
        <w:trPr>
          <w:trHeight w:val="192"/>
        </w:trPr>
        <w:tc>
          <w:tcPr>
            <w:tcW w:w="21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Contributions</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Contributions</w:t>
            </w:r>
          </w:p>
        </w:tc>
        <w:tc>
          <w:tcPr>
            <w:tcW w:w="3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2A2A2A"/>
                <w:w w:val="99"/>
              </w:rPr>
              <w:t>Earnings</w:t>
            </w:r>
          </w:p>
        </w:tc>
        <w:tc>
          <w:tcPr>
            <w:tcW w:w="440" w:type="dxa"/>
            <w:vAlign w:val="bottom"/>
          </w:tcPr>
          <w:p>
            <w:pPr>
              <w:spacing w:after="0"/>
              <w:rPr>
                <w:sz w:val="16"/>
                <w:szCs w:val="16"/>
                <w:color w:val="auto"/>
              </w:rPr>
            </w:pPr>
          </w:p>
        </w:tc>
        <w:tc>
          <w:tcPr>
            <w:tcW w:w="1600" w:type="dxa"/>
            <w:vAlign w:val="bottom"/>
            <w:gridSpan w:val="2"/>
          </w:tcPr>
          <w:p>
            <w:pPr>
              <w:jc w:val="center"/>
              <w:ind w:right="123"/>
              <w:spacing w:after="0"/>
              <w:rPr>
                <w:sz w:val="20"/>
                <w:szCs w:val="20"/>
                <w:color w:val="auto"/>
              </w:rPr>
            </w:pPr>
            <w:r>
              <w:rPr>
                <w:rFonts w:ascii="Arial" w:cs="Arial" w:eastAsia="Arial" w:hAnsi="Arial"/>
                <w:sz w:val="16"/>
                <w:szCs w:val="16"/>
                <w:b w:val="1"/>
                <w:bCs w:val="1"/>
                <w:color w:val="2A2A2A"/>
                <w:w w:val="99"/>
              </w:rPr>
              <w:t>Withdrawals/</w:t>
            </w: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2A2A2A"/>
                <w:w w:val="98"/>
              </w:rPr>
              <w:t>Balance at Last</w:t>
            </w:r>
          </w:p>
        </w:tc>
        <w:tc>
          <w:tcPr>
            <w:tcW w:w="420" w:type="dxa"/>
            <w:vAlign w:val="bottom"/>
          </w:tcPr>
          <w:p>
            <w:pPr>
              <w:spacing w:after="0"/>
              <w:rPr>
                <w:sz w:val="16"/>
                <w:szCs w:val="16"/>
                <w:color w:val="auto"/>
              </w:rPr>
            </w:pPr>
          </w:p>
        </w:tc>
      </w:tr>
      <w:tr>
        <w:trPr>
          <w:trHeight w:val="219"/>
        </w:trPr>
        <w:tc>
          <w:tcPr>
            <w:tcW w:w="21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150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in Last FY (1)</w:t>
            </w:r>
          </w:p>
        </w:tc>
        <w:tc>
          <w:tcPr>
            <w:tcW w:w="1500" w:type="dxa"/>
            <w:vAlign w:val="bottom"/>
            <w:tcBorders>
              <w:bottom w:val="single" w:sz="8" w:color="2A2A2A"/>
            </w:tcBorders>
            <w:gridSpan w:val="2"/>
          </w:tcPr>
          <w:p>
            <w:pPr>
              <w:jc w:val="center"/>
              <w:spacing w:after="0"/>
              <w:rPr>
                <w:sz w:val="20"/>
                <w:szCs w:val="20"/>
                <w:color w:val="auto"/>
              </w:rPr>
            </w:pPr>
            <w:r>
              <w:rPr>
                <w:rFonts w:ascii="Arial" w:cs="Arial" w:eastAsia="Arial" w:hAnsi="Arial"/>
                <w:sz w:val="16"/>
                <w:szCs w:val="16"/>
                <w:b w:val="1"/>
                <w:bCs w:val="1"/>
                <w:color w:val="2A2A2A"/>
                <w:w w:val="99"/>
              </w:rPr>
              <w:t>in Last FY (2)</w:t>
            </w:r>
          </w:p>
        </w:tc>
        <w:tc>
          <w:tcPr>
            <w:tcW w:w="360" w:type="dxa"/>
            <w:vAlign w:val="bottom"/>
            <w:tcBorders>
              <w:bottom w:val="single" w:sz="8" w:color="2A2A2A"/>
            </w:tcBorders>
          </w:tcPr>
          <w:p>
            <w:pPr>
              <w:spacing w:after="0"/>
              <w:rPr>
                <w:sz w:val="19"/>
                <w:szCs w:val="19"/>
                <w:color w:val="auto"/>
              </w:rPr>
            </w:pPr>
          </w:p>
        </w:tc>
        <w:tc>
          <w:tcPr>
            <w:tcW w:w="9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in Last FY</w:t>
            </w:r>
          </w:p>
        </w:tc>
        <w:tc>
          <w:tcPr>
            <w:tcW w:w="440" w:type="dxa"/>
            <w:vAlign w:val="bottom"/>
            <w:tcBorders>
              <w:bottom w:val="single" w:sz="8" w:color="2A2A2A"/>
            </w:tcBorders>
          </w:tcPr>
          <w:p>
            <w:pPr>
              <w:spacing w:after="0"/>
              <w:rPr>
                <w:sz w:val="19"/>
                <w:szCs w:val="19"/>
                <w:color w:val="auto"/>
              </w:rPr>
            </w:pPr>
          </w:p>
        </w:tc>
        <w:tc>
          <w:tcPr>
            <w:tcW w:w="1600" w:type="dxa"/>
            <w:vAlign w:val="bottom"/>
            <w:tcBorders>
              <w:bottom w:val="single" w:sz="8" w:color="2A2A2A"/>
            </w:tcBorders>
            <w:gridSpan w:val="2"/>
          </w:tcPr>
          <w:p>
            <w:pPr>
              <w:jc w:val="center"/>
              <w:ind w:right="123"/>
              <w:spacing w:after="0"/>
              <w:rPr>
                <w:sz w:val="20"/>
                <w:szCs w:val="20"/>
                <w:color w:val="auto"/>
              </w:rPr>
            </w:pPr>
            <w:r>
              <w:rPr>
                <w:rFonts w:ascii="Arial" w:cs="Arial" w:eastAsia="Arial" w:hAnsi="Arial"/>
                <w:sz w:val="16"/>
                <w:szCs w:val="16"/>
                <w:b w:val="1"/>
                <w:bCs w:val="1"/>
                <w:color w:val="2A2A2A"/>
                <w:w w:val="99"/>
              </w:rPr>
              <w:t>Distributions</w:t>
            </w:r>
          </w:p>
        </w:tc>
        <w:tc>
          <w:tcPr>
            <w:tcW w:w="240" w:type="dxa"/>
            <w:vAlign w:val="bottom"/>
            <w:tcBorders>
              <w:bottom w:val="single" w:sz="8" w:color="2A2A2A"/>
            </w:tcBorders>
          </w:tcPr>
          <w:p>
            <w:pPr>
              <w:spacing w:after="0"/>
              <w:rPr>
                <w:sz w:val="19"/>
                <w:szCs w:val="19"/>
                <w:color w:val="auto"/>
              </w:rPr>
            </w:pPr>
          </w:p>
        </w:tc>
        <w:tc>
          <w:tcPr>
            <w:tcW w:w="1080" w:type="dxa"/>
            <w:vAlign w:val="bottom"/>
            <w:tcBorders>
              <w:bottom w:val="single" w:sz="8" w:color="2A2A2A"/>
            </w:tcBorders>
          </w:tcPr>
          <w:p>
            <w:pPr>
              <w:jc w:val="right"/>
              <w:ind w:right="225"/>
              <w:spacing w:after="0"/>
              <w:rPr>
                <w:sz w:val="20"/>
                <w:szCs w:val="20"/>
                <w:color w:val="auto"/>
              </w:rPr>
            </w:pPr>
            <w:r>
              <w:rPr>
                <w:rFonts w:ascii="Arial" w:cs="Arial" w:eastAsia="Arial" w:hAnsi="Arial"/>
                <w:sz w:val="16"/>
                <w:szCs w:val="16"/>
                <w:b w:val="1"/>
                <w:bCs w:val="1"/>
                <w:color w:val="2A2A2A"/>
              </w:rPr>
              <w:t>FYE (5)</w:t>
            </w:r>
          </w:p>
        </w:tc>
        <w:tc>
          <w:tcPr>
            <w:tcW w:w="420" w:type="dxa"/>
            <w:vAlign w:val="bottom"/>
            <w:tcBorders>
              <w:bottom w:val="single" w:sz="8" w:color="2A2A2A"/>
            </w:tcBorders>
          </w:tcPr>
          <w:p>
            <w:pPr>
              <w:spacing w:after="0"/>
              <w:rPr>
                <w:sz w:val="19"/>
                <w:szCs w:val="19"/>
                <w:color w:val="auto"/>
              </w:rPr>
            </w:pPr>
          </w:p>
        </w:tc>
      </w:tr>
      <w:tr>
        <w:trPr>
          <w:trHeight w:val="270"/>
        </w:trPr>
        <w:tc>
          <w:tcPr>
            <w:tcW w:w="21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w w:val="99"/>
              </w:rPr>
              <w:t>365,479</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w w:val="99"/>
              </w:rPr>
              <w:t>100,828</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287,944</w:t>
            </w:r>
          </w:p>
        </w:tc>
        <w:tc>
          <w:tcPr>
            <w:tcW w:w="440" w:type="dxa"/>
            <w:vAlign w:val="bottom"/>
            <w:shd w:val="clear" w:color="auto" w:fill="D7D7D7"/>
          </w:tcPr>
          <w:p>
            <w:pPr>
              <w:spacing w:after="0"/>
              <w:rPr>
                <w:sz w:val="23"/>
                <w:szCs w:val="23"/>
                <w:color w:val="auto"/>
              </w:rPr>
            </w:pPr>
          </w:p>
        </w:tc>
        <w:tc>
          <w:tcPr>
            <w:tcW w:w="280" w:type="dxa"/>
            <w:vAlign w:val="bottom"/>
            <w:shd w:val="clear" w:color="auto" w:fill="D7D7D7"/>
          </w:tcPr>
          <w:p>
            <w:pPr>
              <w:ind w:left="160"/>
              <w:spacing w:after="0"/>
              <w:rPr>
                <w:sz w:val="20"/>
                <w:szCs w:val="20"/>
                <w:color w:val="auto"/>
              </w:rPr>
            </w:pPr>
            <w:r>
              <w:rPr>
                <w:rFonts w:ascii="Arial" w:cs="Arial" w:eastAsia="Arial" w:hAnsi="Arial"/>
                <w:sz w:val="20"/>
                <w:szCs w:val="20"/>
                <w:color w:val="2A2A2A"/>
                <w:w w:val="89"/>
              </w:rPr>
              <w:t>$</w:t>
            </w:r>
          </w:p>
        </w:tc>
        <w:tc>
          <w:tcPr>
            <w:tcW w:w="1320" w:type="dxa"/>
            <w:vAlign w:val="bottom"/>
            <w:shd w:val="clear" w:color="auto" w:fill="D7D7D7"/>
          </w:tcPr>
          <w:p>
            <w:pPr>
              <w:jc w:val="right"/>
              <w:ind w:right="423"/>
              <w:spacing w:after="0"/>
              <w:rPr>
                <w:sz w:val="20"/>
                <w:szCs w:val="20"/>
                <w:color w:val="auto"/>
              </w:rPr>
            </w:pPr>
            <w:r>
              <w:rPr>
                <w:rFonts w:ascii="Arial" w:cs="Arial" w:eastAsia="Arial" w:hAnsi="Arial"/>
                <w:sz w:val="20"/>
                <w:szCs w:val="20"/>
                <w:color w:val="2A2A2A"/>
              </w:rPr>
              <w:t>171,350</w:t>
            </w:r>
          </w:p>
        </w:tc>
        <w:tc>
          <w:tcPr>
            <w:tcW w:w="240" w:type="dxa"/>
            <w:vAlign w:val="bottom"/>
            <w:shd w:val="clear" w:color="auto" w:fill="D7D7D7"/>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2,521,766</w:t>
            </w:r>
          </w:p>
        </w:tc>
        <w:tc>
          <w:tcPr>
            <w:tcW w:w="420" w:type="dxa"/>
            <w:vAlign w:val="bottom"/>
            <w:shd w:val="clear" w:color="auto" w:fill="D7D7D7"/>
          </w:tcPr>
          <w:p>
            <w:pPr>
              <w:spacing w:after="0"/>
              <w:rPr>
                <w:sz w:val="23"/>
                <w:szCs w:val="23"/>
                <w:color w:val="auto"/>
              </w:rPr>
            </w:pPr>
          </w:p>
        </w:tc>
      </w:tr>
      <w:tr>
        <w:trPr>
          <w:trHeight w:val="283"/>
        </w:trPr>
        <w:tc>
          <w:tcPr>
            <w:tcW w:w="2160" w:type="dxa"/>
            <w:vAlign w:val="bottom"/>
          </w:tcPr>
          <w:p>
            <w:pPr>
              <w:ind w:left="60"/>
              <w:spacing w:after="0"/>
              <w:rPr>
                <w:sz w:val="20"/>
                <w:szCs w:val="20"/>
                <w:color w:val="auto"/>
              </w:rPr>
            </w:pPr>
            <w:r>
              <w:rPr>
                <w:rFonts w:ascii="Arial" w:cs="Arial" w:eastAsia="Arial" w:hAnsi="Arial"/>
                <w:sz w:val="20"/>
                <w:szCs w:val="20"/>
                <w:color w:val="2A2A2A"/>
              </w:rPr>
              <w:t>Richard K. Templeton</w:t>
            </w: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w w:val="99"/>
              </w:rPr>
              <w:t>182,000</w:t>
            </w: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w w:val="99"/>
              </w:rPr>
              <w:t>309,555</w:t>
            </w:r>
          </w:p>
        </w:tc>
        <w:tc>
          <w:tcPr>
            <w:tcW w:w="3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spacing w:after="0"/>
              <w:rPr>
                <w:sz w:val="20"/>
                <w:szCs w:val="20"/>
                <w:color w:val="auto"/>
              </w:rPr>
            </w:pPr>
            <w:r>
              <w:rPr>
                <w:rFonts w:ascii="Arial" w:cs="Arial" w:eastAsia="Arial" w:hAnsi="Arial"/>
                <w:sz w:val="20"/>
                <w:szCs w:val="20"/>
                <w:color w:val="2A2A2A"/>
              </w:rPr>
              <w:t>1,298,817</w:t>
            </w:r>
          </w:p>
        </w:tc>
        <w:tc>
          <w:tcPr>
            <w:tcW w:w="440" w:type="dxa"/>
            <w:vAlign w:val="bottom"/>
          </w:tcPr>
          <w:p>
            <w:pPr>
              <w:jc w:val="right"/>
              <w:ind w:right="60"/>
              <w:spacing w:after="0"/>
              <w:rPr>
                <w:sz w:val="20"/>
                <w:szCs w:val="20"/>
                <w:color w:val="auto"/>
              </w:rPr>
            </w:pPr>
            <w:r>
              <w:rPr>
                <w:rFonts w:ascii="Arial" w:cs="Arial" w:eastAsia="Arial" w:hAnsi="Arial"/>
                <w:sz w:val="20"/>
                <w:szCs w:val="20"/>
                <w:color w:val="2A2A2A"/>
              </w:rPr>
              <w:t>(3)</w:t>
            </w:r>
          </w:p>
        </w:tc>
        <w:tc>
          <w:tcPr>
            <w:tcW w:w="1600" w:type="dxa"/>
            <w:vAlign w:val="bottom"/>
            <w:gridSpan w:val="2"/>
          </w:tcPr>
          <w:p>
            <w:pPr>
              <w:ind w:left="160"/>
              <w:spacing w:after="0"/>
              <w:rPr>
                <w:sz w:val="20"/>
                <w:szCs w:val="20"/>
                <w:color w:val="auto"/>
              </w:rPr>
            </w:pPr>
            <w:r>
              <w:rPr>
                <w:rFonts w:ascii="Arial" w:cs="Arial" w:eastAsia="Arial" w:hAnsi="Arial"/>
                <w:sz w:val="20"/>
                <w:szCs w:val="20"/>
                <w:color w:val="2A2A2A"/>
              </w:rPr>
              <w:t>$1,070,629 (4)</w:t>
            </w:r>
          </w:p>
        </w:tc>
        <w:tc>
          <w:tcPr>
            <w:tcW w:w="240" w:type="dxa"/>
            <w:vAlign w:val="bottom"/>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2A2A2A"/>
                <w:w w:val="99"/>
              </w:rPr>
              <w:t>21,829,626</w:t>
            </w:r>
          </w:p>
        </w:tc>
        <w:tc>
          <w:tcPr>
            <w:tcW w:w="420" w:type="dxa"/>
            <w:vAlign w:val="bottom"/>
          </w:tcPr>
          <w:p>
            <w:pPr>
              <w:jc w:val="right"/>
              <w:ind w:right="60"/>
              <w:spacing w:after="0"/>
              <w:rPr>
                <w:sz w:val="20"/>
                <w:szCs w:val="20"/>
                <w:color w:val="auto"/>
              </w:rPr>
            </w:pPr>
            <w:r>
              <w:rPr>
                <w:rFonts w:ascii="Arial" w:cs="Arial" w:eastAsia="Arial" w:hAnsi="Arial"/>
                <w:sz w:val="20"/>
                <w:szCs w:val="20"/>
                <w:color w:val="2A2A2A"/>
                <w:w w:val="97"/>
              </w:rPr>
              <w:t>(6)</w:t>
            </w:r>
          </w:p>
        </w:tc>
      </w:tr>
      <w:tr>
        <w:trPr>
          <w:trHeight w:val="287"/>
        </w:trPr>
        <w:tc>
          <w:tcPr>
            <w:tcW w:w="21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rPr>
              <w:t>64,533</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rPr>
              <w:t>96,359</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107,559</w:t>
            </w:r>
          </w:p>
        </w:tc>
        <w:tc>
          <w:tcPr>
            <w:tcW w:w="440" w:type="dxa"/>
            <w:vAlign w:val="bottom"/>
            <w:shd w:val="clear" w:color="auto" w:fill="D7D7D7"/>
          </w:tcPr>
          <w:p>
            <w:pPr>
              <w:spacing w:after="0"/>
              <w:rPr>
                <w:sz w:val="24"/>
                <w:szCs w:val="24"/>
                <w:color w:val="auto"/>
              </w:rPr>
            </w:pPr>
          </w:p>
        </w:tc>
        <w:tc>
          <w:tcPr>
            <w:tcW w:w="280" w:type="dxa"/>
            <w:vAlign w:val="bottom"/>
            <w:shd w:val="clear" w:color="auto" w:fill="D7D7D7"/>
          </w:tcPr>
          <w:p>
            <w:pPr>
              <w:ind w:left="160"/>
              <w:spacing w:after="0"/>
              <w:rPr>
                <w:sz w:val="20"/>
                <w:szCs w:val="20"/>
                <w:color w:val="auto"/>
              </w:rPr>
            </w:pPr>
            <w:r>
              <w:rPr>
                <w:rFonts w:ascii="Arial" w:cs="Arial" w:eastAsia="Arial" w:hAnsi="Arial"/>
                <w:sz w:val="20"/>
                <w:szCs w:val="20"/>
                <w:color w:val="2A2A2A"/>
                <w:w w:val="89"/>
              </w:rPr>
              <w:t>$</w:t>
            </w:r>
          </w:p>
        </w:tc>
        <w:tc>
          <w:tcPr>
            <w:tcW w:w="1320" w:type="dxa"/>
            <w:vAlign w:val="bottom"/>
            <w:shd w:val="clear" w:color="auto" w:fill="D7D7D7"/>
          </w:tcPr>
          <w:p>
            <w:pPr>
              <w:jc w:val="right"/>
              <w:ind w:right="423"/>
              <w:spacing w:after="0"/>
              <w:rPr>
                <w:sz w:val="20"/>
                <w:szCs w:val="20"/>
                <w:color w:val="auto"/>
              </w:rPr>
            </w:pPr>
            <w:r>
              <w:rPr>
                <w:rFonts w:ascii="Arial" w:cs="Arial" w:eastAsia="Arial" w:hAnsi="Arial"/>
                <w:sz w:val="20"/>
                <w:szCs w:val="20"/>
                <w:color w:val="2A2A2A"/>
              </w:rPr>
              <w:t>308,846</w:t>
            </w:r>
          </w:p>
        </w:tc>
        <w:tc>
          <w:tcPr>
            <w:tcW w:w="240" w:type="dxa"/>
            <w:vAlign w:val="bottom"/>
            <w:shd w:val="clear" w:color="auto" w:fill="D7D7D7"/>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665,328</w:t>
            </w:r>
          </w:p>
        </w:tc>
        <w:tc>
          <w:tcPr>
            <w:tcW w:w="420" w:type="dxa"/>
            <w:vAlign w:val="bottom"/>
            <w:shd w:val="clear" w:color="auto" w:fill="D7D7D7"/>
          </w:tcPr>
          <w:p>
            <w:pPr>
              <w:spacing w:after="0"/>
              <w:rPr>
                <w:sz w:val="24"/>
                <w:szCs w:val="24"/>
                <w:color w:val="auto"/>
              </w:rPr>
            </w:pPr>
          </w:p>
        </w:tc>
      </w:tr>
      <w:tr>
        <w:trPr>
          <w:trHeight w:val="283"/>
        </w:trPr>
        <w:tc>
          <w:tcPr>
            <w:tcW w:w="216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420" w:type="dxa"/>
            <w:vAlign w:val="bottom"/>
          </w:tcPr>
          <w:p>
            <w:pPr>
              <w:spacing w:after="0"/>
              <w:rPr>
                <w:sz w:val="24"/>
                <w:szCs w:val="24"/>
                <w:color w:val="auto"/>
              </w:rPr>
            </w:pP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rPr>
              <w:t>—</w:t>
            </w: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rPr>
              <w:t>59,180</w:t>
            </w:r>
          </w:p>
        </w:tc>
        <w:tc>
          <w:tcPr>
            <w:tcW w:w="3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spacing w:after="0"/>
              <w:rPr>
                <w:sz w:val="20"/>
                <w:szCs w:val="20"/>
                <w:color w:val="auto"/>
              </w:rPr>
            </w:pPr>
            <w:r>
              <w:rPr>
                <w:rFonts w:ascii="Arial" w:cs="Arial" w:eastAsia="Arial" w:hAnsi="Arial"/>
                <w:sz w:val="20"/>
                <w:szCs w:val="20"/>
                <w:color w:val="2A2A2A"/>
              </w:rPr>
              <w:t>35,642</w:t>
            </w:r>
          </w:p>
        </w:tc>
        <w:tc>
          <w:tcPr>
            <w:tcW w:w="44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Arial" w:cs="Arial" w:eastAsia="Arial" w:hAnsi="Arial"/>
                <w:sz w:val="20"/>
                <w:szCs w:val="20"/>
                <w:color w:val="2A2A2A"/>
                <w:w w:val="89"/>
              </w:rPr>
              <w:t>$</w:t>
            </w:r>
          </w:p>
        </w:tc>
        <w:tc>
          <w:tcPr>
            <w:tcW w:w="1320" w:type="dxa"/>
            <w:vAlign w:val="bottom"/>
          </w:tcPr>
          <w:p>
            <w:pPr>
              <w:jc w:val="right"/>
              <w:ind w:right="423"/>
              <w:spacing w:after="0"/>
              <w:rPr>
                <w:sz w:val="20"/>
                <w:szCs w:val="20"/>
                <w:color w:val="auto"/>
              </w:rPr>
            </w:pPr>
            <w:r>
              <w:rPr>
                <w:rFonts w:ascii="Arial" w:cs="Arial" w:eastAsia="Arial" w:hAnsi="Arial"/>
                <w:sz w:val="20"/>
                <w:szCs w:val="20"/>
                <w:color w:val="2A2A2A"/>
              </w:rPr>
              <w:t>26,928</w:t>
            </w:r>
          </w:p>
        </w:tc>
        <w:tc>
          <w:tcPr>
            <w:tcW w:w="240" w:type="dxa"/>
            <w:vAlign w:val="bottom"/>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2A2A2A"/>
              </w:rPr>
              <w:t>243,321</w:t>
            </w:r>
          </w:p>
        </w:tc>
        <w:tc>
          <w:tcPr>
            <w:tcW w:w="420" w:type="dxa"/>
            <w:vAlign w:val="bottom"/>
          </w:tcPr>
          <w:p>
            <w:pPr>
              <w:spacing w:after="0"/>
              <w:rPr>
                <w:sz w:val="24"/>
                <w:szCs w:val="24"/>
                <w:color w:val="auto"/>
              </w:rPr>
            </w:pPr>
          </w:p>
        </w:tc>
      </w:tr>
      <w:tr>
        <w:trPr>
          <w:trHeight w:val="287"/>
        </w:trPr>
        <w:tc>
          <w:tcPr>
            <w:tcW w:w="21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rPr>
              <w:t>73,000</w:t>
            </w:r>
          </w:p>
        </w:tc>
        <w:tc>
          <w:tcPr>
            <w:tcW w:w="4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20"/>
                <w:szCs w:val="20"/>
                <w:color w:val="2A2A2A"/>
                <w:w w:val="99"/>
              </w:rPr>
              <w:t>108,103</w:t>
            </w:r>
          </w:p>
        </w:tc>
        <w:tc>
          <w:tcPr>
            <w:tcW w:w="3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96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59,188</w:t>
            </w:r>
          </w:p>
        </w:tc>
        <w:tc>
          <w:tcPr>
            <w:tcW w:w="440" w:type="dxa"/>
            <w:vAlign w:val="bottom"/>
            <w:shd w:val="clear" w:color="auto" w:fill="D7D7D7"/>
          </w:tcPr>
          <w:p>
            <w:pPr>
              <w:spacing w:after="0"/>
              <w:rPr>
                <w:sz w:val="24"/>
                <w:szCs w:val="24"/>
                <w:color w:val="auto"/>
              </w:rPr>
            </w:pPr>
          </w:p>
        </w:tc>
        <w:tc>
          <w:tcPr>
            <w:tcW w:w="280" w:type="dxa"/>
            <w:vAlign w:val="bottom"/>
            <w:shd w:val="clear" w:color="auto" w:fill="D7D7D7"/>
          </w:tcPr>
          <w:p>
            <w:pPr>
              <w:ind w:left="160"/>
              <w:spacing w:after="0"/>
              <w:rPr>
                <w:sz w:val="20"/>
                <w:szCs w:val="20"/>
                <w:color w:val="auto"/>
              </w:rPr>
            </w:pPr>
            <w:r>
              <w:rPr>
                <w:rFonts w:ascii="Arial" w:cs="Arial" w:eastAsia="Arial" w:hAnsi="Arial"/>
                <w:sz w:val="20"/>
                <w:szCs w:val="20"/>
                <w:color w:val="2A2A2A"/>
                <w:w w:val="89"/>
              </w:rPr>
              <w:t>$</w:t>
            </w:r>
          </w:p>
        </w:tc>
        <w:tc>
          <w:tcPr>
            <w:tcW w:w="1320" w:type="dxa"/>
            <w:vAlign w:val="bottom"/>
            <w:shd w:val="clear" w:color="auto" w:fill="D7D7D7"/>
          </w:tcPr>
          <w:p>
            <w:pPr>
              <w:jc w:val="right"/>
              <w:ind w:right="423"/>
              <w:spacing w:after="0"/>
              <w:rPr>
                <w:sz w:val="20"/>
                <w:szCs w:val="20"/>
                <w:color w:val="auto"/>
              </w:rPr>
            </w:pPr>
            <w:r>
              <w:rPr>
                <w:rFonts w:ascii="Arial" w:cs="Arial" w:eastAsia="Arial" w:hAnsi="Arial"/>
                <w:sz w:val="20"/>
                <w:szCs w:val="20"/>
                <w:color w:val="2A2A2A"/>
              </w:rPr>
              <w:t>145,246</w:t>
            </w:r>
          </w:p>
        </w:tc>
        <w:tc>
          <w:tcPr>
            <w:tcW w:w="240" w:type="dxa"/>
            <w:vAlign w:val="bottom"/>
            <w:shd w:val="clear" w:color="auto" w:fill="D7D7D7"/>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473,039</w:t>
            </w:r>
          </w:p>
        </w:tc>
        <w:tc>
          <w:tcPr>
            <w:tcW w:w="420" w:type="dxa"/>
            <w:vAlign w:val="bottom"/>
            <w:shd w:val="clear" w:color="auto" w:fill="D7D7D7"/>
          </w:tcPr>
          <w:p>
            <w:pPr>
              <w:spacing w:after="0"/>
              <w:rPr>
                <w:sz w:val="24"/>
                <w:szCs w:val="24"/>
                <w:color w:val="auto"/>
              </w:rPr>
            </w:pPr>
          </w:p>
        </w:tc>
      </w:tr>
      <w:tr>
        <w:trPr>
          <w:trHeight w:val="281"/>
        </w:trPr>
        <w:tc>
          <w:tcPr>
            <w:tcW w:w="216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w w:val="99"/>
              </w:rPr>
              <w:t>337,188</w:t>
            </w:r>
          </w:p>
        </w:tc>
        <w:tc>
          <w:tcPr>
            <w:tcW w:w="420" w:type="dxa"/>
            <w:vAlign w:val="bottom"/>
          </w:tcPr>
          <w:p>
            <w:pPr>
              <w:jc w:val="right"/>
              <w:spacing w:after="0"/>
              <w:rPr>
                <w:sz w:val="20"/>
                <w:szCs w:val="20"/>
                <w:color w:val="auto"/>
              </w:rPr>
            </w:pPr>
            <w:r>
              <w:rPr>
                <w:rFonts w:ascii="Arial" w:cs="Arial" w:eastAsia="Arial" w:hAnsi="Arial"/>
                <w:sz w:val="20"/>
                <w:szCs w:val="20"/>
                <w:color w:val="2A2A2A"/>
              </w:rPr>
              <w:t>$</w:t>
            </w:r>
          </w:p>
        </w:tc>
        <w:tc>
          <w:tcPr>
            <w:tcW w:w="1080" w:type="dxa"/>
            <w:vAlign w:val="bottom"/>
          </w:tcPr>
          <w:p>
            <w:pPr>
              <w:jc w:val="right"/>
              <w:ind w:right="240"/>
              <w:spacing w:after="0"/>
              <w:rPr>
                <w:sz w:val="20"/>
                <w:szCs w:val="20"/>
                <w:color w:val="auto"/>
              </w:rPr>
            </w:pPr>
            <w:r>
              <w:rPr>
                <w:rFonts w:ascii="Arial" w:cs="Arial" w:eastAsia="Arial" w:hAnsi="Arial"/>
                <w:sz w:val="20"/>
                <w:szCs w:val="20"/>
                <w:color w:val="2A2A2A"/>
              </w:rPr>
              <w:t>68,875</w:t>
            </w:r>
          </w:p>
        </w:tc>
        <w:tc>
          <w:tcPr>
            <w:tcW w:w="360" w:type="dxa"/>
            <w:vAlign w:val="bottom"/>
          </w:tcPr>
          <w:p>
            <w:pPr>
              <w:jc w:val="right"/>
              <w:spacing w:after="0"/>
              <w:rPr>
                <w:sz w:val="20"/>
                <w:szCs w:val="20"/>
                <w:color w:val="auto"/>
              </w:rPr>
            </w:pPr>
            <w:r>
              <w:rPr>
                <w:rFonts w:ascii="Arial" w:cs="Arial" w:eastAsia="Arial" w:hAnsi="Arial"/>
                <w:sz w:val="20"/>
                <w:szCs w:val="20"/>
                <w:color w:val="2A2A2A"/>
              </w:rPr>
              <w:t>$</w:t>
            </w:r>
          </w:p>
        </w:tc>
        <w:tc>
          <w:tcPr>
            <w:tcW w:w="960" w:type="dxa"/>
            <w:vAlign w:val="bottom"/>
          </w:tcPr>
          <w:p>
            <w:pPr>
              <w:jc w:val="right"/>
              <w:spacing w:after="0"/>
              <w:rPr>
                <w:sz w:val="20"/>
                <w:szCs w:val="20"/>
                <w:color w:val="auto"/>
              </w:rPr>
            </w:pPr>
            <w:r>
              <w:rPr>
                <w:rFonts w:ascii="Arial" w:cs="Arial" w:eastAsia="Arial" w:hAnsi="Arial"/>
                <w:sz w:val="20"/>
                <w:szCs w:val="20"/>
                <w:color w:val="2A2A2A"/>
              </w:rPr>
              <w:t>77,757</w:t>
            </w:r>
          </w:p>
        </w:tc>
        <w:tc>
          <w:tcPr>
            <w:tcW w:w="44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Arial" w:cs="Arial" w:eastAsia="Arial" w:hAnsi="Arial"/>
                <w:sz w:val="20"/>
                <w:szCs w:val="20"/>
                <w:color w:val="2A2A2A"/>
                <w:w w:val="89"/>
              </w:rPr>
              <w:t>$</w:t>
            </w:r>
          </w:p>
        </w:tc>
        <w:tc>
          <w:tcPr>
            <w:tcW w:w="1320" w:type="dxa"/>
            <w:vAlign w:val="bottom"/>
          </w:tcPr>
          <w:p>
            <w:pPr>
              <w:jc w:val="right"/>
              <w:ind w:right="423"/>
              <w:spacing w:after="0"/>
              <w:rPr>
                <w:sz w:val="20"/>
                <w:szCs w:val="20"/>
                <w:color w:val="auto"/>
              </w:rPr>
            </w:pPr>
            <w:r>
              <w:rPr>
                <w:rFonts w:ascii="Arial" w:cs="Arial" w:eastAsia="Arial" w:hAnsi="Arial"/>
                <w:sz w:val="20"/>
                <w:szCs w:val="20"/>
                <w:color w:val="2A2A2A"/>
              </w:rPr>
              <w:t>7,966</w:t>
            </w:r>
          </w:p>
        </w:tc>
        <w:tc>
          <w:tcPr>
            <w:tcW w:w="240" w:type="dxa"/>
            <w:vAlign w:val="bottom"/>
          </w:tcPr>
          <w:p>
            <w:pPr>
              <w:ind w:left="120"/>
              <w:spacing w:after="0"/>
              <w:rPr>
                <w:sz w:val="20"/>
                <w:szCs w:val="20"/>
                <w:color w:val="auto"/>
              </w:rPr>
            </w:pPr>
            <w:r>
              <w:rPr>
                <w:rFonts w:ascii="Arial" w:cs="Arial" w:eastAsia="Arial" w:hAnsi="Arial"/>
                <w:sz w:val="20"/>
                <w:szCs w:val="20"/>
                <w:color w:val="2A2A2A"/>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2A2A2A"/>
              </w:rPr>
              <w:t>576,416</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-1096645</wp:posOffset>
            </wp:positionV>
            <wp:extent cx="6543040" cy="11137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43040" cy="1113790"/>
                    </a:xfrm>
                    <a:prstGeom prst="rect">
                      <a:avLst/>
                    </a:prstGeom>
                    <a:noFill/>
                  </pic:spPr>
                </pic:pic>
              </a:graphicData>
            </a:graphic>
          </wp:anchor>
        </w:drawing>
      </w:r>
    </w:p>
    <w:p>
      <w:pPr>
        <w:spacing w:after="0" w:line="269" w:lineRule="exact"/>
        <w:rPr>
          <w:sz w:val="20"/>
          <w:szCs w:val="20"/>
          <w:color w:val="auto"/>
        </w:rPr>
      </w:pPr>
    </w:p>
    <w:p>
      <w:pPr>
        <w:ind w:left="541" w:right="140" w:hanging="541"/>
        <w:spacing w:after="0" w:line="314" w:lineRule="auto"/>
        <w:tabs>
          <w:tab w:leader="none" w:pos="541" w:val="left"/>
        </w:tabs>
        <w:numPr>
          <w:ilvl w:val="0"/>
          <w:numId w:val="135"/>
        </w:numPr>
        <w:rPr>
          <w:rFonts w:ascii="Arial" w:cs="Arial" w:eastAsia="Arial" w:hAnsi="Arial"/>
          <w:sz w:val="19"/>
          <w:szCs w:val="19"/>
          <w:color w:val="2A2A2A"/>
        </w:rPr>
      </w:pPr>
      <w:r>
        <w:rPr>
          <w:rFonts w:ascii="Arial" w:cs="Arial" w:eastAsia="Arial" w:hAnsi="Arial"/>
          <w:sz w:val="19"/>
          <w:szCs w:val="19"/>
          <w:color w:val="2A2A2A"/>
        </w:rPr>
        <w:t>Amounts shown for Mr. Ilan include a portion of his salary and bonus paid in 2023, for Mr. Lizardi a portion of his salary paid in 2023 and for Messrs. Templeton, Flessner and Ron a portion of their bonus paid in 2023.</w:t>
      </w:r>
    </w:p>
    <w:p>
      <w:pPr>
        <w:spacing w:after="0" w:line="28" w:lineRule="exact"/>
        <w:rPr>
          <w:rFonts w:ascii="Arial" w:cs="Arial" w:eastAsia="Arial" w:hAnsi="Arial"/>
          <w:sz w:val="19"/>
          <w:szCs w:val="19"/>
          <w:color w:val="2A2A2A"/>
        </w:rPr>
      </w:pPr>
    </w:p>
    <w:p>
      <w:pPr>
        <w:ind w:left="541" w:right="20" w:hanging="541"/>
        <w:spacing w:after="0" w:line="287" w:lineRule="auto"/>
        <w:tabs>
          <w:tab w:leader="none" w:pos="541" w:val="left"/>
        </w:tabs>
        <w:numPr>
          <w:ilvl w:val="0"/>
          <w:numId w:val="135"/>
        </w:numPr>
        <w:rPr>
          <w:rFonts w:ascii="Arial" w:cs="Arial" w:eastAsia="Arial" w:hAnsi="Arial"/>
          <w:sz w:val="20"/>
          <w:szCs w:val="20"/>
          <w:color w:val="2A2A2A"/>
        </w:rPr>
      </w:pPr>
      <w:r>
        <w:rPr>
          <w:rFonts w:ascii="Arial" w:cs="Arial" w:eastAsia="Arial" w:hAnsi="Arial"/>
          <w:sz w:val="20"/>
          <w:szCs w:val="20"/>
          <w:color w:val="2A2A2A"/>
        </w:rPr>
        <w:t>Company matching contributions pursuant to the defined contribution plan. These amounts are included in the “All Other Compensation” column of the 2023 summary compensation table.</w:t>
      </w:r>
    </w:p>
    <w:p>
      <w:pPr>
        <w:spacing w:after="0" w:line="49" w:lineRule="exact"/>
        <w:rPr>
          <w:rFonts w:ascii="Arial" w:cs="Arial" w:eastAsia="Arial" w:hAnsi="Arial"/>
          <w:sz w:val="20"/>
          <w:szCs w:val="20"/>
          <w:color w:val="2A2A2A"/>
        </w:rPr>
      </w:pPr>
    </w:p>
    <w:p>
      <w:pPr>
        <w:ind w:left="541" w:right="140" w:hanging="541"/>
        <w:spacing w:after="0" w:line="256" w:lineRule="auto"/>
        <w:tabs>
          <w:tab w:leader="none" w:pos="541" w:val="left"/>
        </w:tabs>
        <w:numPr>
          <w:ilvl w:val="0"/>
          <w:numId w:val="135"/>
        </w:numPr>
        <w:rPr>
          <w:rFonts w:ascii="Arial" w:cs="Arial" w:eastAsia="Arial" w:hAnsi="Arial"/>
          <w:sz w:val="20"/>
          <w:szCs w:val="20"/>
          <w:color w:val="2A2A2A"/>
        </w:rPr>
      </w:pPr>
      <w:r>
        <w:rPr>
          <w:rFonts w:ascii="Arial" w:cs="Arial" w:eastAsia="Arial" w:hAnsi="Arial"/>
          <w:sz w:val="20"/>
          <w:szCs w:val="20"/>
          <w:color w:val="2A2A2A"/>
        </w:rPr>
        <w:t>Consists of: (i) $602,400 in dividend equivalents paid under the 120,000-share 1995 RSU award previously discussed, settlement of which has been deferred until after termination of employment; (ii) a $628,800 increase in the value of the RSU award (calculated by subtracting the value of the award at year-end 2022 from the value of the award at year-end 2023 (in both cases, the number of RSUs is multiplied by the closing price of TI common stock on the last trading date of the year)); and (iii) a $67,617 gain in Mr. Templeton’s deferred compensation account in 2023. Dividend equivalents are paid at the same rate as dividends on TI common stock.</w:t>
      </w:r>
    </w:p>
    <w:p>
      <w:pPr>
        <w:spacing w:after="0" w:line="82" w:lineRule="exact"/>
        <w:rPr>
          <w:rFonts w:ascii="Arial" w:cs="Arial" w:eastAsia="Arial" w:hAnsi="Arial"/>
          <w:sz w:val="20"/>
          <w:szCs w:val="20"/>
          <w:color w:val="2A2A2A"/>
        </w:rPr>
      </w:pPr>
    </w:p>
    <w:p>
      <w:pPr>
        <w:ind w:left="541" w:right="700" w:hanging="541"/>
        <w:spacing w:after="0" w:line="287" w:lineRule="auto"/>
        <w:tabs>
          <w:tab w:leader="none" w:pos="541" w:val="left"/>
        </w:tabs>
        <w:numPr>
          <w:ilvl w:val="0"/>
          <w:numId w:val="135"/>
        </w:numPr>
        <w:rPr>
          <w:rFonts w:ascii="Arial" w:cs="Arial" w:eastAsia="Arial" w:hAnsi="Arial"/>
          <w:sz w:val="20"/>
          <w:szCs w:val="20"/>
          <w:color w:val="2A2A2A"/>
        </w:rPr>
      </w:pPr>
      <w:r>
        <w:rPr>
          <w:rFonts w:ascii="Arial" w:cs="Arial" w:eastAsia="Arial" w:hAnsi="Arial"/>
          <w:sz w:val="20"/>
          <w:szCs w:val="20"/>
          <w:color w:val="2A2A2A"/>
        </w:rPr>
        <w:t>Consists of dividend equivalents paid on the RSU award discussed in Note 3 and a $468,229 deferred compensation plan account distribution.</w:t>
      </w:r>
    </w:p>
    <w:p>
      <w:pPr>
        <w:spacing w:after="0" w:line="49" w:lineRule="exact"/>
        <w:rPr>
          <w:rFonts w:ascii="Arial" w:cs="Arial" w:eastAsia="Arial" w:hAnsi="Arial"/>
          <w:sz w:val="20"/>
          <w:szCs w:val="20"/>
          <w:color w:val="2A2A2A"/>
        </w:rPr>
      </w:pPr>
    </w:p>
    <w:p>
      <w:pPr>
        <w:ind w:left="541" w:right="180" w:hanging="541"/>
        <w:spacing w:after="0" w:line="268" w:lineRule="auto"/>
        <w:tabs>
          <w:tab w:leader="none" w:pos="541" w:val="left"/>
        </w:tabs>
        <w:numPr>
          <w:ilvl w:val="0"/>
          <w:numId w:val="135"/>
        </w:numPr>
        <w:rPr>
          <w:rFonts w:ascii="Arial" w:cs="Arial" w:eastAsia="Arial" w:hAnsi="Arial"/>
          <w:sz w:val="20"/>
          <w:szCs w:val="20"/>
          <w:color w:val="2A2A2A"/>
        </w:rPr>
      </w:pPr>
      <w:r>
        <w:rPr>
          <w:rFonts w:ascii="Arial" w:cs="Arial" w:eastAsia="Arial" w:hAnsi="Arial"/>
          <w:sz w:val="20"/>
          <w:szCs w:val="20"/>
          <w:color w:val="2A2A2A"/>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ectPr>
          <w:pgSz w:w="12240" w:h="15840" w:orient="portrait"/>
          <w:cols w:equalWidth="0" w:num="1">
            <w:col w:w="10261"/>
          </w:cols>
          <w:pgMar w:left="979" w:top="664" w:right="1000" w:bottom="33"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53</w:t>
      </w:r>
    </w:p>
    <w:p>
      <w:pPr>
        <w:sectPr>
          <w:pgSz w:w="12240" w:h="15840" w:orient="portrait"/>
          <w:cols w:equalWidth="0" w:num="1">
            <w:col w:w="10261"/>
          </w:cols>
          <w:pgMar w:left="979" w:top="664" w:right="1000" w:bottom="33" w:gutter="0" w:footer="0" w:header="0"/>
          <w:type w:val="continuous"/>
        </w:sectPr>
      </w:pPr>
    </w:p>
    <w:bookmarkStart w:id="125" w:name="page126"/>
    <w:bookmarkEnd w:id="125"/>
    <w:p>
      <w:pPr>
        <w:ind w:left="541" w:right="320" w:hanging="541"/>
        <w:spacing w:after="0" w:line="287" w:lineRule="auto"/>
        <w:tabs>
          <w:tab w:leader="none" w:pos="541" w:val="left"/>
        </w:tabs>
        <w:numPr>
          <w:ilvl w:val="0"/>
          <w:numId w:val="136"/>
        </w:numPr>
        <w:rPr>
          <w:rFonts w:ascii="Arial" w:cs="Arial" w:eastAsia="Arial" w:hAnsi="Arial"/>
          <w:sz w:val="20"/>
          <w:szCs w:val="20"/>
          <w:color w:val="2A2A2A"/>
        </w:rPr>
      </w:pPr>
      <w:r>
        <w:rPr>
          <w:rFonts w:ascii="Arial" w:cs="Arial" w:eastAsia="Arial" w:hAnsi="Arial"/>
          <w:sz w:val="20"/>
          <w:szCs w:val="20"/>
          <w:color w:val="2A2A2A"/>
        </w:rPr>
        <w:t>Of this amount, $20,455,200 is attributable to Mr. Templeton’s 1995 RSU award, calculated as described in Note 3. The remainder is the balance of his deferred compensation account.</w:t>
      </w:r>
    </w:p>
    <w:p>
      <w:pPr>
        <w:spacing w:after="0" w:line="170" w:lineRule="exact"/>
        <w:rPr>
          <w:sz w:val="20"/>
          <w:szCs w:val="20"/>
          <w:color w:val="auto"/>
        </w:rPr>
      </w:pPr>
    </w:p>
    <w:p>
      <w:pPr>
        <w:ind w:left="1"/>
        <w:spacing w:after="0" w:line="259" w:lineRule="auto"/>
        <w:rPr>
          <w:sz w:val="20"/>
          <w:szCs w:val="20"/>
          <w:color w:val="auto"/>
        </w:rPr>
      </w:pPr>
      <w:r>
        <w:rPr>
          <w:rFonts w:ascii="Arial" w:cs="Arial" w:eastAsia="Arial" w:hAnsi="Arial"/>
          <w:sz w:val="20"/>
          <w:szCs w:val="20"/>
          <w:color w:val="2A2A2A"/>
        </w:rPr>
        <w:t>See “Benefits – Retirement plans”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99" w:lineRule="exact"/>
        <w:rPr>
          <w:sz w:val="20"/>
          <w:szCs w:val="20"/>
          <w:color w:val="auto"/>
        </w:rPr>
      </w:pPr>
    </w:p>
    <w:p>
      <w:pPr>
        <w:ind w:left="1" w:right="360"/>
        <w:spacing w:after="0" w:line="268" w:lineRule="auto"/>
        <w:rPr>
          <w:sz w:val="20"/>
          <w:szCs w:val="20"/>
          <w:color w:val="auto"/>
        </w:rPr>
      </w:pPr>
      <w:r>
        <w:rPr>
          <w:rFonts w:ascii="Arial" w:cs="Arial" w:eastAsia="Arial" w:hAnsi="Arial"/>
          <w:sz w:val="20"/>
          <w:szCs w:val="20"/>
          <w:color w:val="2A2A2A"/>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90" w:lineRule="exact"/>
        <w:rPr>
          <w:sz w:val="20"/>
          <w:szCs w:val="20"/>
          <w:color w:val="auto"/>
        </w:rPr>
      </w:pPr>
    </w:p>
    <w:p>
      <w:pPr>
        <w:ind w:left="1" w:right="100"/>
        <w:spacing w:after="0" w:line="254" w:lineRule="auto"/>
        <w:rPr>
          <w:sz w:val="20"/>
          <w:szCs w:val="20"/>
          <w:color w:val="auto"/>
        </w:rPr>
      </w:pPr>
      <w:r>
        <w:rPr>
          <w:rFonts w:ascii="Arial" w:cs="Arial" w:eastAsia="Arial" w:hAnsi="Arial"/>
          <w:sz w:val="20"/>
          <w:szCs w:val="20"/>
          <w:color w:val="2A2A2A"/>
        </w:rPr>
        <w:t>During 2023,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203"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96" w:lineRule="exact"/>
        <w:rPr>
          <w:sz w:val="20"/>
          <w:szCs w:val="20"/>
          <w:color w:val="auto"/>
        </w:rPr>
      </w:pPr>
    </w:p>
    <w:p>
      <w:pPr>
        <w:ind w:left="1" w:right="20"/>
        <w:spacing w:after="0" w:line="262" w:lineRule="auto"/>
        <w:rPr>
          <w:sz w:val="20"/>
          <w:szCs w:val="20"/>
          <w:color w:val="auto"/>
        </w:rPr>
      </w:pPr>
      <w:r>
        <w:rPr>
          <w:rFonts w:ascii="Arial" w:cs="Arial" w:eastAsia="Arial" w:hAnsi="Arial"/>
          <w:sz w:val="20"/>
          <w:szCs w:val="20"/>
          <w:color w:val="2A2A2A"/>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96" w:lineRule="exact"/>
        <w:rPr>
          <w:sz w:val="20"/>
          <w:szCs w:val="20"/>
          <w:color w:val="auto"/>
        </w:rPr>
      </w:pPr>
    </w:p>
    <w:p>
      <w:pPr>
        <w:ind w:left="1" w:right="60"/>
        <w:spacing w:after="0" w:line="257" w:lineRule="auto"/>
        <w:rPr>
          <w:sz w:val="20"/>
          <w:szCs w:val="20"/>
          <w:color w:val="auto"/>
        </w:rPr>
      </w:pPr>
      <w:r>
        <w:rPr>
          <w:rFonts w:ascii="Arial" w:cs="Arial" w:eastAsia="Arial" w:hAnsi="Arial"/>
          <w:sz w:val="20"/>
          <w:szCs w:val="20"/>
          <w:color w:val="2A2A2A"/>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2" w:lineRule="exact"/>
        <w:rPr>
          <w:sz w:val="20"/>
          <w:szCs w:val="20"/>
          <w:color w:val="auto"/>
        </w:rPr>
      </w:pPr>
    </w:p>
    <w:p>
      <w:pPr>
        <w:ind w:left="1" w:right="40"/>
        <w:spacing w:after="0" w:line="268" w:lineRule="auto"/>
        <w:rPr>
          <w:sz w:val="20"/>
          <w:szCs w:val="20"/>
          <w:color w:val="auto"/>
        </w:rPr>
      </w:pPr>
      <w:r>
        <w:rPr>
          <w:rFonts w:ascii="Arial" w:cs="Arial" w:eastAsia="Arial" w:hAnsi="Arial"/>
          <w:sz w:val="20"/>
          <w:szCs w:val="20"/>
          <w:color w:val="2A2A2A"/>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90" w:lineRule="exact"/>
        <w:rPr>
          <w:sz w:val="20"/>
          <w:szCs w:val="20"/>
          <w:color w:val="auto"/>
        </w:rPr>
      </w:pPr>
    </w:p>
    <w:p>
      <w:pPr>
        <w:ind w:left="1" w:right="40"/>
        <w:spacing w:after="0" w:line="259" w:lineRule="auto"/>
        <w:rPr>
          <w:sz w:val="20"/>
          <w:szCs w:val="20"/>
          <w:color w:val="auto"/>
        </w:rPr>
      </w:pPr>
      <w:r>
        <w:rPr>
          <w:rFonts w:ascii="Arial" w:cs="Arial" w:eastAsia="Arial" w:hAnsi="Arial"/>
          <w:sz w:val="20"/>
          <w:szCs w:val="20"/>
          <w:color w:val="2A2A2A"/>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2A2A2A"/>
        </w:rPr>
        <w:t>Potential payments upon termination or change in control</w:t>
      </w:r>
    </w:p>
    <w:p>
      <w:pPr>
        <w:spacing w:after="0" w:line="257" w:lineRule="exact"/>
        <w:rPr>
          <w:sz w:val="20"/>
          <w:szCs w:val="20"/>
          <w:color w:val="auto"/>
        </w:rPr>
      </w:pPr>
    </w:p>
    <w:p>
      <w:pPr>
        <w:ind w:left="1" w:right="100"/>
        <w:spacing w:after="0" w:line="280" w:lineRule="auto"/>
        <w:rPr>
          <w:sz w:val="20"/>
          <w:szCs w:val="20"/>
          <w:color w:val="auto"/>
        </w:rPr>
      </w:pPr>
      <w:r>
        <w:rPr>
          <w:rFonts w:ascii="Arial" w:cs="Arial" w:eastAsia="Arial" w:hAnsi="Arial"/>
          <w:sz w:val="19"/>
          <w:szCs w:val="19"/>
          <w:color w:val="2A2A2A"/>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w:t>
      </w:r>
    </w:p>
    <w:p>
      <w:pPr>
        <w:sectPr>
          <w:pgSz w:w="12240" w:h="15840" w:orient="portrait"/>
          <w:cols w:equalWidth="0" w:num="1">
            <w:col w:w="10281"/>
          </w:cols>
          <w:pgMar w:left="979" w:top="664" w:right="980" w:bottom="33"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54</w:t>
      </w:r>
    </w:p>
    <w:p>
      <w:pPr>
        <w:sectPr>
          <w:pgSz w:w="12240" w:h="15840" w:orient="portrait"/>
          <w:cols w:equalWidth="0" w:num="1">
            <w:col w:w="10281"/>
          </w:cols>
          <w:pgMar w:left="979" w:top="664" w:right="980" w:bottom="33" w:gutter="0" w:footer="0" w:header="0"/>
          <w:type w:val="continuous"/>
        </w:sectPr>
      </w:pPr>
    </w:p>
    <w:bookmarkStart w:id="126" w:name="page127"/>
    <w:bookmarkEnd w:id="126"/>
    <w:p>
      <w:pPr>
        <w:ind w:right="1000"/>
        <w:spacing w:after="0" w:line="287" w:lineRule="auto"/>
        <w:rPr>
          <w:sz w:val="20"/>
          <w:szCs w:val="20"/>
          <w:color w:val="auto"/>
        </w:rPr>
      </w:pPr>
      <w:r>
        <w:rPr>
          <w:rFonts w:ascii="Arial" w:cs="Arial" w:eastAsia="Arial" w:hAnsi="Arial"/>
          <w:sz w:val="20"/>
          <w:szCs w:val="20"/>
          <w:color w:val="2A2A2A"/>
        </w:rPr>
        <w:t>programs on the compensation decisions for 2023, see “Analysis of compensation determinations – Total compensation” and “Compensation following employment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2A2A2A"/>
        </w:rPr>
        <w:t>Termination</w:t>
      </w:r>
    </w:p>
    <w:p>
      <w:pPr>
        <w:spacing w:after="0" w:line="255" w:lineRule="exact"/>
        <w:rPr>
          <w:sz w:val="20"/>
          <w:szCs w:val="20"/>
          <w:color w:val="auto"/>
        </w:rPr>
      </w:pPr>
    </w:p>
    <w:p>
      <w:pPr>
        <w:spacing w:after="0" w:line="287" w:lineRule="auto"/>
        <w:rPr>
          <w:sz w:val="20"/>
          <w:szCs w:val="20"/>
          <w:color w:val="auto"/>
        </w:rPr>
      </w:pPr>
      <w:r>
        <w:rPr>
          <w:rFonts w:ascii="Arial" w:cs="Arial" w:eastAsia="Arial" w:hAnsi="Arial"/>
          <w:sz w:val="20"/>
          <w:szCs w:val="20"/>
          <w:color w:val="2A2A2A"/>
        </w:rPr>
        <w:t>The following programs may result in payments to a named executive officer whose employment terminates. Most of these programs have been discussed above.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Bonus</w:t>
      </w:r>
    </w:p>
    <w:p>
      <w:pPr>
        <w:spacing w:after="0" w:line="28"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2A2A2A"/>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Qualified and non-qualified defined benefit pension plans</w:t>
      </w:r>
    </w:p>
    <w:p>
      <w:pPr>
        <w:spacing w:after="0" w:line="2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2A2A2A"/>
        </w:rPr>
        <w:t>The purposes of these plans are described under “Benefits – Retirement plans.” The formula for determining benefits, the forms of benefit and the timing of payments are described under “2023 pension benefits.” The amounts disbursed under the qualified and non-qualified plans are paid, respectively, by the TI Employees Pension Trust and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Survivor benefit plan</w:t>
      </w:r>
    </w:p>
    <w:p>
      <w:pPr>
        <w:spacing w:after="0" w:line="28" w:lineRule="exact"/>
        <w:rPr>
          <w:sz w:val="20"/>
          <w:szCs w:val="20"/>
          <w:color w:val="auto"/>
        </w:rPr>
      </w:pPr>
    </w:p>
    <w:p>
      <w:pPr>
        <w:jc w:val="both"/>
        <w:ind w:right="280"/>
        <w:spacing w:after="0" w:line="258" w:lineRule="auto"/>
        <w:rPr>
          <w:sz w:val="20"/>
          <w:szCs w:val="20"/>
          <w:color w:val="auto"/>
        </w:rPr>
      </w:pPr>
      <w:r>
        <w:rPr>
          <w:rFonts w:ascii="Arial" w:cs="Arial" w:eastAsia="Arial" w:hAnsi="Arial"/>
          <w:sz w:val="20"/>
          <w:szCs w:val="20"/>
          <w:color w:val="2A2A2A"/>
        </w:rPr>
        <w:t>The purpose of this plan, along with the formula for determining the amount of benefit, the form of benefit and the timing of payments, are described under “2023 pension benefits – TI Employees Survivor Benefit Plan.” Amounts distributed are paid by the TI Employees Health Benefit Trust.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Deferred compensation plan</w:t>
      </w:r>
    </w:p>
    <w:p>
      <w:pPr>
        <w:spacing w:after="0" w:line="28"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2A2A2A"/>
        </w:rPr>
        <w:t>The purpose of this plan is described under “Benefits – Deferred Compensation.” The amounts payable under this program depend solely on the performance of investments that the participant has chosen. The timing of payments is discussed under “2023 non-qualified deferred compensation” and except in the case of death, payments are made according to the participant’s distribution election. Amounts distributed are paid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Equity compensation</w:t>
      </w:r>
    </w:p>
    <w:p>
      <w:pPr>
        <w:spacing w:after="0" w:line="28"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2A2A2A"/>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2023 table. RSU awards include a right to receive dividend equivalents. The dividend equivalents are paid annually by the company in a single cash payment after the last dividend payment of the year.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A2A2A"/>
        </w:rPr>
        <w:t>Perquisites</w:t>
      </w:r>
    </w:p>
    <w:p>
      <w:pPr>
        <w:spacing w:after="0" w:line="28" w:lineRule="exact"/>
        <w:rPr>
          <w:sz w:val="20"/>
          <w:szCs w:val="20"/>
          <w:color w:val="auto"/>
        </w:rPr>
      </w:pPr>
    </w:p>
    <w:p>
      <w:pPr>
        <w:ind w:right="540"/>
        <w:spacing w:after="0" w:line="266" w:lineRule="auto"/>
        <w:rPr>
          <w:sz w:val="20"/>
          <w:szCs w:val="20"/>
          <w:color w:val="auto"/>
        </w:rPr>
      </w:pPr>
      <w:r>
        <w:rPr>
          <w:rFonts w:ascii="Arial" w:cs="Arial" w:eastAsia="Arial" w:hAnsi="Arial"/>
          <w:sz w:val="20"/>
          <w:szCs w:val="20"/>
          <w:color w:val="2A2A2A"/>
        </w:rPr>
        <w:t>Financial counseling is provided to executive officers for a transition period following retirement. Otherwise, no perquisites continue after termination of employment.</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203"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2A2A2A"/>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55</w:t>
      </w:r>
    </w:p>
    <w:p>
      <w:pPr>
        <w:sectPr>
          <w:pgSz w:w="12240" w:h="15840" w:orient="portrait"/>
          <w:cols w:equalWidth="0" w:num="1">
            <w:col w:w="10260"/>
          </w:cols>
          <w:pgMar w:left="980" w:top="664" w:right="1000" w:bottom="33"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i w:val="1"/>
          <w:iCs w:val="1"/>
          <w:color w:val="2A2A2A"/>
        </w:rPr>
        <w:t>Change in control</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2A2A2A"/>
        </w:rPr>
        <w:t>Our only program, plan or arrangement providing benefits triggered by a change in control is the TI Employees Non-Qualified Pension Plan. A change in control at December 31, 2023, would have accelerated payment of the balance under that plan. See “2023 pension benefits – TI employees non-qualified pension plans” for a discussion of the purpose of change in control provisions of that plan as well as the circumstances and the timing of payment.</w:t>
      </w:r>
    </w:p>
    <w:p>
      <w:pPr>
        <w:spacing w:after="0" w:line="196"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2A2A2A"/>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2023 table for further information concerning change in control provisions relating to stock options and RSUs.</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20"/>
          <w:szCs w:val="20"/>
          <w:color w:val="2A2A2A"/>
        </w:rPr>
        <w:t>The table below shows as of December 31, 2023, the potential payments upon termination or change in control for each of the named executive officers.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Resignation;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Involuntary</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Arial" w:cs="Arial" w:eastAsia="Arial" w:hAnsi="Arial"/>
                <w:sz w:val="16"/>
                <w:szCs w:val="16"/>
                <w:b w:val="1"/>
                <w:bCs w:val="1"/>
                <w:color w:val="2A2A2A"/>
              </w:rPr>
              <w:t>Involuntary</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Termination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Arial" w:cs="Arial" w:eastAsia="Arial" w:hAnsi="Arial"/>
                <w:sz w:val="16"/>
                <w:szCs w:val="16"/>
                <w:b w:val="1"/>
                <w:bCs w:val="1"/>
                <w:color w:val="2A2A2A"/>
              </w:rPr>
              <w:t>Termination</w:t>
            </w:r>
          </w:p>
        </w:tc>
        <w:tc>
          <w:tcPr>
            <w:tcW w:w="18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6"/>
                <w:szCs w:val="16"/>
                <w:b w:val="1"/>
                <w:bCs w:val="1"/>
                <w:color w:val="2A2A2A"/>
                <w:w w:val="99"/>
              </w:rPr>
              <w:t>(not for</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60"/>
              <w:spacing w:after="0"/>
              <w:rPr>
                <w:sz w:val="20"/>
                <w:szCs w:val="20"/>
                <w:color w:val="auto"/>
              </w:rPr>
            </w:pPr>
            <w:r>
              <w:rPr>
                <w:rFonts w:ascii="Arial" w:cs="Arial" w:eastAsia="Arial" w:hAnsi="Arial"/>
                <w:sz w:val="16"/>
                <w:szCs w:val="16"/>
                <w:b w:val="1"/>
                <w:bCs w:val="1"/>
                <w:color w:val="2A2A2A"/>
              </w:rPr>
              <w:t>Change</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Form of Compensation</w:t>
            </w:r>
          </w:p>
        </w:tc>
        <w:tc>
          <w:tcPr>
            <w:tcW w:w="240" w:type="dxa"/>
            <w:vAlign w:val="bottom"/>
            <w:tcBorders>
              <w:bottom w:val="single" w:sz="8" w:color="2A2A2A"/>
            </w:tcBorders>
          </w:tcPr>
          <w:p>
            <w:pPr>
              <w:spacing w:after="0"/>
              <w:rPr>
                <w:sz w:val="18"/>
                <w:szCs w:val="18"/>
                <w:color w:val="auto"/>
              </w:rPr>
            </w:pPr>
          </w:p>
        </w:tc>
        <w:tc>
          <w:tcPr>
            <w:tcW w:w="940" w:type="dxa"/>
            <w:vAlign w:val="bottom"/>
            <w:tcBorders>
              <w:bottom w:val="single" w:sz="8" w:color="2A2A2A"/>
            </w:tcBorders>
          </w:tcPr>
          <w:p>
            <w:pPr>
              <w:jc w:val="right"/>
              <w:ind w:right="100"/>
              <w:spacing w:after="0"/>
              <w:rPr>
                <w:sz w:val="20"/>
                <w:szCs w:val="20"/>
                <w:color w:val="auto"/>
              </w:rPr>
            </w:pPr>
            <w:r>
              <w:rPr>
                <w:rFonts w:ascii="Arial" w:cs="Arial" w:eastAsia="Arial" w:hAnsi="Arial"/>
                <w:sz w:val="16"/>
                <w:szCs w:val="16"/>
                <w:b w:val="1"/>
                <w:bCs w:val="1"/>
                <w:color w:val="2A2A2A"/>
              </w:rPr>
              <w:t>Disability</w:t>
            </w:r>
          </w:p>
        </w:tc>
        <w:tc>
          <w:tcPr>
            <w:tcW w:w="340" w:type="dxa"/>
            <w:vAlign w:val="bottom"/>
            <w:tcBorders>
              <w:bottom w:val="single" w:sz="8" w:color="2A2A2A"/>
            </w:tcBorders>
          </w:tcPr>
          <w:p>
            <w:pPr>
              <w:spacing w:after="0"/>
              <w:rPr>
                <w:sz w:val="18"/>
                <w:szCs w:val="18"/>
                <w:color w:val="auto"/>
              </w:rPr>
            </w:pPr>
          </w:p>
        </w:tc>
        <w:tc>
          <w:tcPr>
            <w:tcW w:w="120" w:type="dxa"/>
            <w:vAlign w:val="bottom"/>
            <w:tcBorders>
              <w:bottom w:val="single" w:sz="8" w:color="2A2A2A"/>
            </w:tcBorders>
          </w:tcPr>
          <w:p>
            <w:pPr>
              <w:spacing w:after="0"/>
              <w:rPr>
                <w:sz w:val="18"/>
                <w:szCs w:val="18"/>
                <w:color w:val="auto"/>
              </w:rPr>
            </w:pPr>
          </w:p>
        </w:tc>
        <w:tc>
          <w:tcPr>
            <w:tcW w:w="940" w:type="dxa"/>
            <w:vAlign w:val="bottom"/>
            <w:tcBorders>
              <w:bottom w:val="single" w:sz="8" w:color="2A2A2A"/>
            </w:tcBorders>
          </w:tcPr>
          <w:p>
            <w:pPr>
              <w:jc w:val="right"/>
              <w:ind w:right="220"/>
              <w:spacing w:after="0"/>
              <w:rPr>
                <w:sz w:val="20"/>
                <w:szCs w:val="20"/>
                <w:color w:val="auto"/>
              </w:rPr>
            </w:pPr>
            <w:r>
              <w:rPr>
                <w:rFonts w:ascii="Arial" w:cs="Arial" w:eastAsia="Arial" w:hAnsi="Arial"/>
                <w:sz w:val="16"/>
                <w:szCs w:val="16"/>
                <w:b w:val="1"/>
                <w:bCs w:val="1"/>
                <w:color w:val="2A2A2A"/>
              </w:rPr>
              <w:t>Death</w:t>
            </w:r>
          </w:p>
        </w:tc>
        <w:tc>
          <w:tcPr>
            <w:tcW w:w="360" w:type="dxa"/>
            <w:vAlign w:val="bottom"/>
            <w:tcBorders>
              <w:bottom w:val="single" w:sz="8" w:color="2A2A2A"/>
            </w:tcBorders>
          </w:tcPr>
          <w:p>
            <w:pPr>
              <w:spacing w:after="0"/>
              <w:rPr>
                <w:sz w:val="18"/>
                <w:szCs w:val="18"/>
                <w:color w:val="auto"/>
              </w:rPr>
            </w:pPr>
          </w:p>
        </w:tc>
        <w:tc>
          <w:tcPr>
            <w:tcW w:w="120" w:type="dxa"/>
            <w:vAlign w:val="bottom"/>
            <w:tcBorders>
              <w:bottom w:val="single" w:sz="8" w:color="2A2A2A"/>
            </w:tcBorders>
          </w:tcPr>
          <w:p>
            <w:pPr>
              <w:spacing w:after="0"/>
              <w:rPr>
                <w:sz w:val="18"/>
                <w:szCs w:val="18"/>
                <w:color w:val="auto"/>
              </w:rPr>
            </w:pPr>
          </w:p>
        </w:tc>
        <w:tc>
          <w:tcPr>
            <w:tcW w:w="1080" w:type="dxa"/>
            <w:vAlign w:val="bottom"/>
            <w:tcBorders>
              <w:bottom w:val="single" w:sz="8" w:color="2A2A2A"/>
            </w:tcBorders>
          </w:tcPr>
          <w:p>
            <w:pPr>
              <w:jc w:val="center"/>
              <w:ind w:right="80"/>
              <w:spacing w:after="0"/>
              <w:rPr>
                <w:sz w:val="20"/>
                <w:szCs w:val="20"/>
                <w:color w:val="auto"/>
              </w:rPr>
            </w:pPr>
            <w:r>
              <w:rPr>
                <w:rFonts w:ascii="Arial" w:cs="Arial" w:eastAsia="Arial" w:hAnsi="Arial"/>
                <w:sz w:val="16"/>
                <w:szCs w:val="16"/>
                <w:b w:val="1"/>
                <w:bCs w:val="1"/>
                <w:color w:val="2A2A2A"/>
                <w:w w:val="97"/>
              </w:rPr>
              <w:t>for Cause</w:t>
            </w:r>
          </w:p>
        </w:tc>
        <w:tc>
          <w:tcPr>
            <w:tcW w:w="18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100"/>
              <w:spacing w:after="0"/>
              <w:rPr>
                <w:sz w:val="20"/>
                <w:szCs w:val="20"/>
                <w:color w:val="auto"/>
              </w:rPr>
            </w:pPr>
            <w:r>
              <w:rPr>
                <w:rFonts w:ascii="Arial" w:cs="Arial" w:eastAsia="Arial" w:hAnsi="Arial"/>
                <w:sz w:val="16"/>
                <w:szCs w:val="16"/>
                <w:b w:val="1"/>
                <w:bCs w:val="1"/>
                <w:color w:val="2A2A2A"/>
              </w:rPr>
              <w:t>Cause)</w:t>
            </w:r>
          </w:p>
        </w:tc>
        <w:tc>
          <w:tcPr>
            <w:tcW w:w="320" w:type="dxa"/>
            <w:vAlign w:val="bottom"/>
            <w:tcBorders>
              <w:bottom w:val="single" w:sz="8" w:color="2A2A2A"/>
            </w:tcBorders>
          </w:tcPr>
          <w:p>
            <w:pPr>
              <w:spacing w:after="0"/>
              <w:rPr>
                <w:sz w:val="18"/>
                <w:szCs w:val="18"/>
                <w:color w:val="auto"/>
              </w:rPr>
            </w:pPr>
          </w:p>
        </w:tc>
        <w:tc>
          <w:tcPr>
            <w:tcW w:w="120" w:type="dxa"/>
            <w:vAlign w:val="bottom"/>
            <w:tcBorders>
              <w:bottom w:val="single" w:sz="8" w:color="2A2A2A"/>
            </w:tcBorders>
          </w:tcPr>
          <w:p>
            <w:pPr>
              <w:spacing w:after="0"/>
              <w:rPr>
                <w:sz w:val="18"/>
                <w:szCs w:val="18"/>
                <w:color w:val="auto"/>
              </w:rPr>
            </w:pPr>
          </w:p>
        </w:tc>
        <w:tc>
          <w:tcPr>
            <w:tcW w:w="960" w:type="dxa"/>
            <w:vAlign w:val="bottom"/>
            <w:tcBorders>
              <w:bottom w:val="single" w:sz="8" w:color="2A2A2A"/>
            </w:tcBorders>
          </w:tcPr>
          <w:p>
            <w:pPr>
              <w:jc w:val="right"/>
              <w:ind w:right="40"/>
              <w:spacing w:after="0"/>
              <w:rPr>
                <w:sz w:val="20"/>
                <w:szCs w:val="20"/>
                <w:color w:val="auto"/>
              </w:rPr>
            </w:pPr>
            <w:r>
              <w:rPr>
                <w:rFonts w:ascii="Arial" w:cs="Arial" w:eastAsia="Arial" w:hAnsi="Arial"/>
                <w:sz w:val="16"/>
                <w:szCs w:val="16"/>
                <w:b w:val="1"/>
                <w:bCs w:val="1"/>
                <w:color w:val="2A2A2A"/>
                <w:w w:val="98"/>
              </w:rPr>
              <w:t>Retirement</w:t>
            </w:r>
          </w:p>
        </w:tc>
        <w:tc>
          <w:tcPr>
            <w:tcW w:w="340" w:type="dxa"/>
            <w:vAlign w:val="bottom"/>
            <w:tcBorders>
              <w:bottom w:val="single" w:sz="8" w:color="2A2A2A"/>
            </w:tcBorders>
          </w:tcPr>
          <w:p>
            <w:pPr>
              <w:spacing w:after="0"/>
              <w:rPr>
                <w:sz w:val="18"/>
                <w:szCs w:val="18"/>
                <w:color w:val="auto"/>
              </w:rPr>
            </w:pPr>
          </w:p>
        </w:tc>
        <w:tc>
          <w:tcPr>
            <w:tcW w:w="1220" w:type="dxa"/>
            <w:vAlign w:val="bottom"/>
            <w:tcBorders>
              <w:bottom w:val="single" w:sz="8" w:color="2A2A2A"/>
            </w:tcBorders>
            <w:gridSpan w:val="2"/>
          </w:tcPr>
          <w:p>
            <w:pPr>
              <w:jc w:val="right"/>
              <w:ind w:right="280"/>
              <w:spacing w:after="0"/>
              <w:rPr>
                <w:sz w:val="20"/>
                <w:szCs w:val="20"/>
                <w:color w:val="auto"/>
              </w:rPr>
            </w:pPr>
            <w:r>
              <w:rPr>
                <w:rFonts w:ascii="Arial" w:cs="Arial" w:eastAsia="Arial" w:hAnsi="Arial"/>
                <w:sz w:val="16"/>
                <w:szCs w:val="16"/>
                <w:b w:val="1"/>
                <w:bCs w:val="1"/>
                <w:color w:val="2A2A2A"/>
              </w:rPr>
              <w:t>in Control</w:t>
            </w:r>
          </w:p>
        </w:tc>
        <w:tc>
          <w:tcPr>
            <w:tcW w:w="0" w:type="dxa"/>
            <w:vAlign w:val="bottom"/>
          </w:tcPr>
          <w:p>
            <w:pPr>
              <w:spacing w:after="0"/>
              <w:rPr>
                <w:sz w:val="1"/>
                <w:szCs w:val="1"/>
                <w:color w:val="auto"/>
              </w:rPr>
            </w:pPr>
          </w:p>
        </w:tc>
      </w:tr>
      <w:tr>
        <w:trPr>
          <w:trHeight w:val="275"/>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b w:val="1"/>
                <w:bCs w:val="1"/>
                <w:color w:val="2A2A2A"/>
              </w:rPr>
              <w:t>Haviv Ilan</w:t>
            </w:r>
          </w:p>
        </w:tc>
        <w:tc>
          <w:tcPr>
            <w:tcW w:w="240" w:type="dxa"/>
            <w:vAlign w:val="bottom"/>
            <w:shd w:val="clear" w:color="auto" w:fill="D7D7D7"/>
          </w:tcPr>
          <w:p>
            <w:pPr>
              <w:spacing w:after="0"/>
              <w:rPr>
                <w:sz w:val="23"/>
                <w:szCs w:val="23"/>
                <w:color w:val="auto"/>
              </w:rPr>
            </w:pPr>
          </w:p>
        </w:tc>
        <w:tc>
          <w:tcPr>
            <w:tcW w:w="94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120" w:type="dxa"/>
            <w:vAlign w:val="bottom"/>
            <w:shd w:val="clear" w:color="auto" w:fill="D7D7D7"/>
          </w:tcPr>
          <w:p>
            <w:pPr>
              <w:spacing w:after="0"/>
              <w:rPr>
                <w:sz w:val="23"/>
                <w:szCs w:val="23"/>
                <w:color w:val="auto"/>
              </w:rPr>
            </w:pPr>
          </w:p>
        </w:tc>
        <w:tc>
          <w:tcPr>
            <w:tcW w:w="940" w:type="dxa"/>
            <w:vAlign w:val="bottom"/>
            <w:shd w:val="clear" w:color="auto" w:fill="D7D7D7"/>
          </w:tcPr>
          <w:p>
            <w:pPr>
              <w:spacing w:after="0"/>
              <w:rPr>
                <w:sz w:val="23"/>
                <w:szCs w:val="23"/>
                <w:color w:val="auto"/>
              </w:rPr>
            </w:pPr>
          </w:p>
        </w:tc>
        <w:tc>
          <w:tcPr>
            <w:tcW w:w="360" w:type="dxa"/>
            <w:vAlign w:val="bottom"/>
            <w:shd w:val="clear" w:color="auto" w:fill="D7D7D7"/>
          </w:tcPr>
          <w:p>
            <w:pPr>
              <w:spacing w:after="0"/>
              <w:rPr>
                <w:sz w:val="23"/>
                <w:szCs w:val="23"/>
                <w:color w:val="auto"/>
              </w:rPr>
            </w:pPr>
          </w:p>
        </w:tc>
        <w:tc>
          <w:tcPr>
            <w:tcW w:w="120" w:type="dxa"/>
            <w:vAlign w:val="bottom"/>
            <w:shd w:val="clear" w:color="auto" w:fill="D7D7D7"/>
          </w:tcPr>
          <w:p>
            <w:pPr>
              <w:spacing w:after="0"/>
              <w:rPr>
                <w:sz w:val="23"/>
                <w:szCs w:val="23"/>
                <w:color w:val="auto"/>
              </w:rPr>
            </w:pPr>
          </w:p>
        </w:tc>
        <w:tc>
          <w:tcPr>
            <w:tcW w:w="1080" w:type="dxa"/>
            <w:vAlign w:val="bottom"/>
            <w:shd w:val="clear" w:color="auto" w:fill="D7D7D7"/>
          </w:tcPr>
          <w:p>
            <w:pPr>
              <w:spacing w:after="0"/>
              <w:rPr>
                <w:sz w:val="23"/>
                <w:szCs w:val="23"/>
                <w:color w:val="auto"/>
              </w:rPr>
            </w:pPr>
          </w:p>
        </w:tc>
        <w:tc>
          <w:tcPr>
            <w:tcW w:w="180" w:type="dxa"/>
            <w:vAlign w:val="bottom"/>
            <w:shd w:val="clear" w:color="auto" w:fill="D7D7D7"/>
          </w:tcPr>
          <w:p>
            <w:pPr>
              <w:spacing w:after="0"/>
              <w:rPr>
                <w:sz w:val="23"/>
                <w:szCs w:val="23"/>
                <w:color w:val="auto"/>
              </w:rPr>
            </w:pPr>
          </w:p>
        </w:tc>
        <w:tc>
          <w:tcPr>
            <w:tcW w:w="880" w:type="dxa"/>
            <w:vAlign w:val="bottom"/>
            <w:shd w:val="clear" w:color="auto" w:fill="D7D7D7"/>
          </w:tcPr>
          <w:p>
            <w:pPr>
              <w:spacing w:after="0"/>
              <w:rPr>
                <w:sz w:val="23"/>
                <w:szCs w:val="23"/>
                <w:color w:val="auto"/>
              </w:rPr>
            </w:pPr>
          </w:p>
        </w:tc>
        <w:tc>
          <w:tcPr>
            <w:tcW w:w="320" w:type="dxa"/>
            <w:vAlign w:val="bottom"/>
            <w:shd w:val="clear" w:color="auto" w:fill="D7D7D7"/>
          </w:tcPr>
          <w:p>
            <w:pPr>
              <w:spacing w:after="0"/>
              <w:rPr>
                <w:sz w:val="23"/>
                <w:szCs w:val="23"/>
                <w:color w:val="auto"/>
              </w:rPr>
            </w:pPr>
          </w:p>
        </w:tc>
        <w:tc>
          <w:tcPr>
            <w:tcW w:w="120" w:type="dxa"/>
            <w:vAlign w:val="bottom"/>
            <w:shd w:val="clear" w:color="auto" w:fill="D7D7D7"/>
          </w:tcPr>
          <w:p>
            <w:pPr>
              <w:spacing w:after="0"/>
              <w:rPr>
                <w:sz w:val="23"/>
                <w:szCs w:val="23"/>
                <w:color w:val="auto"/>
              </w:rPr>
            </w:pPr>
          </w:p>
        </w:tc>
        <w:tc>
          <w:tcPr>
            <w:tcW w:w="960" w:type="dxa"/>
            <w:vAlign w:val="bottom"/>
            <w:shd w:val="clear" w:color="auto" w:fill="D7D7D7"/>
          </w:tcPr>
          <w:p>
            <w:pPr>
              <w:spacing w:after="0"/>
              <w:rPr>
                <w:sz w:val="23"/>
                <w:szCs w:val="23"/>
                <w:color w:val="auto"/>
              </w:rPr>
            </w:pPr>
          </w:p>
        </w:tc>
        <w:tc>
          <w:tcPr>
            <w:tcW w:w="340" w:type="dxa"/>
            <w:vAlign w:val="bottom"/>
            <w:shd w:val="clear" w:color="auto" w:fill="D7D7D7"/>
          </w:tcPr>
          <w:p>
            <w:pPr>
              <w:spacing w:after="0"/>
              <w:rPr>
                <w:sz w:val="23"/>
                <w:szCs w:val="23"/>
                <w:color w:val="auto"/>
              </w:rPr>
            </w:pPr>
          </w:p>
        </w:tc>
        <w:tc>
          <w:tcPr>
            <w:tcW w:w="120" w:type="dxa"/>
            <w:vAlign w:val="bottom"/>
            <w:shd w:val="clear" w:color="auto" w:fill="D7D7D7"/>
          </w:tcPr>
          <w:p>
            <w:pPr>
              <w:spacing w:after="0"/>
              <w:rPr>
                <w:sz w:val="23"/>
                <w:szCs w:val="23"/>
                <w:color w:val="auto"/>
              </w:rPr>
            </w:pPr>
          </w:p>
        </w:tc>
        <w:tc>
          <w:tcPr>
            <w:tcW w:w="110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Qualified Defined Benefit</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6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080" w:type="dxa"/>
            <w:vAlign w:val="bottom"/>
            <w:vMerge w:val="restart"/>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96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100" w:type="dxa"/>
            <w:vAlign w:val="bottom"/>
            <w:vMerge w:val="restart"/>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4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6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080" w:type="dxa"/>
            <w:vAlign w:val="bottom"/>
            <w:vMerge w:val="continue"/>
            <w:shd w:val="clear" w:color="auto" w:fill="D7D7D7"/>
          </w:tcPr>
          <w:p>
            <w:pPr>
              <w:spacing w:after="0"/>
              <w:rPr>
                <w:sz w:val="11"/>
                <w:szCs w:val="11"/>
                <w:color w:val="auto"/>
              </w:rPr>
            </w:pPr>
          </w:p>
        </w:tc>
        <w:tc>
          <w:tcPr>
            <w:tcW w:w="18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2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960" w:type="dxa"/>
            <w:vAlign w:val="bottom"/>
            <w:vMerge w:val="continue"/>
            <w:shd w:val="clear" w:color="auto" w:fill="D7D7D7"/>
          </w:tcPr>
          <w:p>
            <w:pPr>
              <w:spacing w:after="0"/>
              <w:rPr>
                <w:sz w:val="11"/>
                <w:szCs w:val="11"/>
                <w:color w:val="auto"/>
              </w:rPr>
            </w:pPr>
          </w:p>
        </w:tc>
        <w:tc>
          <w:tcPr>
            <w:tcW w:w="34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10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120" w:type="dxa"/>
            <w:vAlign w:val="bottom"/>
            <w:vMerge w:val="continue"/>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6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080" w:type="dxa"/>
            <w:vAlign w:val="bottom"/>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2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6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10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 II</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Survivor Benefit Plan</w:t>
            </w:r>
          </w:p>
        </w:tc>
        <w:tc>
          <w:tcPr>
            <w:tcW w:w="24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6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080" w:type="dxa"/>
            <w:vAlign w:val="bottom"/>
            <w:tcBorders>
              <w:bottom w:val="single" w:sz="8" w:color="D7D7D7"/>
            </w:tcBorders>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100" w:type="dxa"/>
            <w:vAlign w:val="bottom"/>
            <w:tcBorders>
              <w:bottom w:val="single" w:sz="8" w:color="D7D7D7"/>
            </w:tcBorders>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120" w:type="dxa"/>
            <w:vAlign w:val="bottom"/>
          </w:tcPr>
          <w:p>
            <w:pPr>
              <w:ind w:left="60"/>
              <w:spacing w:after="0"/>
              <w:rPr>
                <w:sz w:val="20"/>
                <w:szCs w:val="20"/>
                <w:color w:val="auto"/>
              </w:rPr>
            </w:pPr>
            <w:r>
              <w:rPr>
                <w:rFonts w:ascii="Arial" w:cs="Arial" w:eastAsia="Arial" w:hAnsi="Arial"/>
                <w:sz w:val="16"/>
                <w:szCs w:val="16"/>
                <w:color w:val="2A2A2A"/>
              </w:rPr>
              <w:t>Deferred Compensation (6)</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2,521,766</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16,726,728</w:t>
            </w:r>
          </w:p>
        </w:tc>
        <w:tc>
          <w:tcPr>
            <w:tcW w:w="34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2A2A2A"/>
              </w:rPr>
              <w:t>(8)</w:t>
            </w:r>
          </w:p>
        </w:tc>
        <w:tc>
          <w:tcPr>
            <w:tcW w:w="1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16,726,728</w:t>
            </w:r>
          </w:p>
        </w:tc>
        <w:tc>
          <w:tcPr>
            <w:tcW w:w="36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rPr>
              <w:t>(8)</w:t>
            </w:r>
          </w:p>
        </w:tc>
        <w:tc>
          <w:tcPr>
            <w:tcW w:w="120" w:type="dxa"/>
            <w:vAlign w:val="bottom"/>
            <w:tcBorders>
              <w:bottom w:val="single" w:sz="8" w:color="D7D7D7"/>
            </w:tcBorders>
            <w:shd w:val="clear" w:color="auto" w:fill="D7D7D7"/>
          </w:tcPr>
          <w:p>
            <w:pPr>
              <w:spacing w:after="0"/>
              <w:rPr>
                <w:sz w:val="23"/>
                <w:szCs w:val="23"/>
                <w:color w:val="auto"/>
              </w:rPr>
            </w:pPr>
          </w:p>
        </w:tc>
        <w:tc>
          <w:tcPr>
            <w:tcW w:w="1080" w:type="dxa"/>
            <w:vAlign w:val="bottom"/>
            <w:tcBorders>
              <w:bottom w:val="single" w:sz="8" w:color="D7D7D7"/>
            </w:tcBorders>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w w:val="99"/>
              </w:rPr>
              <w:t>16,726,728</w:t>
            </w:r>
          </w:p>
        </w:tc>
        <w:tc>
          <w:tcPr>
            <w:tcW w:w="44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(10) $</w:t>
            </w: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16,726,728</w:t>
            </w:r>
          </w:p>
        </w:tc>
        <w:tc>
          <w:tcPr>
            <w:tcW w:w="34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w w:val="98"/>
              </w:rPr>
              <w:t>(10)</w:t>
            </w:r>
          </w:p>
        </w:tc>
        <w:tc>
          <w:tcPr>
            <w:tcW w:w="120" w:type="dxa"/>
            <w:vAlign w:val="bottom"/>
            <w:tcBorders>
              <w:bottom w:val="single" w:sz="8" w:color="D7D7D7"/>
            </w:tcBorders>
            <w:shd w:val="clear" w:color="auto" w:fill="D7D7D7"/>
          </w:tcPr>
          <w:p>
            <w:pPr>
              <w:spacing w:after="0"/>
              <w:rPr>
                <w:sz w:val="23"/>
                <w:szCs w:val="23"/>
                <w:color w:val="auto"/>
              </w:rPr>
            </w:pPr>
          </w:p>
        </w:tc>
        <w:tc>
          <w:tcPr>
            <w:tcW w:w="1100" w:type="dxa"/>
            <w:vAlign w:val="bottom"/>
            <w:tcBorders>
              <w:bottom w:val="single" w:sz="8" w:color="D7D7D7"/>
            </w:tcBorders>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12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19,547,191</w:t>
            </w:r>
          </w:p>
        </w:tc>
        <w:tc>
          <w:tcPr>
            <w:tcW w:w="340" w:type="dxa"/>
            <w:vAlign w:val="bottom"/>
          </w:tcPr>
          <w:p>
            <w:pPr>
              <w:jc w:val="right"/>
              <w:spacing w:after="0"/>
              <w:rPr>
                <w:sz w:val="20"/>
                <w:szCs w:val="20"/>
                <w:color w:val="auto"/>
              </w:rPr>
            </w:pPr>
            <w:r>
              <w:rPr>
                <w:rFonts w:ascii="Arial" w:cs="Arial" w:eastAsia="Arial" w:hAnsi="Arial"/>
                <w:sz w:val="16"/>
                <w:szCs w:val="16"/>
                <w:color w:val="2A2A2A"/>
              </w:rPr>
              <w:t>(11)</w:t>
            </w: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19,547,191</w:t>
            </w:r>
          </w:p>
        </w:tc>
        <w:tc>
          <w:tcPr>
            <w:tcW w:w="360" w:type="dxa"/>
            <w:vAlign w:val="bottom"/>
          </w:tcPr>
          <w:p>
            <w:pPr>
              <w:ind w:left="40"/>
              <w:spacing w:after="0"/>
              <w:rPr>
                <w:sz w:val="20"/>
                <w:szCs w:val="20"/>
                <w:color w:val="auto"/>
              </w:rPr>
            </w:pPr>
            <w:r>
              <w:rPr>
                <w:rFonts w:ascii="Arial" w:cs="Arial" w:eastAsia="Arial" w:hAnsi="Arial"/>
                <w:sz w:val="16"/>
                <w:szCs w:val="16"/>
                <w:color w:val="2A2A2A"/>
              </w:rPr>
              <w:t>(11)</w:t>
            </w: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ind w:left="40"/>
              <w:spacing w:after="0"/>
              <w:rPr>
                <w:sz w:val="20"/>
                <w:szCs w:val="20"/>
                <w:color w:val="auto"/>
              </w:rPr>
            </w:pPr>
            <w:r>
              <w:rPr>
                <w:rFonts w:ascii="Arial" w:cs="Arial" w:eastAsia="Arial" w:hAnsi="Arial"/>
                <w:sz w:val="16"/>
                <w:szCs w:val="16"/>
                <w:color w:val="2A2A2A"/>
              </w:rPr>
              <w:t>$</w:t>
            </w:r>
          </w:p>
        </w:tc>
        <w:tc>
          <w:tcPr>
            <w:tcW w:w="880" w:type="dxa"/>
            <w:vAlign w:val="bottom"/>
          </w:tcPr>
          <w:p>
            <w:pPr>
              <w:jc w:val="right"/>
              <w:spacing w:after="0"/>
              <w:rPr>
                <w:sz w:val="20"/>
                <w:szCs w:val="20"/>
                <w:color w:val="auto"/>
              </w:rPr>
            </w:pPr>
            <w:r>
              <w:rPr>
                <w:rFonts w:ascii="Arial" w:cs="Arial" w:eastAsia="Arial" w:hAnsi="Arial"/>
                <w:sz w:val="16"/>
                <w:szCs w:val="16"/>
                <w:color w:val="2A2A2A"/>
                <w:w w:val="99"/>
              </w:rPr>
              <w:t>19,547,191</w:t>
            </w:r>
          </w:p>
        </w:tc>
        <w:tc>
          <w:tcPr>
            <w:tcW w:w="320" w:type="dxa"/>
            <w:vAlign w:val="bottom"/>
          </w:tcPr>
          <w:p>
            <w:pPr>
              <w:jc w:val="right"/>
              <w:spacing w:after="0"/>
              <w:rPr>
                <w:sz w:val="20"/>
                <w:szCs w:val="20"/>
                <w:color w:val="auto"/>
              </w:rPr>
            </w:pPr>
            <w:r>
              <w:rPr>
                <w:rFonts w:ascii="Arial" w:cs="Arial" w:eastAsia="Arial" w:hAnsi="Arial"/>
                <w:sz w:val="16"/>
                <w:szCs w:val="16"/>
                <w:color w:val="2A2A2A"/>
                <w:w w:val="98"/>
              </w:rPr>
              <w:t>(11)</w:t>
            </w: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60" w:type="dxa"/>
            <w:vAlign w:val="bottom"/>
          </w:tcPr>
          <w:p>
            <w:pPr>
              <w:jc w:val="right"/>
              <w:spacing w:after="0"/>
              <w:rPr>
                <w:sz w:val="20"/>
                <w:szCs w:val="20"/>
                <w:color w:val="auto"/>
              </w:rPr>
            </w:pPr>
            <w:r>
              <w:rPr>
                <w:rFonts w:ascii="Arial" w:cs="Arial" w:eastAsia="Arial" w:hAnsi="Arial"/>
                <w:sz w:val="16"/>
                <w:szCs w:val="16"/>
                <w:color w:val="2A2A2A"/>
              </w:rPr>
              <w:t>19,547,191</w:t>
            </w:r>
          </w:p>
        </w:tc>
        <w:tc>
          <w:tcPr>
            <w:tcW w:w="340" w:type="dxa"/>
            <w:vAlign w:val="bottom"/>
          </w:tcPr>
          <w:p>
            <w:pPr>
              <w:ind w:left="40"/>
              <w:spacing w:after="0"/>
              <w:rPr>
                <w:sz w:val="20"/>
                <w:szCs w:val="20"/>
                <w:color w:val="auto"/>
              </w:rPr>
            </w:pPr>
            <w:r>
              <w:rPr>
                <w:rFonts w:ascii="Arial" w:cs="Arial" w:eastAsia="Arial" w:hAnsi="Arial"/>
                <w:sz w:val="16"/>
                <w:szCs w:val="16"/>
                <w:color w:val="2A2A2A"/>
                <w:w w:val="98"/>
              </w:rPr>
              <w:t>(11)</w:t>
            </w: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120" w:type="dxa"/>
            <w:vAlign w:val="bottom"/>
            <w:shd w:val="clear" w:color="auto" w:fill="D7D7D7"/>
          </w:tcPr>
          <w:p>
            <w:pPr>
              <w:ind w:left="180"/>
              <w:spacing w:after="0"/>
              <w:rPr>
                <w:sz w:val="20"/>
                <w:szCs w:val="20"/>
                <w:color w:val="auto"/>
              </w:rPr>
            </w:pPr>
            <w:r>
              <w:rPr>
                <w:rFonts w:ascii="Arial" w:cs="Arial" w:eastAsia="Arial" w:hAnsi="Arial"/>
                <w:sz w:val="16"/>
                <w:szCs w:val="16"/>
                <w:b w:val="1"/>
                <w:bCs w:val="1"/>
                <w:color w:val="2A2A2A"/>
              </w:rPr>
              <w:t>H. Ilan Total</w:t>
            </w:r>
          </w:p>
        </w:tc>
        <w:tc>
          <w:tcPr>
            <w:tcW w:w="2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36,273,919</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38,795,685</w:t>
            </w:r>
          </w:p>
        </w:tc>
        <w:tc>
          <w:tcPr>
            <w:tcW w:w="36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16"/>
                <w:szCs w:val="16"/>
                <w:b w:val="1"/>
                <w:bCs w:val="1"/>
                <w:color w:val="2A2A2A"/>
              </w:rPr>
              <w:t>—</w:t>
            </w:r>
          </w:p>
        </w:tc>
        <w:tc>
          <w:tcPr>
            <w:tcW w:w="180" w:type="dxa"/>
            <w:vAlign w:val="bottom"/>
            <w:shd w:val="clear" w:color="auto" w:fill="D7D7D7"/>
          </w:tcPr>
          <w:p>
            <w:pPr>
              <w:ind w:left="40"/>
              <w:spacing w:after="0"/>
              <w:rPr>
                <w:sz w:val="20"/>
                <w:szCs w:val="20"/>
                <w:color w:val="auto"/>
              </w:rPr>
            </w:pPr>
            <w:r>
              <w:rPr>
                <w:rFonts w:ascii="Arial" w:cs="Arial" w:eastAsia="Arial" w:hAnsi="Arial"/>
                <w:sz w:val="16"/>
                <w:szCs w:val="16"/>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w w:val="99"/>
              </w:rPr>
              <w:t>36,273,919</w:t>
            </w:r>
          </w:p>
        </w:tc>
        <w:tc>
          <w:tcPr>
            <w:tcW w:w="32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6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36,273,919</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00" w:type="dxa"/>
            <w:vAlign w:val="bottom"/>
            <w:shd w:val="clear" w:color="auto" w:fill="D7D7D7"/>
          </w:tcPr>
          <w:p>
            <w:pPr>
              <w:jc w:val="right"/>
              <w:ind w:right="220"/>
              <w:spacing w:after="0"/>
              <w:rPr>
                <w:sz w:val="20"/>
                <w:szCs w:val="20"/>
                <w:color w:val="auto"/>
              </w:rPr>
            </w:pPr>
            <w:r>
              <w:rPr>
                <w:rFonts w:ascii="Arial" w:cs="Arial" w:eastAsia="Arial" w:hAnsi="Arial"/>
                <w:sz w:val="16"/>
                <w:szCs w:val="16"/>
                <w:b w:val="1"/>
                <w:bCs w:val="1"/>
                <w:color w:val="2A2A2A"/>
              </w:rPr>
              <w:t>—</w:t>
            </w:r>
          </w:p>
        </w:tc>
        <w:tc>
          <w:tcPr>
            <w:tcW w:w="0" w:type="dxa"/>
            <w:vAlign w:val="bottom"/>
          </w:tcPr>
          <w:p>
            <w:pPr>
              <w:spacing w:after="0"/>
              <w:rPr>
                <w:sz w:val="1"/>
                <w:szCs w:val="1"/>
                <w:color w:val="auto"/>
              </w:rPr>
            </w:pPr>
          </w:p>
        </w:tc>
      </w:tr>
      <w:tr>
        <w:trPr>
          <w:trHeight w:val="285"/>
        </w:trPr>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b w:val="1"/>
                <w:bCs w:val="1"/>
                <w:color w:val="2A2A2A"/>
              </w:rPr>
              <w:t>Richard K. Templeton (1)</w:t>
            </w:r>
          </w:p>
        </w:tc>
        <w:tc>
          <w:tcPr>
            <w:tcW w:w="240" w:type="dxa"/>
            <w:vAlign w:val="bottom"/>
            <w:shd w:val="clear" w:color="auto" w:fill="D7D7D7"/>
          </w:tcPr>
          <w:p>
            <w:pPr>
              <w:spacing w:after="0"/>
              <w:rPr>
                <w:sz w:val="24"/>
                <w:szCs w:val="24"/>
                <w:color w:val="auto"/>
              </w:rPr>
            </w:pPr>
          </w:p>
        </w:tc>
        <w:tc>
          <w:tcPr>
            <w:tcW w:w="94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940" w:type="dxa"/>
            <w:vAlign w:val="bottom"/>
            <w:shd w:val="clear" w:color="auto" w:fill="D7D7D7"/>
          </w:tcPr>
          <w:p>
            <w:pPr>
              <w:spacing w:after="0"/>
              <w:rPr>
                <w:sz w:val="24"/>
                <w:szCs w:val="24"/>
                <w:color w:val="auto"/>
              </w:rPr>
            </w:pPr>
          </w:p>
        </w:tc>
        <w:tc>
          <w:tcPr>
            <w:tcW w:w="36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0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88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96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Qualified Defined Benefit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867,532</w:t>
            </w:r>
          </w:p>
        </w:tc>
        <w:tc>
          <w:tcPr>
            <w:tcW w:w="340" w:type="dxa"/>
            <w:vAlign w:val="bottom"/>
            <w:vMerge w:val="restart"/>
          </w:tcPr>
          <w:p>
            <w:pPr>
              <w:jc w:val="right"/>
              <w:ind w:right="20"/>
              <w:spacing w:after="0"/>
              <w:rPr>
                <w:sz w:val="20"/>
                <w:szCs w:val="20"/>
                <w:color w:val="auto"/>
              </w:rPr>
            </w:pPr>
            <w:r>
              <w:rPr>
                <w:rFonts w:ascii="Arial" w:cs="Arial" w:eastAsia="Arial" w:hAnsi="Arial"/>
                <w:sz w:val="16"/>
                <w:szCs w:val="16"/>
                <w:color w:val="2A2A2A"/>
              </w:rPr>
              <w:t>(2)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439,334</w:t>
            </w:r>
          </w:p>
        </w:tc>
        <w:tc>
          <w:tcPr>
            <w:tcW w:w="360" w:type="dxa"/>
            <w:vAlign w:val="bottom"/>
            <w:vMerge w:val="restart"/>
          </w:tcPr>
          <w:p>
            <w:pPr>
              <w:ind w:left="40"/>
              <w:spacing w:after="0"/>
              <w:rPr>
                <w:sz w:val="20"/>
                <w:szCs w:val="20"/>
                <w:color w:val="auto"/>
              </w:rPr>
            </w:pPr>
            <w:r>
              <w:rPr>
                <w:rFonts w:ascii="Arial" w:cs="Arial" w:eastAsia="Arial" w:hAnsi="Arial"/>
                <w:sz w:val="16"/>
                <w:szCs w:val="16"/>
                <w:color w:val="2A2A2A"/>
              </w:rPr>
              <w:t>(3)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A2A2A"/>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2A2A2A"/>
              </w:rPr>
              <w:t>867,532 (4)</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2A2A2A"/>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842,983</w:t>
            </w:r>
          </w:p>
        </w:tc>
        <w:tc>
          <w:tcPr>
            <w:tcW w:w="320" w:type="dxa"/>
            <w:vAlign w:val="bottom"/>
            <w:vMerge w:val="restart"/>
          </w:tcPr>
          <w:p>
            <w:pPr>
              <w:jc w:val="right"/>
              <w:ind w:right="20"/>
              <w:spacing w:after="0"/>
              <w:rPr>
                <w:sz w:val="20"/>
                <w:szCs w:val="20"/>
                <w:color w:val="auto"/>
              </w:rPr>
            </w:pPr>
            <w:r>
              <w:rPr>
                <w:rFonts w:ascii="Arial" w:cs="Arial" w:eastAsia="Arial" w:hAnsi="Arial"/>
                <w:sz w:val="16"/>
                <w:szCs w:val="16"/>
                <w:color w:val="2A2A2A"/>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867,532</w:t>
            </w:r>
          </w:p>
        </w:tc>
        <w:tc>
          <w:tcPr>
            <w:tcW w:w="340" w:type="dxa"/>
            <w:vAlign w:val="bottom"/>
            <w:vMerge w:val="restart"/>
          </w:tcPr>
          <w:p>
            <w:pPr>
              <w:ind w:left="40"/>
              <w:spacing w:after="0"/>
              <w:rPr>
                <w:sz w:val="20"/>
                <w:szCs w:val="20"/>
                <w:color w:val="auto"/>
              </w:rPr>
            </w:pPr>
            <w:r>
              <w:rPr>
                <w:rFonts w:ascii="Arial" w:cs="Arial" w:eastAsia="Arial" w:hAnsi="Arial"/>
                <w:sz w:val="16"/>
                <w:szCs w:val="16"/>
                <w:color w:val="2A2A2A"/>
              </w:rPr>
              <w:t>(4)</w:t>
            </w: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609,677</w:t>
            </w:r>
          </w:p>
        </w:tc>
        <w:tc>
          <w:tcPr>
            <w:tcW w:w="340" w:type="dxa"/>
            <w:vAlign w:val="bottom"/>
            <w:vMerge w:val="restart"/>
            <w:shd w:val="clear" w:color="auto" w:fill="D7D7D7"/>
          </w:tcPr>
          <w:p>
            <w:pPr>
              <w:jc w:val="right"/>
              <w:ind w:right="20"/>
              <w:spacing w:after="0"/>
              <w:rPr>
                <w:sz w:val="20"/>
                <w:szCs w:val="20"/>
                <w:color w:val="auto"/>
              </w:rPr>
            </w:pPr>
            <w:r>
              <w:rPr>
                <w:rFonts w:ascii="Arial" w:cs="Arial" w:eastAsia="Arial" w:hAnsi="Arial"/>
                <w:sz w:val="16"/>
                <w:szCs w:val="16"/>
                <w:color w:val="2A2A2A"/>
              </w:rPr>
              <w:t>(2)</w:t>
            </w:r>
          </w:p>
        </w:tc>
        <w:tc>
          <w:tcPr>
            <w:tcW w:w="1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306,652</w:t>
            </w:r>
          </w:p>
        </w:tc>
        <w:tc>
          <w:tcPr>
            <w:tcW w:w="360" w:type="dxa"/>
            <w:vAlign w:val="bottom"/>
            <w:vMerge w:val="restart"/>
            <w:shd w:val="clear" w:color="auto" w:fill="D7D7D7"/>
          </w:tcPr>
          <w:p>
            <w:pPr>
              <w:ind w:left="40"/>
              <w:spacing w:after="0"/>
              <w:rPr>
                <w:sz w:val="20"/>
                <w:szCs w:val="20"/>
                <w:color w:val="auto"/>
              </w:rPr>
            </w:pPr>
            <w:r>
              <w:rPr>
                <w:rFonts w:ascii="Arial" w:cs="Arial" w:eastAsia="Arial" w:hAnsi="Arial"/>
                <w:sz w:val="16"/>
                <w:szCs w:val="16"/>
                <w:color w:val="2A2A2A"/>
              </w:rPr>
              <w:t>(3)</w:t>
            </w:r>
          </w:p>
        </w:tc>
        <w:tc>
          <w:tcPr>
            <w:tcW w:w="120" w:type="dxa"/>
            <w:vAlign w:val="bottom"/>
            <w:vMerge w:val="restart"/>
            <w:shd w:val="clear" w:color="auto" w:fill="D7D7D7"/>
          </w:tcPr>
          <w:p>
            <w:pPr>
              <w:ind w:left="20"/>
              <w:spacing w:after="0"/>
              <w:rPr>
                <w:sz w:val="20"/>
                <w:szCs w:val="20"/>
                <w:color w:val="auto"/>
              </w:rPr>
            </w:pPr>
            <w:r>
              <w:rPr>
                <w:rFonts w:ascii="Arial" w:cs="Arial" w:eastAsia="Arial" w:hAnsi="Arial"/>
                <w:sz w:val="16"/>
                <w:szCs w:val="16"/>
                <w:color w:val="2A2A2A"/>
                <w:w w:val="89"/>
              </w:rPr>
              <w:t>$</w:t>
            </w:r>
          </w:p>
        </w:tc>
        <w:tc>
          <w:tcPr>
            <w:tcW w:w="10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609,677 (4)</w:t>
            </w:r>
          </w:p>
        </w:tc>
        <w:tc>
          <w:tcPr>
            <w:tcW w:w="180" w:type="dxa"/>
            <w:vAlign w:val="bottom"/>
            <w:vMerge w:val="restart"/>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622,905</w:t>
            </w:r>
          </w:p>
        </w:tc>
        <w:tc>
          <w:tcPr>
            <w:tcW w:w="320" w:type="dxa"/>
            <w:vAlign w:val="bottom"/>
            <w:vMerge w:val="restart"/>
            <w:shd w:val="clear" w:color="auto" w:fill="D7D7D7"/>
          </w:tcPr>
          <w:p>
            <w:pPr>
              <w:jc w:val="right"/>
              <w:ind w:right="20"/>
              <w:spacing w:after="0"/>
              <w:rPr>
                <w:sz w:val="20"/>
                <w:szCs w:val="20"/>
                <w:color w:val="auto"/>
              </w:rPr>
            </w:pPr>
            <w:r>
              <w:rPr>
                <w:rFonts w:ascii="Arial" w:cs="Arial" w:eastAsia="Arial" w:hAnsi="Arial"/>
                <w:sz w:val="16"/>
                <w:szCs w:val="16"/>
                <w:color w:val="2A2A2A"/>
              </w:rPr>
              <w:t>(4)</w:t>
            </w:r>
          </w:p>
        </w:tc>
        <w:tc>
          <w:tcPr>
            <w:tcW w:w="1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6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609,677</w:t>
            </w:r>
          </w:p>
        </w:tc>
        <w:tc>
          <w:tcPr>
            <w:tcW w:w="340" w:type="dxa"/>
            <w:vAlign w:val="bottom"/>
            <w:vMerge w:val="restart"/>
            <w:shd w:val="clear" w:color="auto" w:fill="D7D7D7"/>
          </w:tcPr>
          <w:p>
            <w:pPr>
              <w:ind w:left="40"/>
              <w:spacing w:after="0"/>
              <w:rPr>
                <w:sz w:val="20"/>
                <w:szCs w:val="20"/>
                <w:color w:val="auto"/>
              </w:rPr>
            </w:pPr>
            <w:r>
              <w:rPr>
                <w:rFonts w:ascii="Arial" w:cs="Arial" w:eastAsia="Arial" w:hAnsi="Arial"/>
                <w:sz w:val="16"/>
                <w:szCs w:val="16"/>
                <w:color w:val="2A2A2A"/>
              </w:rPr>
              <w:t>(4)</w:t>
            </w:r>
          </w:p>
        </w:tc>
        <w:tc>
          <w:tcPr>
            <w:tcW w:w="120" w:type="dxa"/>
            <w:vAlign w:val="bottom"/>
            <w:vMerge w:val="restart"/>
            <w:shd w:val="clear" w:color="auto" w:fill="D7D7D7"/>
          </w:tcPr>
          <w:p>
            <w:pPr>
              <w:ind w:left="20"/>
              <w:spacing w:after="0"/>
              <w:rPr>
                <w:sz w:val="20"/>
                <w:szCs w:val="20"/>
                <w:color w:val="auto"/>
              </w:rPr>
            </w:pPr>
            <w:r>
              <w:rPr>
                <w:rFonts w:ascii="Arial" w:cs="Arial" w:eastAsia="Arial" w:hAnsi="Arial"/>
                <w:sz w:val="16"/>
                <w:szCs w:val="16"/>
                <w:color w:val="2A2A2A"/>
                <w:w w:val="89"/>
              </w:rPr>
              <w:t>$</w:t>
            </w:r>
          </w:p>
        </w:tc>
        <w:tc>
          <w:tcPr>
            <w:tcW w:w="110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609,677 (4)</w:t>
            </w:r>
          </w:p>
        </w:tc>
        <w:tc>
          <w:tcPr>
            <w:tcW w:w="0" w:type="dxa"/>
            <w:vAlign w:val="bottom"/>
          </w:tcPr>
          <w:p>
            <w:pPr>
              <w:spacing w:after="0"/>
              <w:rPr>
                <w:sz w:val="1"/>
                <w:szCs w:val="1"/>
                <w:color w:val="auto"/>
              </w:rPr>
            </w:pPr>
          </w:p>
        </w:tc>
      </w:tr>
      <w:tr>
        <w:trPr>
          <w:trHeight w:val="129"/>
        </w:trPr>
        <w:tc>
          <w:tcPr>
            <w:tcW w:w="212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vMerge w:val="continue"/>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40" w:type="dxa"/>
            <w:vAlign w:val="bottom"/>
            <w:vMerge w:val="continue"/>
            <w:shd w:val="clear" w:color="auto" w:fill="D7D7D7"/>
          </w:tcPr>
          <w:p>
            <w:pPr>
              <w:spacing w:after="0"/>
              <w:rPr>
                <w:sz w:val="11"/>
                <w:szCs w:val="11"/>
                <w:color w:val="auto"/>
              </w:rPr>
            </w:pPr>
          </w:p>
        </w:tc>
        <w:tc>
          <w:tcPr>
            <w:tcW w:w="120" w:type="dxa"/>
            <w:vAlign w:val="bottom"/>
            <w:vMerge w:val="continue"/>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60" w:type="dxa"/>
            <w:vAlign w:val="bottom"/>
            <w:vMerge w:val="continue"/>
            <w:shd w:val="clear" w:color="auto" w:fill="D7D7D7"/>
          </w:tcPr>
          <w:p>
            <w:pPr>
              <w:spacing w:after="0"/>
              <w:rPr>
                <w:sz w:val="11"/>
                <w:szCs w:val="11"/>
                <w:color w:val="auto"/>
              </w:rPr>
            </w:pPr>
          </w:p>
        </w:tc>
        <w:tc>
          <w:tcPr>
            <w:tcW w:w="120" w:type="dxa"/>
            <w:vAlign w:val="bottom"/>
            <w:vMerge w:val="continue"/>
            <w:shd w:val="clear" w:color="auto" w:fill="D7D7D7"/>
          </w:tcPr>
          <w:p>
            <w:pPr>
              <w:spacing w:after="0"/>
              <w:rPr>
                <w:sz w:val="11"/>
                <w:szCs w:val="11"/>
                <w:color w:val="auto"/>
              </w:rPr>
            </w:pPr>
          </w:p>
        </w:tc>
        <w:tc>
          <w:tcPr>
            <w:tcW w:w="1080" w:type="dxa"/>
            <w:vAlign w:val="bottom"/>
            <w:vMerge w:val="continue"/>
            <w:shd w:val="clear" w:color="auto" w:fill="D7D7D7"/>
          </w:tcPr>
          <w:p>
            <w:pPr>
              <w:spacing w:after="0"/>
              <w:rPr>
                <w:sz w:val="11"/>
                <w:szCs w:val="11"/>
                <w:color w:val="auto"/>
              </w:rPr>
            </w:pPr>
          </w:p>
        </w:tc>
        <w:tc>
          <w:tcPr>
            <w:tcW w:w="180" w:type="dxa"/>
            <w:vAlign w:val="bottom"/>
            <w:vMerge w:val="continue"/>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20" w:type="dxa"/>
            <w:vAlign w:val="bottom"/>
            <w:vMerge w:val="continue"/>
            <w:shd w:val="clear" w:color="auto" w:fill="D7D7D7"/>
          </w:tcPr>
          <w:p>
            <w:pPr>
              <w:spacing w:after="0"/>
              <w:rPr>
                <w:sz w:val="11"/>
                <w:szCs w:val="11"/>
                <w:color w:val="auto"/>
              </w:rPr>
            </w:pPr>
          </w:p>
        </w:tc>
        <w:tc>
          <w:tcPr>
            <w:tcW w:w="120" w:type="dxa"/>
            <w:vAlign w:val="bottom"/>
            <w:vMerge w:val="continue"/>
            <w:shd w:val="clear" w:color="auto" w:fill="D7D7D7"/>
          </w:tcPr>
          <w:p>
            <w:pPr>
              <w:spacing w:after="0"/>
              <w:rPr>
                <w:sz w:val="11"/>
                <w:szCs w:val="11"/>
                <w:color w:val="auto"/>
              </w:rPr>
            </w:pPr>
          </w:p>
        </w:tc>
        <w:tc>
          <w:tcPr>
            <w:tcW w:w="960" w:type="dxa"/>
            <w:vAlign w:val="bottom"/>
            <w:vMerge w:val="continue"/>
            <w:shd w:val="clear" w:color="auto" w:fill="D7D7D7"/>
          </w:tcPr>
          <w:p>
            <w:pPr>
              <w:spacing w:after="0"/>
              <w:rPr>
                <w:sz w:val="11"/>
                <w:szCs w:val="11"/>
                <w:color w:val="auto"/>
              </w:rPr>
            </w:pPr>
          </w:p>
        </w:tc>
        <w:tc>
          <w:tcPr>
            <w:tcW w:w="340" w:type="dxa"/>
            <w:vAlign w:val="bottom"/>
            <w:vMerge w:val="continue"/>
            <w:shd w:val="clear" w:color="auto" w:fill="D7D7D7"/>
          </w:tcPr>
          <w:p>
            <w:pPr>
              <w:spacing w:after="0"/>
              <w:rPr>
                <w:sz w:val="11"/>
                <w:szCs w:val="11"/>
                <w:color w:val="auto"/>
              </w:rPr>
            </w:pPr>
          </w:p>
        </w:tc>
        <w:tc>
          <w:tcPr>
            <w:tcW w:w="120" w:type="dxa"/>
            <w:vAlign w:val="bottom"/>
            <w:vMerge w:val="continue"/>
            <w:shd w:val="clear" w:color="auto" w:fill="D7D7D7"/>
          </w:tcPr>
          <w:p>
            <w:pPr>
              <w:spacing w:after="0"/>
              <w:rPr>
                <w:sz w:val="11"/>
                <w:szCs w:val="11"/>
                <w:color w:val="auto"/>
              </w:rPr>
            </w:pPr>
          </w:p>
        </w:tc>
        <w:tc>
          <w:tcPr>
            <w:tcW w:w="110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120" w:type="dxa"/>
            <w:vAlign w:val="bottom"/>
            <w:vMerge w:val="continue"/>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6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080" w:type="dxa"/>
            <w:vAlign w:val="bottom"/>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2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6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10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35,756</w:t>
            </w:r>
          </w:p>
        </w:tc>
        <w:tc>
          <w:tcPr>
            <w:tcW w:w="340" w:type="dxa"/>
            <w:vAlign w:val="bottom"/>
            <w:vMerge w:val="restart"/>
          </w:tcPr>
          <w:p>
            <w:pPr>
              <w:jc w:val="right"/>
              <w:ind w:right="20"/>
              <w:spacing w:after="0"/>
              <w:rPr>
                <w:sz w:val="20"/>
                <w:szCs w:val="20"/>
                <w:color w:val="auto"/>
              </w:rPr>
            </w:pPr>
            <w:r>
              <w:rPr>
                <w:rFonts w:ascii="Arial" w:cs="Arial" w:eastAsia="Arial" w:hAnsi="Arial"/>
                <w:sz w:val="16"/>
                <w:szCs w:val="16"/>
                <w:color w:val="2A2A2A"/>
              </w:rPr>
              <w:t>(5)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17,984</w:t>
            </w:r>
          </w:p>
        </w:tc>
        <w:tc>
          <w:tcPr>
            <w:tcW w:w="360" w:type="dxa"/>
            <w:vAlign w:val="bottom"/>
            <w:vMerge w:val="restart"/>
          </w:tcPr>
          <w:p>
            <w:pPr>
              <w:ind w:left="40"/>
              <w:spacing w:after="0"/>
              <w:rPr>
                <w:sz w:val="20"/>
                <w:szCs w:val="20"/>
                <w:color w:val="auto"/>
              </w:rPr>
            </w:pPr>
            <w:r>
              <w:rPr>
                <w:rFonts w:ascii="Arial" w:cs="Arial" w:eastAsia="Arial" w:hAnsi="Arial"/>
                <w:sz w:val="16"/>
                <w:szCs w:val="16"/>
                <w:color w:val="2A2A2A"/>
              </w:rPr>
              <w:t>(3)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A2A2A"/>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2A2A2A"/>
              </w:rPr>
              <w:t>35,756 (4)</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35,756</w:t>
            </w:r>
          </w:p>
        </w:tc>
        <w:tc>
          <w:tcPr>
            <w:tcW w:w="340" w:type="dxa"/>
            <w:vAlign w:val="bottom"/>
            <w:vMerge w:val="restart"/>
          </w:tcPr>
          <w:p>
            <w:pPr>
              <w:ind w:left="40"/>
              <w:spacing w:after="0"/>
              <w:rPr>
                <w:sz w:val="20"/>
                <w:szCs w:val="20"/>
                <w:color w:val="auto"/>
              </w:rPr>
            </w:pPr>
            <w:r>
              <w:rPr>
                <w:rFonts w:ascii="Arial" w:cs="Arial" w:eastAsia="Arial" w:hAnsi="Arial"/>
                <w:sz w:val="16"/>
                <w:szCs w:val="16"/>
                <w:color w:val="2A2A2A"/>
              </w:rPr>
              <w:t>(4)</w:t>
            </w: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 II</w:t>
            </w:r>
          </w:p>
        </w:tc>
        <w:tc>
          <w:tcPr>
            <w:tcW w:w="2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Survivor Benefit Plan</w:t>
            </w:r>
          </w:p>
        </w:tc>
        <w:tc>
          <w:tcPr>
            <w:tcW w:w="24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748,995</w:t>
            </w:r>
          </w:p>
        </w:tc>
        <w:tc>
          <w:tcPr>
            <w:tcW w:w="36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rPr>
              <w:t>(6)</w:t>
            </w:r>
          </w:p>
        </w:tc>
        <w:tc>
          <w:tcPr>
            <w:tcW w:w="120" w:type="dxa"/>
            <w:vAlign w:val="bottom"/>
            <w:tcBorders>
              <w:bottom w:val="single" w:sz="8" w:color="D7D7D7"/>
            </w:tcBorders>
            <w:shd w:val="clear" w:color="auto" w:fill="D7D7D7"/>
          </w:tcPr>
          <w:p>
            <w:pPr>
              <w:spacing w:after="0"/>
              <w:rPr>
                <w:sz w:val="23"/>
                <w:szCs w:val="23"/>
                <w:color w:val="auto"/>
              </w:rPr>
            </w:pPr>
          </w:p>
        </w:tc>
        <w:tc>
          <w:tcPr>
            <w:tcW w:w="1080" w:type="dxa"/>
            <w:vAlign w:val="bottom"/>
            <w:tcBorders>
              <w:bottom w:val="single" w:sz="8" w:color="D7D7D7"/>
            </w:tcBorders>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100" w:type="dxa"/>
            <w:vAlign w:val="bottom"/>
            <w:tcBorders>
              <w:bottom w:val="single" w:sz="8" w:color="D7D7D7"/>
            </w:tcBorders>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120" w:type="dxa"/>
            <w:vAlign w:val="bottom"/>
          </w:tcPr>
          <w:p>
            <w:pPr>
              <w:ind w:left="60"/>
              <w:spacing w:after="0"/>
              <w:rPr>
                <w:sz w:val="20"/>
                <w:szCs w:val="20"/>
                <w:color w:val="auto"/>
              </w:rPr>
            </w:pPr>
            <w:r>
              <w:rPr>
                <w:rFonts w:ascii="Arial" w:cs="Arial" w:eastAsia="Arial" w:hAnsi="Arial"/>
                <w:sz w:val="16"/>
                <w:szCs w:val="16"/>
                <w:color w:val="2A2A2A"/>
              </w:rPr>
              <w:t>Deferred Compensation (7)</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1,374,426</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51,372,212</w:t>
            </w:r>
          </w:p>
        </w:tc>
        <w:tc>
          <w:tcPr>
            <w:tcW w:w="34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2A2A2A"/>
              </w:rPr>
              <w:t>(8)</w:t>
            </w:r>
          </w:p>
        </w:tc>
        <w:tc>
          <w:tcPr>
            <w:tcW w:w="1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51,372,212</w:t>
            </w:r>
          </w:p>
        </w:tc>
        <w:tc>
          <w:tcPr>
            <w:tcW w:w="36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rPr>
              <w:t>(8)</w:t>
            </w:r>
          </w:p>
        </w:tc>
        <w:tc>
          <w:tcPr>
            <w:tcW w:w="1200" w:type="dxa"/>
            <w:vAlign w:val="bottom"/>
            <w:tcBorders>
              <w:bottom w:val="single" w:sz="8" w:color="D7D7D7"/>
            </w:tcBorders>
            <w:gridSpan w:val="2"/>
            <w:shd w:val="clear" w:color="auto" w:fill="D7D7D7"/>
          </w:tcPr>
          <w:p>
            <w:pPr>
              <w:ind w:left="20"/>
              <w:spacing w:after="0"/>
              <w:rPr>
                <w:sz w:val="20"/>
                <w:szCs w:val="20"/>
                <w:color w:val="auto"/>
              </w:rPr>
            </w:pPr>
            <w:r>
              <w:rPr>
                <w:rFonts w:ascii="Arial" w:cs="Arial" w:eastAsia="Arial" w:hAnsi="Arial"/>
                <w:sz w:val="16"/>
                <w:szCs w:val="16"/>
                <w:color w:val="2A2A2A"/>
              </w:rPr>
              <w:t>$20,455,200 (9)</w:t>
            </w:r>
          </w:p>
        </w:tc>
        <w:tc>
          <w:tcPr>
            <w:tcW w:w="18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w w:val="99"/>
              </w:rPr>
              <w:t>51,372,212</w:t>
            </w:r>
          </w:p>
        </w:tc>
        <w:tc>
          <w:tcPr>
            <w:tcW w:w="440" w:type="dxa"/>
            <w:vAlign w:val="bottom"/>
            <w:tcBorders>
              <w:bottom w:val="single" w:sz="8" w:color="D7D7D7"/>
            </w:tcBorders>
            <w:gridSpan w:val="2"/>
            <w:shd w:val="clear" w:color="auto" w:fill="D7D7D7"/>
          </w:tcPr>
          <w:p>
            <w:pPr>
              <w:jc w:val="right"/>
              <w:spacing w:after="0"/>
              <w:rPr>
                <w:sz w:val="20"/>
                <w:szCs w:val="20"/>
                <w:color w:val="auto"/>
              </w:rPr>
            </w:pPr>
            <w:r>
              <w:rPr>
                <w:rFonts w:ascii="Arial" w:cs="Arial" w:eastAsia="Arial" w:hAnsi="Arial"/>
                <w:sz w:val="16"/>
                <w:szCs w:val="16"/>
                <w:color w:val="2A2A2A"/>
              </w:rPr>
              <w:t>(10) $</w:t>
            </w: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51,372,212</w:t>
            </w:r>
          </w:p>
        </w:tc>
        <w:tc>
          <w:tcPr>
            <w:tcW w:w="340" w:type="dxa"/>
            <w:vAlign w:val="bottom"/>
            <w:tcBorders>
              <w:bottom w:val="single" w:sz="8" w:color="D7D7D7"/>
            </w:tcBorders>
            <w:shd w:val="clear" w:color="auto" w:fill="D7D7D7"/>
          </w:tcPr>
          <w:p>
            <w:pPr>
              <w:ind w:left="40"/>
              <w:spacing w:after="0"/>
              <w:rPr>
                <w:sz w:val="20"/>
                <w:szCs w:val="20"/>
                <w:color w:val="auto"/>
              </w:rPr>
            </w:pPr>
            <w:r>
              <w:rPr>
                <w:rFonts w:ascii="Arial" w:cs="Arial" w:eastAsia="Arial" w:hAnsi="Arial"/>
                <w:sz w:val="16"/>
                <w:szCs w:val="16"/>
                <w:color w:val="2A2A2A"/>
                <w:w w:val="98"/>
              </w:rPr>
              <w:t>(10)</w:t>
            </w:r>
          </w:p>
        </w:tc>
        <w:tc>
          <w:tcPr>
            <w:tcW w:w="1220" w:type="dxa"/>
            <w:vAlign w:val="bottom"/>
            <w:tcBorders>
              <w:bottom w:val="single" w:sz="8" w:color="D7D7D7"/>
            </w:tcBorders>
            <w:gridSpan w:val="2"/>
            <w:shd w:val="clear" w:color="auto" w:fill="D7D7D7"/>
          </w:tcPr>
          <w:p>
            <w:pPr>
              <w:ind w:left="20"/>
              <w:spacing w:after="0"/>
              <w:rPr>
                <w:sz w:val="20"/>
                <w:szCs w:val="20"/>
                <w:color w:val="auto"/>
              </w:rPr>
            </w:pPr>
            <w:r>
              <w:rPr>
                <w:rFonts w:ascii="Arial" w:cs="Arial" w:eastAsia="Arial" w:hAnsi="Arial"/>
                <w:sz w:val="16"/>
                <w:szCs w:val="16"/>
                <w:color w:val="2A2A2A"/>
              </w:rPr>
              <w:t>$20,455,200 (9)</w:t>
            </w:r>
          </w:p>
        </w:tc>
        <w:tc>
          <w:tcPr>
            <w:tcW w:w="0" w:type="dxa"/>
            <w:vAlign w:val="bottom"/>
          </w:tcPr>
          <w:p>
            <w:pPr>
              <w:spacing w:after="0"/>
              <w:rPr>
                <w:sz w:val="1"/>
                <w:szCs w:val="1"/>
                <w:color w:val="auto"/>
              </w:rPr>
            </w:pPr>
          </w:p>
        </w:tc>
      </w:tr>
      <w:tr>
        <w:trPr>
          <w:trHeight w:val="258"/>
        </w:trPr>
        <w:tc>
          <w:tcPr>
            <w:tcW w:w="212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w w:val="98"/>
              </w:rPr>
              <w:t>193,533,135</w:t>
            </w:r>
          </w:p>
        </w:tc>
        <w:tc>
          <w:tcPr>
            <w:tcW w:w="460" w:type="dxa"/>
            <w:vAlign w:val="bottom"/>
            <w:gridSpan w:val="2"/>
          </w:tcPr>
          <w:p>
            <w:pPr>
              <w:jc w:val="right"/>
              <w:spacing w:after="0"/>
              <w:rPr>
                <w:sz w:val="20"/>
                <w:szCs w:val="20"/>
                <w:color w:val="auto"/>
              </w:rPr>
            </w:pPr>
            <w:r>
              <w:rPr>
                <w:rFonts w:ascii="Arial" w:cs="Arial" w:eastAsia="Arial" w:hAnsi="Arial"/>
                <w:sz w:val="16"/>
                <w:szCs w:val="16"/>
                <w:color w:val="2A2A2A"/>
              </w:rPr>
              <w:t>(11) $</w:t>
            </w:r>
          </w:p>
        </w:tc>
        <w:tc>
          <w:tcPr>
            <w:tcW w:w="940" w:type="dxa"/>
            <w:vAlign w:val="bottom"/>
          </w:tcPr>
          <w:p>
            <w:pPr>
              <w:jc w:val="right"/>
              <w:spacing w:after="0"/>
              <w:rPr>
                <w:sz w:val="20"/>
                <w:szCs w:val="20"/>
                <w:color w:val="auto"/>
              </w:rPr>
            </w:pPr>
            <w:r>
              <w:rPr>
                <w:rFonts w:ascii="Arial" w:cs="Arial" w:eastAsia="Arial" w:hAnsi="Arial"/>
                <w:sz w:val="16"/>
                <w:szCs w:val="16"/>
                <w:color w:val="2A2A2A"/>
              </w:rPr>
              <w:t>193,533,135</w:t>
            </w:r>
          </w:p>
        </w:tc>
        <w:tc>
          <w:tcPr>
            <w:tcW w:w="360" w:type="dxa"/>
            <w:vAlign w:val="bottom"/>
          </w:tcPr>
          <w:p>
            <w:pPr>
              <w:ind w:left="40"/>
              <w:spacing w:after="0"/>
              <w:rPr>
                <w:sz w:val="20"/>
                <w:szCs w:val="20"/>
                <w:color w:val="auto"/>
              </w:rPr>
            </w:pPr>
            <w:r>
              <w:rPr>
                <w:rFonts w:ascii="Arial" w:cs="Arial" w:eastAsia="Arial" w:hAnsi="Arial"/>
                <w:sz w:val="16"/>
                <w:szCs w:val="16"/>
                <w:color w:val="2A2A2A"/>
              </w:rPr>
              <w:t>(11)</w:t>
            </w: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380" w:type="dxa"/>
            <w:vAlign w:val="bottom"/>
            <w:gridSpan w:val="3"/>
          </w:tcPr>
          <w:p>
            <w:pPr>
              <w:ind w:left="40"/>
              <w:spacing w:after="0"/>
              <w:rPr>
                <w:sz w:val="20"/>
                <w:szCs w:val="20"/>
                <w:color w:val="auto"/>
              </w:rPr>
            </w:pPr>
            <w:r>
              <w:rPr>
                <w:rFonts w:ascii="Arial" w:cs="Arial" w:eastAsia="Arial" w:hAnsi="Arial"/>
                <w:sz w:val="16"/>
                <w:szCs w:val="16"/>
                <w:color w:val="2A2A2A"/>
              </w:rPr>
              <w:t>$193,533,135 (11)</w:t>
            </w: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60" w:type="dxa"/>
            <w:vAlign w:val="bottom"/>
          </w:tcPr>
          <w:p>
            <w:pPr>
              <w:jc w:val="right"/>
              <w:spacing w:after="0"/>
              <w:rPr>
                <w:sz w:val="20"/>
                <w:szCs w:val="20"/>
                <w:color w:val="auto"/>
              </w:rPr>
            </w:pPr>
            <w:r>
              <w:rPr>
                <w:rFonts w:ascii="Arial" w:cs="Arial" w:eastAsia="Arial" w:hAnsi="Arial"/>
                <w:sz w:val="16"/>
                <w:szCs w:val="16"/>
                <w:color w:val="2A2A2A"/>
              </w:rPr>
              <w:t>193,533,135</w:t>
            </w:r>
          </w:p>
        </w:tc>
        <w:tc>
          <w:tcPr>
            <w:tcW w:w="340" w:type="dxa"/>
            <w:vAlign w:val="bottom"/>
          </w:tcPr>
          <w:p>
            <w:pPr>
              <w:ind w:left="40"/>
              <w:spacing w:after="0"/>
              <w:rPr>
                <w:sz w:val="20"/>
                <w:szCs w:val="20"/>
                <w:color w:val="auto"/>
              </w:rPr>
            </w:pPr>
            <w:r>
              <w:rPr>
                <w:rFonts w:ascii="Arial" w:cs="Arial" w:eastAsia="Arial" w:hAnsi="Arial"/>
                <w:sz w:val="16"/>
                <w:szCs w:val="16"/>
                <w:color w:val="2A2A2A"/>
                <w:w w:val="98"/>
              </w:rPr>
              <w:t>(11)</w:t>
            </w: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120" w:type="dxa"/>
            <w:vAlign w:val="bottom"/>
            <w:shd w:val="clear" w:color="auto" w:fill="D7D7D7"/>
          </w:tcPr>
          <w:p>
            <w:pPr>
              <w:ind w:left="240"/>
              <w:spacing w:after="0"/>
              <w:rPr>
                <w:sz w:val="20"/>
                <w:szCs w:val="20"/>
                <w:color w:val="auto"/>
              </w:rPr>
            </w:pPr>
            <w:r>
              <w:rPr>
                <w:rFonts w:ascii="Arial" w:cs="Arial" w:eastAsia="Arial" w:hAnsi="Arial"/>
                <w:sz w:val="16"/>
                <w:szCs w:val="16"/>
                <w:b w:val="1"/>
                <w:bCs w:val="1"/>
                <w:color w:val="2A2A2A"/>
              </w:rPr>
              <w:t>R. K. Templeton Total</w:t>
            </w:r>
          </w:p>
        </w:tc>
        <w:tc>
          <w:tcPr>
            <w:tcW w:w="2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w w:val="98"/>
              </w:rPr>
              <w:t>246,418,312</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247,792,738</w:t>
            </w:r>
          </w:p>
        </w:tc>
        <w:tc>
          <w:tcPr>
            <w:tcW w:w="360" w:type="dxa"/>
            <w:vAlign w:val="bottom"/>
            <w:shd w:val="clear" w:color="auto" w:fill="D7D7D7"/>
          </w:tcPr>
          <w:p>
            <w:pPr>
              <w:spacing w:after="0"/>
              <w:rPr>
                <w:sz w:val="24"/>
                <w:szCs w:val="24"/>
                <w:color w:val="auto"/>
              </w:rPr>
            </w:pPr>
          </w:p>
        </w:tc>
        <w:tc>
          <w:tcPr>
            <w:tcW w:w="1200" w:type="dxa"/>
            <w:vAlign w:val="bottom"/>
            <w:gridSpan w:val="2"/>
            <w:shd w:val="clear" w:color="auto" w:fill="D7D7D7"/>
          </w:tcPr>
          <w:p>
            <w:pPr>
              <w:ind w:left="20"/>
              <w:spacing w:after="0"/>
              <w:rPr>
                <w:sz w:val="20"/>
                <w:szCs w:val="20"/>
                <w:color w:val="auto"/>
              </w:rPr>
            </w:pPr>
            <w:r>
              <w:rPr>
                <w:rFonts w:ascii="Arial" w:cs="Arial" w:eastAsia="Arial" w:hAnsi="Arial"/>
                <w:sz w:val="16"/>
                <w:szCs w:val="16"/>
                <w:b w:val="1"/>
                <w:bCs w:val="1"/>
                <w:color w:val="2A2A2A"/>
              </w:rPr>
              <w:t>$21,968,165</w:t>
            </w:r>
          </w:p>
        </w:tc>
        <w:tc>
          <w:tcPr>
            <w:tcW w:w="1060" w:type="dxa"/>
            <w:vAlign w:val="bottom"/>
            <w:gridSpan w:val="2"/>
            <w:shd w:val="clear" w:color="auto" w:fill="D7D7D7"/>
          </w:tcPr>
          <w:p>
            <w:pPr>
              <w:ind w:left="40"/>
              <w:spacing w:after="0"/>
              <w:rPr>
                <w:sz w:val="20"/>
                <w:szCs w:val="20"/>
                <w:color w:val="auto"/>
              </w:rPr>
            </w:pPr>
            <w:r>
              <w:rPr>
                <w:rFonts w:ascii="Arial" w:cs="Arial" w:eastAsia="Arial" w:hAnsi="Arial"/>
                <w:sz w:val="16"/>
                <w:szCs w:val="16"/>
                <w:b w:val="1"/>
                <w:bCs w:val="1"/>
                <w:color w:val="2A2A2A"/>
              </w:rPr>
              <w:t>$246,371,235</w:t>
            </w:r>
          </w:p>
        </w:tc>
        <w:tc>
          <w:tcPr>
            <w:tcW w:w="32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6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246,418,312</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ind w:left="20"/>
              <w:spacing w:after="0"/>
              <w:rPr>
                <w:sz w:val="20"/>
                <w:szCs w:val="20"/>
                <w:color w:val="auto"/>
              </w:rPr>
            </w:pPr>
            <w:r>
              <w:rPr>
                <w:rFonts w:ascii="Arial" w:cs="Arial" w:eastAsia="Arial" w:hAnsi="Arial"/>
                <w:sz w:val="16"/>
                <w:szCs w:val="16"/>
                <w:b w:val="1"/>
                <w:bCs w:val="1"/>
                <w:color w:val="2A2A2A"/>
                <w:w w:val="89"/>
              </w:rPr>
              <w:t>$</w:t>
            </w:r>
          </w:p>
        </w:tc>
        <w:tc>
          <w:tcPr>
            <w:tcW w:w="1100" w:type="dxa"/>
            <w:vAlign w:val="bottom"/>
            <w:shd w:val="clear" w:color="auto" w:fill="D7D7D7"/>
          </w:tcPr>
          <w:p>
            <w:pPr>
              <w:jc w:val="right"/>
              <w:ind w:right="220"/>
              <w:spacing w:after="0"/>
              <w:rPr>
                <w:sz w:val="20"/>
                <w:szCs w:val="20"/>
                <w:color w:val="auto"/>
              </w:rPr>
            </w:pPr>
            <w:r>
              <w:rPr>
                <w:rFonts w:ascii="Arial" w:cs="Arial" w:eastAsia="Arial" w:hAnsi="Arial"/>
                <w:sz w:val="16"/>
                <w:szCs w:val="16"/>
                <w:b w:val="1"/>
                <w:bCs w:val="1"/>
                <w:color w:val="2A2A2A"/>
                <w:w w:val="97"/>
              </w:rPr>
              <w:t>21,064,877</w:t>
            </w:r>
          </w:p>
        </w:tc>
        <w:tc>
          <w:tcPr>
            <w:tcW w:w="0" w:type="dxa"/>
            <w:vAlign w:val="bottom"/>
          </w:tcPr>
          <w:p>
            <w:pPr>
              <w:spacing w:after="0"/>
              <w:rPr>
                <w:sz w:val="1"/>
                <w:szCs w:val="1"/>
                <w:color w:val="auto"/>
              </w:rPr>
            </w:pPr>
          </w:p>
        </w:tc>
      </w:tr>
      <w:tr>
        <w:trPr>
          <w:trHeight w:val="285"/>
        </w:trPr>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b w:val="1"/>
                <w:bCs w:val="1"/>
                <w:color w:val="2A2A2A"/>
              </w:rPr>
              <w:t>Rafael R. Lizardi</w:t>
            </w:r>
          </w:p>
        </w:tc>
        <w:tc>
          <w:tcPr>
            <w:tcW w:w="240" w:type="dxa"/>
            <w:vAlign w:val="bottom"/>
            <w:shd w:val="clear" w:color="auto" w:fill="D7D7D7"/>
          </w:tcPr>
          <w:p>
            <w:pPr>
              <w:spacing w:after="0"/>
              <w:rPr>
                <w:sz w:val="24"/>
                <w:szCs w:val="24"/>
                <w:color w:val="auto"/>
              </w:rPr>
            </w:pPr>
          </w:p>
        </w:tc>
        <w:tc>
          <w:tcPr>
            <w:tcW w:w="94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940" w:type="dxa"/>
            <w:vAlign w:val="bottom"/>
            <w:shd w:val="clear" w:color="auto" w:fill="D7D7D7"/>
          </w:tcPr>
          <w:p>
            <w:pPr>
              <w:spacing w:after="0"/>
              <w:rPr>
                <w:sz w:val="24"/>
                <w:szCs w:val="24"/>
                <w:color w:val="auto"/>
              </w:rPr>
            </w:pPr>
          </w:p>
        </w:tc>
        <w:tc>
          <w:tcPr>
            <w:tcW w:w="36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08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880" w:type="dxa"/>
            <w:vAlign w:val="bottom"/>
            <w:shd w:val="clear" w:color="auto" w:fill="D7D7D7"/>
          </w:tcPr>
          <w:p>
            <w:pPr>
              <w:spacing w:after="0"/>
              <w:rPr>
                <w:sz w:val="24"/>
                <w:szCs w:val="24"/>
                <w:color w:val="auto"/>
              </w:rPr>
            </w:pPr>
          </w:p>
        </w:tc>
        <w:tc>
          <w:tcPr>
            <w:tcW w:w="3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96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Qualified Defined Benefit</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12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6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080" w:type="dxa"/>
            <w:vAlign w:val="bottom"/>
            <w:vMerge w:val="restart"/>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96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100" w:type="dxa"/>
            <w:vAlign w:val="bottom"/>
            <w:vMerge w:val="restart"/>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24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4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6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080" w:type="dxa"/>
            <w:vAlign w:val="bottom"/>
            <w:vMerge w:val="continue"/>
            <w:shd w:val="clear" w:color="auto" w:fill="D7D7D7"/>
          </w:tcPr>
          <w:p>
            <w:pPr>
              <w:spacing w:after="0"/>
              <w:rPr>
                <w:sz w:val="11"/>
                <w:szCs w:val="11"/>
                <w:color w:val="auto"/>
              </w:rPr>
            </w:pPr>
          </w:p>
        </w:tc>
        <w:tc>
          <w:tcPr>
            <w:tcW w:w="18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2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960" w:type="dxa"/>
            <w:vAlign w:val="bottom"/>
            <w:vMerge w:val="continue"/>
            <w:shd w:val="clear" w:color="auto" w:fill="D7D7D7"/>
          </w:tcPr>
          <w:p>
            <w:pPr>
              <w:spacing w:after="0"/>
              <w:rPr>
                <w:sz w:val="11"/>
                <w:szCs w:val="11"/>
                <w:color w:val="auto"/>
              </w:rPr>
            </w:pPr>
          </w:p>
        </w:tc>
        <w:tc>
          <w:tcPr>
            <w:tcW w:w="34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10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120" w:type="dxa"/>
            <w:vAlign w:val="bottom"/>
            <w:vMerge w:val="continue"/>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6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080" w:type="dxa"/>
            <w:vAlign w:val="bottom"/>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2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960" w:type="dxa"/>
            <w:vAlign w:val="bottom"/>
            <w:shd w:val="clear" w:color="auto" w:fill="D7D7D7"/>
          </w:tcPr>
          <w:p>
            <w:pPr>
              <w:spacing w:after="0"/>
              <w:rPr>
                <w:sz w:val="7"/>
                <w:szCs w:val="7"/>
                <w:color w:val="auto"/>
              </w:rPr>
            </w:pPr>
          </w:p>
        </w:tc>
        <w:tc>
          <w:tcPr>
            <w:tcW w:w="34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10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120" w:type="dxa"/>
            <w:vAlign w:val="bottom"/>
            <w:vMerge w:val="restart"/>
          </w:tcPr>
          <w:p>
            <w:pPr>
              <w:ind w:left="60"/>
              <w:spacing w:after="0"/>
              <w:rPr>
                <w:sz w:val="20"/>
                <w:szCs w:val="20"/>
                <w:color w:val="auto"/>
              </w:rPr>
            </w:pPr>
            <w:r>
              <w:rPr>
                <w:rFonts w:ascii="Arial" w:cs="Arial" w:eastAsia="Arial" w:hAnsi="Arial"/>
                <w:sz w:val="16"/>
                <w:szCs w:val="16"/>
                <w:color w:val="2A2A2A"/>
              </w:rPr>
              <w:t>Pension Plan II</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Survivor Benefit Plan</w:t>
            </w:r>
          </w:p>
        </w:tc>
        <w:tc>
          <w:tcPr>
            <w:tcW w:w="24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6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080" w:type="dxa"/>
            <w:vAlign w:val="bottom"/>
            <w:tcBorders>
              <w:bottom w:val="single" w:sz="8" w:color="D7D7D7"/>
            </w:tcBorders>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100" w:type="dxa"/>
            <w:vAlign w:val="bottom"/>
            <w:tcBorders>
              <w:bottom w:val="single" w:sz="8" w:color="D7D7D7"/>
            </w:tcBorders>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120" w:type="dxa"/>
            <w:vAlign w:val="bottom"/>
          </w:tcPr>
          <w:p>
            <w:pPr>
              <w:ind w:left="60"/>
              <w:spacing w:after="0"/>
              <w:rPr>
                <w:sz w:val="20"/>
                <w:szCs w:val="20"/>
                <w:color w:val="auto"/>
              </w:rPr>
            </w:pPr>
            <w:r>
              <w:rPr>
                <w:rFonts w:ascii="Arial" w:cs="Arial" w:eastAsia="Arial" w:hAnsi="Arial"/>
                <w:sz w:val="16"/>
                <w:szCs w:val="16"/>
                <w:color w:val="2A2A2A"/>
              </w:rPr>
              <w:t>Deferred Compensation (7)</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665,328</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2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2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8,019,802</w:t>
            </w:r>
          </w:p>
        </w:tc>
        <w:tc>
          <w:tcPr>
            <w:tcW w:w="34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2A2A2A"/>
              </w:rPr>
              <w:t>(8)</w:t>
            </w:r>
          </w:p>
        </w:tc>
        <w:tc>
          <w:tcPr>
            <w:tcW w:w="1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8,019,802</w:t>
            </w:r>
          </w:p>
        </w:tc>
        <w:tc>
          <w:tcPr>
            <w:tcW w:w="360" w:type="dxa"/>
            <w:vAlign w:val="bottom"/>
            <w:tcBorders>
              <w:bottom w:val="single" w:sz="8" w:color="D7D7D7"/>
            </w:tcBorders>
            <w:shd w:val="clear" w:color="auto" w:fill="D7D7D7"/>
          </w:tcPr>
          <w:p>
            <w:pPr>
              <w:ind w:left="100"/>
              <w:spacing w:after="0"/>
              <w:rPr>
                <w:sz w:val="20"/>
                <w:szCs w:val="20"/>
                <w:color w:val="auto"/>
              </w:rPr>
            </w:pPr>
            <w:r>
              <w:rPr>
                <w:rFonts w:ascii="Arial" w:cs="Arial" w:eastAsia="Arial" w:hAnsi="Arial"/>
                <w:sz w:val="16"/>
                <w:szCs w:val="16"/>
                <w:color w:val="2A2A2A"/>
              </w:rPr>
              <w:t>(8)</w:t>
            </w:r>
          </w:p>
        </w:tc>
        <w:tc>
          <w:tcPr>
            <w:tcW w:w="120" w:type="dxa"/>
            <w:vAlign w:val="bottom"/>
            <w:tcBorders>
              <w:bottom w:val="single" w:sz="8" w:color="D7D7D7"/>
            </w:tcBorders>
            <w:shd w:val="clear" w:color="auto" w:fill="D7D7D7"/>
          </w:tcPr>
          <w:p>
            <w:pPr>
              <w:spacing w:after="0"/>
              <w:rPr>
                <w:sz w:val="23"/>
                <w:szCs w:val="23"/>
                <w:color w:val="auto"/>
              </w:rPr>
            </w:pPr>
          </w:p>
        </w:tc>
        <w:tc>
          <w:tcPr>
            <w:tcW w:w="1080" w:type="dxa"/>
            <w:vAlign w:val="bottom"/>
            <w:tcBorders>
              <w:bottom w:val="single" w:sz="8" w:color="D7D7D7"/>
            </w:tcBorders>
            <w:shd w:val="clear" w:color="auto" w:fill="D7D7D7"/>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2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9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4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100" w:type="dxa"/>
            <w:vAlign w:val="bottom"/>
            <w:tcBorders>
              <w:bottom w:val="single" w:sz="8" w:color="D7D7D7"/>
            </w:tcBorders>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6"/>
        </w:trPr>
        <w:tc>
          <w:tcPr>
            <w:tcW w:w="212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24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5,651,975</w:t>
            </w:r>
          </w:p>
        </w:tc>
        <w:tc>
          <w:tcPr>
            <w:tcW w:w="340" w:type="dxa"/>
            <w:vAlign w:val="bottom"/>
          </w:tcPr>
          <w:p>
            <w:pPr>
              <w:jc w:val="right"/>
              <w:spacing w:after="0"/>
              <w:rPr>
                <w:sz w:val="20"/>
                <w:szCs w:val="20"/>
                <w:color w:val="auto"/>
              </w:rPr>
            </w:pPr>
            <w:r>
              <w:rPr>
                <w:rFonts w:ascii="Arial" w:cs="Arial" w:eastAsia="Arial" w:hAnsi="Arial"/>
                <w:sz w:val="16"/>
                <w:szCs w:val="16"/>
                <w:color w:val="2A2A2A"/>
              </w:rPr>
              <w:t>(11)</w:t>
            </w:r>
          </w:p>
        </w:tc>
        <w:tc>
          <w:tcPr>
            <w:tcW w:w="12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5,651,975</w:t>
            </w:r>
          </w:p>
        </w:tc>
        <w:tc>
          <w:tcPr>
            <w:tcW w:w="360" w:type="dxa"/>
            <w:vAlign w:val="bottom"/>
          </w:tcPr>
          <w:p>
            <w:pPr>
              <w:ind w:left="40"/>
              <w:spacing w:after="0"/>
              <w:rPr>
                <w:sz w:val="20"/>
                <w:szCs w:val="20"/>
                <w:color w:val="auto"/>
              </w:rPr>
            </w:pPr>
            <w:r>
              <w:rPr>
                <w:rFonts w:ascii="Arial" w:cs="Arial" w:eastAsia="Arial" w:hAnsi="Arial"/>
                <w:sz w:val="16"/>
                <w:szCs w:val="16"/>
                <w:color w:val="2A2A2A"/>
              </w:rPr>
              <w:t>(11)</w:t>
            </w:r>
          </w:p>
        </w:tc>
        <w:tc>
          <w:tcPr>
            <w:tcW w:w="120" w:type="dxa"/>
            <w:vAlign w:val="bottom"/>
          </w:tcPr>
          <w:p>
            <w:pPr>
              <w:spacing w:after="0"/>
              <w:rPr>
                <w:sz w:val="22"/>
                <w:szCs w:val="22"/>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2A2A2A"/>
              </w:rPr>
              <w:t>—</w:t>
            </w:r>
          </w:p>
        </w:tc>
        <w:tc>
          <w:tcPr>
            <w:tcW w:w="180" w:type="dxa"/>
            <w:vAlign w:val="bottom"/>
          </w:tcPr>
          <w:p>
            <w:pPr>
              <w:ind w:left="40"/>
              <w:spacing w:after="0"/>
              <w:rPr>
                <w:sz w:val="20"/>
                <w:szCs w:val="20"/>
                <w:color w:val="auto"/>
              </w:rPr>
            </w:pPr>
            <w:r>
              <w:rPr>
                <w:rFonts w:ascii="Arial" w:cs="Arial" w:eastAsia="Arial" w:hAnsi="Arial"/>
                <w:sz w:val="16"/>
                <w:szCs w:val="16"/>
                <w:color w:val="2A2A2A"/>
              </w:rPr>
              <w:t>$</w:t>
            </w:r>
          </w:p>
        </w:tc>
        <w:tc>
          <w:tcPr>
            <w:tcW w:w="880" w:type="dxa"/>
            <w:vAlign w:val="bottom"/>
          </w:tcPr>
          <w:p>
            <w:pPr>
              <w:jc w:val="right"/>
              <w:spacing w:after="0"/>
              <w:rPr>
                <w:sz w:val="20"/>
                <w:szCs w:val="20"/>
                <w:color w:val="auto"/>
              </w:rPr>
            </w:pPr>
            <w:r>
              <w:rPr>
                <w:rFonts w:ascii="Arial" w:cs="Arial" w:eastAsia="Arial" w:hAnsi="Arial"/>
                <w:sz w:val="16"/>
                <w:szCs w:val="16"/>
                <w:color w:val="2A2A2A"/>
              </w:rPr>
              <w:t>4,982,689</w:t>
            </w:r>
          </w:p>
        </w:tc>
        <w:tc>
          <w:tcPr>
            <w:tcW w:w="320" w:type="dxa"/>
            <w:vAlign w:val="bottom"/>
          </w:tcPr>
          <w:p>
            <w:pPr>
              <w:jc w:val="right"/>
              <w:spacing w:after="0"/>
              <w:rPr>
                <w:sz w:val="20"/>
                <w:szCs w:val="20"/>
                <w:color w:val="auto"/>
              </w:rPr>
            </w:pPr>
            <w:r>
              <w:rPr>
                <w:rFonts w:ascii="Arial" w:cs="Arial" w:eastAsia="Arial" w:hAnsi="Arial"/>
                <w:sz w:val="16"/>
                <w:szCs w:val="16"/>
                <w:color w:val="2A2A2A"/>
                <w:w w:val="98"/>
              </w:rPr>
              <w:t>(12)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A2A2A"/>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120" w:type="dxa"/>
            <w:vAlign w:val="bottom"/>
            <w:shd w:val="clear" w:color="auto" w:fill="D7D7D7"/>
          </w:tcPr>
          <w:p>
            <w:pPr>
              <w:ind w:left="180"/>
              <w:spacing w:after="0"/>
              <w:rPr>
                <w:sz w:val="20"/>
                <w:szCs w:val="20"/>
                <w:color w:val="auto"/>
              </w:rPr>
            </w:pPr>
            <w:r>
              <w:rPr>
                <w:rFonts w:ascii="Arial" w:cs="Arial" w:eastAsia="Arial" w:hAnsi="Arial"/>
                <w:sz w:val="16"/>
                <w:szCs w:val="16"/>
                <w:b w:val="1"/>
                <w:bCs w:val="1"/>
                <w:color w:val="2A2A2A"/>
              </w:rPr>
              <w:t>R. R. Lizardi Total</w:t>
            </w:r>
          </w:p>
        </w:tc>
        <w:tc>
          <w:tcPr>
            <w:tcW w:w="2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13,671,777</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14,337,105</w:t>
            </w:r>
          </w:p>
        </w:tc>
        <w:tc>
          <w:tcPr>
            <w:tcW w:w="36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080" w:type="dxa"/>
            <w:vAlign w:val="bottom"/>
            <w:shd w:val="clear" w:color="auto" w:fill="D7D7D7"/>
          </w:tcPr>
          <w:p>
            <w:pPr>
              <w:jc w:val="right"/>
              <w:ind w:right="240"/>
              <w:spacing w:after="0"/>
              <w:rPr>
                <w:sz w:val="20"/>
                <w:szCs w:val="20"/>
                <w:color w:val="auto"/>
              </w:rPr>
            </w:pPr>
            <w:r>
              <w:rPr>
                <w:rFonts w:ascii="Arial" w:cs="Arial" w:eastAsia="Arial" w:hAnsi="Arial"/>
                <w:sz w:val="16"/>
                <w:szCs w:val="16"/>
                <w:b w:val="1"/>
                <w:bCs w:val="1"/>
                <w:color w:val="2A2A2A"/>
              </w:rPr>
              <w:t>—</w:t>
            </w:r>
          </w:p>
        </w:tc>
        <w:tc>
          <w:tcPr>
            <w:tcW w:w="180" w:type="dxa"/>
            <w:vAlign w:val="bottom"/>
            <w:shd w:val="clear" w:color="auto" w:fill="D7D7D7"/>
          </w:tcPr>
          <w:p>
            <w:pPr>
              <w:ind w:left="40"/>
              <w:spacing w:after="0"/>
              <w:rPr>
                <w:sz w:val="20"/>
                <w:szCs w:val="20"/>
                <w:color w:val="auto"/>
              </w:rPr>
            </w:pPr>
            <w:r>
              <w:rPr>
                <w:rFonts w:ascii="Arial" w:cs="Arial" w:eastAsia="Arial" w:hAnsi="Arial"/>
                <w:sz w:val="16"/>
                <w:szCs w:val="16"/>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4,982,689</w:t>
            </w:r>
          </w:p>
        </w:tc>
        <w:tc>
          <w:tcPr>
            <w:tcW w:w="3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96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34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00" w:type="dxa"/>
            <w:vAlign w:val="bottom"/>
            <w:shd w:val="clear" w:color="auto" w:fill="D7D7D7"/>
          </w:tcPr>
          <w:p>
            <w:pPr>
              <w:jc w:val="right"/>
              <w:ind w:right="220"/>
              <w:spacing w:after="0"/>
              <w:rPr>
                <w:sz w:val="20"/>
                <w:szCs w:val="20"/>
                <w:color w:val="auto"/>
              </w:rPr>
            </w:pPr>
            <w:r>
              <w:rPr>
                <w:rFonts w:ascii="Arial" w:cs="Arial" w:eastAsia="Arial" w:hAnsi="Arial"/>
                <w:sz w:val="16"/>
                <w:szCs w:val="16"/>
                <w:b w:val="1"/>
                <w:bCs w:val="1"/>
                <w:color w:val="2A2A2A"/>
              </w:rPr>
              <w:t>—</w:t>
            </w:r>
          </w:p>
        </w:tc>
        <w:tc>
          <w:tcPr>
            <w:tcW w:w="0" w:type="dxa"/>
            <w:vAlign w:val="bottom"/>
          </w:tcPr>
          <w:p>
            <w:pPr>
              <w:spacing w:after="0"/>
              <w:rPr>
                <w:sz w:val="1"/>
                <w:szCs w:val="1"/>
                <w:color w:val="auto"/>
              </w:rPr>
            </w:pPr>
          </w:p>
        </w:tc>
      </w:tr>
      <w:tr>
        <w:trPr>
          <w:trHeight w:val="285"/>
        </w:trPr>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-2412365</wp:posOffset>
            </wp:positionV>
            <wp:extent cx="6550025" cy="2425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550025" cy="2425700"/>
                    </a:xfrm>
                    <a:prstGeom prst="rect">
                      <a:avLst/>
                    </a:prstGeom>
                    <a:noFill/>
                  </pic:spPr>
                </pic:pic>
              </a:graphicData>
            </a:graphic>
          </wp:anchor>
        </w:drawing>
      </w:r>
    </w:p>
    <w:p>
      <w:pPr>
        <w:sectPr>
          <w:pgSz w:w="12240" w:h="15840" w:orient="portrait"/>
          <w:cols w:equalWidth="0" w:num="1">
            <w:col w:w="10280"/>
          </w:cols>
          <w:pgMar w:left="980" w:top="666" w:right="980" w:bottom="33"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56</w:t>
      </w:r>
    </w:p>
    <w:p>
      <w:pPr>
        <w:sectPr>
          <w:pgSz w:w="12240" w:h="15840" w:orient="portrait"/>
          <w:cols w:equalWidth="0" w:num="1">
            <w:col w:w="10280"/>
          </w:cols>
          <w:pgMar w:left="980" w:top="666" w:right="980" w:bottom="33" w:gutter="0" w:footer="0" w:header="0"/>
          <w:type w:val="continuous"/>
        </w:sectPr>
      </w:pPr>
    </w:p>
    <w:bookmarkStart w:id="128" w:name="page129"/>
    <w:bookmarkEnd w:id="128"/>
    <w:tbl>
      <w:tblPr>
        <w:tblLayout w:type="fixed"/>
        <w:tblInd w:w="1"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2A2A2A"/>
              </w:rPr>
              <w:t>Resignation;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Involuntary</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2A2A2A"/>
              </w:rPr>
              <w:t>Involuntary</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Termination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2A2A2A"/>
              </w:rPr>
              <w:t>Termination</w:t>
            </w:r>
          </w:p>
        </w:tc>
        <w:tc>
          <w:tcPr>
            <w:tcW w:w="200" w:type="dxa"/>
            <w:vAlign w:val="bottom"/>
          </w:tcPr>
          <w:p>
            <w:pPr>
              <w:spacing w:after="0"/>
              <w:rPr>
                <w:sz w:val="16"/>
                <w:szCs w:val="16"/>
                <w:color w:val="auto"/>
              </w:rPr>
            </w:pPr>
          </w:p>
        </w:tc>
        <w:tc>
          <w:tcPr>
            <w:tcW w:w="880" w:type="dxa"/>
            <w:vAlign w:val="bottom"/>
          </w:tcPr>
          <w:p>
            <w:pPr>
              <w:jc w:val="center"/>
              <w:ind w:right="120"/>
              <w:spacing w:after="0"/>
              <w:rPr>
                <w:sz w:val="20"/>
                <w:szCs w:val="20"/>
                <w:color w:val="auto"/>
              </w:rPr>
            </w:pPr>
            <w:r>
              <w:rPr>
                <w:rFonts w:ascii="Arial" w:cs="Arial" w:eastAsia="Arial" w:hAnsi="Arial"/>
                <w:sz w:val="16"/>
                <w:szCs w:val="16"/>
                <w:b w:val="1"/>
                <w:bCs w:val="1"/>
                <w:color w:val="2A2A2A"/>
                <w:w w:val="99"/>
              </w:rPr>
              <w:t>(not for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ind w:left="180"/>
              <w:spacing w:after="0"/>
              <w:rPr>
                <w:sz w:val="20"/>
                <w:szCs w:val="20"/>
                <w:color w:val="auto"/>
              </w:rPr>
            </w:pPr>
            <w:r>
              <w:rPr>
                <w:rFonts w:ascii="Arial" w:cs="Arial" w:eastAsia="Arial" w:hAnsi="Arial"/>
                <w:sz w:val="16"/>
                <w:szCs w:val="16"/>
                <w:b w:val="1"/>
                <w:bCs w:val="1"/>
                <w:color w:val="2A2A2A"/>
              </w:rPr>
              <w:t>Change</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Form of Compensation</w:t>
            </w:r>
          </w:p>
        </w:tc>
        <w:tc>
          <w:tcPr>
            <w:tcW w:w="180" w:type="dxa"/>
            <w:vAlign w:val="bottom"/>
            <w:tcBorders>
              <w:bottom w:val="single" w:sz="8" w:color="2A2A2A"/>
            </w:tcBorders>
          </w:tcPr>
          <w:p>
            <w:pPr>
              <w:spacing w:after="0"/>
              <w:rPr>
                <w:sz w:val="18"/>
                <w:szCs w:val="18"/>
                <w:color w:val="auto"/>
              </w:rPr>
            </w:pPr>
          </w:p>
        </w:tc>
        <w:tc>
          <w:tcPr>
            <w:tcW w:w="940" w:type="dxa"/>
            <w:vAlign w:val="bottom"/>
            <w:tcBorders>
              <w:bottom w:val="single" w:sz="8" w:color="2A2A2A"/>
            </w:tcBorders>
          </w:tcPr>
          <w:p>
            <w:pPr>
              <w:jc w:val="right"/>
              <w:ind w:right="120"/>
              <w:spacing w:after="0"/>
              <w:rPr>
                <w:sz w:val="20"/>
                <w:szCs w:val="20"/>
                <w:color w:val="auto"/>
              </w:rPr>
            </w:pPr>
            <w:r>
              <w:rPr>
                <w:rFonts w:ascii="Arial" w:cs="Arial" w:eastAsia="Arial" w:hAnsi="Arial"/>
                <w:sz w:val="16"/>
                <w:szCs w:val="16"/>
                <w:b w:val="1"/>
                <w:bCs w:val="1"/>
                <w:color w:val="2A2A2A"/>
              </w:rPr>
              <w:t>Disability</w:t>
            </w:r>
          </w:p>
        </w:tc>
        <w:tc>
          <w:tcPr>
            <w:tcW w:w="30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920" w:type="dxa"/>
            <w:vAlign w:val="bottom"/>
            <w:tcBorders>
              <w:bottom w:val="single" w:sz="8" w:color="2A2A2A"/>
            </w:tcBorders>
          </w:tcPr>
          <w:p>
            <w:pPr>
              <w:jc w:val="right"/>
              <w:ind w:right="260"/>
              <w:spacing w:after="0"/>
              <w:rPr>
                <w:sz w:val="20"/>
                <w:szCs w:val="20"/>
                <w:color w:val="auto"/>
              </w:rPr>
            </w:pPr>
            <w:r>
              <w:rPr>
                <w:rFonts w:ascii="Arial" w:cs="Arial" w:eastAsia="Arial" w:hAnsi="Arial"/>
                <w:sz w:val="16"/>
                <w:szCs w:val="16"/>
                <w:b w:val="1"/>
                <w:bCs w:val="1"/>
                <w:color w:val="2A2A2A"/>
              </w:rPr>
              <w:t>Death</w:t>
            </w:r>
          </w:p>
        </w:tc>
        <w:tc>
          <w:tcPr>
            <w:tcW w:w="280" w:type="dxa"/>
            <w:vAlign w:val="bottom"/>
            <w:tcBorders>
              <w:bottom w:val="single" w:sz="8" w:color="2A2A2A"/>
            </w:tcBorders>
          </w:tcPr>
          <w:p>
            <w:pPr>
              <w:spacing w:after="0"/>
              <w:rPr>
                <w:sz w:val="18"/>
                <w:szCs w:val="18"/>
                <w:color w:val="auto"/>
              </w:rPr>
            </w:pPr>
          </w:p>
        </w:tc>
        <w:tc>
          <w:tcPr>
            <w:tcW w:w="160" w:type="dxa"/>
            <w:vAlign w:val="bottom"/>
            <w:tcBorders>
              <w:bottom w:val="single" w:sz="8" w:color="2A2A2A"/>
            </w:tcBorders>
          </w:tcPr>
          <w:p>
            <w:pPr>
              <w:spacing w:after="0"/>
              <w:rPr>
                <w:sz w:val="18"/>
                <w:szCs w:val="18"/>
                <w:color w:val="auto"/>
              </w:rPr>
            </w:pPr>
          </w:p>
        </w:tc>
        <w:tc>
          <w:tcPr>
            <w:tcW w:w="8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7"/>
              </w:rPr>
              <w:t>for Cause</w:t>
            </w:r>
          </w:p>
        </w:tc>
        <w:tc>
          <w:tcPr>
            <w:tcW w:w="240" w:type="dxa"/>
            <w:vAlign w:val="bottom"/>
            <w:tcBorders>
              <w:bottom w:val="single" w:sz="8" w:color="2A2A2A"/>
            </w:tcBorders>
          </w:tcPr>
          <w:p>
            <w:pPr>
              <w:spacing w:after="0"/>
              <w:rPr>
                <w:sz w:val="18"/>
                <w:szCs w:val="18"/>
                <w:color w:val="auto"/>
              </w:rPr>
            </w:pPr>
          </w:p>
        </w:tc>
        <w:tc>
          <w:tcPr>
            <w:tcW w:w="200" w:type="dxa"/>
            <w:vAlign w:val="bottom"/>
            <w:tcBorders>
              <w:bottom w:val="single" w:sz="8" w:color="2A2A2A"/>
            </w:tcBorders>
          </w:tcPr>
          <w:p>
            <w:pPr>
              <w:spacing w:after="0"/>
              <w:rPr>
                <w:sz w:val="18"/>
                <w:szCs w:val="18"/>
                <w:color w:val="auto"/>
              </w:rPr>
            </w:pPr>
          </w:p>
        </w:tc>
        <w:tc>
          <w:tcPr>
            <w:tcW w:w="880" w:type="dxa"/>
            <w:vAlign w:val="bottom"/>
            <w:tcBorders>
              <w:bottom w:val="single" w:sz="8" w:color="2A2A2A"/>
            </w:tcBorders>
          </w:tcPr>
          <w:p>
            <w:pPr>
              <w:jc w:val="center"/>
              <w:ind w:right="140"/>
              <w:spacing w:after="0"/>
              <w:rPr>
                <w:sz w:val="20"/>
                <w:szCs w:val="20"/>
                <w:color w:val="auto"/>
              </w:rPr>
            </w:pPr>
            <w:r>
              <w:rPr>
                <w:rFonts w:ascii="Arial" w:cs="Arial" w:eastAsia="Arial" w:hAnsi="Arial"/>
                <w:sz w:val="16"/>
                <w:szCs w:val="16"/>
                <w:b w:val="1"/>
                <w:bCs w:val="1"/>
                <w:color w:val="2A2A2A"/>
              </w:rPr>
              <w:t>Cause)</w:t>
            </w:r>
          </w:p>
        </w:tc>
        <w:tc>
          <w:tcPr>
            <w:tcW w:w="300" w:type="dxa"/>
            <w:vAlign w:val="bottom"/>
            <w:tcBorders>
              <w:bottom w:val="single" w:sz="8" w:color="2A2A2A"/>
            </w:tcBorders>
          </w:tcPr>
          <w:p>
            <w:pPr>
              <w:spacing w:after="0"/>
              <w:rPr>
                <w:sz w:val="18"/>
                <w:szCs w:val="18"/>
                <w:color w:val="auto"/>
              </w:rPr>
            </w:pPr>
          </w:p>
        </w:tc>
        <w:tc>
          <w:tcPr>
            <w:tcW w:w="120" w:type="dxa"/>
            <w:vAlign w:val="bottom"/>
            <w:tcBorders>
              <w:bottom w:val="single" w:sz="8" w:color="2A2A2A"/>
            </w:tcBorders>
          </w:tcPr>
          <w:p>
            <w:pPr>
              <w:spacing w:after="0"/>
              <w:rPr>
                <w:sz w:val="18"/>
                <w:szCs w:val="18"/>
                <w:color w:val="auto"/>
              </w:rPr>
            </w:pPr>
          </w:p>
        </w:tc>
        <w:tc>
          <w:tcPr>
            <w:tcW w:w="1300" w:type="dxa"/>
            <w:vAlign w:val="bottom"/>
            <w:tcBorders>
              <w:bottom w:val="single" w:sz="8" w:color="2A2A2A"/>
            </w:tcBorders>
          </w:tcPr>
          <w:p>
            <w:pPr>
              <w:jc w:val="right"/>
              <w:ind w:right="380"/>
              <w:spacing w:after="0"/>
              <w:rPr>
                <w:sz w:val="20"/>
                <w:szCs w:val="20"/>
                <w:color w:val="auto"/>
              </w:rPr>
            </w:pPr>
            <w:r>
              <w:rPr>
                <w:rFonts w:ascii="Arial" w:cs="Arial" w:eastAsia="Arial" w:hAnsi="Arial"/>
                <w:sz w:val="16"/>
                <w:szCs w:val="16"/>
                <w:b w:val="1"/>
                <w:bCs w:val="1"/>
                <w:color w:val="2A2A2A"/>
                <w:w w:val="98"/>
              </w:rPr>
              <w:t>Retirement</w:t>
            </w:r>
          </w:p>
        </w:tc>
        <w:tc>
          <w:tcPr>
            <w:tcW w:w="1220" w:type="dxa"/>
            <w:vAlign w:val="bottom"/>
            <w:tcBorders>
              <w:bottom w:val="single" w:sz="8" w:color="2A2A2A"/>
            </w:tcBorders>
          </w:tcPr>
          <w:p>
            <w:pPr>
              <w:ind w:left="100"/>
              <w:spacing w:after="0"/>
              <w:rPr>
                <w:sz w:val="20"/>
                <w:szCs w:val="20"/>
                <w:color w:val="auto"/>
              </w:rPr>
            </w:pPr>
            <w:r>
              <w:rPr>
                <w:rFonts w:ascii="Arial" w:cs="Arial" w:eastAsia="Arial" w:hAnsi="Arial"/>
                <w:sz w:val="16"/>
                <w:szCs w:val="16"/>
                <w:b w:val="1"/>
                <w:bCs w:val="1"/>
                <w:color w:val="2A2A2A"/>
              </w:rPr>
              <w:t>in Control</w:t>
            </w:r>
          </w:p>
        </w:tc>
        <w:tc>
          <w:tcPr>
            <w:tcW w:w="0" w:type="dxa"/>
            <w:vAlign w:val="bottom"/>
          </w:tcPr>
          <w:p>
            <w:pPr>
              <w:spacing w:after="0"/>
              <w:rPr>
                <w:sz w:val="1"/>
                <w:szCs w:val="1"/>
                <w:color w:val="auto"/>
              </w:rPr>
            </w:pPr>
          </w:p>
        </w:tc>
      </w:tr>
      <w:tr>
        <w:trPr>
          <w:trHeight w:val="275"/>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b w:val="1"/>
                <w:bCs w:val="1"/>
                <w:color w:val="2A2A2A"/>
              </w:rPr>
              <w:t>Hagop H. Kozanian</w:t>
            </w:r>
          </w:p>
        </w:tc>
        <w:tc>
          <w:tcPr>
            <w:tcW w:w="180" w:type="dxa"/>
            <w:vAlign w:val="bottom"/>
            <w:shd w:val="clear" w:color="auto" w:fill="D7D7D7"/>
          </w:tcPr>
          <w:p>
            <w:pPr>
              <w:spacing w:after="0"/>
              <w:rPr>
                <w:sz w:val="23"/>
                <w:szCs w:val="23"/>
                <w:color w:val="auto"/>
              </w:rPr>
            </w:pPr>
          </w:p>
        </w:tc>
        <w:tc>
          <w:tcPr>
            <w:tcW w:w="940" w:type="dxa"/>
            <w:vAlign w:val="bottom"/>
            <w:shd w:val="clear" w:color="auto" w:fill="D7D7D7"/>
          </w:tcPr>
          <w:p>
            <w:pPr>
              <w:spacing w:after="0"/>
              <w:rPr>
                <w:sz w:val="23"/>
                <w:szCs w:val="23"/>
                <w:color w:val="auto"/>
              </w:rPr>
            </w:pPr>
          </w:p>
        </w:tc>
        <w:tc>
          <w:tcPr>
            <w:tcW w:w="30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920" w:type="dxa"/>
            <w:vAlign w:val="bottom"/>
            <w:shd w:val="clear" w:color="auto" w:fill="D7D7D7"/>
          </w:tcPr>
          <w:p>
            <w:pPr>
              <w:spacing w:after="0"/>
              <w:rPr>
                <w:sz w:val="23"/>
                <w:szCs w:val="23"/>
                <w:color w:val="auto"/>
              </w:rPr>
            </w:pPr>
          </w:p>
        </w:tc>
        <w:tc>
          <w:tcPr>
            <w:tcW w:w="280" w:type="dxa"/>
            <w:vAlign w:val="bottom"/>
            <w:shd w:val="clear" w:color="auto" w:fill="D7D7D7"/>
          </w:tcPr>
          <w:p>
            <w:pPr>
              <w:spacing w:after="0"/>
              <w:rPr>
                <w:sz w:val="23"/>
                <w:szCs w:val="23"/>
                <w:color w:val="auto"/>
              </w:rPr>
            </w:pPr>
          </w:p>
        </w:tc>
        <w:tc>
          <w:tcPr>
            <w:tcW w:w="160" w:type="dxa"/>
            <w:vAlign w:val="bottom"/>
            <w:shd w:val="clear" w:color="auto" w:fill="D7D7D7"/>
          </w:tcPr>
          <w:p>
            <w:pPr>
              <w:spacing w:after="0"/>
              <w:rPr>
                <w:sz w:val="23"/>
                <w:szCs w:val="23"/>
                <w:color w:val="auto"/>
              </w:rPr>
            </w:pPr>
          </w:p>
        </w:tc>
        <w:tc>
          <w:tcPr>
            <w:tcW w:w="840" w:type="dxa"/>
            <w:vAlign w:val="bottom"/>
            <w:shd w:val="clear" w:color="auto" w:fill="D7D7D7"/>
          </w:tcPr>
          <w:p>
            <w:pPr>
              <w:spacing w:after="0"/>
              <w:rPr>
                <w:sz w:val="23"/>
                <w:szCs w:val="23"/>
                <w:color w:val="auto"/>
              </w:rPr>
            </w:pPr>
          </w:p>
        </w:tc>
        <w:tc>
          <w:tcPr>
            <w:tcW w:w="240" w:type="dxa"/>
            <w:vAlign w:val="bottom"/>
            <w:shd w:val="clear" w:color="auto" w:fill="D7D7D7"/>
          </w:tcPr>
          <w:p>
            <w:pPr>
              <w:spacing w:after="0"/>
              <w:rPr>
                <w:sz w:val="23"/>
                <w:szCs w:val="23"/>
                <w:color w:val="auto"/>
              </w:rPr>
            </w:pPr>
          </w:p>
        </w:tc>
        <w:tc>
          <w:tcPr>
            <w:tcW w:w="200" w:type="dxa"/>
            <w:vAlign w:val="bottom"/>
            <w:shd w:val="clear" w:color="auto" w:fill="D7D7D7"/>
          </w:tcPr>
          <w:p>
            <w:pPr>
              <w:spacing w:after="0"/>
              <w:rPr>
                <w:sz w:val="23"/>
                <w:szCs w:val="23"/>
                <w:color w:val="auto"/>
              </w:rPr>
            </w:pPr>
          </w:p>
        </w:tc>
        <w:tc>
          <w:tcPr>
            <w:tcW w:w="880" w:type="dxa"/>
            <w:vAlign w:val="bottom"/>
            <w:shd w:val="clear" w:color="auto" w:fill="D7D7D7"/>
          </w:tcPr>
          <w:p>
            <w:pPr>
              <w:spacing w:after="0"/>
              <w:rPr>
                <w:sz w:val="23"/>
                <w:szCs w:val="23"/>
                <w:color w:val="auto"/>
              </w:rPr>
            </w:pPr>
          </w:p>
        </w:tc>
        <w:tc>
          <w:tcPr>
            <w:tcW w:w="300" w:type="dxa"/>
            <w:vAlign w:val="bottom"/>
            <w:shd w:val="clear" w:color="auto" w:fill="D7D7D7"/>
          </w:tcPr>
          <w:p>
            <w:pPr>
              <w:spacing w:after="0"/>
              <w:rPr>
                <w:sz w:val="23"/>
                <w:szCs w:val="23"/>
                <w:color w:val="auto"/>
              </w:rPr>
            </w:pPr>
          </w:p>
        </w:tc>
        <w:tc>
          <w:tcPr>
            <w:tcW w:w="120" w:type="dxa"/>
            <w:vAlign w:val="bottom"/>
            <w:shd w:val="clear" w:color="auto" w:fill="D7D7D7"/>
          </w:tcPr>
          <w:p>
            <w:pPr>
              <w:spacing w:after="0"/>
              <w:rPr>
                <w:sz w:val="23"/>
                <w:szCs w:val="23"/>
                <w:color w:val="auto"/>
              </w:rPr>
            </w:pPr>
          </w:p>
        </w:tc>
        <w:tc>
          <w:tcPr>
            <w:tcW w:w="1300" w:type="dxa"/>
            <w:vAlign w:val="bottom"/>
            <w:shd w:val="clear" w:color="auto" w:fill="D7D7D7"/>
          </w:tcPr>
          <w:p>
            <w:pPr>
              <w:spacing w:after="0"/>
              <w:rPr>
                <w:sz w:val="23"/>
                <w:szCs w:val="23"/>
                <w:color w:val="auto"/>
              </w:rPr>
            </w:pPr>
          </w:p>
        </w:tc>
        <w:tc>
          <w:tcPr>
            <w:tcW w:w="1220" w:type="dxa"/>
            <w:vAlign w:val="bottom"/>
            <w:shd w:val="clear" w:color="auto" w:fill="D7D7D7"/>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60"/>
              <w:spacing w:after="0"/>
              <w:rPr>
                <w:sz w:val="20"/>
                <w:szCs w:val="20"/>
                <w:color w:val="auto"/>
              </w:rPr>
            </w:pPr>
            <w:r>
              <w:rPr>
                <w:rFonts w:ascii="Arial" w:cs="Arial" w:eastAsia="Arial" w:hAnsi="Arial"/>
                <w:sz w:val="16"/>
                <w:szCs w:val="16"/>
                <w:color w:val="2A2A2A"/>
              </w:rPr>
              <w:t>Qualified Defined Benefit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7"/>
        </w:trPr>
        <w:tc>
          <w:tcPr>
            <w:tcW w:w="2200" w:type="dxa"/>
            <w:vAlign w:val="bottom"/>
            <w:vMerge w:val="restart"/>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9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shd w:val="clear" w:color="auto" w:fill="D7D7D7"/>
          </w:tcPr>
          <w:p>
            <w:pPr>
              <w:spacing w:after="0"/>
              <w:rPr>
                <w:sz w:val="16"/>
                <w:szCs w:val="16"/>
                <w:color w:val="auto"/>
              </w:rPr>
            </w:pPr>
          </w:p>
        </w:tc>
        <w:tc>
          <w:tcPr>
            <w:tcW w:w="160" w:type="dxa"/>
            <w:vAlign w:val="bottom"/>
            <w:shd w:val="clear" w:color="auto" w:fill="D7D7D7"/>
          </w:tcPr>
          <w:p>
            <w:pPr>
              <w:spacing w:after="0"/>
              <w:rPr>
                <w:sz w:val="16"/>
                <w:szCs w:val="16"/>
                <w:color w:val="auto"/>
              </w:rPr>
            </w:pPr>
          </w:p>
        </w:tc>
        <w:tc>
          <w:tcPr>
            <w:tcW w:w="8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300" w:type="dxa"/>
            <w:vAlign w:val="bottom"/>
            <w:vMerge w:val="restart"/>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7"/>
        </w:trPr>
        <w:tc>
          <w:tcPr>
            <w:tcW w:w="220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920" w:type="dxa"/>
            <w:vAlign w:val="bottom"/>
            <w:vMerge w:val="continue"/>
            <w:shd w:val="clear" w:color="auto" w:fill="D7D7D7"/>
          </w:tcPr>
          <w:p>
            <w:pPr>
              <w:spacing w:after="0"/>
              <w:rPr>
                <w:sz w:val="11"/>
                <w:szCs w:val="11"/>
                <w:color w:val="auto"/>
              </w:rPr>
            </w:pPr>
          </w:p>
        </w:tc>
        <w:tc>
          <w:tcPr>
            <w:tcW w:w="280" w:type="dxa"/>
            <w:vAlign w:val="bottom"/>
            <w:shd w:val="clear" w:color="auto" w:fill="D7D7D7"/>
          </w:tcPr>
          <w:p>
            <w:pPr>
              <w:spacing w:after="0"/>
              <w:rPr>
                <w:sz w:val="11"/>
                <w:szCs w:val="11"/>
                <w:color w:val="auto"/>
              </w:rPr>
            </w:pPr>
          </w:p>
        </w:tc>
        <w:tc>
          <w:tcPr>
            <w:tcW w:w="160" w:type="dxa"/>
            <w:vAlign w:val="bottom"/>
            <w:shd w:val="clear" w:color="auto" w:fill="D7D7D7"/>
          </w:tcPr>
          <w:p>
            <w:pPr>
              <w:spacing w:after="0"/>
              <w:rPr>
                <w:sz w:val="11"/>
                <w:szCs w:val="11"/>
                <w:color w:val="auto"/>
              </w:rPr>
            </w:pPr>
          </w:p>
        </w:tc>
        <w:tc>
          <w:tcPr>
            <w:tcW w:w="840" w:type="dxa"/>
            <w:vAlign w:val="bottom"/>
            <w:vMerge w:val="continue"/>
            <w:shd w:val="clear" w:color="auto" w:fill="D7D7D7"/>
          </w:tcPr>
          <w:p>
            <w:pPr>
              <w:spacing w:after="0"/>
              <w:rPr>
                <w:sz w:val="11"/>
                <w:szCs w:val="11"/>
                <w:color w:val="auto"/>
              </w:rPr>
            </w:pPr>
          </w:p>
        </w:tc>
        <w:tc>
          <w:tcPr>
            <w:tcW w:w="24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300" w:type="dxa"/>
            <w:vAlign w:val="bottom"/>
            <w:vMerge w:val="continue"/>
            <w:shd w:val="clear" w:color="auto" w:fill="D7D7D7"/>
          </w:tcPr>
          <w:p>
            <w:pPr>
              <w:spacing w:after="0"/>
              <w:rPr>
                <w:sz w:val="11"/>
                <w:szCs w:val="11"/>
                <w:color w:val="auto"/>
              </w:rPr>
            </w:pPr>
          </w:p>
        </w:tc>
        <w:tc>
          <w:tcPr>
            <w:tcW w:w="122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vMerge w:val="continue"/>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920" w:type="dxa"/>
            <w:vAlign w:val="bottom"/>
            <w:shd w:val="clear" w:color="auto" w:fill="D7D7D7"/>
          </w:tcPr>
          <w:p>
            <w:pPr>
              <w:spacing w:after="0"/>
              <w:rPr>
                <w:sz w:val="7"/>
                <w:szCs w:val="7"/>
                <w:color w:val="auto"/>
              </w:rPr>
            </w:pPr>
          </w:p>
        </w:tc>
        <w:tc>
          <w:tcPr>
            <w:tcW w:w="280" w:type="dxa"/>
            <w:vAlign w:val="bottom"/>
            <w:shd w:val="clear" w:color="auto" w:fill="D7D7D7"/>
          </w:tcPr>
          <w:p>
            <w:pPr>
              <w:spacing w:after="0"/>
              <w:rPr>
                <w:sz w:val="7"/>
                <w:szCs w:val="7"/>
                <w:color w:val="auto"/>
              </w:rPr>
            </w:pPr>
          </w:p>
        </w:tc>
        <w:tc>
          <w:tcPr>
            <w:tcW w:w="160" w:type="dxa"/>
            <w:vAlign w:val="bottom"/>
            <w:shd w:val="clear" w:color="auto" w:fill="D7D7D7"/>
          </w:tcPr>
          <w:p>
            <w:pPr>
              <w:spacing w:after="0"/>
              <w:rPr>
                <w:sz w:val="7"/>
                <w:szCs w:val="7"/>
                <w:color w:val="auto"/>
              </w:rPr>
            </w:pPr>
          </w:p>
        </w:tc>
        <w:tc>
          <w:tcPr>
            <w:tcW w:w="840" w:type="dxa"/>
            <w:vAlign w:val="bottom"/>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300" w:type="dxa"/>
            <w:vAlign w:val="bottom"/>
            <w:shd w:val="clear" w:color="auto" w:fill="D7D7D7"/>
          </w:tcPr>
          <w:p>
            <w:pPr>
              <w:spacing w:after="0"/>
              <w:rPr>
                <w:sz w:val="7"/>
                <w:szCs w:val="7"/>
                <w:color w:val="auto"/>
              </w:rPr>
            </w:pPr>
          </w:p>
        </w:tc>
        <w:tc>
          <w:tcPr>
            <w:tcW w:w="122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tcPr>
          <w:p>
            <w:pPr>
              <w:ind w:left="60"/>
              <w:spacing w:after="0"/>
              <w:rPr>
                <w:sz w:val="20"/>
                <w:szCs w:val="20"/>
                <w:color w:val="auto"/>
              </w:rPr>
            </w:pPr>
            <w:r>
              <w:rPr>
                <w:rFonts w:ascii="Arial" w:cs="Arial" w:eastAsia="Arial" w:hAnsi="Arial"/>
                <w:sz w:val="16"/>
                <w:szCs w:val="16"/>
                <w:color w:val="2A2A2A"/>
              </w:rPr>
              <w:t>Pension Plan II</w:t>
            </w: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Survivor Benefit Plan</w:t>
            </w:r>
          </w:p>
        </w:tc>
        <w:tc>
          <w:tcPr>
            <w:tcW w:w="18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9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tcBorders>
              <w:bottom w:val="single" w:sz="8" w:color="D7D7D7"/>
            </w:tcBorders>
            <w:shd w:val="clear" w:color="auto" w:fill="D7D7D7"/>
          </w:tcPr>
          <w:p>
            <w:pPr>
              <w:spacing w:after="0"/>
              <w:rPr>
                <w:sz w:val="23"/>
                <w:szCs w:val="23"/>
                <w:color w:val="auto"/>
              </w:rPr>
            </w:pPr>
          </w:p>
        </w:tc>
        <w:tc>
          <w:tcPr>
            <w:tcW w:w="160" w:type="dxa"/>
            <w:vAlign w:val="bottom"/>
            <w:tcBorders>
              <w:bottom w:val="single" w:sz="8" w:color="D7D7D7"/>
            </w:tcBorders>
            <w:shd w:val="clear" w:color="auto" w:fill="D7D7D7"/>
          </w:tcPr>
          <w:p>
            <w:pPr>
              <w:spacing w:after="0"/>
              <w:rPr>
                <w:sz w:val="23"/>
                <w:szCs w:val="23"/>
                <w:color w:val="auto"/>
              </w:rPr>
            </w:pPr>
          </w:p>
        </w:tc>
        <w:tc>
          <w:tcPr>
            <w:tcW w:w="8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6"/>
        </w:trPr>
        <w:tc>
          <w:tcPr>
            <w:tcW w:w="2200" w:type="dxa"/>
            <w:vAlign w:val="bottom"/>
          </w:tcPr>
          <w:p>
            <w:pPr>
              <w:ind w:left="60"/>
              <w:spacing w:after="0"/>
              <w:rPr>
                <w:sz w:val="20"/>
                <w:szCs w:val="20"/>
                <w:color w:val="auto"/>
              </w:rPr>
            </w:pPr>
            <w:r>
              <w:rPr>
                <w:rFonts w:ascii="Arial" w:cs="Arial" w:eastAsia="Arial" w:hAnsi="Arial"/>
                <w:sz w:val="16"/>
                <w:szCs w:val="16"/>
                <w:color w:val="2A2A2A"/>
              </w:rPr>
              <w:t>Deferred Compensation (7)</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2A2A2A"/>
              </w:rPr>
              <w:t>$</w:t>
            </w:r>
          </w:p>
        </w:tc>
        <w:tc>
          <w:tcPr>
            <w:tcW w:w="920" w:type="dxa"/>
            <w:vAlign w:val="bottom"/>
          </w:tcPr>
          <w:p>
            <w:pPr>
              <w:jc w:val="right"/>
              <w:spacing w:after="0"/>
              <w:rPr>
                <w:sz w:val="20"/>
                <w:szCs w:val="20"/>
                <w:color w:val="auto"/>
              </w:rPr>
            </w:pPr>
            <w:r>
              <w:rPr>
                <w:rFonts w:ascii="Arial" w:cs="Arial" w:eastAsia="Arial" w:hAnsi="Arial"/>
                <w:sz w:val="16"/>
                <w:szCs w:val="16"/>
                <w:color w:val="2A2A2A"/>
              </w:rPr>
              <w:t>243,321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9"/>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1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8,515,159</w:t>
            </w:r>
          </w:p>
        </w:tc>
        <w:tc>
          <w:tcPr>
            <w:tcW w:w="3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w:t>
            </w:r>
          </w:p>
        </w:tc>
        <w:tc>
          <w:tcPr>
            <w:tcW w:w="2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8,515,159</w:t>
            </w:r>
          </w:p>
        </w:tc>
        <w:tc>
          <w:tcPr>
            <w:tcW w:w="280" w:type="dxa"/>
            <w:vAlign w:val="bottom"/>
            <w:tcBorders>
              <w:bottom w:val="single" w:sz="8" w:color="D7D7D7"/>
            </w:tcBorders>
            <w:shd w:val="clear" w:color="auto" w:fill="D7D7D7"/>
          </w:tcPr>
          <w:p>
            <w:pPr>
              <w:spacing w:after="0"/>
              <w:rPr>
                <w:sz w:val="20"/>
                <w:szCs w:val="20"/>
                <w:color w:val="auto"/>
              </w:rPr>
            </w:pPr>
            <w:r>
              <w:rPr>
                <w:rFonts w:ascii="Arial" w:cs="Arial" w:eastAsia="Arial" w:hAnsi="Arial"/>
                <w:sz w:val="16"/>
                <w:szCs w:val="16"/>
                <w:color w:val="2A2A2A"/>
              </w:rPr>
              <w:t>(8)</w:t>
            </w:r>
          </w:p>
        </w:tc>
        <w:tc>
          <w:tcPr>
            <w:tcW w:w="160" w:type="dxa"/>
            <w:vAlign w:val="bottom"/>
            <w:tcBorders>
              <w:bottom w:val="single" w:sz="8" w:color="D7D7D7"/>
            </w:tcBorders>
            <w:shd w:val="clear" w:color="auto" w:fill="D7D7D7"/>
          </w:tcPr>
          <w:p>
            <w:pPr>
              <w:spacing w:after="0"/>
              <w:rPr>
                <w:sz w:val="23"/>
                <w:szCs w:val="23"/>
                <w:color w:val="auto"/>
              </w:rPr>
            </w:pPr>
          </w:p>
        </w:tc>
        <w:tc>
          <w:tcPr>
            <w:tcW w:w="8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20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18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1,977,460</w:t>
            </w:r>
          </w:p>
        </w:tc>
        <w:tc>
          <w:tcPr>
            <w:tcW w:w="500" w:type="dxa"/>
            <w:vAlign w:val="bottom"/>
            <w:gridSpan w:val="2"/>
          </w:tcPr>
          <w:p>
            <w:pPr>
              <w:jc w:val="right"/>
              <w:spacing w:after="0"/>
              <w:rPr>
                <w:sz w:val="20"/>
                <w:szCs w:val="20"/>
                <w:color w:val="auto"/>
              </w:rPr>
            </w:pPr>
            <w:r>
              <w:rPr>
                <w:rFonts w:ascii="Arial" w:cs="Arial" w:eastAsia="Arial" w:hAnsi="Arial"/>
                <w:sz w:val="16"/>
                <w:szCs w:val="16"/>
                <w:color w:val="2A2A2A"/>
              </w:rPr>
              <w:t>(11) $</w:t>
            </w:r>
          </w:p>
        </w:tc>
        <w:tc>
          <w:tcPr>
            <w:tcW w:w="920" w:type="dxa"/>
            <w:vAlign w:val="bottom"/>
          </w:tcPr>
          <w:p>
            <w:pPr>
              <w:jc w:val="right"/>
              <w:spacing w:after="0"/>
              <w:rPr>
                <w:sz w:val="20"/>
                <w:szCs w:val="20"/>
                <w:color w:val="auto"/>
              </w:rPr>
            </w:pPr>
            <w:r>
              <w:rPr>
                <w:rFonts w:ascii="Arial" w:cs="Arial" w:eastAsia="Arial" w:hAnsi="Arial"/>
                <w:sz w:val="16"/>
                <w:szCs w:val="16"/>
                <w:color w:val="2A2A2A"/>
              </w:rPr>
              <w:t>1,977,460</w:t>
            </w:r>
          </w:p>
        </w:tc>
        <w:tc>
          <w:tcPr>
            <w:tcW w:w="280" w:type="dxa"/>
            <w:vAlign w:val="bottom"/>
          </w:tcPr>
          <w:p>
            <w:pPr>
              <w:spacing w:after="0"/>
              <w:rPr>
                <w:sz w:val="20"/>
                <w:szCs w:val="20"/>
                <w:color w:val="auto"/>
              </w:rPr>
            </w:pPr>
            <w:r>
              <w:rPr>
                <w:rFonts w:ascii="Arial" w:cs="Arial" w:eastAsia="Arial" w:hAnsi="Arial"/>
                <w:sz w:val="16"/>
                <w:szCs w:val="16"/>
                <w:color w:val="2A2A2A"/>
                <w:w w:val="91"/>
              </w:rPr>
              <w:t>(11)</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2A2A2A"/>
              </w:rPr>
              <w:t>$</w:t>
            </w:r>
          </w:p>
        </w:tc>
        <w:tc>
          <w:tcPr>
            <w:tcW w:w="880" w:type="dxa"/>
            <w:vAlign w:val="bottom"/>
          </w:tcPr>
          <w:p>
            <w:pPr>
              <w:jc w:val="right"/>
              <w:spacing w:after="0"/>
              <w:rPr>
                <w:sz w:val="20"/>
                <w:szCs w:val="20"/>
                <w:color w:val="auto"/>
              </w:rPr>
            </w:pPr>
            <w:r>
              <w:rPr>
                <w:rFonts w:ascii="Arial" w:cs="Arial" w:eastAsia="Arial" w:hAnsi="Arial"/>
                <w:sz w:val="16"/>
                <w:szCs w:val="16"/>
                <w:color w:val="2A2A2A"/>
              </w:rPr>
              <w:t>1,362,949</w:t>
            </w:r>
          </w:p>
        </w:tc>
        <w:tc>
          <w:tcPr>
            <w:tcW w:w="300" w:type="dxa"/>
            <w:vAlign w:val="bottom"/>
          </w:tcPr>
          <w:p>
            <w:pPr>
              <w:spacing w:after="0"/>
              <w:rPr>
                <w:sz w:val="20"/>
                <w:szCs w:val="20"/>
                <w:color w:val="auto"/>
              </w:rPr>
            </w:pPr>
            <w:r>
              <w:rPr>
                <w:rFonts w:ascii="Arial" w:cs="Arial" w:eastAsia="Arial" w:hAnsi="Arial"/>
                <w:sz w:val="16"/>
                <w:szCs w:val="16"/>
                <w:color w:val="2A2A2A"/>
                <w:w w:val="98"/>
              </w:rPr>
              <w:t>(12)</w:t>
            </w: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200" w:type="dxa"/>
            <w:vAlign w:val="bottom"/>
            <w:shd w:val="clear" w:color="auto" w:fill="D7D7D7"/>
          </w:tcPr>
          <w:p>
            <w:pPr>
              <w:ind w:left="180"/>
              <w:spacing w:after="0"/>
              <w:rPr>
                <w:sz w:val="20"/>
                <w:szCs w:val="20"/>
                <w:color w:val="auto"/>
              </w:rPr>
            </w:pPr>
            <w:r>
              <w:rPr>
                <w:rFonts w:ascii="Arial" w:cs="Arial" w:eastAsia="Arial" w:hAnsi="Arial"/>
                <w:sz w:val="16"/>
                <w:szCs w:val="16"/>
                <w:b w:val="1"/>
                <w:bCs w:val="1"/>
                <w:color w:val="2A2A2A"/>
              </w:rPr>
              <w:t>H. H. Kozanian Total</w:t>
            </w:r>
          </w:p>
        </w:tc>
        <w:tc>
          <w:tcPr>
            <w:tcW w:w="1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10,492,619</w:t>
            </w:r>
          </w:p>
        </w:tc>
        <w:tc>
          <w:tcPr>
            <w:tcW w:w="300" w:type="dxa"/>
            <w:vAlign w:val="bottom"/>
            <w:shd w:val="clear" w:color="auto" w:fill="D7D7D7"/>
          </w:tcPr>
          <w:p>
            <w:pPr>
              <w:spacing w:after="0"/>
              <w:rPr>
                <w:sz w:val="24"/>
                <w:szCs w:val="24"/>
                <w:color w:val="auto"/>
              </w:rPr>
            </w:pPr>
          </w:p>
        </w:tc>
        <w:tc>
          <w:tcPr>
            <w:tcW w:w="20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10,735,940</w:t>
            </w:r>
          </w:p>
        </w:tc>
        <w:tc>
          <w:tcPr>
            <w:tcW w:w="280" w:type="dxa"/>
            <w:vAlign w:val="bottom"/>
            <w:shd w:val="clear" w:color="auto" w:fill="D7D7D7"/>
          </w:tcPr>
          <w:p>
            <w:pPr>
              <w:spacing w:after="0"/>
              <w:rPr>
                <w:sz w:val="24"/>
                <w:szCs w:val="24"/>
                <w:color w:val="auto"/>
              </w:rPr>
            </w:pPr>
          </w:p>
        </w:tc>
        <w:tc>
          <w:tcPr>
            <w:tcW w:w="160" w:type="dxa"/>
            <w:vAlign w:val="bottom"/>
            <w:shd w:val="clear" w:color="auto" w:fill="D7D7D7"/>
          </w:tcPr>
          <w:p>
            <w:pPr>
              <w:spacing w:after="0"/>
              <w:rPr>
                <w:sz w:val="24"/>
                <w:szCs w:val="24"/>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240" w:type="dxa"/>
            <w:vAlign w:val="bottom"/>
            <w:shd w:val="clear" w:color="auto" w:fill="D7D7D7"/>
          </w:tcPr>
          <w:p>
            <w:pPr>
              <w:spacing w:after="0"/>
              <w:rPr>
                <w:sz w:val="24"/>
                <w:szCs w:val="24"/>
                <w:color w:val="auto"/>
              </w:rPr>
            </w:pPr>
          </w:p>
        </w:tc>
        <w:tc>
          <w:tcPr>
            <w:tcW w:w="200" w:type="dxa"/>
            <w:vAlign w:val="bottom"/>
            <w:shd w:val="clear" w:color="auto" w:fill="D7D7D7"/>
          </w:tcPr>
          <w:p>
            <w:pPr>
              <w:ind w:left="40"/>
              <w:spacing w:after="0"/>
              <w:rPr>
                <w:sz w:val="20"/>
                <w:szCs w:val="20"/>
                <w:color w:val="auto"/>
              </w:rPr>
            </w:pPr>
            <w:r>
              <w:rPr>
                <w:rFonts w:ascii="Arial" w:cs="Arial" w:eastAsia="Arial" w:hAnsi="Arial"/>
                <w:sz w:val="16"/>
                <w:szCs w:val="16"/>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1,362,949</w:t>
            </w:r>
          </w:p>
        </w:tc>
        <w:tc>
          <w:tcPr>
            <w:tcW w:w="30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300" w:type="dxa"/>
            <w:vAlign w:val="bottom"/>
            <w:shd w:val="clear" w:color="auto" w:fill="D7D7D7"/>
          </w:tcPr>
          <w:p>
            <w:pPr>
              <w:jc w:val="right"/>
              <w:ind w:right="300"/>
              <w:spacing w:after="0"/>
              <w:rPr>
                <w:sz w:val="20"/>
                <w:szCs w:val="20"/>
                <w:color w:val="auto"/>
              </w:rPr>
            </w:pPr>
            <w:r>
              <w:rPr>
                <w:rFonts w:ascii="Arial" w:cs="Arial" w:eastAsia="Arial" w:hAnsi="Arial"/>
                <w:sz w:val="16"/>
                <w:szCs w:val="16"/>
                <w:b w:val="1"/>
                <w:bCs w:val="1"/>
                <w:color w:val="2A2A2A"/>
              </w:rPr>
              <w:t>—</w:t>
            </w:r>
          </w:p>
        </w:tc>
        <w:tc>
          <w:tcPr>
            <w:tcW w:w="1220" w:type="dxa"/>
            <w:vAlign w:val="bottom"/>
            <w:shd w:val="clear" w:color="auto" w:fill="D7D7D7"/>
          </w:tcPr>
          <w:p>
            <w:pPr>
              <w:ind w:left="760"/>
              <w:spacing w:after="0"/>
              <w:rPr>
                <w:sz w:val="20"/>
                <w:szCs w:val="20"/>
                <w:color w:val="auto"/>
              </w:rPr>
            </w:pPr>
            <w:r>
              <w:rPr>
                <w:rFonts w:ascii="Arial" w:cs="Arial" w:eastAsia="Arial" w:hAnsi="Arial"/>
                <w:sz w:val="16"/>
                <w:szCs w:val="16"/>
                <w:b w:val="1"/>
                <w:bCs w:val="1"/>
                <w:color w:val="2A2A2A"/>
              </w:rPr>
              <w:t>—</w:t>
            </w:r>
          </w:p>
        </w:tc>
        <w:tc>
          <w:tcPr>
            <w:tcW w:w="0" w:type="dxa"/>
            <w:vAlign w:val="bottom"/>
          </w:tcPr>
          <w:p>
            <w:pPr>
              <w:spacing w:after="0"/>
              <w:rPr>
                <w:sz w:val="1"/>
                <w:szCs w:val="1"/>
                <w:color w:val="auto"/>
              </w:rPr>
            </w:pPr>
          </w:p>
        </w:tc>
      </w:tr>
      <w:tr>
        <w:trPr>
          <w:trHeight w:val="285"/>
        </w:trPr>
        <w:tc>
          <w:tcPr>
            <w:tcW w:w="2200" w:type="dxa"/>
            <w:vAlign w:val="bottom"/>
            <w:vMerge w:val="restart"/>
          </w:tcPr>
          <w:p>
            <w:pPr>
              <w:ind w:left="60"/>
              <w:spacing w:after="0"/>
              <w:rPr>
                <w:sz w:val="20"/>
                <w:szCs w:val="20"/>
                <w:color w:val="auto"/>
              </w:rPr>
            </w:pPr>
            <w:r>
              <w:rPr>
                <w:rFonts w:ascii="Arial" w:cs="Arial" w:eastAsia="Arial" w:hAnsi="Arial"/>
                <w:sz w:val="16"/>
                <w:szCs w:val="16"/>
                <w:b w:val="1"/>
                <w:bCs w:val="1"/>
                <w:color w:val="2A2A2A"/>
              </w:rPr>
              <w:t>Kyle M. Flessner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Qualified Defined Benefit</w:t>
            </w:r>
          </w:p>
        </w:tc>
        <w:tc>
          <w:tcPr>
            <w:tcW w:w="1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24,544</w:t>
            </w:r>
          </w:p>
        </w:tc>
        <w:tc>
          <w:tcPr>
            <w:tcW w:w="30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(2)</w:t>
            </w:r>
          </w:p>
        </w:tc>
        <w:tc>
          <w:tcPr>
            <w:tcW w:w="20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7,451</w:t>
            </w:r>
          </w:p>
        </w:tc>
        <w:tc>
          <w:tcPr>
            <w:tcW w:w="280" w:type="dxa"/>
            <w:vAlign w:val="bottom"/>
            <w:vMerge w:val="restart"/>
          </w:tcPr>
          <w:p>
            <w:pPr>
              <w:spacing w:after="0"/>
              <w:rPr>
                <w:sz w:val="20"/>
                <w:szCs w:val="20"/>
                <w:color w:val="auto"/>
              </w:rPr>
            </w:pPr>
            <w:r>
              <w:rPr>
                <w:rFonts w:ascii="Arial" w:cs="Arial" w:eastAsia="Arial" w:hAnsi="Arial"/>
                <w:sz w:val="16"/>
                <w:szCs w:val="16"/>
                <w:color w:val="2A2A2A"/>
              </w:rPr>
              <w:t>(3)</w:t>
            </w:r>
          </w:p>
        </w:tc>
        <w:tc>
          <w:tcPr>
            <w:tcW w:w="16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13,434</w:t>
            </w:r>
          </w:p>
        </w:tc>
        <w:tc>
          <w:tcPr>
            <w:tcW w:w="2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w w:val="91"/>
              </w:rPr>
              <w:t>(4)</w:t>
            </w:r>
          </w:p>
        </w:tc>
        <w:tc>
          <w:tcPr>
            <w:tcW w:w="200" w:type="dxa"/>
            <w:vAlign w:val="bottom"/>
            <w:vMerge w:val="restart"/>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14,083</w:t>
            </w:r>
          </w:p>
        </w:tc>
        <w:tc>
          <w:tcPr>
            <w:tcW w:w="300" w:type="dxa"/>
            <w:vAlign w:val="bottom"/>
            <w:vMerge w:val="restart"/>
            <w:shd w:val="clear" w:color="auto" w:fill="D7D7D7"/>
          </w:tcPr>
          <w:p>
            <w:pPr>
              <w:spacing w:after="0"/>
              <w:rPr>
                <w:sz w:val="20"/>
                <w:szCs w:val="20"/>
                <w:color w:val="auto"/>
              </w:rPr>
            </w:pPr>
            <w:r>
              <w:rPr>
                <w:rFonts w:ascii="Arial" w:cs="Arial" w:eastAsia="Arial" w:hAnsi="Arial"/>
                <w:sz w:val="16"/>
                <w:szCs w:val="16"/>
                <w:color w:val="2A2A2A"/>
              </w:rPr>
              <w:t>(4)</w:t>
            </w:r>
          </w:p>
        </w:tc>
        <w:tc>
          <w:tcPr>
            <w:tcW w:w="1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300" w:type="dxa"/>
            <w:vAlign w:val="bottom"/>
            <w:vMerge w:val="restart"/>
            <w:shd w:val="clear" w:color="auto" w:fill="D7D7D7"/>
          </w:tcPr>
          <w:p>
            <w:pPr>
              <w:jc w:val="right"/>
              <w:ind w:right="40"/>
              <w:spacing w:after="0"/>
              <w:rPr>
                <w:sz w:val="20"/>
                <w:szCs w:val="20"/>
                <w:color w:val="auto"/>
              </w:rPr>
            </w:pPr>
            <w:r>
              <w:rPr>
                <w:rFonts w:ascii="Arial" w:cs="Arial" w:eastAsia="Arial" w:hAnsi="Arial"/>
                <w:sz w:val="16"/>
                <w:szCs w:val="16"/>
                <w:color w:val="2A2A2A"/>
              </w:rPr>
              <w:t>13,434 (4)</w:t>
            </w:r>
          </w:p>
        </w:tc>
        <w:tc>
          <w:tcPr>
            <w:tcW w:w="1220" w:type="dxa"/>
            <w:vAlign w:val="bottom"/>
            <w:vMerge w:val="restart"/>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vMerge w:val="continue"/>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vMerge w:val="continue"/>
            <w:shd w:val="clear" w:color="auto" w:fill="D7D7D7"/>
          </w:tcPr>
          <w:p>
            <w:pPr>
              <w:spacing w:after="0"/>
              <w:rPr>
                <w:sz w:val="11"/>
                <w:szCs w:val="11"/>
                <w:color w:val="auto"/>
              </w:rPr>
            </w:pPr>
          </w:p>
        </w:tc>
        <w:tc>
          <w:tcPr>
            <w:tcW w:w="200" w:type="dxa"/>
            <w:vAlign w:val="bottom"/>
            <w:vMerge w:val="continue"/>
            <w:shd w:val="clear" w:color="auto" w:fill="D7D7D7"/>
          </w:tcPr>
          <w:p>
            <w:pPr>
              <w:spacing w:after="0"/>
              <w:rPr>
                <w:sz w:val="11"/>
                <w:szCs w:val="11"/>
                <w:color w:val="auto"/>
              </w:rPr>
            </w:pPr>
          </w:p>
        </w:tc>
        <w:tc>
          <w:tcPr>
            <w:tcW w:w="920" w:type="dxa"/>
            <w:vAlign w:val="bottom"/>
            <w:vMerge w:val="continue"/>
            <w:shd w:val="clear" w:color="auto" w:fill="D7D7D7"/>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vMerge w:val="continue"/>
            <w:shd w:val="clear" w:color="auto" w:fill="D7D7D7"/>
          </w:tcPr>
          <w:p>
            <w:pPr>
              <w:spacing w:after="0"/>
              <w:rPr>
                <w:sz w:val="11"/>
                <w:szCs w:val="11"/>
                <w:color w:val="auto"/>
              </w:rPr>
            </w:pPr>
          </w:p>
        </w:tc>
        <w:tc>
          <w:tcPr>
            <w:tcW w:w="840" w:type="dxa"/>
            <w:vAlign w:val="bottom"/>
            <w:vMerge w:val="continue"/>
            <w:shd w:val="clear" w:color="auto" w:fill="D7D7D7"/>
          </w:tcPr>
          <w:p>
            <w:pPr>
              <w:spacing w:after="0"/>
              <w:rPr>
                <w:sz w:val="11"/>
                <w:szCs w:val="11"/>
                <w:color w:val="auto"/>
              </w:rPr>
            </w:pPr>
          </w:p>
        </w:tc>
        <w:tc>
          <w:tcPr>
            <w:tcW w:w="240" w:type="dxa"/>
            <w:vAlign w:val="bottom"/>
            <w:vMerge w:val="continue"/>
            <w:shd w:val="clear" w:color="auto" w:fill="D7D7D7"/>
          </w:tcPr>
          <w:p>
            <w:pPr>
              <w:spacing w:after="0"/>
              <w:rPr>
                <w:sz w:val="11"/>
                <w:szCs w:val="11"/>
                <w:color w:val="auto"/>
              </w:rPr>
            </w:pPr>
          </w:p>
        </w:tc>
        <w:tc>
          <w:tcPr>
            <w:tcW w:w="200" w:type="dxa"/>
            <w:vAlign w:val="bottom"/>
            <w:vMerge w:val="continue"/>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00" w:type="dxa"/>
            <w:vAlign w:val="bottom"/>
            <w:vMerge w:val="continue"/>
            <w:shd w:val="clear" w:color="auto" w:fill="D7D7D7"/>
          </w:tcPr>
          <w:p>
            <w:pPr>
              <w:spacing w:after="0"/>
              <w:rPr>
                <w:sz w:val="11"/>
                <w:szCs w:val="11"/>
                <w:color w:val="auto"/>
              </w:rPr>
            </w:pPr>
          </w:p>
        </w:tc>
        <w:tc>
          <w:tcPr>
            <w:tcW w:w="120" w:type="dxa"/>
            <w:vAlign w:val="bottom"/>
            <w:vMerge w:val="continue"/>
            <w:shd w:val="clear" w:color="auto" w:fill="D7D7D7"/>
          </w:tcPr>
          <w:p>
            <w:pPr>
              <w:spacing w:after="0"/>
              <w:rPr>
                <w:sz w:val="11"/>
                <w:szCs w:val="11"/>
                <w:color w:val="auto"/>
              </w:rPr>
            </w:pPr>
          </w:p>
        </w:tc>
        <w:tc>
          <w:tcPr>
            <w:tcW w:w="1300" w:type="dxa"/>
            <w:vAlign w:val="bottom"/>
            <w:vMerge w:val="continue"/>
            <w:shd w:val="clear" w:color="auto" w:fill="D7D7D7"/>
          </w:tcPr>
          <w:p>
            <w:pPr>
              <w:spacing w:after="0"/>
              <w:rPr>
                <w:sz w:val="11"/>
                <w:szCs w:val="11"/>
                <w:color w:val="auto"/>
              </w:rPr>
            </w:pPr>
          </w:p>
        </w:tc>
        <w:tc>
          <w:tcPr>
            <w:tcW w:w="122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200" w:type="dxa"/>
            <w:vAlign w:val="bottom"/>
            <w:vMerge w:val="continue"/>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920" w:type="dxa"/>
            <w:vAlign w:val="bottom"/>
            <w:shd w:val="clear" w:color="auto" w:fill="D7D7D7"/>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shd w:val="clear" w:color="auto" w:fill="D7D7D7"/>
          </w:tcPr>
          <w:p>
            <w:pPr>
              <w:spacing w:after="0"/>
              <w:rPr>
                <w:sz w:val="7"/>
                <w:szCs w:val="7"/>
                <w:color w:val="auto"/>
              </w:rPr>
            </w:pPr>
          </w:p>
        </w:tc>
        <w:tc>
          <w:tcPr>
            <w:tcW w:w="840" w:type="dxa"/>
            <w:vAlign w:val="bottom"/>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300" w:type="dxa"/>
            <w:vAlign w:val="bottom"/>
            <w:shd w:val="clear" w:color="auto" w:fill="D7D7D7"/>
          </w:tcPr>
          <w:p>
            <w:pPr>
              <w:spacing w:after="0"/>
              <w:rPr>
                <w:sz w:val="7"/>
                <w:szCs w:val="7"/>
                <w:color w:val="auto"/>
              </w:rPr>
            </w:pPr>
          </w:p>
        </w:tc>
        <w:tc>
          <w:tcPr>
            <w:tcW w:w="122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9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shd w:val="clear" w:color="auto" w:fill="D7D7D7"/>
          </w:tcPr>
          <w:p>
            <w:pPr>
              <w:spacing w:after="0"/>
              <w:rPr>
                <w:sz w:val="16"/>
                <w:szCs w:val="16"/>
                <w:color w:val="auto"/>
              </w:rPr>
            </w:pPr>
          </w:p>
        </w:tc>
        <w:tc>
          <w:tcPr>
            <w:tcW w:w="160" w:type="dxa"/>
            <w:vAlign w:val="bottom"/>
            <w:shd w:val="clear" w:color="auto" w:fill="D7D7D7"/>
          </w:tcPr>
          <w:p>
            <w:pPr>
              <w:spacing w:after="0"/>
              <w:rPr>
                <w:sz w:val="16"/>
                <w:szCs w:val="16"/>
                <w:color w:val="auto"/>
              </w:rPr>
            </w:pPr>
          </w:p>
        </w:tc>
        <w:tc>
          <w:tcPr>
            <w:tcW w:w="8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300" w:type="dxa"/>
            <w:vAlign w:val="bottom"/>
            <w:vMerge w:val="restart"/>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920" w:type="dxa"/>
            <w:vAlign w:val="bottom"/>
            <w:vMerge w:val="continue"/>
            <w:shd w:val="clear" w:color="auto" w:fill="D7D7D7"/>
          </w:tcPr>
          <w:p>
            <w:pPr>
              <w:spacing w:after="0"/>
              <w:rPr>
                <w:sz w:val="11"/>
                <w:szCs w:val="11"/>
                <w:color w:val="auto"/>
              </w:rPr>
            </w:pPr>
          </w:p>
        </w:tc>
        <w:tc>
          <w:tcPr>
            <w:tcW w:w="280" w:type="dxa"/>
            <w:vAlign w:val="bottom"/>
            <w:shd w:val="clear" w:color="auto" w:fill="D7D7D7"/>
          </w:tcPr>
          <w:p>
            <w:pPr>
              <w:spacing w:after="0"/>
              <w:rPr>
                <w:sz w:val="11"/>
                <w:szCs w:val="11"/>
                <w:color w:val="auto"/>
              </w:rPr>
            </w:pPr>
          </w:p>
        </w:tc>
        <w:tc>
          <w:tcPr>
            <w:tcW w:w="160" w:type="dxa"/>
            <w:vAlign w:val="bottom"/>
            <w:shd w:val="clear" w:color="auto" w:fill="D7D7D7"/>
          </w:tcPr>
          <w:p>
            <w:pPr>
              <w:spacing w:after="0"/>
              <w:rPr>
                <w:sz w:val="11"/>
                <w:szCs w:val="11"/>
                <w:color w:val="auto"/>
              </w:rPr>
            </w:pPr>
          </w:p>
        </w:tc>
        <w:tc>
          <w:tcPr>
            <w:tcW w:w="840" w:type="dxa"/>
            <w:vAlign w:val="bottom"/>
            <w:vMerge w:val="continue"/>
            <w:shd w:val="clear" w:color="auto" w:fill="D7D7D7"/>
          </w:tcPr>
          <w:p>
            <w:pPr>
              <w:spacing w:after="0"/>
              <w:rPr>
                <w:sz w:val="11"/>
                <w:szCs w:val="11"/>
                <w:color w:val="auto"/>
              </w:rPr>
            </w:pPr>
          </w:p>
        </w:tc>
        <w:tc>
          <w:tcPr>
            <w:tcW w:w="24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300" w:type="dxa"/>
            <w:vAlign w:val="bottom"/>
            <w:vMerge w:val="continue"/>
            <w:shd w:val="clear" w:color="auto" w:fill="D7D7D7"/>
          </w:tcPr>
          <w:p>
            <w:pPr>
              <w:spacing w:after="0"/>
              <w:rPr>
                <w:sz w:val="11"/>
                <w:szCs w:val="11"/>
                <w:color w:val="auto"/>
              </w:rPr>
            </w:pPr>
          </w:p>
        </w:tc>
        <w:tc>
          <w:tcPr>
            <w:tcW w:w="122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920" w:type="dxa"/>
            <w:vAlign w:val="bottom"/>
            <w:shd w:val="clear" w:color="auto" w:fill="D7D7D7"/>
          </w:tcPr>
          <w:p>
            <w:pPr>
              <w:spacing w:after="0"/>
              <w:rPr>
                <w:sz w:val="7"/>
                <w:szCs w:val="7"/>
                <w:color w:val="auto"/>
              </w:rPr>
            </w:pPr>
          </w:p>
        </w:tc>
        <w:tc>
          <w:tcPr>
            <w:tcW w:w="280" w:type="dxa"/>
            <w:vAlign w:val="bottom"/>
            <w:shd w:val="clear" w:color="auto" w:fill="D7D7D7"/>
          </w:tcPr>
          <w:p>
            <w:pPr>
              <w:spacing w:after="0"/>
              <w:rPr>
                <w:sz w:val="7"/>
                <w:szCs w:val="7"/>
                <w:color w:val="auto"/>
              </w:rPr>
            </w:pPr>
          </w:p>
        </w:tc>
        <w:tc>
          <w:tcPr>
            <w:tcW w:w="160" w:type="dxa"/>
            <w:vAlign w:val="bottom"/>
            <w:shd w:val="clear" w:color="auto" w:fill="D7D7D7"/>
          </w:tcPr>
          <w:p>
            <w:pPr>
              <w:spacing w:after="0"/>
              <w:rPr>
                <w:sz w:val="7"/>
                <w:szCs w:val="7"/>
                <w:color w:val="auto"/>
              </w:rPr>
            </w:pPr>
          </w:p>
        </w:tc>
        <w:tc>
          <w:tcPr>
            <w:tcW w:w="840" w:type="dxa"/>
            <w:vAlign w:val="bottom"/>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300" w:type="dxa"/>
            <w:vAlign w:val="bottom"/>
            <w:shd w:val="clear" w:color="auto" w:fill="D7D7D7"/>
          </w:tcPr>
          <w:p>
            <w:pPr>
              <w:spacing w:after="0"/>
              <w:rPr>
                <w:sz w:val="7"/>
                <w:szCs w:val="7"/>
                <w:color w:val="auto"/>
              </w:rPr>
            </w:pPr>
          </w:p>
        </w:tc>
        <w:tc>
          <w:tcPr>
            <w:tcW w:w="122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7"/>
        </w:trPr>
        <w:tc>
          <w:tcPr>
            <w:tcW w:w="2200" w:type="dxa"/>
            <w:vAlign w:val="bottom"/>
            <w:vMerge w:val="restart"/>
          </w:tcPr>
          <w:p>
            <w:pPr>
              <w:ind w:left="60"/>
              <w:spacing w:after="0"/>
              <w:rPr>
                <w:sz w:val="20"/>
                <w:szCs w:val="20"/>
                <w:color w:val="auto"/>
              </w:rPr>
            </w:pPr>
            <w:r>
              <w:rPr>
                <w:rFonts w:ascii="Arial" w:cs="Arial" w:eastAsia="Arial" w:hAnsi="Arial"/>
                <w:sz w:val="16"/>
                <w:szCs w:val="16"/>
                <w:color w:val="2A2A2A"/>
              </w:rPr>
              <w:t>Pension Plan II</w:t>
            </w: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Survivor Benefit Plan</w:t>
            </w:r>
          </w:p>
        </w:tc>
        <w:tc>
          <w:tcPr>
            <w:tcW w:w="180" w:type="dxa"/>
            <w:vAlign w:val="bottom"/>
            <w:tcBorders>
              <w:bottom w:val="single" w:sz="8" w:color="D7D7D7"/>
            </w:tcBorders>
            <w:shd w:val="clear" w:color="auto" w:fill="D7D7D7"/>
          </w:tcPr>
          <w:p>
            <w:pPr>
              <w:spacing w:after="0"/>
              <w:rPr>
                <w:sz w:val="23"/>
                <w:szCs w:val="23"/>
                <w:color w:val="auto"/>
              </w:rPr>
            </w:pP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9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tcBorders>
              <w:bottom w:val="single" w:sz="8" w:color="D7D7D7"/>
            </w:tcBorders>
            <w:shd w:val="clear" w:color="auto" w:fill="D7D7D7"/>
          </w:tcPr>
          <w:p>
            <w:pPr>
              <w:spacing w:after="0"/>
              <w:rPr>
                <w:sz w:val="23"/>
                <w:szCs w:val="23"/>
                <w:color w:val="auto"/>
              </w:rPr>
            </w:pPr>
          </w:p>
        </w:tc>
        <w:tc>
          <w:tcPr>
            <w:tcW w:w="160" w:type="dxa"/>
            <w:vAlign w:val="bottom"/>
            <w:tcBorders>
              <w:bottom w:val="single" w:sz="8" w:color="D7D7D7"/>
            </w:tcBorders>
            <w:shd w:val="clear" w:color="auto" w:fill="D7D7D7"/>
          </w:tcPr>
          <w:p>
            <w:pPr>
              <w:spacing w:after="0"/>
              <w:rPr>
                <w:sz w:val="23"/>
                <w:szCs w:val="23"/>
                <w:color w:val="auto"/>
              </w:rPr>
            </w:pPr>
          </w:p>
        </w:tc>
        <w:tc>
          <w:tcPr>
            <w:tcW w:w="8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200" w:type="dxa"/>
            <w:vAlign w:val="bottom"/>
          </w:tcPr>
          <w:p>
            <w:pPr>
              <w:ind w:left="60"/>
              <w:spacing w:after="0"/>
              <w:rPr>
                <w:sz w:val="20"/>
                <w:szCs w:val="20"/>
                <w:color w:val="auto"/>
              </w:rPr>
            </w:pPr>
            <w:r>
              <w:rPr>
                <w:rFonts w:ascii="Arial" w:cs="Arial" w:eastAsia="Arial" w:hAnsi="Arial"/>
                <w:sz w:val="16"/>
                <w:szCs w:val="16"/>
                <w:color w:val="2A2A2A"/>
              </w:rPr>
              <w:t>Deferred Compensation (7)</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2A2A2A"/>
              </w:rPr>
              <w:t>$</w:t>
            </w:r>
          </w:p>
        </w:tc>
        <w:tc>
          <w:tcPr>
            <w:tcW w:w="920" w:type="dxa"/>
            <w:vAlign w:val="bottom"/>
          </w:tcPr>
          <w:p>
            <w:pPr>
              <w:jc w:val="right"/>
              <w:spacing w:after="0"/>
              <w:rPr>
                <w:sz w:val="20"/>
                <w:szCs w:val="20"/>
                <w:color w:val="auto"/>
              </w:rPr>
            </w:pPr>
            <w:r>
              <w:rPr>
                <w:rFonts w:ascii="Arial" w:cs="Arial" w:eastAsia="Arial" w:hAnsi="Arial"/>
                <w:sz w:val="16"/>
                <w:szCs w:val="16"/>
                <w:color w:val="2A2A2A"/>
              </w:rPr>
              <w:t>473,039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1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8,610,787</w:t>
            </w:r>
          </w:p>
        </w:tc>
        <w:tc>
          <w:tcPr>
            <w:tcW w:w="3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w:t>
            </w:r>
          </w:p>
        </w:tc>
        <w:tc>
          <w:tcPr>
            <w:tcW w:w="2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8,610,787</w:t>
            </w:r>
          </w:p>
        </w:tc>
        <w:tc>
          <w:tcPr>
            <w:tcW w:w="280" w:type="dxa"/>
            <w:vAlign w:val="bottom"/>
            <w:tcBorders>
              <w:bottom w:val="single" w:sz="8" w:color="D7D7D7"/>
            </w:tcBorders>
            <w:shd w:val="clear" w:color="auto" w:fill="D7D7D7"/>
          </w:tcPr>
          <w:p>
            <w:pPr>
              <w:spacing w:after="0"/>
              <w:rPr>
                <w:sz w:val="20"/>
                <w:szCs w:val="20"/>
                <w:color w:val="auto"/>
              </w:rPr>
            </w:pPr>
            <w:r>
              <w:rPr>
                <w:rFonts w:ascii="Arial" w:cs="Arial" w:eastAsia="Arial" w:hAnsi="Arial"/>
                <w:sz w:val="16"/>
                <w:szCs w:val="16"/>
                <w:color w:val="2A2A2A"/>
              </w:rPr>
              <w:t>(8)</w:t>
            </w:r>
          </w:p>
        </w:tc>
        <w:tc>
          <w:tcPr>
            <w:tcW w:w="160" w:type="dxa"/>
            <w:vAlign w:val="bottom"/>
            <w:tcBorders>
              <w:bottom w:val="single" w:sz="8" w:color="D7D7D7"/>
            </w:tcBorders>
            <w:shd w:val="clear" w:color="auto" w:fill="D7D7D7"/>
          </w:tcPr>
          <w:p>
            <w:pPr>
              <w:spacing w:after="0"/>
              <w:rPr>
                <w:sz w:val="23"/>
                <w:szCs w:val="23"/>
                <w:color w:val="auto"/>
              </w:rPr>
            </w:pPr>
          </w:p>
        </w:tc>
        <w:tc>
          <w:tcPr>
            <w:tcW w:w="8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20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18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7,356,941</w:t>
            </w:r>
          </w:p>
        </w:tc>
        <w:tc>
          <w:tcPr>
            <w:tcW w:w="300" w:type="dxa"/>
            <w:vAlign w:val="bottom"/>
          </w:tcPr>
          <w:p>
            <w:pPr>
              <w:jc w:val="right"/>
              <w:spacing w:after="0"/>
              <w:rPr>
                <w:sz w:val="20"/>
                <w:szCs w:val="20"/>
                <w:color w:val="auto"/>
              </w:rPr>
            </w:pPr>
            <w:r>
              <w:rPr>
                <w:rFonts w:ascii="Arial" w:cs="Arial" w:eastAsia="Arial" w:hAnsi="Arial"/>
                <w:sz w:val="16"/>
                <w:szCs w:val="16"/>
                <w:color w:val="2A2A2A"/>
                <w:w w:val="98"/>
              </w:rPr>
              <w:t>(11)</w:t>
            </w:r>
          </w:p>
        </w:tc>
        <w:tc>
          <w:tcPr>
            <w:tcW w:w="200" w:type="dxa"/>
            <w:vAlign w:val="bottom"/>
          </w:tcPr>
          <w:p>
            <w:pPr>
              <w:jc w:val="right"/>
              <w:spacing w:after="0"/>
              <w:rPr>
                <w:sz w:val="20"/>
                <w:szCs w:val="20"/>
                <w:color w:val="auto"/>
              </w:rPr>
            </w:pPr>
            <w:r>
              <w:rPr>
                <w:rFonts w:ascii="Arial" w:cs="Arial" w:eastAsia="Arial" w:hAnsi="Arial"/>
                <w:sz w:val="16"/>
                <w:szCs w:val="16"/>
                <w:color w:val="2A2A2A"/>
              </w:rPr>
              <w:t>$</w:t>
            </w:r>
          </w:p>
        </w:tc>
        <w:tc>
          <w:tcPr>
            <w:tcW w:w="920" w:type="dxa"/>
            <w:vAlign w:val="bottom"/>
          </w:tcPr>
          <w:p>
            <w:pPr>
              <w:jc w:val="right"/>
              <w:spacing w:after="0"/>
              <w:rPr>
                <w:sz w:val="20"/>
                <w:szCs w:val="20"/>
                <w:color w:val="auto"/>
              </w:rPr>
            </w:pPr>
            <w:r>
              <w:rPr>
                <w:rFonts w:ascii="Arial" w:cs="Arial" w:eastAsia="Arial" w:hAnsi="Arial"/>
                <w:sz w:val="16"/>
                <w:szCs w:val="16"/>
                <w:color w:val="2A2A2A"/>
              </w:rPr>
              <w:t>7,356,941</w:t>
            </w:r>
          </w:p>
        </w:tc>
        <w:tc>
          <w:tcPr>
            <w:tcW w:w="280" w:type="dxa"/>
            <w:vAlign w:val="bottom"/>
          </w:tcPr>
          <w:p>
            <w:pPr>
              <w:spacing w:after="0"/>
              <w:rPr>
                <w:sz w:val="20"/>
                <w:szCs w:val="20"/>
                <w:color w:val="auto"/>
              </w:rPr>
            </w:pPr>
            <w:r>
              <w:rPr>
                <w:rFonts w:ascii="Arial" w:cs="Arial" w:eastAsia="Arial" w:hAnsi="Arial"/>
                <w:sz w:val="16"/>
                <w:szCs w:val="16"/>
                <w:color w:val="2A2A2A"/>
                <w:w w:val="91"/>
              </w:rPr>
              <w:t>(11)</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2A2A2A"/>
              </w:rPr>
              <w:t>$</w:t>
            </w:r>
          </w:p>
        </w:tc>
        <w:tc>
          <w:tcPr>
            <w:tcW w:w="880" w:type="dxa"/>
            <w:vAlign w:val="bottom"/>
          </w:tcPr>
          <w:p>
            <w:pPr>
              <w:jc w:val="right"/>
              <w:spacing w:after="0"/>
              <w:rPr>
                <w:sz w:val="20"/>
                <w:szCs w:val="20"/>
                <w:color w:val="auto"/>
              </w:rPr>
            </w:pPr>
            <w:r>
              <w:rPr>
                <w:rFonts w:ascii="Arial" w:cs="Arial" w:eastAsia="Arial" w:hAnsi="Arial"/>
                <w:sz w:val="16"/>
                <w:szCs w:val="16"/>
                <w:color w:val="2A2A2A"/>
              </w:rPr>
              <w:t>6,626,797</w:t>
            </w:r>
          </w:p>
        </w:tc>
        <w:tc>
          <w:tcPr>
            <w:tcW w:w="300" w:type="dxa"/>
            <w:vAlign w:val="bottom"/>
          </w:tcPr>
          <w:p>
            <w:pPr>
              <w:spacing w:after="0"/>
              <w:rPr>
                <w:sz w:val="20"/>
                <w:szCs w:val="20"/>
                <w:color w:val="auto"/>
              </w:rPr>
            </w:pPr>
            <w:r>
              <w:rPr>
                <w:rFonts w:ascii="Arial" w:cs="Arial" w:eastAsia="Arial" w:hAnsi="Arial"/>
                <w:sz w:val="16"/>
                <w:szCs w:val="16"/>
                <w:color w:val="2A2A2A"/>
                <w:w w:val="98"/>
              </w:rPr>
              <w:t>(12)</w:t>
            </w: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200" w:type="dxa"/>
            <w:vAlign w:val="bottom"/>
            <w:shd w:val="clear" w:color="auto" w:fill="D7D7D7"/>
          </w:tcPr>
          <w:p>
            <w:pPr>
              <w:ind w:left="180"/>
              <w:spacing w:after="0"/>
              <w:rPr>
                <w:sz w:val="20"/>
                <w:szCs w:val="20"/>
                <w:color w:val="auto"/>
              </w:rPr>
            </w:pPr>
            <w:r>
              <w:rPr>
                <w:rFonts w:ascii="Arial" w:cs="Arial" w:eastAsia="Arial" w:hAnsi="Arial"/>
                <w:sz w:val="16"/>
                <w:szCs w:val="16"/>
                <w:b w:val="1"/>
                <w:bCs w:val="1"/>
                <w:color w:val="2A2A2A"/>
              </w:rPr>
              <w:t>K. M. Flessner Total</w:t>
            </w:r>
          </w:p>
        </w:tc>
        <w:tc>
          <w:tcPr>
            <w:tcW w:w="1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15,992,272</w:t>
            </w:r>
          </w:p>
        </w:tc>
        <w:tc>
          <w:tcPr>
            <w:tcW w:w="300" w:type="dxa"/>
            <w:vAlign w:val="bottom"/>
            <w:shd w:val="clear" w:color="auto" w:fill="D7D7D7"/>
          </w:tcPr>
          <w:p>
            <w:pPr>
              <w:spacing w:after="0"/>
              <w:rPr>
                <w:sz w:val="24"/>
                <w:szCs w:val="24"/>
                <w:color w:val="auto"/>
              </w:rPr>
            </w:pPr>
          </w:p>
        </w:tc>
        <w:tc>
          <w:tcPr>
            <w:tcW w:w="20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16,448,218</w:t>
            </w:r>
          </w:p>
        </w:tc>
        <w:tc>
          <w:tcPr>
            <w:tcW w:w="280" w:type="dxa"/>
            <w:vAlign w:val="bottom"/>
            <w:shd w:val="clear" w:color="auto" w:fill="D7D7D7"/>
          </w:tcPr>
          <w:p>
            <w:pPr>
              <w:spacing w:after="0"/>
              <w:rPr>
                <w:sz w:val="24"/>
                <w:szCs w:val="24"/>
                <w:color w:val="auto"/>
              </w:rPr>
            </w:pPr>
          </w:p>
        </w:tc>
        <w:tc>
          <w:tcPr>
            <w:tcW w:w="16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8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13,434</w:t>
            </w:r>
          </w:p>
        </w:tc>
        <w:tc>
          <w:tcPr>
            <w:tcW w:w="240" w:type="dxa"/>
            <w:vAlign w:val="bottom"/>
            <w:shd w:val="clear" w:color="auto" w:fill="D7D7D7"/>
          </w:tcPr>
          <w:p>
            <w:pPr>
              <w:spacing w:after="0"/>
              <w:rPr>
                <w:sz w:val="24"/>
                <w:szCs w:val="24"/>
                <w:color w:val="auto"/>
              </w:rPr>
            </w:pPr>
          </w:p>
        </w:tc>
        <w:tc>
          <w:tcPr>
            <w:tcW w:w="200" w:type="dxa"/>
            <w:vAlign w:val="bottom"/>
            <w:shd w:val="clear" w:color="auto" w:fill="D7D7D7"/>
          </w:tcPr>
          <w:p>
            <w:pPr>
              <w:ind w:left="40"/>
              <w:spacing w:after="0"/>
              <w:rPr>
                <w:sz w:val="20"/>
                <w:szCs w:val="20"/>
                <w:color w:val="auto"/>
              </w:rPr>
            </w:pPr>
            <w:r>
              <w:rPr>
                <w:rFonts w:ascii="Arial" w:cs="Arial" w:eastAsia="Arial" w:hAnsi="Arial"/>
                <w:sz w:val="16"/>
                <w:szCs w:val="16"/>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6,640,880</w:t>
            </w:r>
          </w:p>
        </w:tc>
        <w:tc>
          <w:tcPr>
            <w:tcW w:w="300" w:type="dxa"/>
            <w:vAlign w:val="bottom"/>
            <w:shd w:val="clear" w:color="auto" w:fill="D7D7D7"/>
          </w:tcPr>
          <w:p>
            <w:pPr>
              <w:spacing w:after="0"/>
              <w:rPr>
                <w:sz w:val="24"/>
                <w:szCs w:val="24"/>
                <w:color w:val="auto"/>
              </w:rPr>
            </w:pPr>
          </w:p>
        </w:tc>
        <w:tc>
          <w:tcPr>
            <w:tcW w:w="1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1300" w:type="dxa"/>
            <w:vAlign w:val="bottom"/>
            <w:shd w:val="clear" w:color="auto" w:fill="D7D7D7"/>
          </w:tcPr>
          <w:p>
            <w:pPr>
              <w:jc w:val="right"/>
              <w:ind w:right="300"/>
              <w:spacing w:after="0"/>
              <w:rPr>
                <w:sz w:val="20"/>
                <w:szCs w:val="20"/>
                <w:color w:val="auto"/>
              </w:rPr>
            </w:pPr>
            <w:r>
              <w:rPr>
                <w:rFonts w:ascii="Arial" w:cs="Arial" w:eastAsia="Arial" w:hAnsi="Arial"/>
                <w:sz w:val="16"/>
                <w:szCs w:val="16"/>
                <w:b w:val="1"/>
                <w:bCs w:val="1"/>
                <w:color w:val="2A2A2A"/>
              </w:rPr>
              <w:t>13,434</w:t>
            </w:r>
          </w:p>
        </w:tc>
        <w:tc>
          <w:tcPr>
            <w:tcW w:w="1220" w:type="dxa"/>
            <w:vAlign w:val="bottom"/>
            <w:shd w:val="clear" w:color="auto" w:fill="D7D7D7"/>
          </w:tcPr>
          <w:p>
            <w:pPr>
              <w:ind w:left="760"/>
              <w:spacing w:after="0"/>
              <w:rPr>
                <w:sz w:val="20"/>
                <w:szCs w:val="20"/>
                <w:color w:val="auto"/>
              </w:rPr>
            </w:pPr>
            <w:r>
              <w:rPr>
                <w:rFonts w:ascii="Arial" w:cs="Arial" w:eastAsia="Arial" w:hAnsi="Arial"/>
                <w:sz w:val="16"/>
                <w:szCs w:val="16"/>
                <w:b w:val="1"/>
                <w:bCs w:val="1"/>
                <w:color w:val="2A2A2A"/>
              </w:rPr>
              <w:t>—</w:t>
            </w:r>
          </w:p>
        </w:tc>
        <w:tc>
          <w:tcPr>
            <w:tcW w:w="0" w:type="dxa"/>
            <w:vAlign w:val="bottom"/>
          </w:tcPr>
          <w:p>
            <w:pPr>
              <w:spacing w:after="0"/>
              <w:rPr>
                <w:sz w:val="1"/>
                <w:szCs w:val="1"/>
                <w:color w:val="auto"/>
              </w:rPr>
            </w:pPr>
          </w:p>
        </w:tc>
      </w:tr>
      <w:tr>
        <w:trPr>
          <w:trHeight w:val="285"/>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b w:val="1"/>
                <w:bCs w:val="1"/>
                <w:color w:val="2A2A2A"/>
              </w:rPr>
              <w:t>Amichai Ron</w:t>
            </w:r>
          </w:p>
        </w:tc>
        <w:tc>
          <w:tcPr>
            <w:tcW w:w="180" w:type="dxa"/>
            <w:vAlign w:val="bottom"/>
            <w:shd w:val="clear" w:color="auto" w:fill="D7D7D7"/>
          </w:tcPr>
          <w:p>
            <w:pPr>
              <w:spacing w:after="0"/>
              <w:rPr>
                <w:sz w:val="24"/>
                <w:szCs w:val="24"/>
                <w:color w:val="auto"/>
              </w:rPr>
            </w:pPr>
          </w:p>
        </w:tc>
        <w:tc>
          <w:tcPr>
            <w:tcW w:w="9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280" w:type="dxa"/>
            <w:vAlign w:val="bottom"/>
            <w:shd w:val="clear" w:color="auto" w:fill="D7D7D7"/>
          </w:tcPr>
          <w:p>
            <w:pPr>
              <w:spacing w:after="0"/>
              <w:rPr>
                <w:sz w:val="24"/>
                <w:szCs w:val="24"/>
                <w:color w:val="auto"/>
              </w:rPr>
            </w:pPr>
          </w:p>
        </w:tc>
        <w:tc>
          <w:tcPr>
            <w:tcW w:w="160" w:type="dxa"/>
            <w:vAlign w:val="bottom"/>
            <w:shd w:val="clear" w:color="auto" w:fill="D7D7D7"/>
          </w:tcPr>
          <w:p>
            <w:pPr>
              <w:spacing w:after="0"/>
              <w:rPr>
                <w:sz w:val="24"/>
                <w:szCs w:val="24"/>
                <w:color w:val="auto"/>
              </w:rPr>
            </w:pPr>
          </w:p>
        </w:tc>
        <w:tc>
          <w:tcPr>
            <w:tcW w:w="840" w:type="dxa"/>
            <w:vAlign w:val="bottom"/>
            <w:shd w:val="clear" w:color="auto" w:fill="D7D7D7"/>
          </w:tcPr>
          <w:p>
            <w:pPr>
              <w:spacing w:after="0"/>
              <w:rPr>
                <w:sz w:val="24"/>
                <w:szCs w:val="24"/>
                <w:color w:val="auto"/>
              </w:rPr>
            </w:pPr>
          </w:p>
        </w:tc>
        <w:tc>
          <w:tcPr>
            <w:tcW w:w="24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88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300" w:type="dxa"/>
            <w:vAlign w:val="bottom"/>
            <w:shd w:val="clear" w:color="auto" w:fill="D7D7D7"/>
          </w:tcPr>
          <w:p>
            <w:pPr>
              <w:spacing w:after="0"/>
              <w:rPr>
                <w:sz w:val="24"/>
                <w:szCs w:val="24"/>
                <w:color w:val="auto"/>
              </w:rPr>
            </w:pPr>
          </w:p>
        </w:tc>
        <w:tc>
          <w:tcPr>
            <w:tcW w:w="12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Qualified Defined Benefit</w:t>
            </w:r>
          </w:p>
        </w:tc>
        <w:tc>
          <w:tcPr>
            <w:tcW w:w="18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9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920" w:type="dxa"/>
            <w:vAlign w:val="bottom"/>
            <w:vMerge w:val="continue"/>
            <w:shd w:val="clear" w:color="auto" w:fill="D7D7D7"/>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920" w:type="dxa"/>
            <w:vAlign w:val="bottom"/>
            <w:shd w:val="clear" w:color="auto" w:fill="D7D7D7"/>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120" w:type="dxa"/>
            <w:vAlign w:val="bottom"/>
            <w:shd w:val="clear" w:color="auto" w:fill="D7D7D7"/>
          </w:tcPr>
          <w:p>
            <w:pPr>
              <w:spacing w:after="0"/>
              <w:rPr>
                <w:sz w:val="16"/>
                <w:szCs w:val="16"/>
                <w:color w:val="auto"/>
              </w:rPr>
            </w:pPr>
          </w:p>
        </w:tc>
        <w:tc>
          <w:tcPr>
            <w:tcW w:w="1300" w:type="dxa"/>
            <w:vAlign w:val="bottom"/>
            <w:vMerge w:val="restart"/>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tcPr>
          <w:p>
            <w:pPr>
              <w:ind w:left="60"/>
              <w:spacing w:after="0"/>
              <w:rPr>
                <w:sz w:val="20"/>
                <w:szCs w:val="20"/>
                <w:color w:val="auto"/>
              </w:rPr>
            </w:pPr>
            <w:r>
              <w:rPr>
                <w:rFonts w:ascii="Arial" w:cs="Arial" w:eastAsia="Arial" w:hAnsi="Arial"/>
                <w:sz w:val="16"/>
                <w:szCs w:val="16"/>
                <w:color w:val="2A2A2A"/>
              </w:rPr>
              <w:t>Pension Plan</w:t>
            </w:r>
          </w:p>
        </w:tc>
        <w:tc>
          <w:tcPr>
            <w:tcW w:w="18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120" w:type="dxa"/>
            <w:vAlign w:val="bottom"/>
            <w:shd w:val="clear" w:color="auto" w:fill="D7D7D7"/>
          </w:tcPr>
          <w:p>
            <w:pPr>
              <w:spacing w:after="0"/>
              <w:rPr>
                <w:sz w:val="11"/>
                <w:szCs w:val="11"/>
                <w:color w:val="auto"/>
              </w:rPr>
            </w:pPr>
          </w:p>
        </w:tc>
        <w:tc>
          <w:tcPr>
            <w:tcW w:w="1300" w:type="dxa"/>
            <w:vAlign w:val="bottom"/>
            <w:vMerge w:val="continue"/>
            <w:shd w:val="clear" w:color="auto" w:fill="D7D7D7"/>
          </w:tcPr>
          <w:p>
            <w:pPr>
              <w:spacing w:after="0"/>
              <w:rPr>
                <w:sz w:val="11"/>
                <w:szCs w:val="11"/>
                <w:color w:val="auto"/>
              </w:rPr>
            </w:pPr>
          </w:p>
        </w:tc>
        <w:tc>
          <w:tcPr>
            <w:tcW w:w="1220" w:type="dxa"/>
            <w:vAlign w:val="bottom"/>
            <w:vMerge w:val="continue"/>
            <w:shd w:val="clear" w:color="auto" w:fill="D7D7D7"/>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120" w:type="dxa"/>
            <w:vAlign w:val="bottom"/>
            <w:shd w:val="clear" w:color="auto" w:fill="D7D7D7"/>
          </w:tcPr>
          <w:p>
            <w:pPr>
              <w:spacing w:after="0"/>
              <w:rPr>
                <w:sz w:val="7"/>
                <w:szCs w:val="7"/>
                <w:color w:val="auto"/>
              </w:rPr>
            </w:pPr>
          </w:p>
        </w:tc>
        <w:tc>
          <w:tcPr>
            <w:tcW w:w="1300" w:type="dxa"/>
            <w:vAlign w:val="bottom"/>
            <w:shd w:val="clear" w:color="auto" w:fill="D7D7D7"/>
          </w:tcPr>
          <w:p>
            <w:pPr>
              <w:spacing w:after="0"/>
              <w:rPr>
                <w:sz w:val="7"/>
                <w:szCs w:val="7"/>
                <w:color w:val="auto"/>
              </w:rPr>
            </w:pPr>
          </w:p>
        </w:tc>
        <w:tc>
          <w:tcPr>
            <w:tcW w:w="1220" w:type="dxa"/>
            <w:vAlign w:val="bottom"/>
            <w:shd w:val="clear" w:color="auto" w:fill="D7D7D7"/>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Non-Qual. Defined Benefit</w:t>
            </w:r>
          </w:p>
        </w:tc>
        <w:tc>
          <w:tcPr>
            <w:tcW w:w="180" w:type="dxa"/>
            <w:vAlign w:val="bottom"/>
            <w:shd w:val="clear" w:color="auto" w:fill="D7D7D7"/>
          </w:tcPr>
          <w:p>
            <w:pPr>
              <w:spacing w:after="0"/>
              <w:rPr>
                <w:sz w:val="16"/>
                <w:szCs w:val="16"/>
                <w:color w:val="auto"/>
              </w:rPr>
            </w:pPr>
          </w:p>
        </w:tc>
        <w:tc>
          <w:tcPr>
            <w:tcW w:w="9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92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80" w:type="dxa"/>
            <w:vAlign w:val="bottom"/>
            <w:shd w:val="clear" w:color="auto" w:fill="D7D7D7"/>
          </w:tcPr>
          <w:p>
            <w:pPr>
              <w:spacing w:after="0"/>
              <w:rPr>
                <w:sz w:val="16"/>
                <w:szCs w:val="16"/>
                <w:color w:val="auto"/>
              </w:rPr>
            </w:pPr>
          </w:p>
        </w:tc>
        <w:tc>
          <w:tcPr>
            <w:tcW w:w="160" w:type="dxa"/>
            <w:vAlign w:val="bottom"/>
            <w:shd w:val="clear" w:color="auto" w:fill="D7D7D7"/>
          </w:tcPr>
          <w:p>
            <w:pPr>
              <w:spacing w:after="0"/>
              <w:rPr>
                <w:sz w:val="16"/>
                <w:szCs w:val="16"/>
                <w:color w:val="auto"/>
              </w:rPr>
            </w:pPr>
          </w:p>
        </w:tc>
        <w:tc>
          <w:tcPr>
            <w:tcW w:w="84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shd w:val="clear" w:color="auto" w:fill="D7D7D7"/>
          </w:tcPr>
          <w:p>
            <w:pPr>
              <w:spacing w:after="0"/>
              <w:rPr>
                <w:sz w:val="16"/>
                <w:szCs w:val="16"/>
                <w:color w:val="auto"/>
              </w:rPr>
            </w:pPr>
          </w:p>
        </w:tc>
        <w:tc>
          <w:tcPr>
            <w:tcW w:w="200" w:type="dxa"/>
            <w:vAlign w:val="bottom"/>
            <w:shd w:val="clear" w:color="auto" w:fill="D7D7D7"/>
          </w:tcPr>
          <w:p>
            <w:pPr>
              <w:spacing w:after="0"/>
              <w:rPr>
                <w:sz w:val="16"/>
                <w:szCs w:val="16"/>
                <w:color w:val="auto"/>
              </w:rPr>
            </w:pPr>
          </w:p>
        </w:tc>
        <w:tc>
          <w:tcPr>
            <w:tcW w:w="880" w:type="dxa"/>
            <w:vAlign w:val="bottom"/>
            <w:vMerge w:val="restart"/>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vMerge w:val="restart"/>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129"/>
        </w:trPr>
        <w:tc>
          <w:tcPr>
            <w:tcW w:w="2200" w:type="dxa"/>
            <w:vAlign w:val="bottom"/>
            <w:vMerge w:val="restart"/>
            <w:shd w:val="clear" w:color="auto" w:fill="D7D7D7"/>
          </w:tcPr>
          <w:p>
            <w:pPr>
              <w:ind w:left="60"/>
              <w:spacing w:after="0"/>
              <w:rPr>
                <w:sz w:val="20"/>
                <w:szCs w:val="20"/>
                <w:color w:val="auto"/>
              </w:rPr>
            </w:pPr>
            <w:r>
              <w:rPr>
                <w:rFonts w:ascii="Arial" w:cs="Arial" w:eastAsia="Arial" w:hAnsi="Arial"/>
                <w:sz w:val="16"/>
                <w:szCs w:val="16"/>
                <w:color w:val="2A2A2A"/>
              </w:rPr>
              <w:t>Pension Plan II</w:t>
            </w:r>
          </w:p>
        </w:tc>
        <w:tc>
          <w:tcPr>
            <w:tcW w:w="180" w:type="dxa"/>
            <w:vAlign w:val="bottom"/>
            <w:shd w:val="clear" w:color="auto" w:fill="D7D7D7"/>
          </w:tcPr>
          <w:p>
            <w:pPr>
              <w:spacing w:after="0"/>
              <w:rPr>
                <w:sz w:val="11"/>
                <w:szCs w:val="11"/>
                <w:color w:val="auto"/>
              </w:rPr>
            </w:pPr>
          </w:p>
        </w:tc>
        <w:tc>
          <w:tcPr>
            <w:tcW w:w="940" w:type="dxa"/>
            <w:vAlign w:val="bottom"/>
            <w:vMerge w:val="continue"/>
            <w:shd w:val="clear" w:color="auto" w:fill="D7D7D7"/>
          </w:tcPr>
          <w:p>
            <w:pPr>
              <w:spacing w:after="0"/>
              <w:rPr>
                <w:sz w:val="11"/>
                <w:szCs w:val="11"/>
                <w:color w:val="auto"/>
              </w:rPr>
            </w:pPr>
          </w:p>
        </w:tc>
        <w:tc>
          <w:tcPr>
            <w:tcW w:w="30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920" w:type="dxa"/>
            <w:vAlign w:val="bottom"/>
            <w:vMerge w:val="continue"/>
            <w:shd w:val="clear" w:color="auto" w:fill="D7D7D7"/>
          </w:tcPr>
          <w:p>
            <w:pPr>
              <w:spacing w:after="0"/>
              <w:rPr>
                <w:sz w:val="11"/>
                <w:szCs w:val="11"/>
                <w:color w:val="auto"/>
              </w:rPr>
            </w:pPr>
          </w:p>
        </w:tc>
        <w:tc>
          <w:tcPr>
            <w:tcW w:w="280" w:type="dxa"/>
            <w:vAlign w:val="bottom"/>
            <w:shd w:val="clear" w:color="auto" w:fill="D7D7D7"/>
          </w:tcPr>
          <w:p>
            <w:pPr>
              <w:spacing w:after="0"/>
              <w:rPr>
                <w:sz w:val="11"/>
                <w:szCs w:val="11"/>
                <w:color w:val="auto"/>
              </w:rPr>
            </w:pPr>
          </w:p>
        </w:tc>
        <w:tc>
          <w:tcPr>
            <w:tcW w:w="160" w:type="dxa"/>
            <w:vAlign w:val="bottom"/>
            <w:shd w:val="clear" w:color="auto" w:fill="D7D7D7"/>
          </w:tcPr>
          <w:p>
            <w:pPr>
              <w:spacing w:after="0"/>
              <w:rPr>
                <w:sz w:val="11"/>
                <w:szCs w:val="11"/>
                <w:color w:val="auto"/>
              </w:rPr>
            </w:pPr>
          </w:p>
        </w:tc>
        <w:tc>
          <w:tcPr>
            <w:tcW w:w="840" w:type="dxa"/>
            <w:vAlign w:val="bottom"/>
            <w:vMerge w:val="continue"/>
            <w:shd w:val="clear" w:color="auto" w:fill="D7D7D7"/>
          </w:tcPr>
          <w:p>
            <w:pPr>
              <w:spacing w:after="0"/>
              <w:rPr>
                <w:sz w:val="11"/>
                <w:szCs w:val="11"/>
                <w:color w:val="auto"/>
              </w:rPr>
            </w:pPr>
          </w:p>
        </w:tc>
        <w:tc>
          <w:tcPr>
            <w:tcW w:w="240" w:type="dxa"/>
            <w:vAlign w:val="bottom"/>
            <w:shd w:val="clear" w:color="auto" w:fill="D7D7D7"/>
          </w:tcPr>
          <w:p>
            <w:pPr>
              <w:spacing w:after="0"/>
              <w:rPr>
                <w:sz w:val="11"/>
                <w:szCs w:val="11"/>
                <w:color w:val="auto"/>
              </w:rPr>
            </w:pPr>
          </w:p>
        </w:tc>
        <w:tc>
          <w:tcPr>
            <w:tcW w:w="200" w:type="dxa"/>
            <w:vAlign w:val="bottom"/>
            <w:shd w:val="clear" w:color="auto" w:fill="D7D7D7"/>
          </w:tcPr>
          <w:p>
            <w:pPr>
              <w:spacing w:after="0"/>
              <w:rPr>
                <w:sz w:val="11"/>
                <w:szCs w:val="11"/>
                <w:color w:val="auto"/>
              </w:rPr>
            </w:pPr>
          </w:p>
        </w:tc>
        <w:tc>
          <w:tcPr>
            <w:tcW w:w="880" w:type="dxa"/>
            <w:vAlign w:val="bottom"/>
            <w:vMerge w:val="continue"/>
            <w:shd w:val="clear" w:color="auto" w:fill="D7D7D7"/>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00" w:type="dxa"/>
            <w:vAlign w:val="bottom"/>
            <w:vMerge w:val="continue"/>
            <w:shd w:val="clear" w:color="auto" w:fill="D7D7D7"/>
          </w:tcPr>
          <w:p>
            <w:pPr>
              <w:spacing w:after="0"/>
              <w:rPr>
                <w:sz w:val="7"/>
                <w:szCs w:val="7"/>
                <w:color w:val="auto"/>
              </w:rPr>
            </w:pPr>
          </w:p>
        </w:tc>
        <w:tc>
          <w:tcPr>
            <w:tcW w:w="180" w:type="dxa"/>
            <w:vAlign w:val="bottom"/>
            <w:shd w:val="clear" w:color="auto" w:fill="D7D7D7"/>
          </w:tcPr>
          <w:p>
            <w:pPr>
              <w:spacing w:after="0"/>
              <w:rPr>
                <w:sz w:val="7"/>
                <w:szCs w:val="7"/>
                <w:color w:val="auto"/>
              </w:rPr>
            </w:pPr>
          </w:p>
        </w:tc>
        <w:tc>
          <w:tcPr>
            <w:tcW w:w="940" w:type="dxa"/>
            <w:vAlign w:val="bottom"/>
            <w:shd w:val="clear" w:color="auto" w:fill="D7D7D7"/>
          </w:tcPr>
          <w:p>
            <w:pPr>
              <w:spacing w:after="0"/>
              <w:rPr>
                <w:sz w:val="7"/>
                <w:szCs w:val="7"/>
                <w:color w:val="auto"/>
              </w:rPr>
            </w:pPr>
          </w:p>
        </w:tc>
        <w:tc>
          <w:tcPr>
            <w:tcW w:w="30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920" w:type="dxa"/>
            <w:vAlign w:val="bottom"/>
            <w:shd w:val="clear" w:color="auto" w:fill="D7D7D7"/>
          </w:tcPr>
          <w:p>
            <w:pPr>
              <w:spacing w:after="0"/>
              <w:rPr>
                <w:sz w:val="7"/>
                <w:szCs w:val="7"/>
                <w:color w:val="auto"/>
              </w:rPr>
            </w:pPr>
          </w:p>
        </w:tc>
        <w:tc>
          <w:tcPr>
            <w:tcW w:w="280" w:type="dxa"/>
            <w:vAlign w:val="bottom"/>
            <w:shd w:val="clear" w:color="auto" w:fill="D7D7D7"/>
          </w:tcPr>
          <w:p>
            <w:pPr>
              <w:spacing w:after="0"/>
              <w:rPr>
                <w:sz w:val="7"/>
                <w:szCs w:val="7"/>
                <w:color w:val="auto"/>
              </w:rPr>
            </w:pPr>
          </w:p>
        </w:tc>
        <w:tc>
          <w:tcPr>
            <w:tcW w:w="160" w:type="dxa"/>
            <w:vAlign w:val="bottom"/>
            <w:shd w:val="clear" w:color="auto" w:fill="D7D7D7"/>
          </w:tcPr>
          <w:p>
            <w:pPr>
              <w:spacing w:after="0"/>
              <w:rPr>
                <w:sz w:val="7"/>
                <w:szCs w:val="7"/>
                <w:color w:val="auto"/>
              </w:rPr>
            </w:pPr>
          </w:p>
        </w:tc>
        <w:tc>
          <w:tcPr>
            <w:tcW w:w="840" w:type="dxa"/>
            <w:vAlign w:val="bottom"/>
            <w:shd w:val="clear" w:color="auto" w:fill="D7D7D7"/>
          </w:tcPr>
          <w:p>
            <w:pPr>
              <w:spacing w:after="0"/>
              <w:rPr>
                <w:sz w:val="7"/>
                <w:szCs w:val="7"/>
                <w:color w:val="auto"/>
              </w:rPr>
            </w:pPr>
          </w:p>
        </w:tc>
        <w:tc>
          <w:tcPr>
            <w:tcW w:w="240" w:type="dxa"/>
            <w:vAlign w:val="bottom"/>
            <w:shd w:val="clear" w:color="auto" w:fill="D7D7D7"/>
          </w:tcPr>
          <w:p>
            <w:pPr>
              <w:spacing w:after="0"/>
              <w:rPr>
                <w:sz w:val="7"/>
                <w:szCs w:val="7"/>
                <w:color w:val="auto"/>
              </w:rPr>
            </w:pPr>
          </w:p>
        </w:tc>
        <w:tc>
          <w:tcPr>
            <w:tcW w:w="200" w:type="dxa"/>
            <w:vAlign w:val="bottom"/>
            <w:shd w:val="clear" w:color="auto" w:fill="D7D7D7"/>
          </w:tcPr>
          <w:p>
            <w:pPr>
              <w:spacing w:after="0"/>
              <w:rPr>
                <w:sz w:val="7"/>
                <w:szCs w:val="7"/>
                <w:color w:val="auto"/>
              </w:rPr>
            </w:pPr>
          </w:p>
        </w:tc>
        <w:tc>
          <w:tcPr>
            <w:tcW w:w="880" w:type="dxa"/>
            <w:vAlign w:val="bottom"/>
            <w:shd w:val="clear" w:color="auto" w:fill="D7D7D7"/>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00" w:type="dxa"/>
            <w:vAlign w:val="bottom"/>
          </w:tcPr>
          <w:p>
            <w:pPr>
              <w:ind w:left="60"/>
              <w:spacing w:after="0"/>
              <w:rPr>
                <w:sz w:val="20"/>
                <w:szCs w:val="20"/>
                <w:color w:val="auto"/>
              </w:rPr>
            </w:pPr>
            <w:r>
              <w:rPr>
                <w:rFonts w:ascii="Arial" w:cs="Arial" w:eastAsia="Arial" w:hAnsi="Arial"/>
                <w:sz w:val="16"/>
                <w:szCs w:val="16"/>
                <w:color w:val="2A2A2A"/>
              </w:rPr>
              <w:t>Survivor Benefit Plan</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A2A2A"/>
              </w:rPr>
              <w:t>—</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20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Deferred Compensation (7)</w:t>
            </w:r>
          </w:p>
        </w:tc>
        <w:tc>
          <w:tcPr>
            <w:tcW w:w="180" w:type="dxa"/>
            <w:vAlign w:val="bottom"/>
            <w:shd w:val="clear" w:color="auto" w:fill="D7D7D7"/>
          </w:tcPr>
          <w:p>
            <w:pPr>
              <w:spacing w:after="0"/>
              <w:rPr>
                <w:sz w:val="22"/>
                <w:szCs w:val="22"/>
                <w:color w:val="auto"/>
              </w:rPr>
            </w:pP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2A2A2A"/>
              </w:rPr>
              <w:t>$</w:t>
            </w:r>
          </w:p>
        </w:tc>
        <w:tc>
          <w:tcPr>
            <w:tcW w:w="920" w:type="dxa"/>
            <w:vAlign w:val="bottom"/>
          </w:tcPr>
          <w:p>
            <w:pPr>
              <w:jc w:val="right"/>
              <w:spacing w:after="0"/>
              <w:rPr>
                <w:sz w:val="20"/>
                <w:szCs w:val="20"/>
                <w:color w:val="auto"/>
              </w:rPr>
            </w:pPr>
            <w:r>
              <w:rPr>
                <w:rFonts w:ascii="Arial" w:cs="Arial" w:eastAsia="Arial" w:hAnsi="Arial"/>
                <w:sz w:val="16"/>
                <w:szCs w:val="16"/>
                <w:color w:val="2A2A2A"/>
              </w:rPr>
              <w:t>576,416</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A2A2A"/>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200" w:type="dxa"/>
            <w:vAlign w:val="bottom"/>
            <w:shd w:val="clear" w:color="auto" w:fill="D7D7D7"/>
          </w:tcPr>
          <w:p>
            <w:pPr>
              <w:spacing w:after="0"/>
              <w:rPr>
                <w:sz w:val="2"/>
                <w:szCs w:val="2"/>
                <w:color w:val="auto"/>
              </w:rPr>
            </w:pPr>
          </w:p>
        </w:tc>
        <w:tc>
          <w:tcPr>
            <w:tcW w:w="180" w:type="dxa"/>
            <w:vAlign w:val="bottom"/>
            <w:shd w:val="clear" w:color="auto" w:fill="D7D7D7"/>
          </w:tcPr>
          <w:p>
            <w:pPr>
              <w:spacing w:after="0"/>
              <w:rPr>
                <w:sz w:val="2"/>
                <w:szCs w:val="2"/>
                <w:color w:val="auto"/>
              </w:rPr>
            </w:pPr>
          </w:p>
        </w:tc>
        <w:tc>
          <w:tcPr>
            <w:tcW w:w="940" w:type="dxa"/>
            <w:vAlign w:val="bottom"/>
            <w:shd w:val="clear" w:color="auto" w:fill="D7D7D7"/>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0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16"/>
                <w:szCs w:val="16"/>
                <w:color w:val="2A2A2A"/>
              </w:rPr>
              <w:t>RSUs</w:t>
            </w:r>
          </w:p>
        </w:tc>
        <w:tc>
          <w:tcPr>
            <w:tcW w:w="1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7,117,216</w:t>
            </w:r>
          </w:p>
        </w:tc>
        <w:tc>
          <w:tcPr>
            <w:tcW w:w="3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(8)</w:t>
            </w:r>
          </w:p>
        </w:tc>
        <w:tc>
          <w:tcPr>
            <w:tcW w:w="20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9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7,117,216</w:t>
            </w:r>
          </w:p>
        </w:tc>
        <w:tc>
          <w:tcPr>
            <w:tcW w:w="280" w:type="dxa"/>
            <w:vAlign w:val="bottom"/>
            <w:tcBorders>
              <w:bottom w:val="single" w:sz="8" w:color="D7D7D7"/>
            </w:tcBorders>
            <w:shd w:val="clear" w:color="auto" w:fill="D7D7D7"/>
          </w:tcPr>
          <w:p>
            <w:pPr>
              <w:spacing w:after="0"/>
              <w:rPr>
                <w:sz w:val="20"/>
                <w:szCs w:val="20"/>
                <w:color w:val="auto"/>
              </w:rPr>
            </w:pPr>
            <w:r>
              <w:rPr>
                <w:rFonts w:ascii="Arial" w:cs="Arial" w:eastAsia="Arial" w:hAnsi="Arial"/>
                <w:sz w:val="16"/>
                <w:szCs w:val="16"/>
                <w:color w:val="2A2A2A"/>
              </w:rPr>
              <w:t>(8)</w:t>
            </w:r>
          </w:p>
        </w:tc>
        <w:tc>
          <w:tcPr>
            <w:tcW w:w="160" w:type="dxa"/>
            <w:vAlign w:val="bottom"/>
            <w:tcBorders>
              <w:bottom w:val="single" w:sz="8" w:color="D7D7D7"/>
            </w:tcBorders>
            <w:shd w:val="clear" w:color="auto" w:fill="D7D7D7"/>
          </w:tcPr>
          <w:p>
            <w:pPr>
              <w:spacing w:after="0"/>
              <w:rPr>
                <w:sz w:val="23"/>
                <w:szCs w:val="23"/>
                <w:color w:val="auto"/>
              </w:rPr>
            </w:pPr>
          </w:p>
        </w:tc>
        <w:tc>
          <w:tcPr>
            <w:tcW w:w="84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240" w:type="dxa"/>
            <w:vAlign w:val="bottom"/>
            <w:tcBorders>
              <w:bottom w:val="single" w:sz="8" w:color="D7D7D7"/>
            </w:tcBorders>
            <w:shd w:val="clear" w:color="auto" w:fill="D7D7D7"/>
          </w:tcPr>
          <w:p>
            <w:pPr>
              <w:spacing w:after="0"/>
              <w:rPr>
                <w:sz w:val="23"/>
                <w:szCs w:val="23"/>
                <w:color w:val="auto"/>
              </w:rPr>
            </w:pPr>
          </w:p>
        </w:tc>
        <w:tc>
          <w:tcPr>
            <w:tcW w:w="200" w:type="dxa"/>
            <w:vAlign w:val="bottom"/>
            <w:tcBorders>
              <w:bottom w:val="single" w:sz="8" w:color="D7D7D7"/>
            </w:tcBorders>
            <w:shd w:val="clear" w:color="auto" w:fill="D7D7D7"/>
          </w:tcPr>
          <w:p>
            <w:pPr>
              <w:spacing w:after="0"/>
              <w:rPr>
                <w:sz w:val="23"/>
                <w:szCs w:val="23"/>
                <w:color w:val="auto"/>
              </w:rPr>
            </w:pPr>
          </w:p>
        </w:tc>
        <w:tc>
          <w:tcPr>
            <w:tcW w:w="8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300" w:type="dxa"/>
            <w:vAlign w:val="bottom"/>
            <w:tcBorders>
              <w:bottom w:val="single" w:sz="8" w:color="D7D7D7"/>
            </w:tcBorders>
            <w:shd w:val="clear" w:color="auto" w:fill="D7D7D7"/>
          </w:tcPr>
          <w:p>
            <w:pPr>
              <w:spacing w:after="0"/>
              <w:rPr>
                <w:sz w:val="23"/>
                <w:szCs w:val="23"/>
                <w:color w:val="auto"/>
              </w:rPr>
            </w:pPr>
          </w:p>
        </w:tc>
        <w:tc>
          <w:tcPr>
            <w:tcW w:w="120" w:type="dxa"/>
            <w:vAlign w:val="bottom"/>
            <w:tcBorders>
              <w:bottom w:val="single" w:sz="8" w:color="D7D7D7"/>
            </w:tcBorders>
            <w:shd w:val="clear" w:color="auto" w:fill="D7D7D7"/>
          </w:tcPr>
          <w:p>
            <w:pPr>
              <w:spacing w:after="0"/>
              <w:rPr>
                <w:sz w:val="23"/>
                <w:szCs w:val="23"/>
                <w:color w:val="auto"/>
              </w:rPr>
            </w:pPr>
          </w:p>
        </w:tc>
        <w:tc>
          <w:tcPr>
            <w:tcW w:w="1300" w:type="dxa"/>
            <w:vAlign w:val="bottom"/>
            <w:tcBorders>
              <w:bottom w:val="single" w:sz="8" w:color="D7D7D7"/>
            </w:tcBorders>
            <w:shd w:val="clear" w:color="auto" w:fill="D7D7D7"/>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Borders>
              <w:bottom w:val="single" w:sz="8" w:color="D7D7D7"/>
            </w:tcBorders>
            <w:shd w:val="clear" w:color="auto" w:fill="D7D7D7"/>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58"/>
        </w:trPr>
        <w:tc>
          <w:tcPr>
            <w:tcW w:w="2200" w:type="dxa"/>
            <w:vAlign w:val="bottom"/>
          </w:tcPr>
          <w:p>
            <w:pPr>
              <w:ind w:left="60"/>
              <w:spacing w:after="0"/>
              <w:rPr>
                <w:sz w:val="20"/>
                <w:szCs w:val="20"/>
                <w:color w:val="auto"/>
              </w:rPr>
            </w:pPr>
            <w:r>
              <w:rPr>
                <w:rFonts w:ascii="Arial" w:cs="Arial" w:eastAsia="Arial" w:hAnsi="Arial"/>
                <w:sz w:val="16"/>
                <w:szCs w:val="16"/>
                <w:color w:val="2A2A2A"/>
              </w:rPr>
              <w:t>Stock Options</w:t>
            </w:r>
          </w:p>
        </w:tc>
        <w:tc>
          <w:tcPr>
            <w:tcW w:w="180" w:type="dxa"/>
            <w:vAlign w:val="bottom"/>
          </w:tcPr>
          <w:p>
            <w:pPr>
              <w:jc w:val="right"/>
              <w:spacing w:after="0"/>
              <w:rPr>
                <w:sz w:val="20"/>
                <w:szCs w:val="20"/>
                <w:color w:val="auto"/>
              </w:rPr>
            </w:pPr>
            <w:r>
              <w:rPr>
                <w:rFonts w:ascii="Arial" w:cs="Arial" w:eastAsia="Arial" w:hAnsi="Arial"/>
                <w:sz w:val="16"/>
                <w:szCs w:val="16"/>
                <w:color w:val="2A2A2A"/>
              </w:rPr>
              <w:t>$</w:t>
            </w:r>
          </w:p>
        </w:tc>
        <w:tc>
          <w:tcPr>
            <w:tcW w:w="940" w:type="dxa"/>
            <w:vAlign w:val="bottom"/>
          </w:tcPr>
          <w:p>
            <w:pPr>
              <w:jc w:val="right"/>
              <w:spacing w:after="0"/>
              <w:rPr>
                <w:sz w:val="20"/>
                <w:szCs w:val="20"/>
                <w:color w:val="auto"/>
              </w:rPr>
            </w:pPr>
            <w:r>
              <w:rPr>
                <w:rFonts w:ascii="Arial" w:cs="Arial" w:eastAsia="Arial" w:hAnsi="Arial"/>
                <w:sz w:val="16"/>
                <w:szCs w:val="16"/>
                <w:color w:val="2A2A2A"/>
              </w:rPr>
              <w:t>3,434,575</w:t>
            </w:r>
          </w:p>
        </w:tc>
        <w:tc>
          <w:tcPr>
            <w:tcW w:w="500" w:type="dxa"/>
            <w:vAlign w:val="bottom"/>
            <w:gridSpan w:val="2"/>
          </w:tcPr>
          <w:p>
            <w:pPr>
              <w:jc w:val="right"/>
              <w:spacing w:after="0"/>
              <w:rPr>
                <w:sz w:val="20"/>
                <w:szCs w:val="20"/>
                <w:color w:val="auto"/>
              </w:rPr>
            </w:pPr>
            <w:r>
              <w:rPr>
                <w:rFonts w:ascii="Arial" w:cs="Arial" w:eastAsia="Arial" w:hAnsi="Arial"/>
                <w:sz w:val="16"/>
                <w:szCs w:val="16"/>
                <w:color w:val="2A2A2A"/>
              </w:rPr>
              <w:t>(11) $</w:t>
            </w:r>
          </w:p>
        </w:tc>
        <w:tc>
          <w:tcPr>
            <w:tcW w:w="920" w:type="dxa"/>
            <w:vAlign w:val="bottom"/>
          </w:tcPr>
          <w:p>
            <w:pPr>
              <w:jc w:val="right"/>
              <w:spacing w:after="0"/>
              <w:rPr>
                <w:sz w:val="20"/>
                <w:szCs w:val="20"/>
                <w:color w:val="auto"/>
              </w:rPr>
            </w:pPr>
            <w:r>
              <w:rPr>
                <w:rFonts w:ascii="Arial" w:cs="Arial" w:eastAsia="Arial" w:hAnsi="Arial"/>
                <w:sz w:val="16"/>
                <w:szCs w:val="16"/>
                <w:color w:val="2A2A2A"/>
              </w:rPr>
              <w:t>3,434,575</w:t>
            </w:r>
          </w:p>
        </w:tc>
        <w:tc>
          <w:tcPr>
            <w:tcW w:w="280" w:type="dxa"/>
            <w:vAlign w:val="bottom"/>
          </w:tcPr>
          <w:p>
            <w:pPr>
              <w:spacing w:after="0"/>
              <w:rPr>
                <w:sz w:val="20"/>
                <w:szCs w:val="20"/>
                <w:color w:val="auto"/>
              </w:rPr>
            </w:pPr>
            <w:r>
              <w:rPr>
                <w:rFonts w:ascii="Arial" w:cs="Arial" w:eastAsia="Arial" w:hAnsi="Arial"/>
                <w:sz w:val="16"/>
                <w:szCs w:val="16"/>
                <w:color w:val="2A2A2A"/>
                <w:w w:val="91"/>
              </w:rPr>
              <w:t>(11)</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A2A2A"/>
              </w:rPr>
              <w:t>—</w:t>
            </w:r>
          </w:p>
        </w:tc>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2A2A2A"/>
              </w:rPr>
              <w:t>$</w:t>
            </w:r>
          </w:p>
        </w:tc>
        <w:tc>
          <w:tcPr>
            <w:tcW w:w="880" w:type="dxa"/>
            <w:vAlign w:val="bottom"/>
          </w:tcPr>
          <w:p>
            <w:pPr>
              <w:jc w:val="right"/>
              <w:spacing w:after="0"/>
              <w:rPr>
                <w:sz w:val="20"/>
                <w:szCs w:val="20"/>
                <w:color w:val="auto"/>
              </w:rPr>
            </w:pPr>
            <w:r>
              <w:rPr>
                <w:rFonts w:ascii="Arial" w:cs="Arial" w:eastAsia="Arial" w:hAnsi="Arial"/>
                <w:sz w:val="16"/>
                <w:szCs w:val="16"/>
                <w:color w:val="2A2A2A"/>
              </w:rPr>
              <w:t>3,021,375</w:t>
            </w:r>
          </w:p>
        </w:tc>
        <w:tc>
          <w:tcPr>
            <w:tcW w:w="300" w:type="dxa"/>
            <w:vAlign w:val="bottom"/>
          </w:tcPr>
          <w:p>
            <w:pPr>
              <w:spacing w:after="0"/>
              <w:rPr>
                <w:sz w:val="20"/>
                <w:szCs w:val="20"/>
                <w:color w:val="auto"/>
              </w:rPr>
            </w:pPr>
            <w:r>
              <w:rPr>
                <w:rFonts w:ascii="Arial" w:cs="Arial" w:eastAsia="Arial" w:hAnsi="Arial"/>
                <w:sz w:val="16"/>
                <w:szCs w:val="16"/>
                <w:color w:val="2A2A2A"/>
                <w:w w:val="98"/>
              </w:rPr>
              <w:t>(12)</w:t>
            </w:r>
          </w:p>
        </w:tc>
        <w:tc>
          <w:tcPr>
            <w:tcW w:w="120" w:type="dxa"/>
            <w:vAlign w:val="bottom"/>
          </w:tcPr>
          <w:p>
            <w:pPr>
              <w:spacing w:after="0"/>
              <w:rPr>
                <w:sz w:val="22"/>
                <w:szCs w:val="22"/>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2A2A2A"/>
              </w:rPr>
              <w:t>—</w:t>
            </w:r>
          </w:p>
        </w:tc>
        <w:tc>
          <w:tcPr>
            <w:tcW w:w="1220" w:type="dxa"/>
            <w:vAlign w:val="bottom"/>
          </w:tcPr>
          <w:p>
            <w:pPr>
              <w:ind w:left="760"/>
              <w:spacing w:after="0"/>
              <w:rPr>
                <w:sz w:val="20"/>
                <w:szCs w:val="20"/>
                <w:color w:val="auto"/>
              </w:rPr>
            </w:pPr>
            <w:r>
              <w:rPr>
                <w:rFonts w:ascii="Arial" w:cs="Arial" w:eastAsia="Arial" w:hAnsi="Arial"/>
                <w:sz w:val="16"/>
                <w:szCs w:val="16"/>
                <w:color w:val="2A2A2A"/>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200" w:type="dxa"/>
            <w:vAlign w:val="bottom"/>
            <w:shd w:val="clear" w:color="auto" w:fill="D7D7D7"/>
          </w:tcPr>
          <w:p>
            <w:pPr>
              <w:ind w:left="140"/>
              <w:spacing w:after="0"/>
              <w:rPr>
                <w:sz w:val="20"/>
                <w:szCs w:val="20"/>
                <w:color w:val="auto"/>
              </w:rPr>
            </w:pPr>
            <w:r>
              <w:rPr>
                <w:rFonts w:ascii="Arial" w:cs="Arial" w:eastAsia="Arial" w:hAnsi="Arial"/>
                <w:sz w:val="16"/>
                <w:szCs w:val="16"/>
                <w:b w:val="1"/>
                <w:bCs w:val="1"/>
                <w:color w:val="2A2A2A"/>
              </w:rPr>
              <w:t>A. Ron Total</w:t>
            </w:r>
          </w:p>
        </w:tc>
        <w:tc>
          <w:tcPr>
            <w:tcW w:w="1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10,551,791</w:t>
            </w:r>
          </w:p>
        </w:tc>
        <w:tc>
          <w:tcPr>
            <w:tcW w:w="300" w:type="dxa"/>
            <w:vAlign w:val="bottom"/>
            <w:shd w:val="clear" w:color="auto" w:fill="D7D7D7"/>
          </w:tcPr>
          <w:p>
            <w:pPr>
              <w:spacing w:after="0"/>
              <w:rPr>
                <w:sz w:val="24"/>
                <w:szCs w:val="24"/>
                <w:color w:val="auto"/>
              </w:rPr>
            </w:pPr>
          </w:p>
        </w:tc>
        <w:tc>
          <w:tcPr>
            <w:tcW w:w="20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92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11,128,207</w:t>
            </w:r>
          </w:p>
        </w:tc>
        <w:tc>
          <w:tcPr>
            <w:tcW w:w="280" w:type="dxa"/>
            <w:vAlign w:val="bottom"/>
            <w:shd w:val="clear" w:color="auto" w:fill="D7D7D7"/>
          </w:tcPr>
          <w:p>
            <w:pPr>
              <w:spacing w:after="0"/>
              <w:rPr>
                <w:sz w:val="24"/>
                <w:szCs w:val="24"/>
                <w:color w:val="auto"/>
              </w:rPr>
            </w:pPr>
          </w:p>
        </w:tc>
        <w:tc>
          <w:tcPr>
            <w:tcW w:w="160" w:type="dxa"/>
            <w:vAlign w:val="bottom"/>
            <w:shd w:val="clear" w:color="auto" w:fill="D7D7D7"/>
          </w:tcPr>
          <w:p>
            <w:pPr>
              <w:spacing w:after="0"/>
              <w:rPr>
                <w:sz w:val="24"/>
                <w:szCs w:val="24"/>
                <w:color w:val="auto"/>
              </w:rPr>
            </w:pPr>
          </w:p>
        </w:tc>
        <w:tc>
          <w:tcPr>
            <w:tcW w:w="84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w:t>
            </w:r>
          </w:p>
        </w:tc>
        <w:tc>
          <w:tcPr>
            <w:tcW w:w="240" w:type="dxa"/>
            <w:vAlign w:val="bottom"/>
            <w:shd w:val="clear" w:color="auto" w:fill="D7D7D7"/>
          </w:tcPr>
          <w:p>
            <w:pPr>
              <w:spacing w:after="0"/>
              <w:rPr>
                <w:sz w:val="24"/>
                <w:szCs w:val="24"/>
                <w:color w:val="auto"/>
              </w:rPr>
            </w:pPr>
          </w:p>
        </w:tc>
        <w:tc>
          <w:tcPr>
            <w:tcW w:w="200" w:type="dxa"/>
            <w:vAlign w:val="bottom"/>
            <w:shd w:val="clear" w:color="auto" w:fill="D7D7D7"/>
          </w:tcPr>
          <w:p>
            <w:pPr>
              <w:ind w:left="40"/>
              <w:spacing w:after="0"/>
              <w:rPr>
                <w:sz w:val="20"/>
                <w:szCs w:val="20"/>
                <w:color w:val="auto"/>
              </w:rPr>
            </w:pPr>
            <w:r>
              <w:rPr>
                <w:rFonts w:ascii="Arial" w:cs="Arial" w:eastAsia="Arial" w:hAnsi="Arial"/>
                <w:sz w:val="16"/>
                <w:szCs w:val="16"/>
                <w:b w:val="1"/>
                <w:bCs w:val="1"/>
                <w:color w:val="2A2A2A"/>
              </w:rPr>
              <w:t>$</w:t>
            </w:r>
          </w:p>
        </w:tc>
        <w:tc>
          <w:tcPr>
            <w:tcW w:w="880" w:type="dxa"/>
            <w:vAlign w:val="bottom"/>
            <w:shd w:val="clear" w:color="auto" w:fill="D7D7D7"/>
          </w:tcPr>
          <w:p>
            <w:pPr>
              <w:jc w:val="right"/>
              <w:spacing w:after="0"/>
              <w:rPr>
                <w:sz w:val="20"/>
                <w:szCs w:val="20"/>
                <w:color w:val="auto"/>
              </w:rPr>
            </w:pPr>
            <w:r>
              <w:rPr>
                <w:rFonts w:ascii="Arial" w:cs="Arial" w:eastAsia="Arial" w:hAnsi="Arial"/>
                <w:sz w:val="16"/>
                <w:szCs w:val="16"/>
                <w:b w:val="1"/>
                <w:bCs w:val="1"/>
                <w:color w:val="2A2A2A"/>
              </w:rPr>
              <w:t>3,021,375</w:t>
            </w:r>
          </w:p>
        </w:tc>
        <w:tc>
          <w:tcPr>
            <w:tcW w:w="30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300" w:type="dxa"/>
            <w:vAlign w:val="bottom"/>
            <w:shd w:val="clear" w:color="auto" w:fill="D7D7D7"/>
          </w:tcPr>
          <w:p>
            <w:pPr>
              <w:jc w:val="right"/>
              <w:ind w:right="300"/>
              <w:spacing w:after="0"/>
              <w:rPr>
                <w:sz w:val="20"/>
                <w:szCs w:val="20"/>
                <w:color w:val="auto"/>
              </w:rPr>
            </w:pPr>
            <w:r>
              <w:rPr>
                <w:rFonts w:ascii="Arial" w:cs="Arial" w:eastAsia="Arial" w:hAnsi="Arial"/>
                <w:sz w:val="16"/>
                <w:szCs w:val="16"/>
                <w:b w:val="1"/>
                <w:bCs w:val="1"/>
                <w:color w:val="2A2A2A"/>
              </w:rPr>
              <w:t>—</w:t>
            </w:r>
          </w:p>
        </w:tc>
        <w:tc>
          <w:tcPr>
            <w:tcW w:w="1220" w:type="dxa"/>
            <w:vAlign w:val="bottom"/>
            <w:shd w:val="clear" w:color="auto" w:fill="D7D7D7"/>
          </w:tcPr>
          <w:p>
            <w:pPr>
              <w:ind w:left="760"/>
              <w:spacing w:after="0"/>
              <w:rPr>
                <w:sz w:val="20"/>
                <w:szCs w:val="20"/>
                <w:color w:val="auto"/>
              </w:rPr>
            </w:pPr>
            <w:r>
              <w:rPr>
                <w:rFonts w:ascii="Arial" w:cs="Arial" w:eastAsia="Arial" w:hAnsi="Arial"/>
                <w:sz w:val="16"/>
                <w:szCs w:val="16"/>
                <w:b w:val="1"/>
                <w:bCs w:val="1"/>
                <w:color w:val="2A2A2A"/>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-3907790</wp:posOffset>
            </wp:positionV>
            <wp:extent cx="6550025" cy="4635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550025" cy="4635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-1688465</wp:posOffset>
            </wp:positionV>
            <wp:extent cx="4683125" cy="1158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83125" cy="1158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-5946140</wp:posOffset>
            </wp:positionV>
            <wp:extent cx="655002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65" w:lineRule="exact"/>
        <w:rPr>
          <w:sz w:val="20"/>
          <w:szCs w:val="20"/>
          <w:color w:val="auto"/>
        </w:rPr>
      </w:pPr>
    </w:p>
    <w:p>
      <w:pPr>
        <w:ind w:left="541" w:right="180" w:hanging="541"/>
        <w:spacing w:after="0" w:line="287" w:lineRule="auto"/>
        <w:tabs>
          <w:tab w:leader="none" w:pos="541" w:val="left"/>
        </w:tabs>
        <w:numPr>
          <w:ilvl w:val="0"/>
          <w:numId w:val="137"/>
        </w:numPr>
        <w:rPr>
          <w:rFonts w:ascii="Arial" w:cs="Arial" w:eastAsia="Arial" w:hAnsi="Arial"/>
          <w:sz w:val="20"/>
          <w:szCs w:val="20"/>
          <w:color w:val="2A2A2A"/>
        </w:rPr>
      </w:pPr>
      <w:r>
        <w:rPr>
          <w:rFonts w:ascii="Arial" w:cs="Arial" w:eastAsia="Arial" w:hAnsi="Arial"/>
          <w:sz w:val="20"/>
          <w:szCs w:val="20"/>
          <w:color w:val="2A2A2A"/>
        </w:rPr>
        <w:t>Mr. Templeton was retirement eligible for purposes of TI’s defined benefit pension plans and under the terms of his equity compensation awards as of December 31, 2023.</w:t>
      </w:r>
    </w:p>
    <w:p>
      <w:pPr>
        <w:spacing w:after="0" w:line="49" w:lineRule="exact"/>
        <w:rPr>
          <w:rFonts w:ascii="Arial" w:cs="Arial" w:eastAsia="Arial" w:hAnsi="Arial"/>
          <w:sz w:val="20"/>
          <w:szCs w:val="20"/>
          <w:color w:val="2A2A2A"/>
        </w:rPr>
      </w:pPr>
    </w:p>
    <w:p>
      <w:pPr>
        <w:ind w:left="541" w:right="120" w:hanging="541"/>
        <w:spacing w:after="0" w:line="259" w:lineRule="auto"/>
        <w:tabs>
          <w:tab w:leader="none" w:pos="541" w:val="left"/>
        </w:tabs>
        <w:numPr>
          <w:ilvl w:val="0"/>
          <w:numId w:val="137"/>
        </w:numPr>
        <w:rPr>
          <w:rFonts w:ascii="Arial" w:cs="Arial" w:eastAsia="Arial" w:hAnsi="Arial"/>
          <w:sz w:val="20"/>
          <w:szCs w:val="20"/>
          <w:color w:val="2A2A2A"/>
        </w:rPr>
      </w:pPr>
      <w:r>
        <w:rPr>
          <w:rFonts w:ascii="Arial" w:cs="Arial" w:eastAsia="Arial" w:hAnsi="Arial"/>
          <w:sz w:val="20"/>
          <w:szCs w:val="20"/>
          <w:color w:val="2A2A2A"/>
        </w:rPr>
        <w:t>The amount shown is the lump-sum benefit payable at age 65 to the named executive officer in the event of termination as of December 31, 2023,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2023 and are described in Note 5 to the 2023 pension benefits table.</w:t>
      </w:r>
    </w:p>
    <w:p>
      <w:pPr>
        <w:spacing w:after="0" w:line="79" w:lineRule="exact"/>
        <w:rPr>
          <w:rFonts w:ascii="Arial" w:cs="Arial" w:eastAsia="Arial" w:hAnsi="Arial"/>
          <w:sz w:val="20"/>
          <w:szCs w:val="20"/>
          <w:color w:val="2A2A2A"/>
        </w:rPr>
      </w:pPr>
    </w:p>
    <w:p>
      <w:pPr>
        <w:ind w:left="541" w:right="40" w:hanging="541"/>
        <w:spacing w:after="0" w:line="262" w:lineRule="auto"/>
        <w:tabs>
          <w:tab w:leader="none" w:pos="541" w:val="left"/>
        </w:tabs>
        <w:numPr>
          <w:ilvl w:val="0"/>
          <w:numId w:val="137"/>
        </w:numPr>
        <w:rPr>
          <w:rFonts w:ascii="Arial" w:cs="Arial" w:eastAsia="Arial" w:hAnsi="Arial"/>
          <w:sz w:val="20"/>
          <w:szCs w:val="20"/>
          <w:color w:val="2A2A2A"/>
        </w:rPr>
      </w:pPr>
      <w:r>
        <w:rPr>
          <w:rFonts w:ascii="Arial" w:cs="Arial" w:eastAsia="Arial" w:hAnsi="Arial"/>
          <w:sz w:val="20"/>
          <w:szCs w:val="20"/>
          <w:color w:val="2A2A2A"/>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ectPr>
          <w:pgSz w:w="12240" w:h="15840" w:orient="portrait"/>
          <w:cols w:equalWidth="0" w:num="1">
            <w:col w:w="10281"/>
          </w:cols>
          <w:pgMar w:left="979" w:top="762"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57</w:t>
      </w:r>
    </w:p>
    <w:p>
      <w:pPr>
        <w:sectPr>
          <w:pgSz w:w="12240" w:h="15840" w:orient="portrait"/>
          <w:cols w:equalWidth="0" w:num="1">
            <w:col w:w="10281"/>
          </w:cols>
          <w:pgMar w:left="979" w:top="762" w:right="980" w:bottom="33" w:gutter="0" w:footer="0" w:header="0"/>
          <w:type w:val="continuous"/>
        </w:sectPr>
      </w:pPr>
    </w:p>
    <w:bookmarkStart w:id="129" w:name="page130"/>
    <w:bookmarkEnd w:id="129"/>
    <w:p>
      <w:pPr>
        <w:ind w:left="541" w:right="200" w:hanging="541"/>
        <w:spacing w:after="0" w:line="287"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Lump-sum value of the accrued benefit as of December 31, 2023, calculated as required by the terms of the plans assuming the earliest possible payment date.</w:t>
      </w:r>
    </w:p>
    <w:p>
      <w:pPr>
        <w:spacing w:after="0" w:line="49" w:lineRule="exact"/>
        <w:rPr>
          <w:rFonts w:ascii="Arial" w:cs="Arial" w:eastAsia="Arial" w:hAnsi="Arial"/>
          <w:sz w:val="20"/>
          <w:szCs w:val="20"/>
          <w:color w:val="2A2A2A"/>
        </w:rPr>
      </w:pPr>
    </w:p>
    <w:p>
      <w:pPr>
        <w:ind w:left="541" w:right="240" w:hanging="541"/>
        <w:spacing w:after="0" w:line="268"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The amount shown is the lump-sum benefit payable at age 65, in the case of the Non-Qualified Defined Benefit Pension Plan, or separation from service in the case of Plan II. The assumptions used are the same as those described in Note 2.</w:t>
      </w:r>
    </w:p>
    <w:p>
      <w:pPr>
        <w:spacing w:after="0" w:line="69" w:lineRule="exact"/>
        <w:rPr>
          <w:rFonts w:ascii="Arial" w:cs="Arial" w:eastAsia="Arial" w:hAnsi="Arial"/>
          <w:sz w:val="20"/>
          <w:szCs w:val="20"/>
          <w:color w:val="2A2A2A"/>
        </w:rPr>
      </w:pPr>
    </w:p>
    <w:p>
      <w:pPr>
        <w:ind w:left="541" w:hanging="541"/>
        <w:spacing w:after="0"/>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Calculated as required by the terms of the plan assuming the earliest possible payment date.</w:t>
      </w:r>
    </w:p>
    <w:p>
      <w:pPr>
        <w:spacing w:after="0" w:line="130" w:lineRule="exact"/>
        <w:rPr>
          <w:rFonts w:ascii="Arial" w:cs="Arial" w:eastAsia="Arial" w:hAnsi="Arial"/>
          <w:sz w:val="20"/>
          <w:szCs w:val="20"/>
          <w:color w:val="2A2A2A"/>
        </w:rPr>
      </w:pPr>
    </w:p>
    <w:p>
      <w:pPr>
        <w:ind w:left="541" w:right="240" w:hanging="541"/>
        <w:spacing w:after="0" w:line="259"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In the event of death, a participant’s deferred compensation balance becomes payable immediately. The amount shown in the column titled “Death” is the balance as of December 31, 2023, under the non-qualified deferred compensation plan. For all separation events other than death, balances are distributed in accordance with the participant’s distribution election as discussed in the narrative following the 2023 non-qualified deferred compensation table.</w:t>
      </w:r>
    </w:p>
    <w:p>
      <w:pPr>
        <w:spacing w:after="0" w:line="79" w:lineRule="exact"/>
        <w:rPr>
          <w:rFonts w:ascii="Arial" w:cs="Arial" w:eastAsia="Arial" w:hAnsi="Arial"/>
          <w:sz w:val="20"/>
          <w:szCs w:val="20"/>
          <w:color w:val="2A2A2A"/>
        </w:rPr>
      </w:pPr>
    </w:p>
    <w:p>
      <w:pPr>
        <w:ind w:left="541" w:right="320" w:hanging="541"/>
        <w:spacing w:after="0" w:line="259"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Calculated by multiplying the number of outstanding RSUs by the closing price of TI common stock as of December 29, 2023 ($170.46). In the event of termination due to disability or death, all outstanding awards will continue to vest according to their terms. See the first table under “Outstanding equity awards at fiscal year-end 2023” for the number of unvested RSUs as of December 31, 2023, and the related discussion following that table of an additional outstanding RSU award held by Mr. Templeton.</w:t>
      </w:r>
    </w:p>
    <w:p>
      <w:pPr>
        <w:spacing w:after="0" w:line="79" w:lineRule="exact"/>
        <w:rPr>
          <w:rFonts w:ascii="Arial" w:cs="Arial" w:eastAsia="Arial" w:hAnsi="Arial"/>
          <w:sz w:val="20"/>
          <w:szCs w:val="20"/>
          <w:color w:val="2A2A2A"/>
        </w:rPr>
      </w:pPr>
    </w:p>
    <w:p>
      <w:pPr>
        <w:ind w:left="541" w:right="240" w:hanging="541"/>
        <w:spacing w:after="0" w:line="287"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Calculated by multiplying the previously discussed 120,000 vested RSUs by the closing price of TI common stock as of December 29, 2023 ($170.46).</w:t>
      </w:r>
    </w:p>
    <w:p>
      <w:pPr>
        <w:spacing w:after="0" w:line="49" w:lineRule="exact"/>
        <w:rPr>
          <w:rFonts w:ascii="Arial" w:cs="Arial" w:eastAsia="Arial" w:hAnsi="Arial"/>
          <w:sz w:val="20"/>
          <w:szCs w:val="20"/>
          <w:color w:val="2A2A2A"/>
        </w:rPr>
      </w:pPr>
    </w:p>
    <w:p>
      <w:pPr>
        <w:ind w:left="541" w:right="100" w:hanging="541"/>
        <w:spacing w:after="0" w:line="268"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Due to retirement eligibility, calculated by multiplying the number of outstanding RSUs held at such termination by the closing price of TI common stock as of December 29, 2023 ($170.46). RSU awards stay in effect and pay out shares according to the vesting schedule.</w:t>
      </w:r>
    </w:p>
    <w:p>
      <w:pPr>
        <w:spacing w:after="0" w:line="69" w:lineRule="exact"/>
        <w:rPr>
          <w:rFonts w:ascii="Arial" w:cs="Arial" w:eastAsia="Arial" w:hAnsi="Arial"/>
          <w:sz w:val="20"/>
          <w:szCs w:val="20"/>
          <w:color w:val="2A2A2A"/>
        </w:rPr>
      </w:pPr>
    </w:p>
    <w:p>
      <w:pPr>
        <w:ind w:left="541" w:right="80" w:hanging="541"/>
        <w:spacing w:after="0" w:line="268"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Calculated as the difference between the grant price of all outstanding in-the-money options and the closing price of TI common stock as of December 29, 2023 ($170.46), multiplied by the number of shares under such options as of December 31, 2023.</w:t>
      </w:r>
    </w:p>
    <w:p>
      <w:pPr>
        <w:spacing w:after="0" w:line="69" w:lineRule="exact"/>
        <w:rPr>
          <w:rFonts w:ascii="Arial" w:cs="Arial" w:eastAsia="Arial" w:hAnsi="Arial"/>
          <w:sz w:val="20"/>
          <w:szCs w:val="20"/>
          <w:color w:val="2A2A2A"/>
        </w:rPr>
      </w:pPr>
    </w:p>
    <w:p>
      <w:pPr>
        <w:ind w:left="541" w:right="80" w:hanging="541"/>
        <w:spacing w:after="0" w:line="268" w:lineRule="auto"/>
        <w:tabs>
          <w:tab w:leader="none" w:pos="541" w:val="left"/>
        </w:tabs>
        <w:numPr>
          <w:ilvl w:val="0"/>
          <w:numId w:val="138"/>
        </w:numPr>
        <w:rPr>
          <w:rFonts w:ascii="Arial" w:cs="Arial" w:eastAsia="Arial" w:hAnsi="Arial"/>
          <w:sz w:val="20"/>
          <w:szCs w:val="20"/>
          <w:color w:val="2A2A2A"/>
        </w:rPr>
      </w:pPr>
      <w:r>
        <w:rPr>
          <w:rFonts w:ascii="Arial" w:cs="Arial" w:eastAsia="Arial" w:hAnsi="Arial"/>
          <w:sz w:val="20"/>
          <w:szCs w:val="20"/>
          <w:color w:val="2A2A2A"/>
        </w:rPr>
        <w:t>Calculated as the difference between the grant price of all exercisable in-the-money options and the closing price of TI common stock as of December 29, 2023 ($170.46), multiplied by the number of shares under such options as of December 31, 2023</w:t>
      </w:r>
      <w:r>
        <w:rPr>
          <w:rFonts w:ascii="Times New Roman" w:cs="Times New Roman" w:eastAsia="Times New Roman" w:hAnsi="Times New Roman"/>
          <w:sz w:val="20"/>
          <w:szCs w:val="20"/>
          <w:color w:val="2A2A2A"/>
        </w:rPr>
        <w:t>.</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Pay ratio</w:t>
      </w:r>
    </w:p>
    <w:p>
      <w:pPr>
        <w:spacing w:after="0" w:line="257" w:lineRule="exact"/>
        <w:rPr>
          <w:sz w:val="20"/>
          <w:szCs w:val="20"/>
          <w:color w:val="auto"/>
        </w:rPr>
      </w:pPr>
    </w:p>
    <w:p>
      <w:pPr>
        <w:ind w:left="1" w:right="320"/>
        <w:spacing w:after="0" w:line="262" w:lineRule="auto"/>
        <w:rPr>
          <w:sz w:val="20"/>
          <w:szCs w:val="20"/>
          <w:color w:val="auto"/>
        </w:rPr>
      </w:pPr>
      <w:r>
        <w:rPr>
          <w:rFonts w:ascii="Arial" w:cs="Arial" w:eastAsia="Arial" w:hAnsi="Arial"/>
          <w:sz w:val="20"/>
          <w:szCs w:val="20"/>
          <w:color w:val="2A2A2A"/>
        </w:rPr>
        <w:t>For 2023, the median of annual total compensation of all employees of our company (other than our CEO) was $79,577. The annual total compensation of our CEO was $21,629,000. Based on this information, the ratio of the annual total compensation of our CEO to the median of the annual total compensation of all employees was approximately 272:1.</w:t>
      </w:r>
    </w:p>
    <w:p>
      <w:pPr>
        <w:spacing w:after="0" w:line="196" w:lineRule="exact"/>
        <w:rPr>
          <w:sz w:val="20"/>
          <w:szCs w:val="20"/>
          <w:color w:val="auto"/>
        </w:rPr>
      </w:pPr>
    </w:p>
    <w:p>
      <w:pPr>
        <w:ind w:left="1" w:right="380"/>
        <w:spacing w:after="0" w:line="268" w:lineRule="auto"/>
        <w:rPr>
          <w:sz w:val="20"/>
          <w:szCs w:val="20"/>
          <w:color w:val="auto"/>
        </w:rPr>
      </w:pPr>
      <w:r>
        <w:rPr>
          <w:rFonts w:ascii="Arial" w:cs="Arial" w:eastAsia="Arial" w:hAnsi="Arial"/>
          <w:sz w:val="20"/>
          <w:szCs w:val="20"/>
          <w:color w:val="2A2A2A"/>
        </w:rPr>
        <w:t>To identify the median of the annual total compensation of all our employees, as well as to determine the annual total compensation of the “median employee,” we used the following methodology and material assumptions, adjustments and estimates:</w:t>
      </w:r>
    </w:p>
    <w:p>
      <w:pPr>
        <w:spacing w:after="0" w:line="190" w:lineRule="exact"/>
        <w:rPr>
          <w:sz w:val="20"/>
          <w:szCs w:val="20"/>
          <w:color w:val="auto"/>
        </w:rPr>
      </w:pPr>
    </w:p>
    <w:p>
      <w:pPr>
        <w:ind w:left="721" w:hanging="361"/>
        <w:spacing w:after="0"/>
        <w:tabs>
          <w:tab w:leader="none" w:pos="721" w:val="left"/>
        </w:tabs>
        <w:numPr>
          <w:ilvl w:val="0"/>
          <w:numId w:val="139"/>
        </w:numPr>
        <w:rPr>
          <w:rFonts w:ascii="Arial" w:cs="Arial" w:eastAsia="Arial" w:hAnsi="Arial"/>
          <w:sz w:val="20"/>
          <w:szCs w:val="20"/>
          <w:color w:val="2A2A2A"/>
        </w:rPr>
      </w:pPr>
      <w:r>
        <w:rPr>
          <w:rFonts w:ascii="Arial" w:cs="Arial" w:eastAsia="Arial" w:hAnsi="Arial"/>
          <w:sz w:val="20"/>
          <w:szCs w:val="20"/>
          <w:color w:val="2A2A2A"/>
        </w:rPr>
        <w:t>We selected October 1, 2023, as the date upon which we would identify the “median employee.”</w:t>
      </w:r>
    </w:p>
    <w:p>
      <w:pPr>
        <w:spacing w:after="0" w:line="70" w:lineRule="exact"/>
        <w:rPr>
          <w:rFonts w:ascii="Arial" w:cs="Arial" w:eastAsia="Arial" w:hAnsi="Arial"/>
          <w:sz w:val="20"/>
          <w:szCs w:val="20"/>
          <w:color w:val="2A2A2A"/>
        </w:rPr>
      </w:pPr>
    </w:p>
    <w:p>
      <w:pPr>
        <w:ind w:left="721" w:right="160" w:hanging="361"/>
        <w:spacing w:after="0" w:line="268" w:lineRule="auto"/>
        <w:tabs>
          <w:tab w:leader="none" w:pos="721" w:val="left"/>
        </w:tabs>
        <w:numPr>
          <w:ilvl w:val="0"/>
          <w:numId w:val="139"/>
        </w:numPr>
        <w:rPr>
          <w:rFonts w:ascii="Arial" w:cs="Arial" w:eastAsia="Arial" w:hAnsi="Arial"/>
          <w:sz w:val="20"/>
          <w:szCs w:val="20"/>
          <w:color w:val="2A2A2A"/>
        </w:rPr>
      </w:pPr>
      <w:r>
        <w:rPr>
          <w:rFonts w:ascii="Arial" w:cs="Arial" w:eastAsia="Arial" w:hAnsi="Arial"/>
          <w:sz w:val="20"/>
          <w:szCs w:val="20"/>
          <w:color w:val="2A2A2A"/>
        </w:rPr>
        <w:t>As of this date, our employee population consisted of approximately 34,387 individuals working at the company and consolidated subsidiaries, excluding employees on leaves of absence who are not expected to return to work.</w:t>
      </w:r>
    </w:p>
    <w:p>
      <w:pPr>
        <w:spacing w:after="0" w:line="9" w:lineRule="exact"/>
        <w:rPr>
          <w:rFonts w:ascii="Arial" w:cs="Arial" w:eastAsia="Arial" w:hAnsi="Arial"/>
          <w:sz w:val="20"/>
          <w:szCs w:val="20"/>
          <w:color w:val="2A2A2A"/>
        </w:rPr>
      </w:pPr>
    </w:p>
    <w:p>
      <w:pPr>
        <w:ind w:left="721" w:hanging="361"/>
        <w:spacing w:after="0" w:line="268" w:lineRule="auto"/>
        <w:tabs>
          <w:tab w:leader="none" w:pos="721" w:val="left"/>
        </w:tabs>
        <w:numPr>
          <w:ilvl w:val="0"/>
          <w:numId w:val="139"/>
        </w:numPr>
        <w:rPr>
          <w:rFonts w:ascii="Arial" w:cs="Arial" w:eastAsia="Arial" w:hAnsi="Arial"/>
          <w:sz w:val="20"/>
          <w:szCs w:val="20"/>
          <w:color w:val="2A2A2A"/>
        </w:rPr>
      </w:pPr>
      <w:r>
        <w:rPr>
          <w:rFonts w:ascii="Arial" w:cs="Arial" w:eastAsia="Arial" w:hAnsi="Arial"/>
          <w:sz w:val="20"/>
          <w:szCs w:val="20"/>
          <w:color w:val="2A2A2A"/>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9" w:lineRule="exact"/>
        <w:rPr>
          <w:rFonts w:ascii="Arial" w:cs="Arial" w:eastAsia="Arial" w:hAnsi="Arial"/>
          <w:sz w:val="20"/>
          <w:szCs w:val="20"/>
          <w:color w:val="2A2A2A"/>
        </w:rPr>
      </w:pPr>
    </w:p>
    <w:p>
      <w:pPr>
        <w:ind w:left="721" w:right="120" w:hanging="361"/>
        <w:spacing w:after="0" w:line="262" w:lineRule="auto"/>
        <w:tabs>
          <w:tab w:leader="none" w:pos="721" w:val="left"/>
        </w:tabs>
        <w:numPr>
          <w:ilvl w:val="0"/>
          <w:numId w:val="139"/>
        </w:numPr>
        <w:rPr>
          <w:rFonts w:ascii="Arial" w:cs="Arial" w:eastAsia="Arial" w:hAnsi="Arial"/>
          <w:sz w:val="20"/>
          <w:szCs w:val="20"/>
          <w:color w:val="2A2A2A"/>
        </w:rPr>
      </w:pPr>
      <w:r>
        <w:rPr>
          <w:rFonts w:ascii="Arial" w:cs="Arial" w:eastAsia="Arial" w:hAnsi="Arial"/>
          <w:sz w:val="20"/>
          <w:szCs w:val="20"/>
          <w:color w:val="2A2A2A"/>
        </w:rPr>
        <w:t>We identified and calculated the elements of the median employee’s compensation for 2023 in accordance with the requirements of Item 402(c)(2)(x) of Regulation S-K, including the value of the employee’s health and welfare benefits (estimated for the employee and the employee’s eligible dependents) and retirement-related benefits.</w:t>
      </w:r>
    </w:p>
    <w:p>
      <w:pPr>
        <w:spacing w:after="0" w:line="15" w:lineRule="exact"/>
        <w:rPr>
          <w:rFonts w:ascii="Arial" w:cs="Arial" w:eastAsia="Arial" w:hAnsi="Arial"/>
          <w:sz w:val="20"/>
          <w:szCs w:val="20"/>
          <w:color w:val="2A2A2A"/>
        </w:rPr>
      </w:pPr>
    </w:p>
    <w:p>
      <w:pPr>
        <w:ind w:left="721" w:right="260" w:hanging="361"/>
        <w:spacing w:after="0" w:line="287" w:lineRule="auto"/>
        <w:tabs>
          <w:tab w:leader="none" w:pos="721" w:val="left"/>
        </w:tabs>
        <w:numPr>
          <w:ilvl w:val="0"/>
          <w:numId w:val="139"/>
        </w:numPr>
        <w:rPr>
          <w:rFonts w:ascii="Arial" w:cs="Arial" w:eastAsia="Arial" w:hAnsi="Arial"/>
          <w:sz w:val="20"/>
          <w:szCs w:val="20"/>
          <w:color w:val="2A2A2A"/>
        </w:rPr>
      </w:pPr>
      <w:r>
        <w:rPr>
          <w:rFonts w:ascii="Arial" w:cs="Arial" w:eastAsia="Arial" w:hAnsi="Arial"/>
          <w:sz w:val="20"/>
          <w:szCs w:val="20"/>
          <w:color w:val="2A2A2A"/>
        </w:rPr>
        <w:t>We applied the exchange rate that we utilize in our payroll system, as of the identification date, to convert foreign currency to U.S. dollars.</w:t>
      </w:r>
    </w:p>
    <w:p>
      <w:pPr>
        <w:sectPr>
          <w:pgSz w:w="12240" w:h="15840" w:orient="portrait"/>
          <w:cols w:equalWidth="0" w:num="1">
            <w:col w:w="10261"/>
          </w:cols>
          <w:pgMar w:left="979"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58</w:t>
      </w:r>
    </w:p>
    <w:p>
      <w:pPr>
        <w:sectPr>
          <w:pgSz w:w="12240" w:h="15840" w:orient="portrait"/>
          <w:cols w:equalWidth="0" w:num="1">
            <w:col w:w="10261"/>
          </w:cols>
          <w:pgMar w:left="979" w:top="664" w:right="1000" w:bottom="33" w:gutter="0" w:footer="0" w:header="0"/>
          <w:type w:val="continuous"/>
        </w:sectPr>
      </w:pPr>
    </w:p>
    <w:bookmarkStart w:id="130" w:name="page131"/>
    <w:bookmarkEnd w:id="130"/>
    <w:p>
      <w:pPr>
        <w:ind w:left="1"/>
        <w:spacing w:after="0" w:line="257" w:lineRule="auto"/>
        <w:rPr>
          <w:sz w:val="20"/>
          <w:szCs w:val="20"/>
          <w:color w:val="auto"/>
        </w:rPr>
      </w:pPr>
      <w:r>
        <w:rPr>
          <w:rFonts w:ascii="Arial" w:cs="Arial" w:eastAsia="Arial" w:hAnsi="Arial"/>
          <w:sz w:val="20"/>
          <w:szCs w:val="20"/>
          <w:color w:val="2A2A2A"/>
        </w:rPr>
        <w:t>The company had two individuals in the role of CEO during 2023, with Mr. Ilan serving as CEO when the company identified the “median employee.” As permitted by Item 402(u) of Regulation S-K, the pay ratio was calculated using Mr. Ilan’s total compensation as reported in the 2023 summary compensation table, annualized according to his time as CEO, adding in the value of health and welfare benefits (estimated for our CEO and his eligible dependents) and retirement-related benefits. This resulted in annual total compensation for purposes of determining the ratio in the amount of $21,629,000.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Pay versus performance</w:t>
      </w:r>
    </w:p>
    <w:p>
      <w:pPr>
        <w:spacing w:after="0" w:line="257" w:lineRule="exact"/>
        <w:rPr>
          <w:sz w:val="20"/>
          <w:szCs w:val="20"/>
          <w:color w:val="auto"/>
        </w:rPr>
      </w:pPr>
    </w:p>
    <w:p>
      <w:pPr>
        <w:ind w:left="1" w:right="40"/>
        <w:spacing w:after="0" w:line="262" w:lineRule="auto"/>
        <w:rPr>
          <w:sz w:val="20"/>
          <w:szCs w:val="20"/>
          <w:color w:val="auto"/>
        </w:rPr>
      </w:pPr>
      <w:r>
        <w:rPr>
          <w:rFonts w:ascii="Arial" w:cs="Arial" w:eastAsia="Arial" w:hAnsi="Arial"/>
          <w:sz w:val="20"/>
          <w:szCs w:val="20"/>
          <w:color w:val="2A2A2A"/>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96" w:lineRule="exact"/>
        <w:rPr>
          <w:sz w:val="20"/>
          <w:szCs w:val="20"/>
          <w:color w:val="auto"/>
        </w:rPr>
      </w:pPr>
    </w:p>
    <w:p>
      <w:pPr>
        <w:ind w:left="1" w:right="320"/>
        <w:spacing w:after="0" w:line="289" w:lineRule="auto"/>
        <w:rPr>
          <w:sz w:val="20"/>
          <w:szCs w:val="20"/>
          <w:color w:val="auto"/>
        </w:rPr>
      </w:pPr>
      <w:r>
        <w:rPr>
          <w:rFonts w:ascii="Arial" w:cs="Arial" w:eastAsia="Arial" w:hAnsi="Arial"/>
          <w:sz w:val="19"/>
          <w:szCs w:val="19"/>
          <w:color w:val="2A2A2A"/>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pacing w:after="0" w:line="257"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Value of Initial</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2"/>
        </w:trPr>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w w:val="98"/>
              </w:rPr>
              <w:t>Summary</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60"/>
              <w:spacing w:after="0"/>
              <w:rPr>
                <w:sz w:val="20"/>
                <w:szCs w:val="20"/>
                <w:color w:val="auto"/>
              </w:rPr>
            </w:pPr>
            <w:r>
              <w:rPr>
                <w:rFonts w:ascii="Arial" w:cs="Arial" w:eastAsia="Arial" w:hAnsi="Arial"/>
                <w:sz w:val="16"/>
                <w:szCs w:val="16"/>
                <w:b w:val="1"/>
                <w:bCs w:val="1"/>
                <w:color w:val="2A2A2A"/>
              </w:rPr>
              <w:t>Average</w:t>
            </w:r>
          </w:p>
        </w:tc>
        <w:tc>
          <w:tcPr>
            <w:tcW w:w="140" w:type="dxa"/>
            <w:vAlign w:val="bottom"/>
          </w:tcPr>
          <w:p>
            <w:pPr>
              <w:spacing w:after="0"/>
              <w:rPr>
                <w:sz w:val="18"/>
                <w:szCs w:val="18"/>
                <w:color w:val="auto"/>
              </w:rPr>
            </w:pPr>
          </w:p>
        </w:tc>
        <w:tc>
          <w:tcPr>
            <w:tcW w:w="1080" w:type="dxa"/>
            <w:vAlign w:val="bottom"/>
          </w:tcPr>
          <w:p>
            <w:pPr>
              <w:jc w:val="center"/>
              <w:ind w:right="280"/>
              <w:spacing w:after="0"/>
              <w:rPr>
                <w:sz w:val="20"/>
                <w:szCs w:val="20"/>
                <w:color w:val="auto"/>
              </w:rPr>
            </w:pPr>
            <w:r>
              <w:rPr>
                <w:rFonts w:ascii="Arial" w:cs="Arial" w:eastAsia="Arial" w:hAnsi="Arial"/>
                <w:sz w:val="16"/>
                <w:szCs w:val="16"/>
                <w:b w:val="1"/>
                <w:bCs w:val="1"/>
                <w:color w:val="2A2A2A"/>
              </w:rPr>
              <w:t>Average</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7"/>
              </w:rPr>
              <w:t>Fixed $100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2"/>
        </w:trPr>
        <w:tc>
          <w:tcPr>
            <w:tcW w:w="460" w:type="dxa"/>
            <w:vAlign w:val="bottom"/>
          </w:tcPr>
          <w:p>
            <w:pPr>
              <w:spacing w:after="0"/>
              <w:rPr>
                <w:sz w:val="16"/>
                <w:szCs w:val="16"/>
                <w:color w:val="auto"/>
              </w:rPr>
            </w:pPr>
          </w:p>
        </w:tc>
        <w:tc>
          <w:tcPr>
            <w:tcW w:w="3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2A2A2A"/>
              </w:rPr>
              <w:t>Compensa-   Summary   Compensa-</w:t>
            </w:r>
          </w:p>
        </w:tc>
        <w:tc>
          <w:tcPr>
            <w:tcW w:w="1220" w:type="dxa"/>
            <w:vAlign w:val="bottom"/>
          </w:tcPr>
          <w:p>
            <w:pPr>
              <w:jc w:val="center"/>
              <w:ind w:right="160"/>
              <w:spacing w:after="0"/>
              <w:rPr>
                <w:sz w:val="20"/>
                <w:szCs w:val="20"/>
                <w:color w:val="auto"/>
              </w:rPr>
            </w:pPr>
            <w:r>
              <w:rPr>
                <w:rFonts w:ascii="Arial" w:cs="Arial" w:eastAsia="Arial" w:hAnsi="Arial"/>
                <w:sz w:val="16"/>
                <w:szCs w:val="16"/>
                <w:b w:val="1"/>
                <w:bCs w:val="1"/>
                <w:color w:val="2A2A2A"/>
                <w:w w:val="98"/>
              </w:rPr>
              <w:t>Compensa-</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8"/>
              </w:rPr>
              <w:t>Summary</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2A2A2A"/>
              </w:rPr>
              <w:t>Compensa-</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2A2A2A"/>
                <w:w w:val="99"/>
              </w:rPr>
              <w:t>Investment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rPr>
              <w:t>tion Table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A2A2A"/>
                <w:w w:val="98"/>
              </w:rPr>
              <w:t>Compensa-</w:t>
            </w:r>
          </w:p>
        </w:tc>
        <w:tc>
          <w:tcPr>
            <w:tcW w:w="1240" w:type="dxa"/>
            <w:vAlign w:val="bottom"/>
          </w:tcPr>
          <w:p>
            <w:pPr>
              <w:jc w:val="center"/>
              <w:ind w:right="120"/>
              <w:spacing w:after="0"/>
              <w:rPr>
                <w:sz w:val="20"/>
                <w:szCs w:val="20"/>
                <w:color w:val="auto"/>
              </w:rPr>
            </w:pPr>
            <w:r>
              <w:rPr>
                <w:rFonts w:ascii="Arial" w:cs="Arial" w:eastAsia="Arial" w:hAnsi="Arial"/>
                <w:sz w:val="16"/>
                <w:szCs w:val="16"/>
                <w:b w:val="1"/>
                <w:bCs w:val="1"/>
                <w:color w:val="2A2A2A"/>
                <w:w w:val="95"/>
              </w:rPr>
              <w:t>tion</w:t>
            </w:r>
          </w:p>
        </w:tc>
        <w:tc>
          <w:tcPr>
            <w:tcW w:w="1220" w:type="dxa"/>
            <w:vAlign w:val="bottom"/>
          </w:tcPr>
          <w:p>
            <w:pPr>
              <w:jc w:val="center"/>
              <w:ind w:right="160"/>
              <w:spacing w:after="0"/>
              <w:rPr>
                <w:sz w:val="20"/>
                <w:szCs w:val="20"/>
                <w:color w:val="auto"/>
              </w:rPr>
            </w:pPr>
            <w:r>
              <w:rPr>
                <w:rFonts w:ascii="Arial" w:cs="Arial" w:eastAsia="Arial" w:hAnsi="Arial"/>
                <w:sz w:val="16"/>
                <w:szCs w:val="16"/>
                <w:b w:val="1"/>
                <w:bCs w:val="1"/>
                <w:color w:val="2A2A2A"/>
              </w:rPr>
              <w:t>tion</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Compensa-</w:t>
            </w:r>
          </w:p>
        </w:tc>
        <w:tc>
          <w:tcPr>
            <w:tcW w:w="140" w:type="dxa"/>
            <w:vAlign w:val="bottom"/>
          </w:tcPr>
          <w:p>
            <w:pPr>
              <w:spacing w:after="0"/>
              <w:rPr>
                <w:sz w:val="16"/>
                <w:szCs w:val="16"/>
                <w:color w:val="auto"/>
              </w:rPr>
            </w:pPr>
          </w:p>
        </w:tc>
        <w:tc>
          <w:tcPr>
            <w:tcW w:w="1080" w:type="dxa"/>
            <w:vAlign w:val="bottom"/>
          </w:tcPr>
          <w:p>
            <w:pPr>
              <w:jc w:val="center"/>
              <w:ind w:right="280"/>
              <w:spacing w:after="0"/>
              <w:rPr>
                <w:sz w:val="20"/>
                <w:szCs w:val="20"/>
                <w:color w:val="auto"/>
              </w:rPr>
            </w:pPr>
            <w:r>
              <w:rPr>
                <w:rFonts w:ascii="Arial" w:cs="Arial" w:eastAsia="Arial" w:hAnsi="Arial"/>
                <w:sz w:val="16"/>
                <w:szCs w:val="16"/>
                <w:b w:val="1"/>
                <w:bCs w:val="1"/>
                <w:color w:val="2A2A2A"/>
                <w:w w:val="95"/>
              </w:rPr>
              <w:t>tion</w:t>
            </w:r>
          </w:p>
        </w:tc>
        <w:tc>
          <w:tcPr>
            <w:tcW w:w="1380" w:type="dxa"/>
            <w:vAlign w:val="bottom"/>
            <w:tcBorders>
              <w:bottom w:val="single" w:sz="8" w:color="2A2A2A"/>
            </w:tcBorders>
            <w:gridSpan w:val="2"/>
          </w:tcPr>
          <w:p>
            <w:pPr>
              <w:jc w:val="center"/>
              <w:spacing w:after="0" w:line="168" w:lineRule="exact"/>
              <w:rPr>
                <w:sz w:val="20"/>
                <w:szCs w:val="20"/>
                <w:color w:val="auto"/>
              </w:rPr>
            </w:pPr>
            <w:r>
              <w:rPr>
                <w:rFonts w:ascii="Arial" w:cs="Arial" w:eastAsia="Arial" w:hAnsi="Arial"/>
                <w:sz w:val="16"/>
                <w:szCs w:val="16"/>
                <w:b w:val="1"/>
                <w:bCs w:val="1"/>
                <w:color w:val="2A2A2A"/>
                <w:w w:val="98"/>
              </w:rPr>
              <w:t>Based on:</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7"/>
        </w:trPr>
        <w:tc>
          <w:tcPr>
            <w:tcW w:w="4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w w:val="99"/>
              </w:rPr>
              <w:t>Total for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A2A2A"/>
              </w:rPr>
              <w:t>tion Table</w:t>
            </w:r>
          </w:p>
        </w:tc>
        <w:tc>
          <w:tcPr>
            <w:tcW w:w="1240" w:type="dxa"/>
            <w:vAlign w:val="bottom"/>
          </w:tcPr>
          <w:p>
            <w:pPr>
              <w:jc w:val="center"/>
              <w:ind w:right="120"/>
              <w:spacing w:after="0"/>
              <w:rPr>
                <w:sz w:val="20"/>
                <w:szCs w:val="20"/>
                <w:color w:val="auto"/>
              </w:rPr>
            </w:pPr>
            <w:r>
              <w:rPr>
                <w:rFonts w:ascii="Arial" w:cs="Arial" w:eastAsia="Arial" w:hAnsi="Arial"/>
                <w:sz w:val="16"/>
                <w:szCs w:val="16"/>
                <w:b w:val="1"/>
                <w:bCs w:val="1"/>
                <w:color w:val="2A2A2A"/>
              </w:rPr>
              <w:t>Actually</w:t>
            </w:r>
          </w:p>
        </w:tc>
        <w:tc>
          <w:tcPr>
            <w:tcW w:w="1220" w:type="dxa"/>
            <w:vAlign w:val="bottom"/>
          </w:tcPr>
          <w:p>
            <w:pPr>
              <w:jc w:val="center"/>
              <w:ind w:right="160"/>
              <w:spacing w:after="0"/>
              <w:rPr>
                <w:sz w:val="20"/>
                <w:szCs w:val="20"/>
                <w:color w:val="auto"/>
              </w:rPr>
            </w:pPr>
            <w:r>
              <w:rPr>
                <w:rFonts w:ascii="Arial" w:cs="Arial" w:eastAsia="Arial" w:hAnsi="Arial"/>
                <w:sz w:val="16"/>
                <w:szCs w:val="16"/>
                <w:b w:val="1"/>
                <w:bCs w:val="1"/>
                <w:color w:val="2A2A2A"/>
                <w:w w:val="99"/>
              </w:rPr>
              <w:t>Actually</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2A2A2A"/>
              </w:rPr>
              <w:t>tion Table</w:t>
            </w:r>
          </w:p>
        </w:tc>
        <w:tc>
          <w:tcPr>
            <w:tcW w:w="140" w:type="dxa"/>
            <w:vAlign w:val="bottom"/>
          </w:tcPr>
          <w:p>
            <w:pPr>
              <w:spacing w:after="0"/>
              <w:rPr>
                <w:sz w:val="17"/>
                <w:szCs w:val="17"/>
                <w:color w:val="auto"/>
              </w:rPr>
            </w:pPr>
          </w:p>
        </w:tc>
        <w:tc>
          <w:tcPr>
            <w:tcW w:w="1080" w:type="dxa"/>
            <w:vAlign w:val="bottom"/>
          </w:tcPr>
          <w:p>
            <w:pPr>
              <w:jc w:val="center"/>
              <w:ind w:right="260"/>
              <w:spacing w:after="0"/>
              <w:rPr>
                <w:sz w:val="20"/>
                <w:szCs w:val="20"/>
                <w:color w:val="auto"/>
              </w:rPr>
            </w:pPr>
            <w:r>
              <w:rPr>
                <w:rFonts w:ascii="Arial" w:cs="Arial" w:eastAsia="Arial" w:hAnsi="Arial"/>
                <w:sz w:val="16"/>
                <w:szCs w:val="16"/>
                <w:b w:val="1"/>
                <w:bCs w:val="1"/>
                <w:color w:val="2A2A2A"/>
                <w:w w:val="99"/>
              </w:rPr>
              <w:t>Actually</w:t>
            </w:r>
          </w:p>
        </w:tc>
        <w:tc>
          <w:tcPr>
            <w:tcW w:w="7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2A2A2A"/>
              </w:rPr>
              <w:t>S&amp;P IT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2"/>
        </w:trPr>
        <w:tc>
          <w:tcPr>
            <w:tcW w:w="4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rPr>
              <w:t>PEO</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A2A2A"/>
                <w:w w:val="99"/>
              </w:rPr>
              <w:t>Total for</w:t>
            </w:r>
          </w:p>
        </w:tc>
        <w:tc>
          <w:tcPr>
            <w:tcW w:w="1240" w:type="dxa"/>
            <w:vAlign w:val="bottom"/>
          </w:tcPr>
          <w:p>
            <w:pPr>
              <w:jc w:val="center"/>
              <w:ind w:right="120"/>
              <w:spacing w:after="0"/>
              <w:rPr>
                <w:sz w:val="20"/>
                <w:szCs w:val="20"/>
                <w:color w:val="auto"/>
              </w:rPr>
            </w:pPr>
            <w:r>
              <w:rPr>
                <w:rFonts w:ascii="Arial" w:cs="Arial" w:eastAsia="Arial" w:hAnsi="Arial"/>
                <w:sz w:val="16"/>
                <w:szCs w:val="16"/>
                <w:b w:val="1"/>
                <w:bCs w:val="1"/>
                <w:color w:val="2A2A2A"/>
              </w:rPr>
              <w:t>Paid to PEO</w:t>
            </w:r>
          </w:p>
        </w:tc>
        <w:tc>
          <w:tcPr>
            <w:tcW w:w="1220" w:type="dxa"/>
            <w:vAlign w:val="bottom"/>
          </w:tcPr>
          <w:p>
            <w:pPr>
              <w:jc w:val="center"/>
              <w:ind w:right="160"/>
              <w:spacing w:after="0"/>
              <w:rPr>
                <w:sz w:val="20"/>
                <w:szCs w:val="20"/>
                <w:color w:val="auto"/>
              </w:rPr>
            </w:pPr>
            <w:r>
              <w:rPr>
                <w:rFonts w:ascii="Arial" w:cs="Arial" w:eastAsia="Arial" w:hAnsi="Arial"/>
                <w:sz w:val="16"/>
                <w:szCs w:val="16"/>
                <w:b w:val="1"/>
                <w:bCs w:val="1"/>
                <w:color w:val="2A2A2A"/>
              </w:rPr>
              <w:t>Paid to</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6"/>
                <w:szCs w:val="16"/>
                <w:b w:val="1"/>
                <w:bCs w:val="1"/>
                <w:color w:val="2A2A2A"/>
                <w:w w:val="99"/>
              </w:rPr>
              <w:t>Total for</w:t>
            </w:r>
          </w:p>
        </w:tc>
        <w:tc>
          <w:tcPr>
            <w:tcW w:w="140" w:type="dxa"/>
            <w:vAlign w:val="bottom"/>
          </w:tcPr>
          <w:p>
            <w:pPr>
              <w:spacing w:after="0"/>
              <w:rPr>
                <w:sz w:val="16"/>
                <w:szCs w:val="16"/>
                <w:color w:val="auto"/>
              </w:rPr>
            </w:pPr>
          </w:p>
        </w:tc>
        <w:tc>
          <w:tcPr>
            <w:tcW w:w="1080" w:type="dxa"/>
            <w:vAlign w:val="bottom"/>
          </w:tcPr>
          <w:p>
            <w:pPr>
              <w:jc w:val="center"/>
              <w:ind w:right="280"/>
              <w:spacing w:after="0"/>
              <w:rPr>
                <w:sz w:val="20"/>
                <w:szCs w:val="20"/>
                <w:color w:val="auto"/>
              </w:rPr>
            </w:pPr>
            <w:r>
              <w:rPr>
                <w:rFonts w:ascii="Arial" w:cs="Arial" w:eastAsia="Arial" w:hAnsi="Arial"/>
                <w:sz w:val="16"/>
                <w:szCs w:val="16"/>
                <w:b w:val="1"/>
                <w:bCs w:val="1"/>
                <w:color w:val="2A2A2A"/>
                <w:w w:val="97"/>
              </w:rPr>
              <w:t>Paid to</w:t>
            </w:r>
          </w:p>
        </w:tc>
        <w:tc>
          <w:tcPr>
            <w:tcW w:w="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2A2A2A"/>
              </w:rPr>
              <w:t>Index</w:t>
            </w:r>
          </w:p>
        </w:tc>
        <w:tc>
          <w:tcPr>
            <w:tcW w:w="220" w:type="dxa"/>
            <w:vAlign w:val="bottom"/>
          </w:tcPr>
          <w:p>
            <w:pPr>
              <w:spacing w:after="0"/>
              <w:rPr>
                <w:sz w:val="16"/>
                <w:szCs w:val="16"/>
                <w:color w:val="auto"/>
              </w:rPr>
            </w:pPr>
          </w:p>
        </w:tc>
        <w:tc>
          <w:tcPr>
            <w:tcW w:w="620" w:type="dxa"/>
            <w:vAlign w:val="bottom"/>
          </w:tcPr>
          <w:p>
            <w:pPr>
              <w:jc w:val="right"/>
              <w:ind w:right="200"/>
              <w:spacing w:after="0"/>
              <w:rPr>
                <w:sz w:val="20"/>
                <w:szCs w:val="20"/>
                <w:color w:val="auto"/>
              </w:rPr>
            </w:pPr>
            <w:r>
              <w:rPr>
                <w:rFonts w:ascii="Arial" w:cs="Arial" w:eastAsia="Arial" w:hAnsi="Arial"/>
                <w:sz w:val="16"/>
                <w:szCs w:val="16"/>
                <w:b w:val="1"/>
                <w:bCs w:val="1"/>
                <w:color w:val="2A2A2A"/>
              </w:rPr>
              <w:t>Net</w:t>
            </w: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2A2A2A"/>
              </w:rPr>
              <w:t>Operating</w:t>
            </w:r>
          </w:p>
        </w:tc>
      </w:tr>
      <w:tr>
        <w:trPr>
          <w:trHeight w:val="192"/>
        </w:trPr>
        <w:tc>
          <w:tcPr>
            <w:tcW w:w="4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A2A2A"/>
              </w:rPr>
              <w:t>(Templeton)</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A2A2A"/>
                <w:w w:val="99"/>
              </w:rPr>
              <w:t>PEO (Ilan)</w:t>
            </w:r>
          </w:p>
        </w:tc>
        <w:tc>
          <w:tcPr>
            <w:tcW w:w="1240" w:type="dxa"/>
            <w:vAlign w:val="bottom"/>
          </w:tcPr>
          <w:p>
            <w:pPr>
              <w:jc w:val="center"/>
              <w:ind w:right="120"/>
              <w:spacing w:after="0"/>
              <w:rPr>
                <w:sz w:val="20"/>
                <w:szCs w:val="20"/>
                <w:color w:val="auto"/>
              </w:rPr>
            </w:pPr>
            <w:r>
              <w:rPr>
                <w:rFonts w:ascii="Arial" w:cs="Arial" w:eastAsia="Arial" w:hAnsi="Arial"/>
                <w:sz w:val="16"/>
                <w:szCs w:val="16"/>
                <w:b w:val="1"/>
                <w:bCs w:val="1"/>
                <w:color w:val="2A2A2A"/>
              </w:rPr>
              <w:t>(Templeton)</w:t>
            </w:r>
          </w:p>
        </w:tc>
        <w:tc>
          <w:tcPr>
            <w:tcW w:w="1220" w:type="dxa"/>
            <w:vAlign w:val="bottom"/>
          </w:tcPr>
          <w:p>
            <w:pPr>
              <w:jc w:val="center"/>
              <w:ind w:right="180"/>
              <w:spacing w:after="0"/>
              <w:rPr>
                <w:sz w:val="20"/>
                <w:szCs w:val="20"/>
                <w:color w:val="auto"/>
              </w:rPr>
            </w:pPr>
            <w:r>
              <w:rPr>
                <w:rFonts w:ascii="Arial" w:cs="Arial" w:eastAsia="Arial" w:hAnsi="Arial"/>
                <w:sz w:val="16"/>
                <w:szCs w:val="16"/>
                <w:b w:val="1"/>
                <w:bCs w:val="1"/>
                <w:color w:val="2A2A2A"/>
                <w:w w:val="99"/>
              </w:rPr>
              <w:t>PEO (Ilan)</w:t>
            </w:r>
          </w:p>
        </w:tc>
        <w:tc>
          <w:tcPr>
            <w:tcW w:w="140" w:type="dxa"/>
            <w:vAlign w:val="bottom"/>
          </w:tcPr>
          <w:p>
            <w:pPr>
              <w:spacing w:after="0"/>
              <w:rPr>
                <w:sz w:val="16"/>
                <w:szCs w:val="16"/>
                <w:color w:val="auto"/>
              </w:rPr>
            </w:pPr>
          </w:p>
        </w:tc>
        <w:tc>
          <w:tcPr>
            <w:tcW w:w="860" w:type="dxa"/>
            <w:vAlign w:val="bottom"/>
          </w:tcPr>
          <w:p>
            <w:pPr>
              <w:jc w:val="center"/>
              <w:ind w:right="80"/>
              <w:spacing w:after="0"/>
              <w:rPr>
                <w:sz w:val="20"/>
                <w:szCs w:val="20"/>
                <w:color w:val="auto"/>
              </w:rPr>
            </w:pPr>
            <w:r>
              <w:rPr>
                <w:rFonts w:ascii="Arial" w:cs="Arial" w:eastAsia="Arial" w:hAnsi="Arial"/>
                <w:sz w:val="16"/>
                <w:szCs w:val="16"/>
                <w:b w:val="1"/>
                <w:bCs w:val="1"/>
                <w:color w:val="2A2A2A"/>
                <w:w w:val="99"/>
              </w:rPr>
              <w:t>Non-PEO</w:t>
            </w:r>
          </w:p>
        </w:tc>
        <w:tc>
          <w:tcPr>
            <w:tcW w:w="140" w:type="dxa"/>
            <w:vAlign w:val="bottom"/>
          </w:tcPr>
          <w:p>
            <w:pPr>
              <w:spacing w:after="0"/>
              <w:rPr>
                <w:sz w:val="16"/>
                <w:szCs w:val="16"/>
                <w:color w:val="auto"/>
              </w:rPr>
            </w:pPr>
          </w:p>
        </w:tc>
        <w:tc>
          <w:tcPr>
            <w:tcW w:w="1080" w:type="dxa"/>
            <w:vAlign w:val="bottom"/>
          </w:tcPr>
          <w:p>
            <w:pPr>
              <w:jc w:val="center"/>
              <w:ind w:right="260"/>
              <w:spacing w:after="0"/>
              <w:rPr>
                <w:sz w:val="20"/>
                <w:szCs w:val="20"/>
                <w:color w:val="auto"/>
              </w:rPr>
            </w:pPr>
            <w:r>
              <w:rPr>
                <w:rFonts w:ascii="Arial" w:cs="Arial" w:eastAsia="Arial" w:hAnsi="Arial"/>
                <w:sz w:val="16"/>
                <w:szCs w:val="16"/>
                <w:b w:val="1"/>
                <w:bCs w:val="1"/>
                <w:color w:val="2A2A2A"/>
                <w:w w:val="99"/>
              </w:rPr>
              <w:t>Non-PEO</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2A2A2A"/>
                <w:w w:val="99"/>
              </w:rPr>
              <w:t>Total</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A2A2A"/>
                <w:w w:val="99"/>
              </w:rPr>
              <w:t>Total</w:t>
            </w: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2A2A2A"/>
              </w:rPr>
              <w:t>Income</w:t>
            </w:r>
          </w:p>
        </w:tc>
        <w:tc>
          <w:tcPr>
            <w:tcW w:w="180" w:type="dxa"/>
            <w:vAlign w:val="bottom"/>
          </w:tcPr>
          <w:p>
            <w:pPr>
              <w:spacing w:after="0"/>
              <w:rPr>
                <w:sz w:val="16"/>
                <w:szCs w:val="16"/>
                <w:color w:val="auto"/>
              </w:rPr>
            </w:pPr>
          </w:p>
        </w:tc>
        <w:tc>
          <w:tcPr>
            <w:tcW w:w="700" w:type="dxa"/>
            <w:vAlign w:val="bottom"/>
          </w:tcPr>
          <w:p>
            <w:pPr>
              <w:jc w:val="right"/>
              <w:ind w:right="160"/>
              <w:spacing w:after="0"/>
              <w:rPr>
                <w:sz w:val="20"/>
                <w:szCs w:val="20"/>
                <w:color w:val="auto"/>
              </w:rPr>
            </w:pPr>
            <w:r>
              <w:rPr>
                <w:rFonts w:ascii="Arial" w:cs="Arial" w:eastAsia="Arial" w:hAnsi="Arial"/>
                <w:sz w:val="16"/>
                <w:szCs w:val="16"/>
                <w:b w:val="1"/>
                <w:bCs w:val="1"/>
                <w:color w:val="2A2A2A"/>
              </w:rPr>
              <w:t>Profit</w:t>
            </w:r>
          </w:p>
        </w:tc>
      </w:tr>
      <w:tr>
        <w:trPr>
          <w:trHeight w:val="214"/>
        </w:trPr>
        <w:tc>
          <w:tcPr>
            <w:tcW w:w="4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Year</w:t>
            </w:r>
          </w:p>
        </w:tc>
        <w:tc>
          <w:tcPr>
            <w:tcW w:w="102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(1)</w:t>
            </w:r>
          </w:p>
        </w:tc>
        <w:tc>
          <w:tcPr>
            <w:tcW w:w="10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(1)</w:t>
            </w:r>
          </w:p>
        </w:tc>
        <w:tc>
          <w:tcPr>
            <w:tcW w:w="1240" w:type="dxa"/>
            <w:vAlign w:val="bottom"/>
            <w:tcBorders>
              <w:bottom w:val="single" w:sz="8" w:color="2A2A2A"/>
            </w:tcBorders>
          </w:tcPr>
          <w:p>
            <w:pPr>
              <w:jc w:val="center"/>
              <w:ind w:right="120"/>
              <w:spacing w:after="0"/>
              <w:rPr>
                <w:sz w:val="20"/>
                <w:szCs w:val="20"/>
                <w:color w:val="auto"/>
              </w:rPr>
            </w:pPr>
            <w:r>
              <w:rPr>
                <w:rFonts w:ascii="Arial" w:cs="Arial" w:eastAsia="Arial" w:hAnsi="Arial"/>
                <w:sz w:val="16"/>
                <w:szCs w:val="16"/>
                <w:b w:val="1"/>
                <w:bCs w:val="1"/>
                <w:color w:val="2A2A2A"/>
              </w:rPr>
              <w:t>(3)</w:t>
            </w:r>
          </w:p>
        </w:tc>
        <w:tc>
          <w:tcPr>
            <w:tcW w:w="1220" w:type="dxa"/>
            <w:vAlign w:val="bottom"/>
            <w:tcBorders>
              <w:bottom w:val="single" w:sz="8" w:color="2A2A2A"/>
            </w:tcBorders>
          </w:tcPr>
          <w:p>
            <w:pPr>
              <w:jc w:val="center"/>
              <w:ind w:right="180"/>
              <w:spacing w:after="0"/>
              <w:rPr>
                <w:sz w:val="20"/>
                <w:szCs w:val="20"/>
                <w:color w:val="auto"/>
              </w:rPr>
            </w:pPr>
            <w:r>
              <w:rPr>
                <w:rFonts w:ascii="Arial" w:cs="Arial" w:eastAsia="Arial" w:hAnsi="Arial"/>
                <w:sz w:val="16"/>
                <w:szCs w:val="16"/>
                <w:b w:val="1"/>
                <w:bCs w:val="1"/>
                <w:color w:val="2A2A2A"/>
              </w:rPr>
              <w:t>(3)</w:t>
            </w:r>
          </w:p>
        </w:tc>
        <w:tc>
          <w:tcPr>
            <w:tcW w:w="140" w:type="dxa"/>
            <w:vAlign w:val="bottom"/>
            <w:tcBorders>
              <w:bottom w:val="single" w:sz="8" w:color="2A2A2A"/>
            </w:tcBorders>
          </w:tcPr>
          <w:p>
            <w:pPr>
              <w:spacing w:after="0"/>
              <w:rPr>
                <w:sz w:val="18"/>
                <w:szCs w:val="18"/>
                <w:color w:val="auto"/>
              </w:rPr>
            </w:pPr>
          </w:p>
        </w:tc>
        <w:tc>
          <w:tcPr>
            <w:tcW w:w="860" w:type="dxa"/>
            <w:vAlign w:val="bottom"/>
            <w:tcBorders>
              <w:bottom w:val="single" w:sz="8" w:color="2A2A2A"/>
            </w:tcBorders>
          </w:tcPr>
          <w:p>
            <w:pPr>
              <w:jc w:val="center"/>
              <w:ind w:right="60"/>
              <w:spacing w:after="0"/>
              <w:rPr>
                <w:sz w:val="20"/>
                <w:szCs w:val="20"/>
                <w:color w:val="auto"/>
              </w:rPr>
            </w:pPr>
            <w:r>
              <w:rPr>
                <w:rFonts w:ascii="Arial" w:cs="Arial" w:eastAsia="Arial" w:hAnsi="Arial"/>
                <w:sz w:val="16"/>
                <w:szCs w:val="16"/>
                <w:b w:val="1"/>
                <w:bCs w:val="1"/>
                <w:color w:val="2A2A2A"/>
              </w:rPr>
              <w:t>NEOs (2)</w:t>
            </w:r>
          </w:p>
        </w:tc>
        <w:tc>
          <w:tcPr>
            <w:tcW w:w="140" w:type="dxa"/>
            <w:vAlign w:val="bottom"/>
            <w:tcBorders>
              <w:bottom w:val="single" w:sz="8" w:color="2A2A2A"/>
            </w:tcBorders>
          </w:tcPr>
          <w:p>
            <w:pPr>
              <w:spacing w:after="0"/>
              <w:rPr>
                <w:sz w:val="18"/>
                <w:szCs w:val="18"/>
                <w:color w:val="auto"/>
              </w:rPr>
            </w:pPr>
          </w:p>
        </w:tc>
        <w:tc>
          <w:tcPr>
            <w:tcW w:w="1080" w:type="dxa"/>
            <w:vAlign w:val="bottom"/>
            <w:tcBorders>
              <w:bottom w:val="single" w:sz="8" w:color="2A2A2A"/>
            </w:tcBorders>
          </w:tcPr>
          <w:p>
            <w:pPr>
              <w:jc w:val="center"/>
              <w:ind w:right="280"/>
              <w:spacing w:after="0"/>
              <w:rPr>
                <w:sz w:val="20"/>
                <w:szCs w:val="20"/>
                <w:color w:val="auto"/>
              </w:rPr>
            </w:pPr>
            <w:r>
              <w:rPr>
                <w:rFonts w:ascii="Arial" w:cs="Arial" w:eastAsia="Arial" w:hAnsi="Arial"/>
                <w:sz w:val="16"/>
                <w:szCs w:val="16"/>
                <w:b w:val="1"/>
                <w:bCs w:val="1"/>
                <w:color w:val="2A2A2A"/>
              </w:rPr>
              <w:t>NEOs (3)</w:t>
            </w:r>
          </w:p>
        </w:tc>
        <w:tc>
          <w:tcPr>
            <w:tcW w:w="70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TSR (7)</w:t>
            </w:r>
          </w:p>
        </w:tc>
        <w:tc>
          <w:tcPr>
            <w:tcW w:w="6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TSR (7)</w:t>
            </w:r>
          </w:p>
        </w:tc>
        <w:tc>
          <w:tcPr>
            <w:tcW w:w="840" w:type="dxa"/>
            <w:vAlign w:val="bottom"/>
            <w:tcBorders>
              <w:bottom w:val="single" w:sz="8" w:color="2A2A2A"/>
            </w:tcBorders>
            <w:gridSpan w:val="2"/>
          </w:tcPr>
          <w:p>
            <w:pPr>
              <w:ind w:left="60"/>
              <w:spacing w:after="0"/>
              <w:rPr>
                <w:sz w:val="20"/>
                <w:szCs w:val="20"/>
                <w:color w:val="auto"/>
              </w:rPr>
            </w:pPr>
            <w:r>
              <w:rPr>
                <w:rFonts w:ascii="Arial" w:cs="Arial" w:eastAsia="Arial" w:hAnsi="Arial"/>
                <w:sz w:val="16"/>
                <w:szCs w:val="16"/>
                <w:b w:val="1"/>
                <w:bCs w:val="1"/>
                <w:color w:val="2A2A2A"/>
              </w:rPr>
              <w:t>(millions)</w:t>
            </w:r>
          </w:p>
        </w:tc>
        <w:tc>
          <w:tcPr>
            <w:tcW w:w="880" w:type="dxa"/>
            <w:vAlign w:val="bottom"/>
            <w:tcBorders>
              <w:bottom w:val="single" w:sz="8" w:color="2A2A2A"/>
            </w:tcBorders>
            <w:gridSpan w:val="2"/>
          </w:tcPr>
          <w:p>
            <w:pPr>
              <w:ind w:left="80"/>
              <w:spacing w:after="0"/>
              <w:rPr>
                <w:sz w:val="20"/>
                <w:szCs w:val="20"/>
                <w:color w:val="auto"/>
              </w:rPr>
            </w:pPr>
            <w:r>
              <w:rPr>
                <w:rFonts w:ascii="Arial" w:cs="Arial" w:eastAsia="Arial" w:hAnsi="Arial"/>
                <w:sz w:val="16"/>
                <w:szCs w:val="16"/>
                <w:b w:val="1"/>
                <w:bCs w:val="1"/>
                <w:color w:val="2A2A2A"/>
              </w:rPr>
              <w:t>(millions)</w:t>
            </w:r>
          </w:p>
        </w:tc>
      </w:tr>
      <w:tr>
        <w:trPr>
          <w:trHeight w:val="275"/>
        </w:trPr>
        <w:tc>
          <w:tcPr>
            <w:tcW w:w="46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2023</w:t>
            </w:r>
          </w:p>
        </w:tc>
        <w:tc>
          <w:tcPr>
            <w:tcW w:w="1020" w:type="dxa"/>
            <w:vAlign w:val="bottom"/>
            <w:shd w:val="clear" w:color="auto" w:fill="D7D7D7"/>
          </w:tcPr>
          <w:p>
            <w:pPr>
              <w:jc w:val="center"/>
              <w:spacing w:after="0"/>
              <w:rPr>
                <w:sz w:val="20"/>
                <w:szCs w:val="20"/>
                <w:color w:val="auto"/>
              </w:rPr>
            </w:pPr>
            <w:r>
              <w:rPr>
                <w:rFonts w:ascii="Arial" w:cs="Arial" w:eastAsia="Arial" w:hAnsi="Arial"/>
                <w:sz w:val="16"/>
                <w:szCs w:val="16"/>
                <w:color w:val="2A2A2A"/>
              </w:rPr>
              <w:t>$20,892,318</w:t>
            </w:r>
          </w:p>
        </w:tc>
        <w:tc>
          <w:tcPr>
            <w:tcW w:w="100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8"/>
              </w:rPr>
              <w:t>$16,199,037</w:t>
            </w:r>
          </w:p>
        </w:tc>
        <w:tc>
          <w:tcPr>
            <w:tcW w:w="12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$23,224,692 (4)</w:t>
            </w:r>
          </w:p>
        </w:tc>
        <w:tc>
          <w:tcPr>
            <w:tcW w:w="12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$16,399,282 (5)</w:t>
            </w:r>
          </w:p>
        </w:tc>
        <w:tc>
          <w:tcPr>
            <w:tcW w:w="1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6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7,164,737</w:t>
            </w:r>
          </w:p>
        </w:tc>
        <w:tc>
          <w:tcPr>
            <w:tcW w:w="1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108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7,393,056 (6)</w:t>
            </w:r>
          </w:p>
        </w:tc>
        <w:tc>
          <w:tcPr>
            <w:tcW w:w="700" w:type="dxa"/>
            <w:vAlign w:val="bottom"/>
            <w:shd w:val="clear" w:color="auto" w:fill="D7D7D7"/>
          </w:tcPr>
          <w:p>
            <w:pPr>
              <w:jc w:val="center"/>
              <w:spacing w:after="0"/>
              <w:rPr>
                <w:sz w:val="20"/>
                <w:szCs w:val="20"/>
                <w:color w:val="auto"/>
              </w:rPr>
            </w:pPr>
            <w:r>
              <w:rPr>
                <w:rFonts w:ascii="Arial" w:cs="Arial" w:eastAsia="Arial" w:hAnsi="Arial"/>
                <w:sz w:val="16"/>
                <w:szCs w:val="16"/>
                <w:color w:val="2A2A2A"/>
              </w:rPr>
              <w:t>$148.43</w:t>
            </w:r>
          </w:p>
        </w:tc>
        <w:tc>
          <w:tcPr>
            <w:tcW w:w="68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6"/>
              </w:rPr>
              <w:t>$219.40</w:t>
            </w:r>
          </w:p>
        </w:tc>
        <w:tc>
          <w:tcPr>
            <w:tcW w:w="22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6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6,510</w:t>
            </w:r>
          </w:p>
        </w:tc>
        <w:tc>
          <w:tcPr>
            <w:tcW w:w="180" w:type="dxa"/>
            <w:vAlign w:val="bottom"/>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7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7,331</w:t>
            </w:r>
          </w:p>
        </w:tc>
      </w:tr>
      <w:tr>
        <w:trPr>
          <w:trHeight w:val="279"/>
        </w:trPr>
        <w:tc>
          <w:tcPr>
            <w:tcW w:w="460" w:type="dxa"/>
            <w:vAlign w:val="bottom"/>
          </w:tcPr>
          <w:p>
            <w:pPr>
              <w:ind w:left="60"/>
              <w:spacing w:after="0"/>
              <w:rPr>
                <w:sz w:val="20"/>
                <w:szCs w:val="20"/>
                <w:color w:val="auto"/>
              </w:rPr>
            </w:pPr>
            <w:r>
              <w:rPr>
                <w:rFonts w:ascii="Arial" w:cs="Arial" w:eastAsia="Arial" w:hAnsi="Arial"/>
                <w:sz w:val="16"/>
                <w:szCs w:val="16"/>
                <w:color w:val="2A2A2A"/>
              </w:rPr>
              <w:t>2022</w:t>
            </w:r>
          </w:p>
        </w:tc>
        <w:tc>
          <w:tcPr>
            <w:tcW w:w="1020" w:type="dxa"/>
            <w:vAlign w:val="bottom"/>
          </w:tcPr>
          <w:p>
            <w:pPr>
              <w:jc w:val="center"/>
              <w:spacing w:after="0"/>
              <w:rPr>
                <w:sz w:val="20"/>
                <w:szCs w:val="20"/>
                <w:color w:val="auto"/>
              </w:rPr>
            </w:pPr>
            <w:r>
              <w:rPr>
                <w:rFonts w:ascii="Arial" w:cs="Arial" w:eastAsia="Arial" w:hAnsi="Arial"/>
                <w:sz w:val="16"/>
                <w:szCs w:val="16"/>
                <w:color w:val="2A2A2A"/>
              </w:rPr>
              <w:t>$21,629,586</w:t>
            </w:r>
          </w:p>
        </w:tc>
        <w:tc>
          <w:tcPr>
            <w:tcW w:w="1000" w:type="dxa"/>
            <w:vAlign w:val="bottom"/>
          </w:tcPr>
          <w:p>
            <w:pPr>
              <w:ind w:left="700"/>
              <w:spacing w:after="0"/>
              <w:rPr>
                <w:sz w:val="20"/>
                <w:szCs w:val="20"/>
                <w:color w:val="auto"/>
              </w:rPr>
            </w:pPr>
            <w:r>
              <w:rPr>
                <w:rFonts w:ascii="Arial" w:cs="Arial" w:eastAsia="Arial" w:hAnsi="Arial"/>
                <w:sz w:val="16"/>
                <w:szCs w:val="16"/>
                <w:color w:val="2A2A2A"/>
              </w:rPr>
              <w:t>—</w:t>
            </w:r>
          </w:p>
        </w:tc>
        <w:tc>
          <w:tcPr>
            <w:tcW w:w="1240" w:type="dxa"/>
            <w:vAlign w:val="bottom"/>
          </w:tcPr>
          <w:p>
            <w:pPr>
              <w:ind w:left="60"/>
              <w:spacing w:after="0"/>
              <w:rPr>
                <w:sz w:val="20"/>
                <w:szCs w:val="20"/>
                <w:color w:val="auto"/>
              </w:rPr>
            </w:pPr>
            <w:r>
              <w:rPr>
                <w:rFonts w:ascii="Arial" w:cs="Arial" w:eastAsia="Arial" w:hAnsi="Arial"/>
                <w:sz w:val="16"/>
                <w:szCs w:val="16"/>
                <w:color w:val="2A2A2A"/>
              </w:rPr>
              <w:t>$11,834,806</w:t>
            </w:r>
          </w:p>
        </w:tc>
        <w:tc>
          <w:tcPr>
            <w:tcW w:w="122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140" w:type="dxa"/>
            <w:vAlign w:val="bottom"/>
          </w:tcPr>
          <w:p>
            <w:pPr>
              <w:jc w:val="right"/>
              <w:spacing w:after="0"/>
              <w:rPr>
                <w:sz w:val="20"/>
                <w:szCs w:val="20"/>
                <w:color w:val="auto"/>
              </w:rPr>
            </w:pPr>
            <w:r>
              <w:rPr>
                <w:rFonts w:ascii="Arial" w:cs="Arial" w:eastAsia="Arial" w:hAnsi="Arial"/>
                <w:sz w:val="16"/>
                <w:szCs w:val="16"/>
                <w:color w:val="2A2A2A"/>
              </w:rPr>
              <w:t>$</w:t>
            </w:r>
          </w:p>
        </w:tc>
        <w:tc>
          <w:tcPr>
            <w:tcW w:w="860" w:type="dxa"/>
            <w:vAlign w:val="bottom"/>
          </w:tcPr>
          <w:p>
            <w:pPr>
              <w:jc w:val="right"/>
              <w:spacing w:after="0"/>
              <w:rPr>
                <w:sz w:val="20"/>
                <w:szCs w:val="20"/>
                <w:color w:val="auto"/>
              </w:rPr>
            </w:pPr>
            <w:r>
              <w:rPr>
                <w:rFonts w:ascii="Arial" w:cs="Arial" w:eastAsia="Arial" w:hAnsi="Arial"/>
                <w:sz w:val="16"/>
                <w:szCs w:val="16"/>
                <w:color w:val="2A2A2A"/>
              </w:rPr>
              <w:t>7,959,226</w:t>
            </w:r>
          </w:p>
        </w:tc>
        <w:tc>
          <w:tcPr>
            <w:tcW w:w="140" w:type="dxa"/>
            <w:vAlign w:val="bottom"/>
          </w:tcPr>
          <w:p>
            <w:pPr>
              <w:jc w:val="right"/>
              <w:spacing w:after="0"/>
              <w:rPr>
                <w:sz w:val="20"/>
                <w:szCs w:val="20"/>
                <w:color w:val="auto"/>
              </w:rPr>
            </w:pPr>
            <w:r>
              <w:rPr>
                <w:rFonts w:ascii="Arial" w:cs="Arial" w:eastAsia="Arial" w:hAnsi="Arial"/>
                <w:sz w:val="16"/>
                <w:szCs w:val="16"/>
                <w:color w:val="2A2A2A"/>
              </w:rPr>
              <w:t>$</w:t>
            </w:r>
          </w:p>
        </w:tc>
        <w:tc>
          <w:tcPr>
            <w:tcW w:w="1080" w:type="dxa"/>
            <w:vAlign w:val="bottom"/>
          </w:tcPr>
          <w:p>
            <w:pPr>
              <w:jc w:val="right"/>
              <w:ind w:right="200"/>
              <w:spacing w:after="0"/>
              <w:rPr>
                <w:sz w:val="20"/>
                <w:szCs w:val="20"/>
                <w:color w:val="auto"/>
              </w:rPr>
            </w:pPr>
            <w:r>
              <w:rPr>
                <w:rFonts w:ascii="Arial" w:cs="Arial" w:eastAsia="Arial" w:hAnsi="Arial"/>
                <w:sz w:val="16"/>
                <w:szCs w:val="16"/>
                <w:color w:val="2A2A2A"/>
              </w:rPr>
              <w:t>5,118,822</w:t>
            </w:r>
          </w:p>
        </w:tc>
        <w:tc>
          <w:tcPr>
            <w:tcW w:w="700" w:type="dxa"/>
            <w:vAlign w:val="bottom"/>
          </w:tcPr>
          <w:p>
            <w:pPr>
              <w:jc w:val="center"/>
              <w:spacing w:after="0"/>
              <w:rPr>
                <w:sz w:val="20"/>
                <w:szCs w:val="20"/>
                <w:color w:val="auto"/>
              </w:rPr>
            </w:pPr>
            <w:r>
              <w:rPr>
                <w:rFonts w:ascii="Arial" w:cs="Arial" w:eastAsia="Arial" w:hAnsi="Arial"/>
                <w:sz w:val="16"/>
                <w:szCs w:val="16"/>
                <w:color w:val="2A2A2A"/>
              </w:rPr>
              <w:t>$139.51</w:t>
            </w:r>
          </w:p>
        </w:tc>
        <w:tc>
          <w:tcPr>
            <w:tcW w:w="680" w:type="dxa"/>
            <w:vAlign w:val="bottom"/>
          </w:tcPr>
          <w:p>
            <w:pPr>
              <w:jc w:val="center"/>
              <w:spacing w:after="0"/>
              <w:rPr>
                <w:sz w:val="20"/>
                <w:szCs w:val="20"/>
                <w:color w:val="auto"/>
              </w:rPr>
            </w:pPr>
            <w:r>
              <w:rPr>
                <w:rFonts w:ascii="Arial" w:cs="Arial" w:eastAsia="Arial" w:hAnsi="Arial"/>
                <w:sz w:val="16"/>
                <w:szCs w:val="16"/>
                <w:color w:val="2A2A2A"/>
                <w:w w:val="96"/>
              </w:rPr>
              <w:t>$139.00</w:t>
            </w:r>
          </w:p>
        </w:tc>
        <w:tc>
          <w:tcPr>
            <w:tcW w:w="220" w:type="dxa"/>
            <w:vAlign w:val="bottom"/>
          </w:tcPr>
          <w:p>
            <w:pPr>
              <w:ind w:left="60"/>
              <w:spacing w:after="0"/>
              <w:rPr>
                <w:sz w:val="20"/>
                <w:szCs w:val="20"/>
                <w:color w:val="auto"/>
              </w:rPr>
            </w:pPr>
            <w:r>
              <w:rPr>
                <w:rFonts w:ascii="Arial" w:cs="Arial" w:eastAsia="Arial" w:hAnsi="Arial"/>
                <w:sz w:val="16"/>
                <w:szCs w:val="16"/>
                <w:color w:val="2A2A2A"/>
              </w:rPr>
              <w:t>$</w:t>
            </w:r>
          </w:p>
        </w:tc>
        <w:tc>
          <w:tcPr>
            <w:tcW w:w="620" w:type="dxa"/>
            <w:vAlign w:val="bottom"/>
          </w:tcPr>
          <w:p>
            <w:pPr>
              <w:jc w:val="right"/>
              <w:spacing w:after="0"/>
              <w:rPr>
                <w:sz w:val="20"/>
                <w:szCs w:val="20"/>
                <w:color w:val="auto"/>
              </w:rPr>
            </w:pPr>
            <w:r>
              <w:rPr>
                <w:rFonts w:ascii="Arial" w:cs="Arial" w:eastAsia="Arial" w:hAnsi="Arial"/>
                <w:sz w:val="16"/>
                <w:szCs w:val="16"/>
                <w:color w:val="2A2A2A"/>
              </w:rPr>
              <w:t>8,749</w:t>
            </w:r>
          </w:p>
        </w:tc>
        <w:tc>
          <w:tcPr>
            <w:tcW w:w="180" w:type="dxa"/>
            <w:vAlign w:val="bottom"/>
          </w:tcPr>
          <w:p>
            <w:pPr>
              <w:ind w:left="40"/>
              <w:spacing w:after="0"/>
              <w:rPr>
                <w:sz w:val="20"/>
                <w:szCs w:val="20"/>
                <w:color w:val="auto"/>
              </w:rPr>
            </w:pPr>
            <w:r>
              <w:rPr>
                <w:rFonts w:ascii="Arial" w:cs="Arial" w:eastAsia="Arial" w:hAnsi="Arial"/>
                <w:sz w:val="16"/>
                <w:szCs w:val="16"/>
                <w:color w:val="2A2A2A"/>
              </w:rPr>
              <w:t>$</w:t>
            </w:r>
          </w:p>
        </w:tc>
        <w:tc>
          <w:tcPr>
            <w:tcW w:w="700" w:type="dxa"/>
            <w:vAlign w:val="bottom"/>
          </w:tcPr>
          <w:p>
            <w:pPr>
              <w:jc w:val="right"/>
              <w:spacing w:after="0"/>
              <w:rPr>
                <w:sz w:val="20"/>
                <w:szCs w:val="20"/>
                <w:color w:val="auto"/>
              </w:rPr>
            </w:pPr>
            <w:r>
              <w:rPr>
                <w:rFonts w:ascii="Arial" w:cs="Arial" w:eastAsia="Arial" w:hAnsi="Arial"/>
                <w:sz w:val="16"/>
                <w:szCs w:val="16"/>
                <w:color w:val="2A2A2A"/>
              </w:rPr>
              <w:t>10,140</w:t>
            </w:r>
          </w:p>
        </w:tc>
      </w:tr>
      <w:tr>
        <w:trPr>
          <w:trHeight w:val="291"/>
        </w:trPr>
        <w:tc>
          <w:tcPr>
            <w:tcW w:w="46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2021</w:t>
            </w:r>
          </w:p>
        </w:tc>
        <w:tc>
          <w:tcPr>
            <w:tcW w:w="1020" w:type="dxa"/>
            <w:vAlign w:val="bottom"/>
            <w:shd w:val="clear" w:color="auto" w:fill="D7D7D7"/>
          </w:tcPr>
          <w:p>
            <w:pPr>
              <w:jc w:val="center"/>
              <w:spacing w:after="0"/>
              <w:rPr>
                <w:sz w:val="20"/>
                <w:szCs w:val="20"/>
                <w:color w:val="auto"/>
              </w:rPr>
            </w:pPr>
            <w:r>
              <w:rPr>
                <w:rFonts w:ascii="Arial" w:cs="Arial" w:eastAsia="Arial" w:hAnsi="Arial"/>
                <w:sz w:val="16"/>
                <w:szCs w:val="16"/>
                <w:color w:val="2A2A2A"/>
              </w:rPr>
              <w:t>$19,195,411</w:t>
            </w:r>
          </w:p>
        </w:tc>
        <w:tc>
          <w:tcPr>
            <w:tcW w:w="1000" w:type="dxa"/>
            <w:vAlign w:val="bottom"/>
            <w:shd w:val="clear" w:color="auto" w:fill="D7D7D7"/>
          </w:tcPr>
          <w:p>
            <w:pPr>
              <w:ind w:left="700"/>
              <w:spacing w:after="0"/>
              <w:rPr>
                <w:sz w:val="20"/>
                <w:szCs w:val="20"/>
                <w:color w:val="auto"/>
              </w:rPr>
            </w:pPr>
            <w:r>
              <w:rPr>
                <w:rFonts w:ascii="Arial" w:cs="Arial" w:eastAsia="Arial" w:hAnsi="Arial"/>
                <w:sz w:val="16"/>
                <w:szCs w:val="16"/>
                <w:color w:val="2A2A2A"/>
              </w:rPr>
              <w:t>—</w:t>
            </w:r>
          </w:p>
        </w:tc>
        <w:tc>
          <w:tcPr>
            <w:tcW w:w="124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$37,422,531</w:t>
            </w:r>
          </w:p>
        </w:tc>
        <w:tc>
          <w:tcPr>
            <w:tcW w:w="1220" w:type="dxa"/>
            <w:vAlign w:val="bottom"/>
            <w:shd w:val="clear" w:color="auto" w:fill="D7D7D7"/>
          </w:tcPr>
          <w:p>
            <w:pPr>
              <w:jc w:val="right"/>
              <w:ind w:right="220"/>
              <w:spacing w:after="0"/>
              <w:rPr>
                <w:sz w:val="20"/>
                <w:szCs w:val="20"/>
                <w:color w:val="auto"/>
              </w:rPr>
            </w:pPr>
            <w:r>
              <w:rPr>
                <w:rFonts w:ascii="Arial" w:cs="Arial" w:eastAsia="Arial" w:hAnsi="Arial"/>
                <w:sz w:val="16"/>
                <w:szCs w:val="16"/>
                <w:color w:val="2A2A2A"/>
              </w:rPr>
              <w:t>—</w:t>
            </w:r>
          </w:p>
        </w:tc>
        <w:tc>
          <w:tcPr>
            <w:tcW w:w="14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w:t>
            </w:r>
          </w:p>
        </w:tc>
        <w:tc>
          <w:tcPr>
            <w:tcW w:w="86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6,903,311</w:t>
            </w:r>
          </w:p>
        </w:tc>
        <w:tc>
          <w:tcPr>
            <w:tcW w:w="1220" w:type="dxa"/>
            <w:vAlign w:val="bottom"/>
            <w:gridSpan w:val="2"/>
            <w:shd w:val="clear" w:color="auto" w:fill="D7D7D7"/>
          </w:tcPr>
          <w:p>
            <w:pPr>
              <w:jc w:val="right"/>
              <w:ind w:right="200"/>
              <w:spacing w:after="0"/>
              <w:rPr>
                <w:sz w:val="20"/>
                <w:szCs w:val="20"/>
                <w:color w:val="auto"/>
              </w:rPr>
            </w:pPr>
            <w:r>
              <w:rPr>
                <w:rFonts w:ascii="Arial" w:cs="Arial" w:eastAsia="Arial" w:hAnsi="Arial"/>
                <w:sz w:val="16"/>
                <w:szCs w:val="16"/>
                <w:color w:val="2A2A2A"/>
              </w:rPr>
              <w:t>$11,327,790</w:t>
            </w:r>
          </w:p>
        </w:tc>
        <w:tc>
          <w:tcPr>
            <w:tcW w:w="700" w:type="dxa"/>
            <w:vAlign w:val="bottom"/>
            <w:shd w:val="clear" w:color="auto" w:fill="D7D7D7"/>
          </w:tcPr>
          <w:p>
            <w:pPr>
              <w:jc w:val="center"/>
              <w:spacing w:after="0"/>
              <w:rPr>
                <w:sz w:val="20"/>
                <w:szCs w:val="20"/>
                <w:color w:val="auto"/>
              </w:rPr>
            </w:pPr>
            <w:r>
              <w:rPr>
                <w:rFonts w:ascii="Arial" w:cs="Arial" w:eastAsia="Arial" w:hAnsi="Arial"/>
                <w:sz w:val="16"/>
                <w:szCs w:val="16"/>
                <w:color w:val="2A2A2A"/>
              </w:rPr>
              <w:t>$154.85</w:t>
            </w:r>
          </w:p>
        </w:tc>
        <w:tc>
          <w:tcPr>
            <w:tcW w:w="680" w:type="dxa"/>
            <w:vAlign w:val="bottom"/>
            <w:shd w:val="clear" w:color="auto" w:fill="D7D7D7"/>
          </w:tcPr>
          <w:p>
            <w:pPr>
              <w:jc w:val="center"/>
              <w:spacing w:after="0"/>
              <w:rPr>
                <w:sz w:val="20"/>
                <w:szCs w:val="20"/>
                <w:color w:val="auto"/>
              </w:rPr>
            </w:pPr>
            <w:r>
              <w:rPr>
                <w:rFonts w:ascii="Arial" w:cs="Arial" w:eastAsia="Arial" w:hAnsi="Arial"/>
                <w:sz w:val="16"/>
                <w:szCs w:val="16"/>
                <w:color w:val="2A2A2A"/>
                <w:w w:val="96"/>
              </w:rPr>
              <w:t>$193.58</w:t>
            </w:r>
          </w:p>
        </w:tc>
        <w:tc>
          <w:tcPr>
            <w:tcW w:w="220" w:type="dxa"/>
            <w:vAlign w:val="bottom"/>
            <w:shd w:val="clear" w:color="auto" w:fill="D7D7D7"/>
          </w:tcPr>
          <w:p>
            <w:pPr>
              <w:ind w:left="60"/>
              <w:spacing w:after="0"/>
              <w:rPr>
                <w:sz w:val="20"/>
                <w:szCs w:val="20"/>
                <w:color w:val="auto"/>
              </w:rPr>
            </w:pPr>
            <w:r>
              <w:rPr>
                <w:rFonts w:ascii="Arial" w:cs="Arial" w:eastAsia="Arial" w:hAnsi="Arial"/>
                <w:sz w:val="16"/>
                <w:szCs w:val="16"/>
                <w:color w:val="2A2A2A"/>
              </w:rPr>
              <w:t>$</w:t>
            </w:r>
          </w:p>
        </w:tc>
        <w:tc>
          <w:tcPr>
            <w:tcW w:w="62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7,769</w:t>
            </w:r>
          </w:p>
        </w:tc>
        <w:tc>
          <w:tcPr>
            <w:tcW w:w="180" w:type="dxa"/>
            <w:vAlign w:val="bottom"/>
            <w:shd w:val="clear" w:color="auto" w:fill="D7D7D7"/>
          </w:tcPr>
          <w:p>
            <w:pPr>
              <w:ind w:left="40"/>
              <w:spacing w:after="0"/>
              <w:rPr>
                <w:sz w:val="20"/>
                <w:szCs w:val="20"/>
                <w:color w:val="auto"/>
              </w:rPr>
            </w:pPr>
            <w:r>
              <w:rPr>
                <w:rFonts w:ascii="Arial" w:cs="Arial" w:eastAsia="Arial" w:hAnsi="Arial"/>
                <w:sz w:val="16"/>
                <w:szCs w:val="16"/>
                <w:color w:val="2A2A2A"/>
              </w:rPr>
              <w:t>$</w:t>
            </w:r>
          </w:p>
        </w:tc>
        <w:tc>
          <w:tcPr>
            <w:tcW w:w="700" w:type="dxa"/>
            <w:vAlign w:val="bottom"/>
            <w:shd w:val="clear" w:color="auto" w:fill="D7D7D7"/>
          </w:tcPr>
          <w:p>
            <w:pPr>
              <w:jc w:val="right"/>
              <w:spacing w:after="0"/>
              <w:rPr>
                <w:sz w:val="20"/>
                <w:szCs w:val="20"/>
                <w:color w:val="auto"/>
              </w:rPr>
            </w:pPr>
            <w:r>
              <w:rPr>
                <w:rFonts w:ascii="Arial" w:cs="Arial" w:eastAsia="Arial" w:hAnsi="Arial"/>
                <w:sz w:val="16"/>
                <w:szCs w:val="16"/>
                <w:color w:val="2A2A2A"/>
              </w:rPr>
              <w:t>8,960</w:t>
            </w:r>
          </w:p>
        </w:tc>
      </w:tr>
      <w:tr>
        <w:trPr>
          <w:trHeight w:val="256"/>
        </w:trPr>
        <w:tc>
          <w:tcPr>
            <w:tcW w:w="460" w:type="dxa"/>
            <w:vAlign w:val="bottom"/>
          </w:tcPr>
          <w:p>
            <w:pPr>
              <w:ind w:left="60"/>
              <w:spacing w:after="0"/>
              <w:rPr>
                <w:sz w:val="20"/>
                <w:szCs w:val="20"/>
                <w:color w:val="auto"/>
              </w:rPr>
            </w:pPr>
            <w:r>
              <w:rPr>
                <w:rFonts w:ascii="Arial" w:cs="Arial" w:eastAsia="Arial" w:hAnsi="Arial"/>
                <w:sz w:val="16"/>
                <w:szCs w:val="16"/>
                <w:color w:val="2A2A2A"/>
              </w:rPr>
              <w:t>2020</w:t>
            </w:r>
          </w:p>
        </w:tc>
        <w:tc>
          <w:tcPr>
            <w:tcW w:w="1020" w:type="dxa"/>
            <w:vAlign w:val="bottom"/>
          </w:tcPr>
          <w:p>
            <w:pPr>
              <w:jc w:val="center"/>
              <w:spacing w:after="0"/>
              <w:rPr>
                <w:sz w:val="20"/>
                <w:szCs w:val="20"/>
                <w:color w:val="auto"/>
              </w:rPr>
            </w:pPr>
            <w:r>
              <w:rPr>
                <w:rFonts w:ascii="Arial" w:cs="Arial" w:eastAsia="Arial" w:hAnsi="Arial"/>
                <w:sz w:val="16"/>
                <w:szCs w:val="16"/>
                <w:color w:val="2A2A2A"/>
              </w:rPr>
              <w:t>$19,056,652</w:t>
            </w:r>
          </w:p>
        </w:tc>
        <w:tc>
          <w:tcPr>
            <w:tcW w:w="1000" w:type="dxa"/>
            <w:vAlign w:val="bottom"/>
          </w:tcPr>
          <w:p>
            <w:pPr>
              <w:ind w:left="700"/>
              <w:spacing w:after="0"/>
              <w:rPr>
                <w:sz w:val="20"/>
                <w:szCs w:val="20"/>
                <w:color w:val="auto"/>
              </w:rPr>
            </w:pPr>
            <w:r>
              <w:rPr>
                <w:rFonts w:ascii="Arial" w:cs="Arial" w:eastAsia="Arial" w:hAnsi="Arial"/>
                <w:sz w:val="16"/>
                <w:szCs w:val="16"/>
                <w:color w:val="2A2A2A"/>
              </w:rPr>
              <w:t>—</w:t>
            </w:r>
          </w:p>
        </w:tc>
        <w:tc>
          <w:tcPr>
            <w:tcW w:w="1240" w:type="dxa"/>
            <w:vAlign w:val="bottom"/>
          </w:tcPr>
          <w:p>
            <w:pPr>
              <w:ind w:left="60"/>
              <w:spacing w:after="0"/>
              <w:rPr>
                <w:sz w:val="20"/>
                <w:szCs w:val="20"/>
                <w:color w:val="auto"/>
              </w:rPr>
            </w:pPr>
            <w:r>
              <w:rPr>
                <w:rFonts w:ascii="Arial" w:cs="Arial" w:eastAsia="Arial" w:hAnsi="Arial"/>
                <w:sz w:val="16"/>
                <w:szCs w:val="16"/>
                <w:color w:val="2A2A2A"/>
              </w:rPr>
              <w:t>$43,654,015</w:t>
            </w:r>
          </w:p>
        </w:tc>
        <w:tc>
          <w:tcPr>
            <w:tcW w:w="1220" w:type="dxa"/>
            <w:vAlign w:val="bottom"/>
          </w:tcPr>
          <w:p>
            <w:pPr>
              <w:jc w:val="right"/>
              <w:ind w:right="220"/>
              <w:spacing w:after="0"/>
              <w:rPr>
                <w:sz w:val="20"/>
                <w:szCs w:val="20"/>
                <w:color w:val="auto"/>
              </w:rPr>
            </w:pPr>
            <w:r>
              <w:rPr>
                <w:rFonts w:ascii="Arial" w:cs="Arial" w:eastAsia="Arial" w:hAnsi="Arial"/>
                <w:sz w:val="16"/>
                <w:szCs w:val="16"/>
                <w:color w:val="2A2A2A"/>
              </w:rPr>
              <w:t>—</w:t>
            </w:r>
          </w:p>
        </w:tc>
        <w:tc>
          <w:tcPr>
            <w:tcW w:w="140" w:type="dxa"/>
            <w:vAlign w:val="bottom"/>
          </w:tcPr>
          <w:p>
            <w:pPr>
              <w:jc w:val="right"/>
              <w:spacing w:after="0"/>
              <w:rPr>
                <w:sz w:val="20"/>
                <w:szCs w:val="20"/>
                <w:color w:val="auto"/>
              </w:rPr>
            </w:pPr>
            <w:r>
              <w:rPr>
                <w:rFonts w:ascii="Arial" w:cs="Arial" w:eastAsia="Arial" w:hAnsi="Arial"/>
                <w:sz w:val="16"/>
                <w:szCs w:val="16"/>
                <w:color w:val="2A2A2A"/>
              </w:rPr>
              <w:t>$</w:t>
            </w:r>
          </w:p>
        </w:tc>
        <w:tc>
          <w:tcPr>
            <w:tcW w:w="860" w:type="dxa"/>
            <w:vAlign w:val="bottom"/>
          </w:tcPr>
          <w:p>
            <w:pPr>
              <w:jc w:val="right"/>
              <w:spacing w:after="0"/>
              <w:rPr>
                <w:sz w:val="20"/>
                <w:szCs w:val="20"/>
                <w:color w:val="auto"/>
              </w:rPr>
            </w:pPr>
            <w:r>
              <w:rPr>
                <w:rFonts w:ascii="Arial" w:cs="Arial" w:eastAsia="Arial" w:hAnsi="Arial"/>
                <w:sz w:val="16"/>
                <w:szCs w:val="16"/>
                <w:color w:val="2A2A2A"/>
              </w:rPr>
              <w:t>5,827,815</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2A2A2A"/>
              </w:rPr>
              <w:t>$11,832,752</w:t>
            </w:r>
          </w:p>
        </w:tc>
        <w:tc>
          <w:tcPr>
            <w:tcW w:w="700" w:type="dxa"/>
            <w:vAlign w:val="bottom"/>
          </w:tcPr>
          <w:p>
            <w:pPr>
              <w:jc w:val="center"/>
              <w:spacing w:after="0"/>
              <w:rPr>
                <w:sz w:val="20"/>
                <w:szCs w:val="20"/>
                <w:color w:val="auto"/>
              </w:rPr>
            </w:pPr>
            <w:r>
              <w:rPr>
                <w:rFonts w:ascii="Arial" w:cs="Arial" w:eastAsia="Arial" w:hAnsi="Arial"/>
                <w:sz w:val="16"/>
                <w:szCs w:val="16"/>
                <w:color w:val="2A2A2A"/>
              </w:rPr>
              <w:t>$131.74</w:t>
            </w:r>
          </w:p>
        </w:tc>
        <w:tc>
          <w:tcPr>
            <w:tcW w:w="680" w:type="dxa"/>
            <w:vAlign w:val="bottom"/>
          </w:tcPr>
          <w:p>
            <w:pPr>
              <w:jc w:val="center"/>
              <w:spacing w:after="0"/>
              <w:rPr>
                <w:sz w:val="20"/>
                <w:szCs w:val="20"/>
                <w:color w:val="auto"/>
              </w:rPr>
            </w:pPr>
            <w:r>
              <w:rPr>
                <w:rFonts w:ascii="Arial" w:cs="Arial" w:eastAsia="Arial" w:hAnsi="Arial"/>
                <w:sz w:val="16"/>
                <w:szCs w:val="16"/>
                <w:color w:val="2A2A2A"/>
                <w:w w:val="96"/>
              </w:rPr>
              <w:t>$143.89</w:t>
            </w:r>
          </w:p>
        </w:tc>
        <w:tc>
          <w:tcPr>
            <w:tcW w:w="220" w:type="dxa"/>
            <w:vAlign w:val="bottom"/>
          </w:tcPr>
          <w:p>
            <w:pPr>
              <w:ind w:left="60"/>
              <w:spacing w:after="0"/>
              <w:rPr>
                <w:sz w:val="20"/>
                <w:szCs w:val="20"/>
                <w:color w:val="auto"/>
              </w:rPr>
            </w:pPr>
            <w:r>
              <w:rPr>
                <w:rFonts w:ascii="Arial" w:cs="Arial" w:eastAsia="Arial" w:hAnsi="Arial"/>
                <w:sz w:val="16"/>
                <w:szCs w:val="16"/>
                <w:color w:val="2A2A2A"/>
              </w:rPr>
              <w:t>$</w:t>
            </w:r>
          </w:p>
        </w:tc>
        <w:tc>
          <w:tcPr>
            <w:tcW w:w="620" w:type="dxa"/>
            <w:vAlign w:val="bottom"/>
          </w:tcPr>
          <w:p>
            <w:pPr>
              <w:jc w:val="right"/>
              <w:spacing w:after="0"/>
              <w:rPr>
                <w:sz w:val="20"/>
                <w:szCs w:val="20"/>
                <w:color w:val="auto"/>
              </w:rPr>
            </w:pPr>
            <w:r>
              <w:rPr>
                <w:rFonts w:ascii="Arial" w:cs="Arial" w:eastAsia="Arial" w:hAnsi="Arial"/>
                <w:sz w:val="16"/>
                <w:szCs w:val="16"/>
                <w:color w:val="2A2A2A"/>
              </w:rPr>
              <w:t>5,595</w:t>
            </w:r>
          </w:p>
        </w:tc>
        <w:tc>
          <w:tcPr>
            <w:tcW w:w="180" w:type="dxa"/>
            <w:vAlign w:val="bottom"/>
          </w:tcPr>
          <w:p>
            <w:pPr>
              <w:ind w:left="40"/>
              <w:spacing w:after="0"/>
              <w:rPr>
                <w:sz w:val="20"/>
                <w:szCs w:val="20"/>
                <w:color w:val="auto"/>
              </w:rPr>
            </w:pPr>
            <w:r>
              <w:rPr>
                <w:rFonts w:ascii="Arial" w:cs="Arial" w:eastAsia="Arial" w:hAnsi="Arial"/>
                <w:sz w:val="16"/>
                <w:szCs w:val="16"/>
                <w:color w:val="2A2A2A"/>
              </w:rPr>
              <w:t>$</w:t>
            </w:r>
          </w:p>
        </w:tc>
        <w:tc>
          <w:tcPr>
            <w:tcW w:w="700" w:type="dxa"/>
            <w:vAlign w:val="bottom"/>
          </w:tcPr>
          <w:p>
            <w:pPr>
              <w:jc w:val="right"/>
              <w:spacing w:after="0"/>
              <w:rPr>
                <w:sz w:val="20"/>
                <w:szCs w:val="20"/>
                <w:color w:val="auto"/>
              </w:rPr>
            </w:pPr>
            <w:r>
              <w:rPr>
                <w:rFonts w:ascii="Arial" w:cs="Arial" w:eastAsia="Arial" w:hAnsi="Arial"/>
                <w:sz w:val="16"/>
                <w:szCs w:val="16"/>
                <w:color w:val="2A2A2A"/>
              </w:rPr>
              <w:t>5,894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-717550</wp:posOffset>
            </wp:positionV>
            <wp:extent cx="111125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0" cy="25400"/>
                    </a:xfrm>
                    <a:prstGeom prst="rect">
                      <a:avLst/>
                    </a:prstGeom>
                    <a:noFill/>
                  </pic:spPr>
                </pic:pic>
              </a:graphicData>
            </a:graphic>
          </wp:anchor>
        </w:drawing>
      </w:r>
    </w:p>
    <w:p>
      <w:pPr>
        <w:spacing w:after="0" w:line="293" w:lineRule="exact"/>
        <w:rPr>
          <w:sz w:val="20"/>
          <w:szCs w:val="20"/>
          <w:color w:val="auto"/>
        </w:rPr>
      </w:pPr>
    </w:p>
    <w:p>
      <w:pPr>
        <w:ind w:left="541" w:right="60" w:hanging="541"/>
        <w:spacing w:after="0" w:line="259" w:lineRule="auto"/>
        <w:tabs>
          <w:tab w:leader="none" w:pos="541" w:val="left"/>
        </w:tabs>
        <w:numPr>
          <w:ilvl w:val="0"/>
          <w:numId w:val="140"/>
        </w:numPr>
        <w:rPr>
          <w:rFonts w:ascii="Arial" w:cs="Arial" w:eastAsia="Arial" w:hAnsi="Arial"/>
          <w:sz w:val="20"/>
          <w:szCs w:val="20"/>
          <w:color w:val="2A2A2A"/>
        </w:rPr>
      </w:pPr>
      <w:r>
        <w:rPr>
          <w:rFonts w:ascii="Arial" w:cs="Arial" w:eastAsia="Arial" w:hAnsi="Arial"/>
          <w:sz w:val="20"/>
          <w:szCs w:val="20"/>
          <w:color w:val="2A2A2A"/>
        </w:rPr>
        <w:t>During 2023, Messrs. Templeton and Ilan each served for a period of time as the company’s president and CEO (Principal Executive Officer or “PEO”), and Mr. Templeton was the company’s president and CEO for the entirety of 2022, 2021 and 2020. Compensation for the PEO reflects the amounts reported in the summary compensation table for Messrs. Templeton and Ilan for the corresponding years in which each served as the company’s president and CEO.</w:t>
      </w:r>
    </w:p>
    <w:p>
      <w:pPr>
        <w:spacing w:after="0" w:line="79" w:lineRule="exact"/>
        <w:rPr>
          <w:rFonts w:ascii="Arial" w:cs="Arial" w:eastAsia="Arial" w:hAnsi="Arial"/>
          <w:sz w:val="20"/>
          <w:szCs w:val="20"/>
          <w:color w:val="2A2A2A"/>
        </w:rPr>
      </w:pPr>
    </w:p>
    <w:p>
      <w:pPr>
        <w:ind w:left="541" w:right="20" w:hanging="541"/>
        <w:spacing w:after="0" w:line="262" w:lineRule="auto"/>
        <w:tabs>
          <w:tab w:leader="none" w:pos="541" w:val="left"/>
        </w:tabs>
        <w:numPr>
          <w:ilvl w:val="0"/>
          <w:numId w:val="140"/>
        </w:numPr>
        <w:rPr>
          <w:rFonts w:ascii="Arial" w:cs="Arial" w:eastAsia="Arial" w:hAnsi="Arial"/>
          <w:sz w:val="20"/>
          <w:szCs w:val="20"/>
          <w:color w:val="2A2A2A"/>
        </w:rPr>
      </w:pPr>
      <w:r>
        <w:rPr>
          <w:rFonts w:ascii="Arial" w:cs="Arial" w:eastAsia="Arial" w:hAnsi="Arial"/>
          <w:sz w:val="20"/>
          <w:szCs w:val="20"/>
          <w:color w:val="2A2A2A"/>
        </w:rPr>
        <w:t>The remaining non-PEO named executive officers for the applicable period are Haviv Ilan (2020-2022), Rafael R. Lizardi (2020-2023), Hagop H. Kozanian (2020-2023), Kyle M. Flessner (2020-2023), Amichai Ron (2023) and Niels Anderskouv (2020). Compensation for our non-PEO named executive officers reflects the amounts reported in the summary compensation table for the respective years.</w:t>
      </w:r>
    </w:p>
    <w:p>
      <w:pPr>
        <w:spacing w:after="0" w:line="75" w:lineRule="exact"/>
        <w:rPr>
          <w:rFonts w:ascii="Arial" w:cs="Arial" w:eastAsia="Arial" w:hAnsi="Arial"/>
          <w:sz w:val="20"/>
          <w:szCs w:val="20"/>
          <w:color w:val="2A2A2A"/>
        </w:rPr>
      </w:pPr>
    </w:p>
    <w:p>
      <w:pPr>
        <w:ind w:left="541" w:right="40" w:hanging="541"/>
        <w:spacing w:after="0" w:line="255" w:lineRule="auto"/>
        <w:tabs>
          <w:tab w:leader="none" w:pos="541" w:val="left"/>
        </w:tabs>
        <w:numPr>
          <w:ilvl w:val="0"/>
          <w:numId w:val="140"/>
        </w:numPr>
        <w:rPr>
          <w:rFonts w:ascii="Arial" w:cs="Arial" w:eastAsia="Arial" w:hAnsi="Arial"/>
          <w:sz w:val="20"/>
          <w:szCs w:val="20"/>
          <w:color w:val="2A2A2A"/>
        </w:rPr>
      </w:pPr>
      <w:r>
        <w:rPr>
          <w:rFonts w:ascii="Arial" w:cs="Arial" w:eastAsia="Arial" w:hAnsi="Arial"/>
          <w:sz w:val="20"/>
          <w:szCs w:val="20"/>
          <w:color w:val="2A2A2A"/>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85" w:lineRule="exact"/>
        <w:rPr>
          <w:rFonts w:ascii="Arial" w:cs="Arial" w:eastAsia="Arial" w:hAnsi="Arial"/>
          <w:sz w:val="20"/>
          <w:szCs w:val="20"/>
          <w:color w:val="2A2A2A"/>
        </w:rPr>
      </w:pPr>
    </w:p>
    <w:p>
      <w:pPr>
        <w:ind w:left="541" w:right="140" w:hanging="541"/>
        <w:spacing w:after="0" w:line="255" w:lineRule="auto"/>
        <w:tabs>
          <w:tab w:leader="none" w:pos="541" w:val="left"/>
        </w:tabs>
        <w:numPr>
          <w:ilvl w:val="0"/>
          <w:numId w:val="140"/>
        </w:numPr>
        <w:rPr>
          <w:rFonts w:ascii="Arial" w:cs="Arial" w:eastAsia="Arial" w:hAnsi="Arial"/>
          <w:sz w:val="20"/>
          <w:szCs w:val="20"/>
          <w:color w:val="2A2A2A"/>
        </w:rPr>
      </w:pPr>
      <w:r>
        <w:rPr>
          <w:rFonts w:ascii="Arial" w:cs="Arial" w:eastAsia="Arial" w:hAnsi="Arial"/>
          <w:sz w:val="20"/>
          <w:szCs w:val="20"/>
          <w:color w:val="2A2A2A"/>
        </w:rPr>
        <w:t>Adjustments to total compensation for 2023 as reported in the summary compensation table consist of (i) $17,500,109 deduction for amounts reported under the “Stock Awards” and “Option Awards” columns in the summary compensation table; (ii) $15,839,289 increase based on the fair value of equity awards granted in 2023 that remained outstanding and unvested as of December 31, 2023; (iii) $14,551 deduction for equity awards granted in prior fiscal years that remained outstanding and unvested as of December 31, 2023, determined based on the change in fair value of such awards from December 31, 2022, to December 31, 2023; (iv) $2,465,042 increase for awards granted in prior fiscal years that vested in 2023, determined based on the change in fair value of such awards from December 31, 2022, to the vest date; and (v) $1,542,703 increase based on dividend equivalents paid on unvested RSUs in 2023.</w:t>
      </w:r>
    </w:p>
    <w:p>
      <w:pPr>
        <w:sectPr>
          <w:pgSz w:w="12240" w:h="15840" w:orient="portrait"/>
          <w:cols w:equalWidth="0" w:num="1">
            <w:col w:w="10281"/>
          </w:cols>
          <w:pgMar w:left="979" w:top="664" w:right="980" w:bottom="33"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59</w:t>
      </w:r>
    </w:p>
    <w:p>
      <w:pPr>
        <w:sectPr>
          <w:pgSz w:w="12240" w:h="15840" w:orient="portrait"/>
          <w:cols w:equalWidth="0" w:num="1">
            <w:col w:w="10281"/>
          </w:cols>
          <w:pgMar w:left="979" w:top="664" w:right="980" w:bottom="33" w:gutter="0" w:footer="0" w:header="0"/>
          <w:type w:val="continuous"/>
        </w:sectPr>
      </w:pPr>
    </w:p>
    <w:bookmarkStart w:id="131" w:name="page132"/>
    <w:bookmarkEnd w:id="131"/>
    <w:p>
      <w:pPr>
        <w:ind w:left="541" w:right="20" w:hanging="541"/>
        <w:spacing w:after="0" w:line="255" w:lineRule="auto"/>
        <w:tabs>
          <w:tab w:leader="none" w:pos="541" w:val="left"/>
        </w:tabs>
        <w:numPr>
          <w:ilvl w:val="0"/>
          <w:numId w:val="141"/>
        </w:numPr>
        <w:rPr>
          <w:rFonts w:ascii="Arial" w:cs="Arial" w:eastAsia="Arial" w:hAnsi="Arial"/>
          <w:sz w:val="20"/>
          <w:szCs w:val="20"/>
          <w:color w:val="2A2A2A"/>
        </w:rPr>
      </w:pPr>
      <w:r>
        <w:rPr>
          <w:rFonts w:ascii="Arial" w:cs="Arial" w:eastAsia="Arial" w:hAnsi="Arial"/>
          <w:sz w:val="20"/>
          <w:szCs w:val="20"/>
          <w:color w:val="2A2A2A"/>
        </w:rPr>
        <w:t>Adjustments to total compensation for 2023 as reported in the summary compensation table consist of (i) $12,000,009 deduction for amounts reported under the “Stock Awards” and “Option Awards” columns in the summary compensation table; (ii) $10,861,164 increase based on the fair value of equity awards granted in 2023 that remained outstanding and unvested as of December 31, 2023; (iii) $63,044 deduction for equity awards granted in prior fiscal years that remained outstanding and unvested as of December 31, 2023, determined based on the change in fair value of such awards from December 31, 2022, to December 31, 2023; (iv) $901,550 increase for awards granted in prior fiscal years that vested in 2023, determined based on the change in fair value of such awards from December 31, 2022, to the vest date; and (v) $500,584 increase based on dividend equivalents paid on unvested RSUs in 2023.</w:t>
      </w:r>
    </w:p>
    <w:p>
      <w:pPr>
        <w:spacing w:after="0" w:line="80" w:lineRule="exact"/>
        <w:rPr>
          <w:rFonts w:ascii="Arial" w:cs="Arial" w:eastAsia="Arial" w:hAnsi="Arial"/>
          <w:sz w:val="20"/>
          <w:szCs w:val="20"/>
          <w:color w:val="2A2A2A"/>
        </w:rPr>
      </w:pPr>
    </w:p>
    <w:p>
      <w:pPr>
        <w:ind w:left="541" w:hanging="541"/>
        <w:spacing w:after="0" w:line="253" w:lineRule="auto"/>
        <w:tabs>
          <w:tab w:leader="none" w:pos="541" w:val="left"/>
        </w:tabs>
        <w:numPr>
          <w:ilvl w:val="0"/>
          <w:numId w:val="141"/>
        </w:numPr>
        <w:rPr>
          <w:rFonts w:ascii="Arial" w:cs="Arial" w:eastAsia="Arial" w:hAnsi="Arial"/>
          <w:sz w:val="20"/>
          <w:szCs w:val="20"/>
          <w:color w:val="2A2A2A"/>
        </w:rPr>
      </w:pPr>
      <w:r>
        <w:rPr>
          <w:rFonts w:ascii="Arial" w:cs="Arial" w:eastAsia="Arial" w:hAnsi="Arial"/>
          <w:sz w:val="20"/>
          <w:szCs w:val="20"/>
          <w:color w:val="2A2A2A"/>
        </w:rPr>
        <w:t>Adjustments to the non-PEO named executive officers’ average total compensation for 2023 as reported in the summary compensation table consist of: (i) $4,900,114 deduction for the average amount reported under the “Stock Awards” and “Option Awards” columns in the summary compensation table; (ii) $4,435,083 increase based on the average fair value of equity awards granted in 2023 that remained outstanding and unvested as of December 31, 2023; (iii) $13,526 deduction for equity awards granted in prior fiscal years that remained outstanding and unvested as of December 31, 2023, determined based on the average change in fair value of such awards from December 31, 2022, to December 31, 2023; (iv) $456,801 increase for awards granted in prior fiscal years that vested in 2023, determined based on the average change in fair value of such awards from December 31, 2022, to the vest date; (v) $250,381 increase based on the average amount of dividend equivalents paid on unvested RSUs in 2023; and (vi) $306 deduction for the change in actuarial present values reported under the “Change in Pension Value and Nonqualifed Deferred Compensation Earnings” column in the summary compensation table.</w:t>
      </w:r>
    </w:p>
    <w:p>
      <w:pPr>
        <w:spacing w:after="0" w:line="90" w:lineRule="exact"/>
        <w:rPr>
          <w:rFonts w:ascii="Arial" w:cs="Arial" w:eastAsia="Arial" w:hAnsi="Arial"/>
          <w:sz w:val="20"/>
          <w:szCs w:val="20"/>
          <w:color w:val="2A2A2A"/>
        </w:rPr>
      </w:pPr>
    </w:p>
    <w:p>
      <w:pPr>
        <w:ind w:left="541" w:right="140" w:hanging="541"/>
        <w:spacing w:after="0" w:line="268" w:lineRule="auto"/>
        <w:tabs>
          <w:tab w:leader="none" w:pos="541" w:val="left"/>
        </w:tabs>
        <w:numPr>
          <w:ilvl w:val="0"/>
          <w:numId w:val="141"/>
        </w:numPr>
        <w:rPr>
          <w:rFonts w:ascii="Arial" w:cs="Arial" w:eastAsia="Arial" w:hAnsi="Arial"/>
          <w:sz w:val="20"/>
          <w:szCs w:val="20"/>
          <w:color w:val="2A2A2A"/>
        </w:rPr>
      </w:pPr>
      <w:r>
        <w:rPr>
          <w:rFonts w:ascii="Arial" w:cs="Arial" w:eastAsia="Arial" w:hAnsi="Arial"/>
          <w:sz w:val="20"/>
          <w:szCs w:val="20"/>
          <w:color w:val="2A2A2A"/>
        </w:rPr>
        <w:t>TSR represents the cumulative TSR for the company and the S&amp;P Information Technology index over a four-year period beginning December 31, 2019, as of the years ended 2023, 2022, 2021 and 2020. TSR data is obtained from Research Data Group, Inc. (RDG).</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Compensation actually paid compared to TSR, net income and operating profit</w:t>
      </w:r>
    </w:p>
    <w:p>
      <w:pPr>
        <w:spacing w:after="0" w:line="25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Compensation actually paid to the PEO (Mr. Templeton) increased year over year by $11,389,886, or 96%, in 2023</w:t>
      </w:r>
    </w:p>
    <w:p>
      <w:pPr>
        <w:spacing w:after="0" w:line="3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and decreased year over year by $25,587,725, or 68%, and $6,231,484, or 14%, in 2022 and 2021, respectively.</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Compensation actually paid to the remaining non-PEO named executive officers increased year over year by</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$2,274,234, or 44%, in 2023 and decreased year over year by $6,208,968, or 55%, and $504,962, or 4%, in 2022</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and 2021, respectively. During this period, the company’s cumulative TSR was 48.4%. Net income decreased year</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over year by $2.24 billion, or 26%, in 2023 and increased year over year by $980 million, or 13%, and $2.17 billion,</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or 39%, in 2022 and 2021, respectively. Operating profit decreased year over year by $2.81 billion, or 28%, in 2023</w:t>
      </w:r>
    </w:p>
    <w:p>
      <w:pPr>
        <w:spacing w:after="0" w:line="1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and increased year over year by $1.18 billion, or 13%, and $3.07 billion, or 52%, in 2022 and 2021, respectively.</w:t>
      </w:r>
    </w:p>
    <w:p>
      <w:pPr>
        <w:spacing w:after="0" w:line="230" w:lineRule="exact"/>
        <w:rPr>
          <w:sz w:val="20"/>
          <w:szCs w:val="20"/>
          <w:color w:val="auto"/>
        </w:rPr>
      </w:pPr>
    </w:p>
    <w:p>
      <w:pPr>
        <w:ind w:left="1" w:right="20"/>
        <w:spacing w:after="0" w:line="268" w:lineRule="auto"/>
        <w:rPr>
          <w:sz w:val="20"/>
          <w:szCs w:val="20"/>
          <w:color w:val="auto"/>
        </w:rPr>
      </w:pPr>
      <w:r>
        <w:rPr>
          <w:rFonts w:ascii="Arial" w:cs="Arial" w:eastAsia="Arial" w:hAnsi="Arial"/>
          <w:sz w:val="20"/>
          <w:szCs w:val="20"/>
          <w:color w:val="2A2A2A"/>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TI TSR compared to S&amp;P IT Index TSR</w:t>
      </w:r>
    </w:p>
    <w:p>
      <w:pPr>
        <w:spacing w:after="0" w:line="255" w:lineRule="exact"/>
        <w:rPr>
          <w:sz w:val="20"/>
          <w:szCs w:val="20"/>
          <w:color w:val="auto"/>
        </w:rPr>
      </w:pPr>
    </w:p>
    <w:p>
      <w:pPr>
        <w:ind w:left="1" w:right="280"/>
        <w:spacing w:after="0" w:line="287" w:lineRule="auto"/>
        <w:rPr>
          <w:sz w:val="20"/>
          <w:szCs w:val="20"/>
          <w:color w:val="auto"/>
        </w:rPr>
      </w:pPr>
      <w:r>
        <w:rPr>
          <w:rFonts w:ascii="Arial" w:cs="Arial" w:eastAsia="Arial" w:hAnsi="Arial"/>
          <w:sz w:val="20"/>
          <w:szCs w:val="20"/>
          <w:color w:val="2A2A2A"/>
        </w:rPr>
        <w:t>The company’s cumulative TSR of 48.4% for the four-year period ending December 31, 2023, was lower than the S&amp;P Information Technology Index return for the same period of 119.4%.</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i w:val="1"/>
          <w:iCs w:val="1"/>
          <w:color w:val="2A2A2A"/>
        </w:rPr>
        <w:t>2023 financial performance measures</w:t>
      </w:r>
    </w:p>
    <w:p>
      <w:pPr>
        <w:spacing w:after="0" w:line="255" w:lineRule="exact"/>
        <w:rPr>
          <w:sz w:val="20"/>
          <w:szCs w:val="20"/>
          <w:color w:val="auto"/>
        </w:rPr>
      </w:pPr>
    </w:p>
    <w:p>
      <w:pPr>
        <w:ind w:left="1" w:right="40"/>
        <w:spacing w:after="0" w:line="280" w:lineRule="auto"/>
        <w:rPr>
          <w:sz w:val="20"/>
          <w:szCs w:val="20"/>
          <w:color w:val="auto"/>
        </w:rPr>
      </w:pPr>
      <w:r>
        <w:rPr>
          <w:rFonts w:ascii="Arial" w:cs="Arial" w:eastAsia="Arial" w:hAnsi="Arial"/>
          <w:sz w:val="19"/>
          <w:szCs w:val="19"/>
          <w:color w:val="2A2A2A"/>
        </w:rPr>
        <w:t>The four financial performance measures listed below represent an unranked list of the “most important” financial performance measures linking compensation actually paid to the named executive officers for 2023 and company performance. We do not consider any one of the following financial performance measures to be the most important measure for our company or executive compensation program. Additional financial performance measures, based</w:t>
      </w:r>
    </w:p>
    <w:p>
      <w:pPr>
        <w:sectPr>
          <w:pgSz w:w="12240" w:h="15840" w:orient="portrait"/>
          <w:cols w:equalWidth="0" w:num="1">
            <w:col w:w="10261"/>
          </w:cols>
          <w:pgMar w:left="979"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60</w:t>
      </w:r>
    </w:p>
    <w:p>
      <w:pPr>
        <w:sectPr>
          <w:pgSz w:w="12240" w:h="15840" w:orient="portrait"/>
          <w:cols w:equalWidth="0" w:num="1">
            <w:col w:w="10261"/>
          </w:cols>
          <w:pgMar w:left="979" w:top="664" w:right="1000" w:bottom="33" w:gutter="0" w:footer="0" w:header="0"/>
          <w:type w:val="continuous"/>
        </w:sectPr>
      </w:pPr>
    </w:p>
    <w:bookmarkStart w:id="132" w:name="page133"/>
    <w:bookmarkEnd w:id="132"/>
    <w:p>
      <w:pPr>
        <w:ind w:left="1" w:right="80"/>
        <w:spacing w:after="0" w:line="287" w:lineRule="auto"/>
        <w:rPr>
          <w:sz w:val="20"/>
          <w:szCs w:val="20"/>
          <w:color w:val="auto"/>
        </w:rPr>
      </w:pPr>
      <w:r>
        <w:rPr>
          <w:rFonts w:ascii="Arial" w:cs="Arial" w:eastAsia="Arial" w:hAnsi="Arial"/>
          <w:sz w:val="20"/>
          <w:szCs w:val="20"/>
          <w:color w:val="2A2A2A"/>
        </w:rPr>
        <w:t>on an absolute and relative basis, and other measures were used to link executive pay to company performance as further described in the Compensation Discussion and Analysis.</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color w:val="2A2A2A"/>
        </w:rPr>
        <w:t>Revenue growth: total TI</w:t>
      </w:r>
    </w:p>
    <w:p>
      <w:pPr>
        <w:spacing w:after="0" w:line="3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Operating profit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Operating profit margin</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Total shareholder return</w:t>
      </w:r>
    </w:p>
    <w:p>
      <w:pPr>
        <w:spacing w:after="0" w:line="200" w:lineRule="exact"/>
        <w:rPr>
          <w:sz w:val="20"/>
          <w:szCs w:val="20"/>
          <w:color w:val="auto"/>
        </w:rPr>
      </w:pPr>
    </w:p>
    <w:p>
      <w:pPr>
        <w:spacing w:after="0" w:line="328"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Audit committee matters</w:t>
      </w:r>
    </w:p>
    <w:p>
      <w:pPr>
        <w:spacing w:after="0" w:line="25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Audit committee report</w:t>
      </w:r>
    </w:p>
    <w:p>
      <w:pPr>
        <w:spacing w:after="0" w:line="257"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audit committee of the board of directors has furnished the following report:</w:t>
      </w:r>
    </w:p>
    <w:p>
      <w:pPr>
        <w:spacing w:after="0" w:line="250" w:lineRule="exact"/>
        <w:rPr>
          <w:sz w:val="20"/>
          <w:szCs w:val="20"/>
          <w:color w:val="auto"/>
        </w:rPr>
      </w:pPr>
    </w:p>
    <w:p>
      <w:pPr>
        <w:ind w:left="1" w:right="240"/>
        <w:spacing w:after="0" w:line="257" w:lineRule="auto"/>
        <w:rPr>
          <w:sz w:val="20"/>
          <w:szCs w:val="20"/>
          <w:color w:val="auto"/>
        </w:rPr>
      </w:pPr>
      <w:r>
        <w:rPr>
          <w:rFonts w:ascii="Arial" w:cs="Arial" w:eastAsia="Arial" w:hAnsi="Arial"/>
          <w:sz w:val="20"/>
          <w:szCs w:val="20"/>
          <w:color w:val="2A2A2A"/>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9"/>
          <w:szCs w:val="19"/>
          <w:color w:val="2A2A2A"/>
        </w:rPr>
        <w:t>The committee has reviewed and discussed with management and the independent accounting firm, as appropriate,</w:t>
      </w:r>
    </w:p>
    <w:p>
      <w:pPr>
        <w:spacing w:after="0" w:line="42" w:lineRule="exact"/>
        <w:rPr>
          <w:sz w:val="20"/>
          <w:szCs w:val="20"/>
          <w:color w:val="auto"/>
        </w:rPr>
      </w:pPr>
    </w:p>
    <w:p>
      <w:pPr>
        <w:ind w:left="1" w:right="160" w:hanging="1"/>
        <w:spacing w:after="0" w:line="266" w:lineRule="auto"/>
        <w:tabs>
          <w:tab w:leader="none" w:pos="234" w:val="left"/>
        </w:tabs>
        <w:numPr>
          <w:ilvl w:val="0"/>
          <w:numId w:val="142"/>
        </w:numPr>
        <w:rPr>
          <w:rFonts w:ascii="Arial" w:cs="Arial" w:eastAsia="Arial" w:hAnsi="Arial"/>
          <w:sz w:val="20"/>
          <w:szCs w:val="20"/>
          <w:color w:val="2A2A2A"/>
        </w:rPr>
      </w:pPr>
      <w:r>
        <w:rPr>
          <w:rFonts w:ascii="Arial" w:cs="Arial" w:eastAsia="Arial" w:hAnsi="Arial"/>
          <w:sz w:val="20"/>
          <w:szCs w:val="20"/>
          <w:color w:val="2A2A2A"/>
        </w:rPr>
        <w:t>the audited financial statements and (ii) management’s report on internal control over financial reporting and the independent accounting firm’s related opinions.</w:t>
      </w:r>
    </w:p>
    <w:p>
      <w:pPr>
        <w:spacing w:after="0" w:line="190" w:lineRule="exact"/>
        <w:rPr>
          <w:sz w:val="20"/>
          <w:szCs w:val="20"/>
          <w:color w:val="auto"/>
        </w:rPr>
      </w:pPr>
    </w:p>
    <w:p>
      <w:pPr>
        <w:ind w:left="1" w:right="20"/>
        <w:spacing w:after="0" w:line="268" w:lineRule="auto"/>
        <w:rPr>
          <w:sz w:val="20"/>
          <w:szCs w:val="20"/>
          <w:color w:val="auto"/>
        </w:rPr>
      </w:pPr>
      <w:r>
        <w:rPr>
          <w:rFonts w:ascii="Arial" w:cs="Arial" w:eastAsia="Arial" w:hAnsi="Arial"/>
          <w:sz w:val="20"/>
          <w:szCs w:val="20"/>
          <w:color w:val="2A2A2A"/>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0" w:lineRule="exact"/>
        <w:rPr>
          <w:sz w:val="20"/>
          <w:szCs w:val="20"/>
          <w:color w:val="auto"/>
        </w:rPr>
      </w:pPr>
    </w:p>
    <w:p>
      <w:pPr>
        <w:ind w:left="1"/>
        <w:spacing w:after="0" w:line="262" w:lineRule="auto"/>
        <w:rPr>
          <w:sz w:val="20"/>
          <w:szCs w:val="20"/>
          <w:color w:val="auto"/>
        </w:rPr>
      </w:pPr>
      <w:r>
        <w:rPr>
          <w:rFonts w:ascii="Arial" w:cs="Arial" w:eastAsia="Arial" w:hAnsi="Arial"/>
          <w:sz w:val="20"/>
          <w:szCs w:val="20"/>
          <w:color w:val="2A2A2A"/>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96" w:lineRule="exact"/>
        <w:rPr>
          <w:sz w:val="20"/>
          <w:szCs w:val="20"/>
          <w:color w:val="auto"/>
        </w:rPr>
      </w:pPr>
    </w:p>
    <w:p>
      <w:pPr>
        <w:ind w:left="1" w:right="140"/>
        <w:spacing w:after="0" w:line="268" w:lineRule="auto"/>
        <w:rPr>
          <w:sz w:val="20"/>
          <w:szCs w:val="20"/>
          <w:color w:val="auto"/>
        </w:rPr>
      </w:pPr>
      <w:r>
        <w:rPr>
          <w:rFonts w:ascii="Arial" w:cs="Arial" w:eastAsia="Arial" w:hAnsi="Arial"/>
          <w:sz w:val="20"/>
          <w:szCs w:val="20"/>
          <w:color w:val="2A2A2A"/>
        </w:rPr>
        <w:t>Based on the review and discussions referred to above, the committee recommended to the board of directors that the audited financial statements be included in the company’s annual report on Form 10-K for 2023 for filing with the SEC.</w:t>
      </w:r>
    </w:p>
    <w:p>
      <w:pPr>
        <w:spacing w:after="0" w:line="141" w:lineRule="exact"/>
        <w:rPr>
          <w:sz w:val="20"/>
          <w:szCs w:val="20"/>
          <w:color w:val="auto"/>
        </w:rPr>
      </w:pPr>
    </w:p>
    <w:p>
      <w:pPr>
        <w:ind w:left="801"/>
        <w:spacing w:after="0"/>
        <w:tabs>
          <w:tab w:leader="none" w:pos="4380" w:val="left"/>
          <w:tab w:leader="none" w:pos="7860" w:val="left"/>
        </w:tabs>
        <w:rPr>
          <w:sz w:val="20"/>
          <w:szCs w:val="20"/>
          <w:color w:val="auto"/>
        </w:rPr>
      </w:pPr>
      <w:r>
        <w:rPr>
          <w:rFonts w:ascii="Arial" w:cs="Arial" w:eastAsia="Arial" w:hAnsi="Arial"/>
          <w:sz w:val="20"/>
          <w:szCs w:val="20"/>
          <w:color w:val="2A2A2A"/>
        </w:rPr>
        <w:t>Janet F. Clark, Chair</w:t>
      </w:r>
      <w:r>
        <w:rPr>
          <w:sz w:val="20"/>
          <w:szCs w:val="20"/>
          <w:color w:val="auto"/>
        </w:rPr>
        <w:tab/>
      </w:r>
      <w:r>
        <w:rPr>
          <w:rFonts w:ascii="Arial" w:cs="Arial" w:eastAsia="Arial" w:hAnsi="Arial"/>
          <w:sz w:val="20"/>
          <w:szCs w:val="20"/>
          <w:color w:val="2A2A2A"/>
        </w:rPr>
        <w:t>Curtis C. Farmer</w:t>
      </w:r>
      <w:r>
        <w:rPr>
          <w:sz w:val="20"/>
          <w:szCs w:val="20"/>
          <w:color w:val="auto"/>
        </w:rPr>
        <w:tab/>
      </w:r>
      <w:r>
        <w:rPr>
          <w:rFonts w:ascii="Arial" w:cs="Arial" w:eastAsia="Arial" w:hAnsi="Arial"/>
          <w:sz w:val="19"/>
          <w:szCs w:val="19"/>
          <w:color w:val="2A2A2A"/>
        </w:rPr>
        <w:t>Jean M. Hobby</w:t>
      </w:r>
    </w:p>
    <w:p>
      <w:pPr>
        <w:spacing w:after="0" w:line="31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Proposal to ratify appointment of independent registered public accounting firm</w:t>
      </w:r>
    </w:p>
    <w:p>
      <w:pPr>
        <w:spacing w:after="0" w:line="257" w:lineRule="exact"/>
        <w:rPr>
          <w:sz w:val="20"/>
          <w:szCs w:val="20"/>
          <w:color w:val="auto"/>
        </w:rPr>
      </w:pPr>
    </w:p>
    <w:p>
      <w:pPr>
        <w:jc w:val="both"/>
        <w:ind w:left="1" w:right="120"/>
        <w:spacing w:after="0" w:line="268" w:lineRule="auto"/>
        <w:rPr>
          <w:sz w:val="20"/>
          <w:szCs w:val="20"/>
          <w:color w:val="auto"/>
        </w:rPr>
      </w:pPr>
      <w:r>
        <w:rPr>
          <w:rFonts w:ascii="Arial" w:cs="Arial" w:eastAsia="Arial" w:hAnsi="Arial"/>
          <w:sz w:val="20"/>
          <w:szCs w:val="20"/>
          <w:color w:val="2A2A2A"/>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2024.</w:t>
      </w:r>
    </w:p>
    <w:p>
      <w:pPr>
        <w:spacing w:after="0" w:line="190" w:lineRule="exact"/>
        <w:rPr>
          <w:sz w:val="20"/>
          <w:szCs w:val="20"/>
          <w:color w:val="auto"/>
        </w:rPr>
      </w:pPr>
    </w:p>
    <w:p>
      <w:pPr>
        <w:ind w:left="1" w:right="360"/>
        <w:spacing w:after="0" w:line="289" w:lineRule="auto"/>
        <w:rPr>
          <w:sz w:val="20"/>
          <w:szCs w:val="20"/>
          <w:color w:val="auto"/>
        </w:rPr>
      </w:pPr>
      <w:r>
        <w:rPr>
          <w:rFonts w:ascii="Arial" w:cs="Arial" w:eastAsia="Arial" w:hAnsi="Arial"/>
          <w:sz w:val="19"/>
          <w:szCs w:val="19"/>
          <w:color w:val="2A2A2A"/>
        </w:rPr>
        <w:t>TI has engaged Ernst &amp; Young or a predecessor firm to serve as the company’s independent registered public accounting firm since 1952. In order to assure continuing auditor independence, the audit committee periodically considers whether the annual audit of TI’s financial statements should be conducted by another firm.</w:t>
      </w:r>
    </w:p>
    <w:p>
      <w:pPr>
        <w:spacing w:after="0" w:line="171"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2A2A2A"/>
        </w:rPr>
        <w:t>The lead audit partner on the TI engagement serves no more than five consecutive years in that role, in accordance with SEC rules. The audit committee chair and management have direct input into the selection of the lead audit partner.</w:t>
      </w:r>
    </w:p>
    <w:p>
      <w:pPr>
        <w:sectPr>
          <w:pgSz w:w="12240" w:h="15840" w:orient="portrait"/>
          <w:cols w:equalWidth="0" w:num="1">
            <w:col w:w="10261"/>
          </w:cols>
          <w:pgMar w:left="979" w:top="664"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61</w:t>
      </w:r>
    </w:p>
    <w:p>
      <w:pPr>
        <w:sectPr>
          <w:pgSz w:w="12240" w:h="15840" w:orient="portrait"/>
          <w:cols w:equalWidth="0" w:num="1">
            <w:col w:w="10261"/>
          </w:cols>
          <w:pgMar w:left="979" w:top="664" w:right="1000" w:bottom="33" w:gutter="0" w:footer="0" w:header="0"/>
          <w:type w:val="continuous"/>
        </w:sectPr>
      </w:pPr>
    </w:p>
    <w:bookmarkStart w:id="133" w:name="page134"/>
    <w:bookmarkEnd w:id="133"/>
    <w:p>
      <w:pPr>
        <w:ind w:right="260"/>
        <w:spacing w:after="0" w:line="259" w:lineRule="auto"/>
        <w:rPr>
          <w:sz w:val="20"/>
          <w:szCs w:val="20"/>
          <w:color w:val="auto"/>
        </w:rPr>
      </w:pPr>
      <w:r>
        <w:rPr>
          <w:rFonts w:ascii="Arial" w:cs="Arial" w:eastAsia="Arial" w:hAnsi="Arial"/>
          <w:sz w:val="20"/>
          <w:szCs w:val="20"/>
          <w:color w:val="2A2A2A"/>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99"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2A2A2A"/>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A2A2A"/>
        </w:rPr>
        <w:t>The fees for services provided by Ernst &amp; Young to the company are described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Borders>
              <w:bottom w:val="single" w:sz="8" w:color="2A2A2A"/>
            </w:tcBorders>
          </w:tcPr>
          <w:p>
            <w:pPr>
              <w:spacing w:after="0"/>
              <w:rPr>
                <w:sz w:val="18"/>
                <w:szCs w:val="18"/>
                <w:color w:val="auto"/>
              </w:rPr>
            </w:pPr>
          </w:p>
        </w:tc>
        <w:tc>
          <w:tcPr>
            <w:tcW w:w="3300" w:type="dxa"/>
            <w:vAlign w:val="bottom"/>
            <w:tcBorders>
              <w:bottom w:val="single" w:sz="8" w:color="2A2A2A"/>
            </w:tcBorders>
          </w:tcPr>
          <w:p>
            <w:pPr>
              <w:spacing w:after="0"/>
              <w:rPr>
                <w:sz w:val="18"/>
                <w:szCs w:val="18"/>
                <w:color w:val="auto"/>
              </w:rPr>
            </w:pPr>
          </w:p>
        </w:tc>
        <w:tc>
          <w:tcPr>
            <w:tcW w:w="1200" w:type="dxa"/>
            <w:vAlign w:val="bottom"/>
            <w:tcBorders>
              <w:bottom w:val="single" w:sz="8" w:color="2A2A2A"/>
            </w:tcBorders>
          </w:tcPr>
          <w:p>
            <w:pPr>
              <w:jc w:val="right"/>
              <w:ind w:right="464"/>
              <w:spacing w:after="0"/>
              <w:rPr>
                <w:sz w:val="20"/>
                <w:szCs w:val="20"/>
                <w:color w:val="auto"/>
              </w:rPr>
            </w:pPr>
            <w:r>
              <w:rPr>
                <w:rFonts w:ascii="Arial" w:cs="Arial" w:eastAsia="Arial" w:hAnsi="Arial"/>
                <w:sz w:val="16"/>
                <w:szCs w:val="16"/>
                <w:b w:val="1"/>
                <w:bCs w:val="1"/>
                <w:color w:val="2A2A2A"/>
              </w:rPr>
              <w:t>2023</w:t>
            </w:r>
          </w:p>
        </w:tc>
        <w:tc>
          <w:tcPr>
            <w:tcW w:w="320" w:type="dxa"/>
            <w:vAlign w:val="bottom"/>
            <w:tcBorders>
              <w:bottom w:val="single" w:sz="8" w:color="2A2A2A"/>
            </w:tcBorders>
          </w:tcPr>
          <w:p>
            <w:pPr>
              <w:spacing w:after="0"/>
              <w:rPr>
                <w:sz w:val="18"/>
                <w:szCs w:val="18"/>
                <w:color w:val="auto"/>
              </w:rPr>
            </w:pPr>
          </w:p>
        </w:tc>
        <w:tc>
          <w:tcPr>
            <w:tcW w:w="1100" w:type="dxa"/>
            <w:vAlign w:val="bottom"/>
            <w:tcBorders>
              <w:bottom w:val="single" w:sz="8" w:color="2A2A2A"/>
            </w:tcBorders>
          </w:tcPr>
          <w:p>
            <w:pPr>
              <w:jc w:val="right"/>
              <w:ind w:right="364"/>
              <w:spacing w:after="0"/>
              <w:rPr>
                <w:sz w:val="20"/>
                <w:szCs w:val="20"/>
                <w:color w:val="auto"/>
              </w:rPr>
            </w:pPr>
            <w:r>
              <w:rPr>
                <w:rFonts w:ascii="Arial" w:cs="Arial" w:eastAsia="Arial" w:hAnsi="Arial"/>
                <w:sz w:val="16"/>
                <w:szCs w:val="16"/>
                <w:b w:val="1"/>
                <w:bCs w:val="1"/>
                <w:color w:val="2A2A2A"/>
              </w:rPr>
              <w:t>2022</w:t>
            </w:r>
          </w:p>
        </w:tc>
      </w:tr>
      <w:tr>
        <w:trPr>
          <w:trHeight w:val="275"/>
        </w:trPr>
        <w:tc>
          <w:tcPr>
            <w:tcW w:w="43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Audit</w:t>
            </w:r>
          </w:p>
        </w:tc>
        <w:tc>
          <w:tcPr>
            <w:tcW w:w="3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84"/>
              <w:spacing w:after="0"/>
              <w:rPr>
                <w:sz w:val="20"/>
                <w:szCs w:val="20"/>
                <w:color w:val="auto"/>
              </w:rPr>
            </w:pPr>
            <w:r>
              <w:rPr>
                <w:rFonts w:ascii="Arial" w:cs="Arial" w:eastAsia="Arial" w:hAnsi="Arial"/>
                <w:sz w:val="20"/>
                <w:szCs w:val="20"/>
                <w:color w:val="2A2A2A"/>
                <w:w w:val="99"/>
              </w:rPr>
              <w:t>10,821,000</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color w:val="2A2A2A"/>
                <w:w w:val="99"/>
              </w:rPr>
              <w:t>10,171,000</w:t>
            </w:r>
          </w:p>
        </w:tc>
      </w:tr>
      <w:tr>
        <w:trPr>
          <w:trHeight w:val="283"/>
        </w:trPr>
        <w:tc>
          <w:tcPr>
            <w:tcW w:w="4360" w:type="dxa"/>
            <w:vAlign w:val="bottom"/>
          </w:tcPr>
          <w:p>
            <w:pPr>
              <w:ind w:left="60"/>
              <w:spacing w:after="0"/>
              <w:rPr>
                <w:sz w:val="20"/>
                <w:szCs w:val="20"/>
                <w:color w:val="auto"/>
              </w:rPr>
            </w:pPr>
            <w:r>
              <w:rPr>
                <w:rFonts w:ascii="Arial" w:cs="Arial" w:eastAsia="Arial" w:hAnsi="Arial"/>
                <w:sz w:val="20"/>
                <w:szCs w:val="20"/>
                <w:color w:val="2A2A2A"/>
              </w:rPr>
              <w:t>Audit-related</w:t>
            </w:r>
          </w:p>
        </w:tc>
        <w:tc>
          <w:tcPr>
            <w:tcW w:w="33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84"/>
              <w:spacing w:after="0"/>
              <w:rPr>
                <w:sz w:val="20"/>
                <w:szCs w:val="20"/>
                <w:color w:val="auto"/>
              </w:rPr>
            </w:pPr>
            <w:r>
              <w:rPr>
                <w:rFonts w:ascii="Arial" w:cs="Arial" w:eastAsia="Arial" w:hAnsi="Arial"/>
                <w:sz w:val="20"/>
                <w:szCs w:val="20"/>
                <w:color w:val="2A2A2A"/>
              </w:rPr>
              <w:t>687,000</w:t>
            </w:r>
          </w:p>
        </w:tc>
        <w:tc>
          <w:tcPr>
            <w:tcW w:w="320" w:type="dxa"/>
            <w:vAlign w:val="bottom"/>
          </w:tcPr>
          <w:p>
            <w:pPr>
              <w:jc w:val="right"/>
              <w:spacing w:after="0"/>
              <w:rPr>
                <w:sz w:val="20"/>
                <w:szCs w:val="20"/>
                <w:color w:val="auto"/>
              </w:rPr>
            </w:pPr>
            <w:r>
              <w:rPr>
                <w:rFonts w:ascii="Arial" w:cs="Arial" w:eastAsia="Arial" w:hAnsi="Arial"/>
                <w:sz w:val="20"/>
                <w:szCs w:val="20"/>
                <w:color w:val="2A2A2A"/>
              </w:rPr>
              <w:t>$</w:t>
            </w:r>
          </w:p>
        </w:tc>
        <w:tc>
          <w:tcPr>
            <w:tcW w:w="1100" w:type="dxa"/>
            <w:vAlign w:val="bottom"/>
          </w:tcPr>
          <w:p>
            <w:pPr>
              <w:jc w:val="right"/>
              <w:spacing w:after="0"/>
              <w:rPr>
                <w:sz w:val="20"/>
                <w:szCs w:val="20"/>
                <w:color w:val="auto"/>
              </w:rPr>
            </w:pPr>
            <w:r>
              <w:rPr>
                <w:rFonts w:ascii="Arial" w:cs="Arial" w:eastAsia="Arial" w:hAnsi="Arial"/>
                <w:sz w:val="20"/>
                <w:szCs w:val="20"/>
                <w:color w:val="2A2A2A"/>
              </w:rPr>
              <w:t>777,000</w:t>
            </w:r>
          </w:p>
        </w:tc>
      </w:tr>
      <w:tr>
        <w:trPr>
          <w:trHeight w:val="287"/>
        </w:trPr>
        <w:tc>
          <w:tcPr>
            <w:tcW w:w="43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Tax</w:t>
            </w:r>
          </w:p>
        </w:tc>
        <w:tc>
          <w:tcPr>
            <w:tcW w:w="33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200" w:type="dxa"/>
            <w:vAlign w:val="bottom"/>
            <w:shd w:val="clear" w:color="auto" w:fill="D7D7D7"/>
          </w:tcPr>
          <w:p>
            <w:pPr>
              <w:jc w:val="right"/>
              <w:ind w:right="84"/>
              <w:spacing w:after="0"/>
              <w:rPr>
                <w:sz w:val="20"/>
                <w:szCs w:val="20"/>
                <w:color w:val="auto"/>
              </w:rPr>
            </w:pPr>
            <w:r>
              <w:rPr>
                <w:rFonts w:ascii="Arial" w:cs="Arial" w:eastAsia="Arial" w:hAnsi="Arial"/>
                <w:sz w:val="20"/>
                <w:szCs w:val="20"/>
                <w:color w:val="2A2A2A"/>
              </w:rPr>
              <w:t>2,809,000</w:t>
            </w:r>
          </w:p>
        </w:tc>
        <w:tc>
          <w:tcPr>
            <w:tcW w:w="32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w:t>
            </w:r>
          </w:p>
        </w:tc>
        <w:tc>
          <w:tcPr>
            <w:tcW w:w="1100" w:type="dxa"/>
            <w:vAlign w:val="bottom"/>
            <w:shd w:val="clear" w:color="auto" w:fill="D7D7D7"/>
          </w:tcPr>
          <w:p>
            <w:pPr>
              <w:jc w:val="right"/>
              <w:spacing w:after="0"/>
              <w:rPr>
                <w:sz w:val="20"/>
                <w:szCs w:val="20"/>
                <w:color w:val="auto"/>
              </w:rPr>
            </w:pPr>
            <w:r>
              <w:rPr>
                <w:rFonts w:ascii="Arial" w:cs="Arial" w:eastAsia="Arial" w:hAnsi="Arial"/>
                <w:sz w:val="20"/>
                <w:szCs w:val="20"/>
                <w:color w:val="2A2A2A"/>
              </w:rPr>
              <w:t>1,832,000</w:t>
            </w:r>
          </w:p>
        </w:tc>
      </w:tr>
      <w:tr>
        <w:trPr>
          <w:trHeight w:val="281"/>
        </w:trPr>
        <w:tc>
          <w:tcPr>
            <w:tcW w:w="4360" w:type="dxa"/>
            <w:vAlign w:val="bottom"/>
          </w:tcPr>
          <w:p>
            <w:pPr>
              <w:ind w:left="60"/>
              <w:spacing w:after="0"/>
              <w:rPr>
                <w:sz w:val="20"/>
                <w:szCs w:val="20"/>
                <w:color w:val="auto"/>
              </w:rPr>
            </w:pPr>
            <w:r>
              <w:rPr>
                <w:rFonts w:ascii="Arial" w:cs="Arial" w:eastAsia="Arial" w:hAnsi="Arial"/>
                <w:sz w:val="20"/>
                <w:szCs w:val="20"/>
                <w:color w:val="2A2A2A"/>
              </w:rPr>
              <w:t>All other</w:t>
            </w:r>
          </w:p>
        </w:tc>
        <w:tc>
          <w:tcPr>
            <w:tcW w:w="3300" w:type="dxa"/>
            <w:vAlign w:val="bottom"/>
          </w:tcPr>
          <w:p>
            <w:pPr>
              <w:jc w:val="right"/>
              <w:spacing w:after="0"/>
              <w:rPr>
                <w:sz w:val="20"/>
                <w:szCs w:val="20"/>
                <w:color w:val="auto"/>
              </w:rPr>
            </w:pPr>
            <w:r>
              <w:rPr>
                <w:rFonts w:ascii="Arial" w:cs="Arial" w:eastAsia="Arial" w:hAnsi="Arial"/>
                <w:sz w:val="20"/>
                <w:szCs w:val="20"/>
                <w:color w:val="2A2A2A"/>
              </w:rPr>
              <w:t>$</w:t>
            </w:r>
          </w:p>
        </w:tc>
        <w:tc>
          <w:tcPr>
            <w:tcW w:w="1200" w:type="dxa"/>
            <w:vAlign w:val="bottom"/>
          </w:tcPr>
          <w:p>
            <w:pPr>
              <w:jc w:val="right"/>
              <w:ind w:right="84"/>
              <w:spacing w:after="0"/>
              <w:rPr>
                <w:sz w:val="20"/>
                <w:szCs w:val="20"/>
                <w:color w:val="auto"/>
              </w:rPr>
            </w:pPr>
            <w:r>
              <w:rPr>
                <w:rFonts w:ascii="Arial" w:cs="Arial" w:eastAsia="Arial" w:hAnsi="Arial"/>
                <w:sz w:val="20"/>
                <w:szCs w:val="20"/>
                <w:color w:val="2A2A2A"/>
              </w:rPr>
              <w:t>31,000</w:t>
            </w:r>
          </w:p>
        </w:tc>
        <w:tc>
          <w:tcPr>
            <w:tcW w:w="320" w:type="dxa"/>
            <w:vAlign w:val="bottom"/>
          </w:tcPr>
          <w:p>
            <w:pPr>
              <w:jc w:val="right"/>
              <w:spacing w:after="0"/>
              <w:rPr>
                <w:sz w:val="20"/>
                <w:szCs w:val="20"/>
                <w:color w:val="auto"/>
              </w:rPr>
            </w:pPr>
            <w:r>
              <w:rPr>
                <w:rFonts w:ascii="Arial" w:cs="Arial" w:eastAsia="Arial" w:hAnsi="Arial"/>
                <w:sz w:val="20"/>
                <w:szCs w:val="20"/>
                <w:color w:val="2A2A2A"/>
              </w:rPr>
              <w:t>$</w:t>
            </w:r>
          </w:p>
        </w:tc>
        <w:tc>
          <w:tcPr>
            <w:tcW w:w="1100" w:type="dxa"/>
            <w:vAlign w:val="bottom"/>
          </w:tcPr>
          <w:p>
            <w:pPr>
              <w:jc w:val="right"/>
              <w:spacing w:after="0"/>
              <w:rPr>
                <w:sz w:val="20"/>
                <w:szCs w:val="20"/>
                <w:color w:val="auto"/>
              </w:rPr>
            </w:pPr>
            <w:r>
              <w:rPr>
                <w:rFonts w:ascii="Arial" w:cs="Arial" w:eastAsia="Arial" w:hAnsi="Arial"/>
                <w:sz w:val="20"/>
                <w:szCs w:val="20"/>
                <w:color w:val="2A2A2A"/>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-733425</wp:posOffset>
            </wp:positionV>
            <wp:extent cx="655002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2A2A2A"/>
        </w:rPr>
        <w:t>The services provided were as follows:</w:t>
      </w:r>
    </w:p>
    <w:p>
      <w:pPr>
        <w:spacing w:after="0" w:line="250" w:lineRule="exact"/>
        <w:rPr>
          <w:sz w:val="20"/>
          <w:szCs w:val="20"/>
          <w:color w:val="auto"/>
        </w:rPr>
      </w:pPr>
    </w:p>
    <w:p>
      <w:pPr>
        <w:jc w:val="both"/>
        <w:ind w:right="800"/>
        <w:spacing w:after="0" w:line="314" w:lineRule="auto"/>
        <w:rPr>
          <w:sz w:val="20"/>
          <w:szCs w:val="20"/>
          <w:color w:val="auto"/>
        </w:rPr>
      </w:pPr>
      <w:r>
        <w:rPr>
          <w:rFonts w:ascii="Arial" w:cs="Arial" w:eastAsia="Arial" w:hAnsi="Arial"/>
          <w:sz w:val="19"/>
          <w:szCs w:val="19"/>
          <w:color w:val="2A2A2A"/>
        </w:rPr>
        <w:t>Audit: our annual audit, including the audit of internal control over financial reporting, reports on Form 10-Q, assistance with public debt offerings, statutory audits required internationally and accounting consultations.</w:t>
      </w:r>
    </w:p>
    <w:p>
      <w:pPr>
        <w:spacing w:after="0" w:line="148"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color w:val="2A2A2A"/>
        </w:rPr>
        <w:t>Audit-related: including employee benefit plan audits and certification procedures relating to compliance with local-government or other regulatory standards for various non-U.S. subsidiaries.</w:t>
      </w:r>
    </w:p>
    <w:p>
      <w:pPr>
        <w:spacing w:after="0" w:line="170" w:lineRule="exact"/>
        <w:rPr>
          <w:sz w:val="20"/>
          <w:szCs w:val="20"/>
          <w:color w:val="auto"/>
        </w:rPr>
      </w:pPr>
    </w:p>
    <w:p>
      <w:pPr>
        <w:ind w:right="340"/>
        <w:spacing w:after="0" w:line="287" w:lineRule="auto"/>
        <w:rPr>
          <w:sz w:val="20"/>
          <w:szCs w:val="20"/>
          <w:color w:val="auto"/>
        </w:rPr>
      </w:pPr>
      <w:r>
        <w:rPr>
          <w:rFonts w:ascii="Arial" w:cs="Arial" w:eastAsia="Arial" w:hAnsi="Arial"/>
          <w:sz w:val="20"/>
          <w:szCs w:val="20"/>
          <w:color w:val="2A2A2A"/>
        </w:rPr>
        <w:t>Tax: professional services for tax compliance (preparation and review of income tax returns and other tax-related filings) and tax advice on U.S. and foreign tax matters.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2A2A2A"/>
        </w:rPr>
        <w:t>All other: TI Foundation audit and training.</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20"/>
          <w:szCs w:val="20"/>
          <w:u w:val="single" w:color="auto"/>
          <w:color w:val="2A2A2A"/>
        </w:rPr>
        <w:t>Pre-approval policy</w:t>
      </w:r>
      <w:r>
        <w:rPr>
          <w:rFonts w:ascii="Arial" w:cs="Arial" w:eastAsia="Arial" w:hAnsi="Arial"/>
          <w:sz w:val="20"/>
          <w:szCs w:val="20"/>
          <w:color w:val="2A2A2A"/>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9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A2A2A"/>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2A2A2A"/>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2A2A2A"/>
        </w:rPr>
        <w:t>The audit committee or its chair pre-approved all services provided by Ernst &amp; Young during 2023.</w:t>
      </w:r>
    </w:p>
    <w:p>
      <w:pPr>
        <w:spacing w:after="0" w:line="250" w:lineRule="exact"/>
        <w:rPr>
          <w:sz w:val="20"/>
          <w:szCs w:val="20"/>
          <w:color w:val="auto"/>
        </w:rPr>
      </w:pPr>
    </w:p>
    <w:p>
      <w:pPr>
        <w:ind w:right="160"/>
        <w:spacing w:after="0" w:line="297" w:lineRule="auto"/>
        <w:rPr>
          <w:sz w:val="20"/>
          <w:szCs w:val="20"/>
          <w:color w:val="auto"/>
        </w:rPr>
      </w:pPr>
      <w:r>
        <w:rPr>
          <w:rFonts w:ascii="Arial" w:cs="Arial" w:eastAsia="Arial" w:hAnsi="Arial"/>
          <w:sz w:val="20"/>
          <w:szCs w:val="20"/>
          <w:b w:val="1"/>
          <w:bCs w:val="1"/>
          <w:color w:val="2A2A2A"/>
        </w:rPr>
        <w:t>The board of directors recommends a vote For ratification of the appointment of Ernst &amp; Young LLP as the company’s independent registered public accounting firm for 2024.</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62</w:t>
      </w:r>
    </w:p>
    <w:p>
      <w:pPr>
        <w:sectPr>
          <w:pgSz w:w="12240" w:h="15840" w:orient="portrait"/>
          <w:cols w:equalWidth="0" w:num="1">
            <w:col w:w="10280"/>
          </w:cols>
          <w:pgMar w:left="980" w:top="664" w:right="980" w:bottom="33" w:gutter="0" w:footer="0" w:header="0"/>
          <w:type w:val="continuous"/>
        </w:sectPr>
      </w:pPr>
    </w:p>
    <w:bookmarkStart w:id="134" w:name="page135"/>
    <w:bookmarkEnd w:id="134"/>
    <w:p>
      <w:pPr>
        <w:spacing w:after="0"/>
        <w:rPr>
          <w:sz w:val="20"/>
          <w:szCs w:val="20"/>
          <w:color w:val="auto"/>
        </w:rPr>
      </w:pPr>
      <w:r>
        <w:rPr>
          <w:rFonts w:ascii="Arial" w:cs="Arial" w:eastAsia="Arial" w:hAnsi="Arial"/>
          <w:sz w:val="24"/>
          <w:szCs w:val="24"/>
          <w:b w:val="1"/>
          <w:bCs w:val="1"/>
          <w:color w:val="2A2A2A"/>
        </w:rPr>
        <w:t>Stockholder proposals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Proposal regarding right to call a special meeting</w:t>
      </w:r>
    </w:p>
    <w:p>
      <w:pPr>
        <w:spacing w:after="0" w:line="257"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2A2A2A"/>
        </w:rPr>
        <w:t>Mr. John Chevedden, 2215 Nelson Avenue #205, Redondo Beach, CA 90278-2453, the beneficial owner of 40 shares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20"/>
          <w:szCs w:val="20"/>
          <w:color w:val="2A2A2A"/>
        </w:rPr>
        <w:t>Proxies solicited by management will be voted against the stockholder proposal below unless stockholders specify a contrary choice in their proxies.</w:t>
      </w:r>
    </w:p>
    <w:p>
      <w:pPr>
        <w:spacing w:after="0" w:line="170" w:lineRule="exact"/>
        <w:rPr>
          <w:sz w:val="20"/>
          <w:szCs w:val="20"/>
          <w:color w:val="auto"/>
        </w:rPr>
      </w:pPr>
    </w:p>
    <w:p>
      <w:pPr>
        <w:ind w:right="600"/>
        <w:spacing w:after="0" w:line="287" w:lineRule="auto"/>
        <w:rPr>
          <w:sz w:val="20"/>
          <w:szCs w:val="20"/>
          <w:color w:val="auto"/>
        </w:rPr>
      </w:pPr>
      <w:r>
        <w:rPr>
          <w:rFonts w:ascii="Arial" w:cs="Arial" w:eastAsia="Arial" w:hAnsi="Arial"/>
          <w:sz w:val="20"/>
          <w:szCs w:val="20"/>
          <w:color w:val="2A2A2A"/>
        </w:rPr>
        <w:t>In accordance with applicable rules of the SEC, we have set forth Mr. Chevedden’s proposal below exactly as submitted to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A2A2A"/>
        </w:rPr>
        <w:t>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193675</wp:posOffset>
            </wp:positionV>
            <wp:extent cx="1901825" cy="3803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01825"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color w:val="2A2A2A"/>
        </w:rPr>
        <w:t>Shareholders ask our board to take the steps necessary to give the owners of a combined 15% of our outstanding common stock the power to call a special shareholder meeting.</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2A2A2A"/>
        </w:rPr>
        <w:t>Texas Instruments shareholders gave 47% support to this proposal topic in 2022 when it called for the lower 10% of shares to have the right to call for a special shareholder meeting. This 47% support likely represented 51% support from the TXN shares that have access to independent proxy voting advice and are not forced to rely on the biased view of the Board of Directors.</w:t>
      </w:r>
    </w:p>
    <w:p>
      <w:pPr>
        <w:spacing w:after="0" w:line="196"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2A2A2A"/>
        </w:rPr>
        <w:t>It is important to remember that it took much more TXN shareholder conviction to vote for the 2022 special shareholder meeting improvement proposal, and thereby reject the recommendation of the Board of Directors, than to simply follow the BOD recommendation.</w:t>
      </w:r>
    </w:p>
    <w:p>
      <w:pPr>
        <w:spacing w:after="0" w:line="190" w:lineRule="exact"/>
        <w:rPr>
          <w:sz w:val="20"/>
          <w:szCs w:val="20"/>
          <w:color w:val="auto"/>
        </w:rPr>
      </w:pPr>
    </w:p>
    <w:p>
      <w:pPr>
        <w:ind w:right="240"/>
        <w:spacing w:after="0" w:line="268" w:lineRule="auto"/>
        <w:rPr>
          <w:sz w:val="20"/>
          <w:szCs w:val="20"/>
          <w:color w:val="auto"/>
        </w:rPr>
      </w:pPr>
      <w:r>
        <w:rPr>
          <w:rFonts w:ascii="Arial" w:cs="Arial" w:eastAsia="Arial" w:hAnsi="Arial"/>
          <w:sz w:val="20"/>
          <w:szCs w:val="20"/>
          <w:color w:val="2A2A2A"/>
        </w:rPr>
        <w:t>The 47% support was all the more impressive because the TXN BOD made it difficult to locate the proposal in the TXN proxy. The proposal number was removed from the proposal in the table of contents and in the body of the proxy so it was difficult to match the body of the proposal with the number on the ballot.</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color w:val="2A2A2A"/>
        </w:rPr>
        <w:t>An improved right to call a special shareholder meeting can result in better director qualifications and performance since a special shareholder meeting can be used to elect a more qualified director.</w:t>
      </w:r>
    </w:p>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2A2A2A"/>
        </w:rPr>
        <w:t>For instance with Ms. Carrie Cox the most recent employment is 9 years with a company that has $1.5 million in annual revenue and 164 employees. Ms. Cox received the most against votes of any TXN director and was on the TXN executive pay committee when executive pay was rejected by 15% of shares. A 5% rejection is often the norm at well performing companies.</w:t>
      </w:r>
    </w:p>
    <w:p>
      <w:pPr>
        <w:spacing w:after="0" w:line="196"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color w:val="2A2A2A"/>
        </w:rPr>
        <w:t>Management likes to claim that shareholders have multiple means to communicate with management but in most cases these means are as effective as mailing a post card to the CEO. A reasonable right to call a special shareholder meeting is an important step for effective shareholder engagement with management because shareholders have a plan B option of calling for a special shareholder meeting if management resists shareholder engagement.</w:t>
      </w:r>
    </w:p>
    <w:p>
      <w:pPr>
        <w:spacing w:after="0" w:line="199" w:lineRule="exact"/>
        <w:rPr>
          <w:sz w:val="20"/>
          <w:szCs w:val="20"/>
          <w:color w:val="auto"/>
        </w:rPr>
      </w:pPr>
    </w:p>
    <w:p>
      <w:pPr>
        <w:ind w:right="460"/>
        <w:spacing w:after="0" w:line="287" w:lineRule="auto"/>
        <w:rPr>
          <w:sz w:val="20"/>
          <w:szCs w:val="20"/>
          <w:color w:val="auto"/>
        </w:rPr>
      </w:pPr>
      <w:r>
        <w:rPr>
          <w:rFonts w:ascii="Arial" w:cs="Arial" w:eastAsia="Arial" w:hAnsi="Arial"/>
          <w:sz w:val="20"/>
          <w:szCs w:val="20"/>
          <w:color w:val="2A2A2A"/>
        </w:rPr>
        <w:t>With the widespread use of online shareholder meetings it is much easier for management to conduct a special shareholder meeting and our bylaws thus need to be updated accordingly.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 xml:space="preserve">Please vote yes: </w:t>
      </w:r>
      <w:r>
        <w:rPr>
          <w:rFonts w:ascii="Arial" w:cs="Arial" w:eastAsia="Arial" w:hAnsi="Arial"/>
          <w:sz w:val="20"/>
          <w:szCs w:val="20"/>
          <w:b w:val="1"/>
          <w:bCs w:val="1"/>
          <w:color w:val="2A2A2A"/>
        </w:rPr>
        <w:t>Special Shareholder Meeting Improvement</w:t>
      </w:r>
    </w:p>
    <w:p>
      <w:pPr>
        <w:sectPr>
          <w:pgSz w:w="12240" w:h="15840" w:orient="portrait"/>
          <w:cols w:equalWidth="0" w:num="1">
            <w:col w:w="10260"/>
          </w:cols>
          <w:pgMar w:left="980" w:top="653"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63</w:t>
      </w:r>
    </w:p>
    <w:p>
      <w:pPr>
        <w:sectPr>
          <w:pgSz w:w="12240" w:h="15840" w:orient="portrait"/>
          <w:cols w:equalWidth="0" w:num="1">
            <w:col w:w="10260"/>
          </w:cols>
          <w:pgMar w:left="980" w:top="653" w:right="1000" w:bottom="33" w:gutter="0" w:footer="0" w:header="0"/>
          <w:type w:val="continuous"/>
        </w:sectPr>
      </w:pPr>
    </w:p>
    <w:bookmarkStart w:id="135" w:name="page136"/>
    <w:bookmarkEnd w:id="135"/>
    <w:p>
      <w:pPr>
        <w:spacing w:after="0"/>
        <w:rPr>
          <w:sz w:val="20"/>
          <w:szCs w:val="20"/>
          <w:color w:val="auto"/>
        </w:rPr>
      </w:pPr>
      <w:r>
        <w:rPr>
          <w:rFonts w:ascii="Arial" w:cs="Arial" w:eastAsia="Arial" w:hAnsi="Arial"/>
          <w:sz w:val="22"/>
          <w:szCs w:val="22"/>
          <w:u w:val="single" w:color="auto"/>
          <w:color w:val="2B2B2B"/>
        </w:rPr>
        <w:t>Board of directors’ response</w:t>
      </w:r>
    </w:p>
    <w:p>
      <w:pPr>
        <w:spacing w:after="0" w:line="257" w:lineRule="exact"/>
        <w:rPr>
          <w:sz w:val="20"/>
          <w:szCs w:val="20"/>
          <w:color w:val="auto"/>
        </w:rPr>
      </w:pPr>
    </w:p>
    <w:p>
      <w:pPr>
        <w:ind w:right="520"/>
        <w:spacing w:after="0" w:line="297" w:lineRule="auto"/>
        <w:rPr>
          <w:sz w:val="20"/>
          <w:szCs w:val="20"/>
          <w:color w:val="auto"/>
        </w:rPr>
      </w:pPr>
      <w:r>
        <w:rPr>
          <w:rFonts w:ascii="Arial" w:cs="Arial" w:eastAsia="Arial" w:hAnsi="Arial"/>
          <w:sz w:val="20"/>
          <w:szCs w:val="20"/>
          <w:b w:val="1"/>
          <w:bCs w:val="1"/>
          <w:color w:val="2B2B2B"/>
        </w:rPr>
        <w:t>The board of directors recommends a vote Against this proposal because stockholders already have a meaningful right to call a special meeting.</w:t>
      </w:r>
    </w:p>
    <w:p>
      <w:pPr>
        <w:spacing w:after="0" w:line="151"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color w:val="2C2C2C"/>
        </w:rPr>
        <w:t>Earning, building, and maintaining the trust of our many stakeholders is critical to the success and sustainability of our business. The board remains deeply committed to strong governance practices and ethical business practices, and understands the importance of stockholders to have the ability to call special stockholder meetings.</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2C2C2C"/>
        </w:rPr>
        <w:t>Following extensive stockholder outreach concerning stockholder rights, and in direct response to stockholder feedback, the board amended the company’s by-laws in January 2022 to permit stockholders with net long ownership of 25% or more of our outstanding common stock to call special meetings. The board has carefully considered the stockholder proposal to lower the threshold to 15% and for the reasons below, recommends a vote AGAINST this proposal.</w:t>
      </w:r>
    </w:p>
    <w:p>
      <w:pPr>
        <w:spacing w:after="0" w:line="199" w:lineRule="exact"/>
        <w:rPr>
          <w:sz w:val="20"/>
          <w:szCs w:val="20"/>
          <w:color w:val="auto"/>
        </w:rPr>
      </w:pPr>
    </w:p>
    <w:p>
      <w:pPr>
        <w:ind w:right="460"/>
        <w:spacing w:after="0" w:line="297" w:lineRule="auto"/>
        <w:rPr>
          <w:sz w:val="20"/>
          <w:szCs w:val="20"/>
          <w:color w:val="auto"/>
        </w:rPr>
      </w:pPr>
      <w:r>
        <w:rPr>
          <w:rFonts w:ascii="Arial" w:cs="Arial" w:eastAsia="Arial" w:hAnsi="Arial"/>
          <w:sz w:val="20"/>
          <w:szCs w:val="20"/>
          <w:b w:val="1"/>
          <w:bCs w:val="1"/>
          <w:color w:val="2C2C2C"/>
        </w:rPr>
        <w:t>Stockholders currently have a meaningful right to call a special meeting at an ownership threshold that appropriately balances the interests of all stockholders.</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2C2C2C"/>
        </w:rPr>
        <w:t>Our by-laws currently permit stockholders who together hold a 25% net long ownership interest to call a special meeting. This threshold can be achieved by as few as five stockholders. We believe this threshold is appropriate and is aligned with our stockholders’ interests. Additionally, the company’s 25% ownership threshold is the most common threshold adopted by SP&amp;P 500 companies that provide stockholders with the right to call special meetings. Specifically, of the 336 SP&amp;P 500 companies that provide stockholders with the right to call special meetings, 170 of those companies, or just over half, have a 25% ownership or higher threshold, with 25% being the most common threshold.</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2C2C2C"/>
        </w:rPr>
        <w:t>Through ongoing engagement with stockholders since 2021, the company has learned that our stockholders have disparate views on the right to call special meetings and the conditions to exercise that right. Some stockholders believe a special meeting right is not necessary or advisable. Others believe that a threshold less than 25% would increase the risk of special meetings being called by as few as one or two stockholders focused on short-term interests. In the view of those stockholders and our board, enabling holders of less than 25% of our common stock to call special meetings could subject the company to disruption from stockholder special interest groups or activists with an agenda not in the best interest of the company or our long-term stockholders.</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2A2A2A"/>
        </w:rPr>
        <w:t>Prior to the January 2022 by-law amendment adopting a shareholder right to call special meetings, the company reached out to stockholders of approximately two-thirds of the company’s outstanding common stock, to determine, among other things, the appropriate threshold to set for a special meeting right. Approximately half of the stockholders with whom the company engaged supported the 25% ownership threshold. No other threshold received a comparable level of support.</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20"/>
          <w:szCs w:val="20"/>
          <w:color w:val="2A2A2A"/>
        </w:rPr>
        <w:t>At the company’s 2022 and 2023 annual meetings, stockholders voted on a substantially similar proposal requesting to amend the company’s governance documents to give owners of a combined 10% of outstanding common stock the power to call a special shareholder meeting, both of which failed to garner majority support. In fact, the support level decreased from 2022 to 2023. The proposal provides no additional meaningful support explaining why its new framework (i.e., permitting a combined 15% of the outstanding common stock to call a special stockholders’ meeting, as opposed to 10% the past two years) would be in the best interest of the company and its stockholders. The board maintains the belief that its special meeting structure reflects a balanced approach to enhancing stockholder rights and protecting the interests of all stockholders.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b w:val="1"/>
          <w:bCs w:val="1"/>
          <w:color w:val="2C2C2C"/>
        </w:rPr>
        <w:t>The current ownership threshold permits stockholders owning a reasonable minority to call special meetings while helping to avoid using corporate resources on items that may not reflect the interests of the company and its broader stockholder base.</w:t>
      </w:r>
    </w:p>
    <w:p>
      <w:pPr>
        <w:spacing w:after="0" w:line="175"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2C2C2C"/>
        </w:rPr>
        <w:t>Based on our ownership, as few as two stockholders, acting in combination, could call a special meeting at a 15% threshold. A relatively low threshold for qualifying ownership, like the one proposed, could expose stockholders to the risk of special meetings being called by a small number of stockholders to advance their own agendas, without regard to the long-term best interests of the company and stockholders generally.</w:t>
      </w:r>
    </w:p>
    <w:p>
      <w:pPr>
        <w:sectPr>
          <w:pgSz w:w="12240" w:h="15840" w:orient="portrait"/>
          <w:cols w:equalWidth="0" w:num="1">
            <w:col w:w="10260"/>
          </w:cols>
          <w:pgMar w:left="980" w:top="658" w:right="100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64</w:t>
      </w:r>
    </w:p>
    <w:p>
      <w:pPr>
        <w:sectPr>
          <w:pgSz w:w="12240" w:h="15840" w:orient="portrait"/>
          <w:cols w:equalWidth="0" w:num="1">
            <w:col w:w="10260"/>
          </w:cols>
          <w:pgMar w:left="980" w:top="658" w:right="1000" w:bottom="33" w:gutter="0" w:footer="0" w:header="0"/>
          <w:type w:val="continuous"/>
        </w:sectPr>
      </w:pPr>
    </w:p>
    <w:bookmarkStart w:id="136" w:name="page137"/>
    <w:bookmarkEnd w:id="136"/>
    <w:p>
      <w:pPr>
        <w:ind w:right="100"/>
        <w:spacing w:after="0" w:line="272" w:lineRule="auto"/>
        <w:rPr>
          <w:sz w:val="20"/>
          <w:szCs w:val="20"/>
          <w:color w:val="auto"/>
        </w:rPr>
      </w:pPr>
      <w:r>
        <w:rPr>
          <w:rFonts w:ascii="Arial" w:cs="Arial" w:eastAsia="Arial" w:hAnsi="Arial"/>
          <w:sz w:val="19"/>
          <w:szCs w:val="19"/>
          <w:color w:val="2C2C2C"/>
        </w:rPr>
        <w:t>The expense and disruption of a special meeting can be significant, including the costs of preparing and distributing proxy materials and the diversion of board and management attention from the oversight and management of our business. As such, the board strongly believes that special meetings should be limited to circumstances where a meaningful number of stockholders believe a matter is sufficiently urgent or extraordinary that it must be addressed between annual meetings. The board believes a 25% threshold strikes the necessary balance between enhancing our stockholders’ ability to act on important matters in between annual meetings and protecting the company and other stockholders by allowing only a meaningful group of stockholders to exercise the right.</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20"/>
          <w:szCs w:val="20"/>
          <w:b w:val="1"/>
          <w:bCs w:val="1"/>
          <w:color w:val="2C2C2C"/>
        </w:rPr>
        <w:t>Stockholders have several methods through which they can influence company practices without lowering the special meeting threshold.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20"/>
          <w:szCs w:val="20"/>
          <w:color w:val="2C2C2C"/>
        </w:rPr>
        <w:t>The company has other corporate governance practices in place that protect stockholder rights and provide meaningful avenues for all stockholders, no matter the size, to effectively voice their opinions, including through the company’s robust stockholder engagement throughout the year. Additionally, our annual stockholder meeting provides an opportunity for stockholders to provide direct feedback by voting on director nominees, executive compensation, auditor selection and other matters that come before the meeting, or to ask questions of management. Stockholders also may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annual meeting or use proxy access.</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2A2A2A"/>
        </w:rPr>
        <w:t>The company regularly solicits stockholder views outside the context of formal stockholder meetings, considers that input, and takes appropriate actions where the long-term interests of all our stockholders are best served. The January 2022 amendment of the company’s by-laws to provide stockholders a right to call special meetings is only one such example. The company maintains its commitment to continue monitoring developments on this topic as part of its consideration of broader governance issues, and our board will continue to foster an open dialogue with our stockholders regarding the company’s corporate governance policies and practices.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Summary</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2A2A2A"/>
        </w:rPr>
        <w:t>After careful consideration the board believes that implementation of this proposal is not in the best interests of the company or our stockholders and is unnecessary given the current special meeting right that strikes the appropriate balance between protecting the rights of our stockholders and mitigating the risk of abuse. Accordingly, the board believes the adoption of the stockholder proposal is not appropriate and is not in the best interests of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For these reasons, the board of directors recommends a vote Against this proposal.</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C2C2C"/>
        </w:rPr>
        <w:t>Proposal to report on due diligence efforts to identify risks associated with product misuse</w:t>
      </w:r>
    </w:p>
    <w:p>
      <w:pPr>
        <w:spacing w:after="0" w:line="257"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color w:val="2A2A2A"/>
        </w:rPr>
        <w:t>Friends Fiduciary Corporation, 1700 Market Street, Suite 1535, Philadelphia, PA 19103, the beneficial owner of more than $2,000 of the company’s common stock, has given notice that it or its designee intends to present the following nonbinding, advisory proposal at the annual meeting. The board of directors opposes the stockholder proposal for the reasons set forth below the proposal.</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2A2A2A"/>
        </w:rPr>
        <w:t>Proxies solicited by management will be voted against the stockholder proposal below unless stockholders specify a contrary choice in their proxies.</w:t>
      </w:r>
    </w:p>
    <w:p>
      <w:pPr>
        <w:spacing w:after="0" w:line="170"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A2A2A"/>
        </w:rPr>
        <w:t>In accordance with applicable rules of the SEC, we have set forth Friends Fiduciary Corporation’s proposal below exactly as submitted to us.</w:t>
      </w:r>
    </w:p>
    <w:p>
      <w:pPr>
        <w:spacing w:after="0" w:line="170"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2A2A2A"/>
        </w:rPr>
        <w:t>RESOLVED: Shareholders request that the Board of Directors commission an independent third-party report, at reasonable expense and excluding proprietary information, on Texas Instruments’ (Tl) due diligence process to determine whether customers’ misuse of its products expose the company to human rights and other material risks.</w:t>
      </w:r>
    </w:p>
    <w:p>
      <w:pPr>
        <w:spacing w:after="0" w:line="171" w:lineRule="exact"/>
        <w:rPr>
          <w:sz w:val="20"/>
          <w:szCs w:val="20"/>
          <w:color w:val="auto"/>
        </w:rPr>
      </w:pPr>
    </w:p>
    <w:p>
      <w:pPr>
        <w:jc w:val="both"/>
        <w:ind w:right="320"/>
        <w:spacing w:after="0" w:line="289" w:lineRule="auto"/>
        <w:rPr>
          <w:sz w:val="20"/>
          <w:szCs w:val="20"/>
          <w:color w:val="auto"/>
        </w:rPr>
      </w:pPr>
      <w:r>
        <w:rPr>
          <w:rFonts w:ascii="Arial" w:cs="Arial" w:eastAsia="Arial" w:hAnsi="Arial"/>
          <w:sz w:val="19"/>
          <w:szCs w:val="19"/>
          <w:color w:val="2A2A2A"/>
        </w:rPr>
        <w:t>WHEREAS: The Royal United Services Institute (RUSI) reported that Tl was one of two original manufacturers of approximately 25% of the dual-use items found in 27 Russian weapons systems used in the invasion of Ukraine, including missiles, precision munitions, and electronic warfare. RUSI noted that “US exporters of these products</w:t>
      </w:r>
    </w:p>
    <w:p>
      <w:pPr>
        <w:sectPr>
          <w:pgSz w:w="12240" w:h="15840" w:orient="portrait"/>
          <w:cols w:equalWidth="0" w:num="1">
            <w:col w:w="10280"/>
          </w:cols>
          <w:pgMar w:left="980" w:top="664" w:right="980" w:bottom="33"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65</w:t>
      </w:r>
    </w:p>
    <w:p>
      <w:pPr>
        <w:sectPr>
          <w:pgSz w:w="12240" w:h="15840" w:orient="portrait"/>
          <w:cols w:equalWidth="0" w:num="1">
            <w:col w:w="10280"/>
          </w:cols>
          <w:pgMar w:left="980" w:top="664" w:right="980" w:bottom="33" w:gutter="0" w:footer="0" w:header="0"/>
          <w:type w:val="continuous"/>
        </w:sectPr>
      </w:pPr>
    </w:p>
    <w:bookmarkStart w:id="137" w:name="page138"/>
    <w:bookmarkEnd w:id="137"/>
    <w:p>
      <w:pPr>
        <w:ind w:left="1" w:right="540"/>
        <w:spacing w:after="0" w:line="272" w:lineRule="auto"/>
        <w:rPr>
          <w:sz w:val="20"/>
          <w:szCs w:val="20"/>
          <w:color w:val="auto"/>
        </w:rPr>
      </w:pPr>
      <w:r>
        <w:rPr>
          <w:rFonts w:ascii="Arial" w:cs="Arial" w:eastAsia="Arial" w:hAnsi="Arial"/>
          <w:sz w:val="20"/>
          <w:szCs w:val="20"/>
          <w:color w:val="2A2A2A"/>
        </w:rPr>
        <w:t>[had] a due-diligence obligation to make sure they were not destined for a prohibited end user, or to be used in prohibited end use.”</w:t>
      </w:r>
      <w:r>
        <w:rPr>
          <w:rFonts w:ascii="Arial" w:cs="Arial" w:eastAsia="Arial" w:hAnsi="Arial"/>
          <w:sz w:val="26"/>
          <w:szCs w:val="26"/>
          <w:color w:val="2A2A2A"/>
          <w:vertAlign w:val="superscript"/>
        </w:rPr>
        <w:t>1</w:t>
      </w:r>
    </w:p>
    <w:p>
      <w:pPr>
        <w:spacing w:after="0" w:line="121" w:lineRule="exact"/>
        <w:rPr>
          <w:sz w:val="20"/>
          <w:szCs w:val="20"/>
          <w:color w:val="auto"/>
        </w:rPr>
      </w:pPr>
    </w:p>
    <w:p>
      <w:pPr>
        <w:ind w:left="1" w:right="680"/>
        <w:spacing w:after="0" w:line="272" w:lineRule="auto"/>
        <w:rPr>
          <w:sz w:val="20"/>
          <w:szCs w:val="20"/>
          <w:color w:val="auto"/>
        </w:rPr>
      </w:pPr>
      <w:r>
        <w:rPr>
          <w:rFonts w:ascii="Arial" w:cs="Arial" w:eastAsia="Arial" w:hAnsi="Arial"/>
          <w:sz w:val="20"/>
          <w:szCs w:val="20"/>
          <w:color w:val="2A2A2A"/>
        </w:rPr>
        <w:t>Trade data indicates Tl's monthly average of products imported into Russia has increased by 142% since the invasion began,</w:t>
      </w:r>
      <w:r>
        <w:rPr>
          <w:rFonts w:ascii="Arial" w:cs="Arial" w:eastAsia="Arial" w:hAnsi="Arial"/>
          <w:sz w:val="26"/>
          <w:szCs w:val="26"/>
          <w:color w:val="2A2A2A"/>
          <w:vertAlign w:val="superscript"/>
        </w:rPr>
        <w:t>2</w:t>
      </w:r>
      <w:r>
        <w:rPr>
          <w:rFonts w:ascii="Arial" w:cs="Arial" w:eastAsia="Arial" w:hAnsi="Arial"/>
          <w:sz w:val="20"/>
          <w:szCs w:val="20"/>
          <w:color w:val="2A2A2A"/>
        </w:rPr>
        <w:t xml:space="preserve"> often through intermediaries in China.</w:t>
      </w:r>
      <w:r>
        <w:rPr>
          <w:rFonts w:ascii="Arial" w:cs="Arial" w:eastAsia="Arial" w:hAnsi="Arial"/>
          <w:sz w:val="26"/>
          <w:szCs w:val="26"/>
          <w:color w:val="2A2A2A"/>
          <w:vertAlign w:val="superscript"/>
        </w:rPr>
        <w:t>3</w:t>
      </w:r>
    </w:p>
    <w:p>
      <w:pPr>
        <w:spacing w:after="0" w:line="121" w:lineRule="exact"/>
        <w:rPr>
          <w:sz w:val="20"/>
          <w:szCs w:val="20"/>
          <w:color w:val="auto"/>
        </w:rPr>
      </w:pPr>
    </w:p>
    <w:p>
      <w:pPr>
        <w:ind w:left="1" w:right="40"/>
        <w:spacing w:after="0" w:line="223" w:lineRule="auto"/>
        <w:rPr>
          <w:sz w:val="20"/>
          <w:szCs w:val="20"/>
          <w:color w:val="auto"/>
        </w:rPr>
      </w:pPr>
      <w:r>
        <w:rPr>
          <w:rFonts w:ascii="Arial" w:cs="Arial" w:eastAsia="Arial" w:hAnsi="Arial"/>
          <w:sz w:val="20"/>
          <w:szCs w:val="20"/>
          <w:color w:val="2A2A2A"/>
        </w:rPr>
        <w:t>The United States has imposed numerous sanctions and trade controls against Russia and state-owned businesses</w:t>
      </w:r>
      <w:r>
        <w:rPr>
          <w:rFonts w:ascii="Arial" w:cs="Arial" w:eastAsia="Arial" w:hAnsi="Arial"/>
          <w:sz w:val="26"/>
          <w:szCs w:val="26"/>
          <w:color w:val="2A2A2A"/>
          <w:vertAlign w:val="superscript"/>
        </w:rPr>
        <w:t>4</w:t>
      </w:r>
      <w:r>
        <w:rPr>
          <w:rFonts w:ascii="Arial" w:cs="Arial" w:eastAsia="Arial" w:hAnsi="Arial"/>
          <w:sz w:val="20"/>
          <w:szCs w:val="20"/>
          <w:color w:val="2A2A2A"/>
        </w:rPr>
        <w:t xml:space="preserve"> focused on “choking off Russian imports of key technologies,” including by establishing a Disruptive Technologies Task Force </w:t>
      </w:r>
      <w:r>
        <w:rPr>
          <w:rFonts w:ascii="Arial" w:cs="Arial" w:eastAsia="Arial" w:hAnsi="Arial"/>
          <w:sz w:val="26"/>
          <w:szCs w:val="26"/>
          <w:color w:val="2A2A2A"/>
          <w:vertAlign w:val="superscript"/>
        </w:rPr>
        <w:t>5</w:t>
      </w:r>
      <w:r>
        <w:rPr>
          <w:rFonts w:ascii="Arial" w:cs="Arial" w:eastAsia="Arial" w:hAnsi="Arial"/>
          <w:sz w:val="20"/>
          <w:szCs w:val="20"/>
          <w:color w:val="2A2A2A"/>
        </w:rPr>
        <w:t xml:space="preserve"> and sanctioning 130 entities in China, Turkey, and United Arab Emirates known to provide dual-use technologies to the Russian military.</w:t>
      </w:r>
      <w:r>
        <w:rPr>
          <w:rFonts w:ascii="Arial" w:cs="Arial" w:eastAsia="Arial" w:hAnsi="Arial"/>
          <w:sz w:val="26"/>
          <w:szCs w:val="26"/>
          <w:color w:val="2A2A2A"/>
          <w:vertAlign w:val="superscript"/>
        </w:rPr>
        <w:t>6</w:t>
      </w:r>
    </w:p>
    <w:p>
      <w:pPr>
        <w:spacing w:after="0" w:line="153" w:lineRule="exact"/>
        <w:rPr>
          <w:sz w:val="20"/>
          <w:szCs w:val="20"/>
          <w:color w:val="auto"/>
        </w:rPr>
      </w:pPr>
    </w:p>
    <w:p>
      <w:pPr>
        <w:ind w:left="1" w:right="320"/>
        <w:spacing w:after="0" w:line="231" w:lineRule="auto"/>
        <w:rPr>
          <w:sz w:val="20"/>
          <w:szCs w:val="20"/>
          <w:color w:val="auto"/>
        </w:rPr>
      </w:pPr>
      <w:r>
        <w:rPr>
          <w:rFonts w:ascii="Arial" w:cs="Arial" w:eastAsia="Arial" w:hAnsi="Arial"/>
          <w:sz w:val="20"/>
          <w:szCs w:val="20"/>
          <w:color w:val="2A2A2A"/>
        </w:rPr>
        <w:t xml:space="preserve">Multilateral organizations, states, and accounting bodies are passing legislation on mandatory human rights due diligence (HRDD) </w:t>
      </w:r>
      <w:r>
        <w:rPr>
          <w:rFonts w:ascii="Arial" w:cs="Arial" w:eastAsia="Arial" w:hAnsi="Arial"/>
          <w:sz w:val="26"/>
          <w:szCs w:val="26"/>
          <w:color w:val="2A2A2A"/>
          <w:vertAlign w:val="superscript"/>
        </w:rPr>
        <w:t>7</w:t>
      </w:r>
      <w:r>
        <w:rPr>
          <w:rFonts w:ascii="Arial" w:cs="Arial" w:eastAsia="Arial" w:hAnsi="Arial"/>
          <w:sz w:val="20"/>
          <w:szCs w:val="20"/>
          <w:color w:val="2A2A2A"/>
        </w:rPr>
        <w:t xml:space="preserve"> and sustainable investment reporting in the EU</w:t>
      </w:r>
      <w:r>
        <w:rPr>
          <w:rFonts w:ascii="Arial" w:cs="Arial" w:eastAsia="Arial" w:hAnsi="Arial"/>
          <w:sz w:val="26"/>
          <w:szCs w:val="26"/>
          <w:color w:val="2A2A2A"/>
          <w:vertAlign w:val="superscript"/>
        </w:rPr>
        <w:t>8</w:t>
      </w:r>
      <w:r>
        <w:rPr>
          <w:rFonts w:ascii="Arial" w:cs="Arial" w:eastAsia="Arial" w:hAnsi="Arial"/>
          <w:sz w:val="20"/>
          <w:szCs w:val="20"/>
          <w:color w:val="2A2A2A"/>
        </w:rPr>
        <w:t xml:space="preserve"> and calling on companies to report on human rights and conflict as material risks.</w:t>
      </w:r>
      <w:r>
        <w:rPr>
          <w:rFonts w:ascii="Arial" w:cs="Arial" w:eastAsia="Arial" w:hAnsi="Arial"/>
          <w:sz w:val="26"/>
          <w:szCs w:val="26"/>
          <w:color w:val="2A2A2A"/>
          <w:vertAlign w:val="superscript"/>
        </w:rPr>
        <w:t>9</w:t>
      </w:r>
      <w:r>
        <w:rPr>
          <w:rFonts w:ascii="Arial" w:cs="Arial" w:eastAsia="Arial" w:hAnsi="Arial"/>
          <w:sz w:val="20"/>
          <w:szCs w:val="20"/>
          <w:color w:val="2A2A2A"/>
        </w:rPr>
        <w:t xml:space="preserve"> These advancing legal frameworks and normative standards could expose companies to legal liability for failing to address and report on Russia/Ukraine risks. Similarly, the UN Guiding Principles on Business and Human Rights (UNGPs) call on companies to conduct heightened HRDD in conflict-affected areas due to the acute nature of risks in these contexts.</w:t>
      </w:r>
    </w:p>
    <w:p>
      <w:pPr>
        <w:spacing w:after="0" w:line="219" w:lineRule="exact"/>
        <w:rPr>
          <w:sz w:val="20"/>
          <w:szCs w:val="20"/>
          <w:color w:val="auto"/>
        </w:rPr>
      </w:pPr>
    </w:p>
    <w:p>
      <w:pPr>
        <w:ind w:left="1" w:right="100"/>
        <w:spacing w:after="0" w:line="258" w:lineRule="auto"/>
        <w:rPr>
          <w:sz w:val="20"/>
          <w:szCs w:val="20"/>
          <w:color w:val="auto"/>
        </w:rPr>
      </w:pPr>
      <w:r>
        <w:rPr>
          <w:rFonts w:ascii="Arial" w:cs="Arial" w:eastAsia="Arial" w:hAnsi="Arial"/>
          <w:sz w:val="20"/>
          <w:szCs w:val="20"/>
          <w:color w:val="2A2A2A"/>
        </w:rPr>
        <w:t>The misuse of TI’s products during Russia’s ongoing war against Ukraine may result in heightened human rights and financially material risks through potential exposure to sanctioned parties in the company’s value chain, potential violations of emerging EU regulations and the UNGPs, and reputational damage associated with proximity to the commission of Russian war crimes.</w:t>
      </w:r>
      <w:r>
        <w:rPr>
          <w:rFonts w:ascii="Arial" w:cs="Arial" w:eastAsia="Arial" w:hAnsi="Arial"/>
          <w:sz w:val="26"/>
          <w:szCs w:val="26"/>
          <w:color w:val="2A2A2A"/>
          <w:vertAlign w:val="superscript"/>
        </w:rPr>
        <w:t>10</w:t>
      </w:r>
    </w:p>
    <w:p>
      <w:pPr>
        <w:spacing w:after="0" w:line="137" w:lineRule="exact"/>
        <w:rPr>
          <w:sz w:val="20"/>
          <w:szCs w:val="20"/>
          <w:color w:val="auto"/>
        </w:rPr>
      </w:pPr>
    </w:p>
    <w:p>
      <w:pPr>
        <w:jc w:val="both"/>
        <w:ind w:left="1"/>
        <w:spacing w:after="0" w:line="234" w:lineRule="auto"/>
        <w:rPr>
          <w:sz w:val="20"/>
          <w:szCs w:val="20"/>
          <w:color w:val="auto"/>
        </w:rPr>
      </w:pPr>
      <w:r>
        <w:rPr>
          <w:rFonts w:ascii="Arial" w:cs="Arial" w:eastAsia="Arial" w:hAnsi="Arial"/>
          <w:sz w:val="20"/>
          <w:szCs w:val="20"/>
          <w:color w:val="2A2A2A"/>
        </w:rPr>
        <w:t>TI lags behind industry peers’ measures to mitigate these risks, including Qualcomm’s Human Rights Working Group, human rights Impact assessments, and identification of “product misuse” as a salient risk</w:t>
      </w:r>
      <w:r>
        <w:rPr>
          <w:rFonts w:ascii="Arial" w:cs="Arial" w:eastAsia="Arial" w:hAnsi="Arial"/>
          <w:sz w:val="26"/>
          <w:szCs w:val="26"/>
          <w:color w:val="2A2A2A"/>
          <w:vertAlign w:val="superscript"/>
        </w:rPr>
        <w:t>11</w:t>
      </w:r>
      <w:r>
        <w:rPr>
          <w:rFonts w:ascii="Arial" w:cs="Arial" w:eastAsia="Arial" w:hAnsi="Arial"/>
          <w:sz w:val="20"/>
          <w:szCs w:val="20"/>
          <w:color w:val="2A2A2A"/>
        </w:rPr>
        <w:t xml:space="preserve"> and Intel’s human rights steering committee and customer screening based on human rights risks.</w:t>
      </w:r>
      <w:r>
        <w:rPr>
          <w:rFonts w:ascii="Arial" w:cs="Arial" w:eastAsia="Arial" w:hAnsi="Arial"/>
          <w:sz w:val="26"/>
          <w:szCs w:val="26"/>
          <w:color w:val="2A2A2A"/>
          <w:vertAlign w:val="superscript"/>
        </w:rPr>
        <w:t>12</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404040"/>
        </w:rPr>
        <w:t>S</w:t>
      </w:r>
      <w:r>
        <w:rPr>
          <w:rFonts w:ascii="Arial" w:cs="Arial" w:eastAsia="Arial" w:hAnsi="Arial"/>
          <w:sz w:val="20"/>
          <w:szCs w:val="20"/>
          <w:color w:val="2A2A2A"/>
        </w:rPr>
        <w:t>UPPORTING STATEMENT</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Shareholders seek information, at board and management discretion, through a report that describes Tl’s:</w:t>
      </w:r>
    </w:p>
    <w:p>
      <w:pPr>
        <w:spacing w:after="0" w:line="250" w:lineRule="exact"/>
        <w:rPr>
          <w:sz w:val="20"/>
          <w:szCs w:val="20"/>
          <w:color w:val="auto"/>
        </w:rPr>
      </w:pPr>
    </w:p>
    <w:p>
      <w:pPr>
        <w:ind w:left="721" w:right="240" w:hanging="361"/>
        <w:spacing w:after="0" w:line="271" w:lineRule="auto"/>
        <w:tabs>
          <w:tab w:leader="none" w:pos="721" w:val="left"/>
        </w:tabs>
        <w:numPr>
          <w:ilvl w:val="0"/>
          <w:numId w:val="143"/>
        </w:numPr>
        <w:rPr>
          <w:rFonts w:ascii="Arial" w:cs="Arial" w:eastAsia="Arial" w:hAnsi="Arial"/>
          <w:sz w:val="20"/>
          <w:szCs w:val="20"/>
          <w:color w:val="2A2A2A"/>
        </w:rPr>
      </w:pPr>
      <w:r>
        <w:rPr>
          <w:rFonts w:ascii="Arial" w:cs="Arial" w:eastAsia="Arial" w:hAnsi="Arial"/>
          <w:sz w:val="20"/>
          <w:szCs w:val="20"/>
          <w:color w:val="2A2A2A"/>
        </w:rPr>
        <w:t>Due diligence process to prevent access by prohibited users or for prohibited uses in conflict-affected and high-risk areas (CAHRA), including Russia;</w:t>
      </w:r>
    </w:p>
    <w:p>
      <w:pPr>
        <w:ind w:left="721" w:hanging="361"/>
        <w:spacing w:after="0"/>
        <w:tabs>
          <w:tab w:leader="none" w:pos="721" w:val="left"/>
        </w:tabs>
        <w:numPr>
          <w:ilvl w:val="0"/>
          <w:numId w:val="143"/>
        </w:numPr>
        <w:rPr>
          <w:rFonts w:ascii="Arial" w:cs="Arial" w:eastAsia="Arial" w:hAnsi="Arial"/>
          <w:sz w:val="20"/>
          <w:szCs w:val="20"/>
          <w:color w:val="2A2A2A"/>
        </w:rPr>
      </w:pPr>
      <w:r>
        <w:rPr>
          <w:rFonts w:ascii="Arial" w:cs="Arial" w:eastAsia="Arial" w:hAnsi="Arial"/>
          <w:sz w:val="20"/>
          <w:szCs w:val="20"/>
          <w:color w:val="2A2A2A"/>
        </w:rPr>
        <w:t>Board’s role in overseeing the management of risks in CAHRA;</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143"/>
        </w:numPr>
        <w:rPr>
          <w:rFonts w:ascii="Arial" w:cs="Arial" w:eastAsia="Arial" w:hAnsi="Arial"/>
          <w:sz w:val="20"/>
          <w:szCs w:val="20"/>
          <w:color w:val="2A2A2A"/>
        </w:rPr>
      </w:pPr>
      <w:r>
        <w:rPr>
          <w:rFonts w:ascii="Arial" w:cs="Arial" w:eastAsia="Arial" w:hAnsi="Arial"/>
          <w:sz w:val="20"/>
          <w:szCs w:val="20"/>
          <w:color w:val="2A2A2A"/>
        </w:rPr>
        <w:t>Assessment of material risks to shareholder value posed by product misuse; and</w:t>
      </w:r>
    </w:p>
    <w:p>
      <w:pPr>
        <w:spacing w:after="0" w:line="70" w:lineRule="exact"/>
        <w:rPr>
          <w:rFonts w:ascii="Arial" w:cs="Arial" w:eastAsia="Arial" w:hAnsi="Arial"/>
          <w:sz w:val="20"/>
          <w:szCs w:val="20"/>
          <w:color w:val="2A2A2A"/>
        </w:rPr>
      </w:pPr>
    </w:p>
    <w:p>
      <w:pPr>
        <w:ind w:left="721" w:hanging="361"/>
        <w:spacing w:after="0"/>
        <w:tabs>
          <w:tab w:leader="none" w:pos="721" w:val="left"/>
        </w:tabs>
        <w:numPr>
          <w:ilvl w:val="0"/>
          <w:numId w:val="143"/>
        </w:numPr>
        <w:rPr>
          <w:rFonts w:ascii="Arial" w:cs="Arial" w:eastAsia="Arial" w:hAnsi="Arial"/>
          <w:sz w:val="20"/>
          <w:szCs w:val="20"/>
          <w:color w:val="2A2A2A"/>
        </w:rPr>
      </w:pPr>
      <w:r>
        <w:rPr>
          <w:rFonts w:ascii="Arial" w:cs="Arial" w:eastAsia="Arial" w:hAnsi="Arial"/>
          <w:sz w:val="20"/>
          <w:szCs w:val="20"/>
          <w:color w:val="2A2A2A"/>
        </w:rPr>
        <w:t>Assessment of additional policies, practices, and governance measures needed to mitigate identified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772160</wp:posOffset>
            </wp:positionV>
            <wp:extent cx="2540000"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400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1" w:hanging="121"/>
        <w:spacing w:after="0"/>
        <w:tabs>
          <w:tab w:leader="none" w:pos="12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https://static.rusi.org/RUSI-Silicon-Lifeline-final-updated-web_1.pdf</w:t>
      </w:r>
    </w:p>
    <w:p>
      <w:pPr>
        <w:ind w:left="121" w:hanging="121"/>
        <w:spacing w:after="0" w:line="192" w:lineRule="auto"/>
        <w:tabs>
          <w:tab w:leader="none" w:pos="12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https://www.exportgenius.in</w:t>
      </w:r>
    </w:p>
    <w:p>
      <w:pPr>
        <w:ind w:left="121" w:hanging="121"/>
        <w:spacing w:after="0" w:line="192" w:lineRule="auto"/>
        <w:tabs>
          <w:tab w:leader="none" w:pos="12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https://carnegieendowment.org/2023/05/17/hong-kong-s-technology-lifeline-to-russia-pub-89775</w:t>
      </w:r>
    </w:p>
    <w:p>
      <w:pPr>
        <w:ind w:left="121" w:hanging="121"/>
        <w:spacing w:after="0" w:line="192" w:lineRule="auto"/>
        <w:tabs>
          <w:tab w:leader="none" w:pos="12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https://www.state.gov/holding-russia-and-belarus-to-account/</w:t>
      </w:r>
    </w:p>
    <w:p>
      <w:pPr>
        <w:ind w:left="1" w:right="300" w:hanging="1"/>
        <w:spacing w:after="0" w:line="217" w:lineRule="auto"/>
        <w:tabs>
          <w:tab w:leader="none" w:pos="128"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https://subscriber.politicopro.com/article/2023/05/new-biden-task-force-unveils-crackdown-on-theft-of-restricted-tech-00097168</w:t>
      </w:r>
    </w:p>
    <w:p>
      <w:pPr>
        <w:spacing w:after="0" w:line="1" w:lineRule="exact"/>
        <w:rPr>
          <w:rFonts w:ascii="Arial" w:cs="Arial" w:eastAsia="Arial" w:hAnsi="Arial"/>
          <w:sz w:val="26"/>
          <w:szCs w:val="26"/>
          <w:color w:val="2A2A2A"/>
          <w:vertAlign w:val="superscript"/>
        </w:rPr>
      </w:pPr>
    </w:p>
    <w:p>
      <w:pPr>
        <w:ind w:left="121" w:hanging="121"/>
        <w:spacing w:after="0" w:line="192" w:lineRule="auto"/>
        <w:tabs>
          <w:tab w:leader="none" w:pos="12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https://home.treasury.gov/news/press-releases/jy1871</w:t>
      </w:r>
    </w:p>
    <w:p>
      <w:pPr>
        <w:ind w:left="1" w:right="1080" w:hanging="1"/>
        <w:spacing w:after="0" w:line="217" w:lineRule="auto"/>
        <w:tabs>
          <w:tab w:leader="none" w:pos="128"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https://commission.europa.eu/business-economy-euro/doing-business-eu/corporate-sustainability-due-diligence_en</w:t>
      </w:r>
    </w:p>
    <w:p>
      <w:pPr>
        <w:spacing w:after="0" w:line="1" w:lineRule="exact"/>
        <w:rPr>
          <w:rFonts w:ascii="Arial" w:cs="Arial" w:eastAsia="Arial" w:hAnsi="Arial"/>
          <w:sz w:val="26"/>
          <w:szCs w:val="26"/>
          <w:color w:val="2A2A2A"/>
          <w:vertAlign w:val="superscript"/>
        </w:rPr>
      </w:pPr>
    </w:p>
    <w:p>
      <w:pPr>
        <w:ind w:left="1" w:right="340" w:hanging="1"/>
        <w:spacing w:after="0" w:line="217" w:lineRule="auto"/>
        <w:tabs>
          <w:tab w:leader="none" w:pos="128"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https://finance.ec.europa.eu/sustainable-finance/disclosures/sustainability-related-disclosure-financial-services-sector_en</w:t>
      </w:r>
    </w:p>
    <w:p>
      <w:pPr>
        <w:spacing w:after="0" w:line="1" w:lineRule="exact"/>
        <w:rPr>
          <w:rFonts w:ascii="Arial" w:cs="Arial" w:eastAsia="Arial" w:hAnsi="Arial"/>
          <w:sz w:val="26"/>
          <w:szCs w:val="26"/>
          <w:color w:val="2A2A2A"/>
          <w:vertAlign w:val="superscript"/>
        </w:rPr>
      </w:pPr>
    </w:p>
    <w:p>
      <w:pPr>
        <w:ind w:left="1" w:right="1120" w:hanging="1"/>
        <w:spacing w:after="0" w:line="217" w:lineRule="auto"/>
        <w:tabs>
          <w:tab w:leader="none" w:pos="128"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http://www.entegreraporlamatr.org/tr/mailing/25122020/images/Reporting-on-enterprise-value_climate-prototype_Dec20.pdf</w:t>
      </w:r>
    </w:p>
    <w:p>
      <w:pPr>
        <w:spacing w:after="0" w:line="1" w:lineRule="exact"/>
        <w:rPr>
          <w:rFonts w:ascii="Arial" w:cs="Arial" w:eastAsia="Arial" w:hAnsi="Arial"/>
          <w:sz w:val="26"/>
          <w:szCs w:val="26"/>
          <w:color w:val="2A2A2A"/>
          <w:vertAlign w:val="superscript"/>
        </w:rPr>
      </w:pPr>
    </w:p>
    <w:p>
      <w:pPr>
        <w:ind w:left="201" w:hanging="201"/>
        <w:spacing w:after="0" w:line="192" w:lineRule="auto"/>
        <w:tabs>
          <w:tab w:leader="none" w:pos="20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https://www.pbs.org/newshour/show/parts-made-by-u-s-companies-used-to-build-russian-cruise-missiles</w:t>
      </w:r>
    </w:p>
    <w:p>
      <w:pPr>
        <w:ind w:left="1" w:right="700" w:hanging="1"/>
        <w:spacing w:after="0" w:line="227" w:lineRule="auto"/>
        <w:tabs>
          <w:tab w:leader="none" w:pos="191" w:val="left"/>
        </w:tabs>
        <w:numPr>
          <w:ilvl w:val="0"/>
          <w:numId w:val="144"/>
        </w:numPr>
        <w:rPr>
          <w:rFonts w:ascii="Arial" w:cs="Arial" w:eastAsia="Arial" w:hAnsi="Arial"/>
          <w:sz w:val="25"/>
          <w:szCs w:val="25"/>
          <w:color w:val="2A2A2A"/>
          <w:vertAlign w:val="superscript"/>
        </w:rPr>
      </w:pPr>
      <w:r>
        <w:rPr>
          <w:rFonts w:ascii="Arial" w:cs="Arial" w:eastAsia="Arial" w:hAnsi="Arial"/>
          <w:sz w:val="19"/>
          <w:szCs w:val="19"/>
          <w:color w:val="2A2A2A"/>
        </w:rPr>
        <w:t>https://www.qualcomm.com/company/corporate-responsibllity/acting-responsibly/human-rights#:~:text=We %20also%20conduct%20regular%20materiality,and%20pay%20%20and%20product%20misuse</w:t>
      </w:r>
    </w:p>
    <w:p>
      <w:pPr>
        <w:spacing w:after="0" w:line="1" w:lineRule="exact"/>
        <w:rPr>
          <w:rFonts w:ascii="Arial" w:cs="Arial" w:eastAsia="Arial" w:hAnsi="Arial"/>
          <w:sz w:val="25"/>
          <w:szCs w:val="25"/>
          <w:color w:val="2A2A2A"/>
          <w:vertAlign w:val="superscript"/>
        </w:rPr>
      </w:pPr>
    </w:p>
    <w:p>
      <w:pPr>
        <w:ind w:left="201" w:hanging="201"/>
        <w:spacing w:after="0" w:line="196" w:lineRule="auto"/>
        <w:tabs>
          <w:tab w:leader="none" w:pos="201" w:val="left"/>
        </w:tabs>
        <w:numPr>
          <w:ilvl w:val="0"/>
          <w:numId w:val="144"/>
        </w:numPr>
        <w:rPr>
          <w:rFonts w:ascii="Arial" w:cs="Arial" w:eastAsia="Arial" w:hAnsi="Arial"/>
          <w:sz w:val="26"/>
          <w:szCs w:val="26"/>
          <w:color w:val="2A2A2A"/>
          <w:vertAlign w:val="superscript"/>
        </w:rPr>
      </w:pPr>
      <w:r>
        <w:rPr>
          <w:rFonts w:ascii="Arial" w:cs="Arial" w:eastAsia="Arial" w:hAnsi="Arial"/>
          <w:sz w:val="20"/>
          <w:szCs w:val="20"/>
          <w:color w:val="2A2A2A"/>
        </w:rPr>
        <w:t>https://www.intel.com/content/www/us/en/policy/policy-human-rights.html</w:t>
      </w:r>
    </w:p>
    <w:p>
      <w:pPr>
        <w:sectPr>
          <w:pgSz w:w="12240" w:h="15840" w:orient="portrait"/>
          <w:cols w:equalWidth="0" w:num="1">
            <w:col w:w="10281"/>
          </w:cols>
          <w:pgMar w:left="979" w:top="664" w:right="980" w:bottom="33"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66</w:t>
      </w:r>
    </w:p>
    <w:p>
      <w:pPr>
        <w:sectPr>
          <w:pgSz w:w="12240" w:h="15840" w:orient="portrait"/>
          <w:cols w:equalWidth="0" w:num="1">
            <w:col w:w="10281"/>
          </w:cols>
          <w:pgMar w:left="979" w:top="664" w:right="980" w:bottom="33" w:gutter="0" w:footer="0" w:header="0"/>
          <w:type w:val="continuous"/>
        </w:sectPr>
      </w:pPr>
    </w:p>
    <w:bookmarkStart w:id="138" w:name="page139"/>
    <w:bookmarkEnd w:id="138"/>
    <w:p>
      <w:pPr>
        <w:ind w:left="1"/>
        <w:spacing w:after="0"/>
        <w:rPr>
          <w:sz w:val="20"/>
          <w:szCs w:val="20"/>
          <w:color w:val="auto"/>
        </w:rPr>
      </w:pPr>
      <w:r>
        <w:rPr>
          <w:rFonts w:ascii="Arial" w:cs="Arial" w:eastAsia="Arial" w:hAnsi="Arial"/>
          <w:sz w:val="22"/>
          <w:szCs w:val="22"/>
          <w:u w:val="single" w:color="auto"/>
          <w:color w:val="2B2B2B"/>
        </w:rPr>
        <w:t xml:space="preserve">Board of directors’ </w:t>
      </w:r>
      <w:r>
        <w:rPr>
          <w:rFonts w:ascii="Arial" w:cs="Arial" w:eastAsia="Arial" w:hAnsi="Arial"/>
          <w:sz w:val="22"/>
          <w:szCs w:val="22"/>
          <w:u w:val="single" w:color="auto"/>
          <w:color w:val="2A2A2A"/>
        </w:rPr>
        <w:t>response</w:t>
      </w:r>
    </w:p>
    <w:p>
      <w:pPr>
        <w:spacing w:after="0" w:line="257" w:lineRule="exact"/>
        <w:rPr>
          <w:sz w:val="20"/>
          <w:szCs w:val="20"/>
          <w:color w:val="auto"/>
        </w:rPr>
      </w:pPr>
    </w:p>
    <w:p>
      <w:pPr>
        <w:ind w:left="1" w:right="560"/>
        <w:spacing w:after="0" w:line="273" w:lineRule="auto"/>
        <w:rPr>
          <w:sz w:val="20"/>
          <w:szCs w:val="20"/>
          <w:color w:val="auto"/>
        </w:rPr>
      </w:pPr>
      <w:r>
        <w:rPr>
          <w:rFonts w:ascii="Arial" w:cs="Arial" w:eastAsia="Arial" w:hAnsi="Arial"/>
          <w:sz w:val="20"/>
          <w:szCs w:val="20"/>
          <w:b w:val="1"/>
          <w:bCs w:val="1"/>
          <w:color w:val="2A2A2A"/>
        </w:rPr>
        <w:t>Given the significant time and resources the company invests in combatting illicit diversion and the improper use of its products, the board of directors believes this proposal to commission a third-party report is unnecessary.</w:t>
      </w:r>
    </w:p>
    <w:p>
      <w:pPr>
        <w:spacing w:after="0" w:line="175" w:lineRule="exact"/>
        <w:rPr>
          <w:sz w:val="20"/>
          <w:szCs w:val="20"/>
          <w:color w:val="auto"/>
        </w:rPr>
      </w:pPr>
    </w:p>
    <w:p>
      <w:pPr>
        <w:ind w:left="1" w:right="120"/>
        <w:spacing w:after="0" w:line="262" w:lineRule="auto"/>
        <w:rPr>
          <w:sz w:val="20"/>
          <w:szCs w:val="20"/>
          <w:color w:val="auto"/>
        </w:rPr>
      </w:pPr>
      <w:r>
        <w:rPr>
          <w:rFonts w:ascii="Arial" w:cs="Arial" w:eastAsia="Arial" w:hAnsi="Arial"/>
          <w:sz w:val="20"/>
          <w:szCs w:val="20"/>
          <w:color w:val="2A2A2A"/>
        </w:rPr>
        <w:t>TI invests significant time and resources aimed at preventing the illicit diversion and improper or illegal use of its products. We strongly oppose the use of our semiconductors (chips) in Russian military equipment and the illicit diversion of our products to Russia. We stopped selling products into Russia in February of 2022. Any shipments of TI products into Russia are illicit and unauthorized.</w:t>
      </w:r>
    </w:p>
    <w:p>
      <w:pPr>
        <w:spacing w:after="0" w:line="196" w:lineRule="exact"/>
        <w:rPr>
          <w:sz w:val="20"/>
          <w:szCs w:val="20"/>
          <w:color w:val="auto"/>
        </w:rPr>
      </w:pPr>
    </w:p>
    <w:p>
      <w:pPr>
        <w:ind w:left="1" w:right="380"/>
        <w:spacing w:after="0" w:line="268" w:lineRule="auto"/>
        <w:rPr>
          <w:sz w:val="20"/>
          <w:szCs w:val="20"/>
          <w:color w:val="auto"/>
        </w:rPr>
      </w:pPr>
      <w:r>
        <w:rPr>
          <w:rFonts w:ascii="Arial" w:cs="Arial" w:eastAsia="Arial" w:hAnsi="Arial"/>
          <w:sz w:val="20"/>
          <w:szCs w:val="20"/>
          <w:color w:val="2A2A2A"/>
        </w:rPr>
        <w:t>TI has a dedicated team that actively and carefully monitors the sale and shipment of our products as part of our robust global trade compliance program. This includes screening customer orders to keep our chips out of the hands of bad actors.</w:t>
      </w:r>
    </w:p>
    <w:p>
      <w:pPr>
        <w:spacing w:after="0" w:line="190"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2A2A2A"/>
        </w:rPr>
        <w:t>It is our policy to comply with export control laws; we also require our distributors and customers to comply with export control laws and take action if we learn that they do not. We also work with law enforcement and government agencies to support the effectiveness of export controls.</w:t>
      </w:r>
    </w:p>
    <w:p>
      <w:pPr>
        <w:spacing w:after="0" w:line="190" w:lineRule="exact"/>
        <w:rPr>
          <w:sz w:val="20"/>
          <w:szCs w:val="20"/>
          <w:color w:val="auto"/>
        </w:rPr>
      </w:pPr>
    </w:p>
    <w:p>
      <w:pPr>
        <w:ind w:left="1" w:firstLine="44"/>
        <w:spacing w:after="0" w:line="259" w:lineRule="auto"/>
        <w:rPr>
          <w:sz w:val="20"/>
          <w:szCs w:val="20"/>
          <w:color w:val="auto"/>
        </w:rPr>
      </w:pPr>
      <w:r>
        <w:rPr>
          <w:rFonts w:ascii="Arial" w:cs="Arial" w:eastAsia="Arial" w:hAnsi="Arial"/>
          <w:sz w:val="20"/>
          <w:szCs w:val="20"/>
          <w:color w:val="2A2A2A"/>
        </w:rPr>
        <w:t>Analyzing and addressing the challenges associated with the nature of the semiconductor industry and supply chain are key components of TI’s global trade compliance program. Our compliance professionals, leadership and board are best situated to assess and manage these challenges. Our experience has shown that a detailed, industry-specific process, such as our global trade compliance program, is the most effective way to address these challenges. The proposal would interfere with and micromanage our vigorous, ongoing efforts.</w:t>
      </w:r>
    </w:p>
    <w:p>
      <w:pPr>
        <w:spacing w:after="0" w:line="199" w:lineRule="exact"/>
        <w:rPr>
          <w:sz w:val="20"/>
          <w:szCs w:val="20"/>
          <w:color w:val="auto"/>
        </w:rPr>
      </w:pPr>
    </w:p>
    <w:p>
      <w:pPr>
        <w:ind w:left="1" w:right="880"/>
        <w:spacing w:after="0" w:line="297" w:lineRule="auto"/>
        <w:rPr>
          <w:sz w:val="20"/>
          <w:szCs w:val="20"/>
          <w:color w:val="auto"/>
        </w:rPr>
      </w:pPr>
      <w:r>
        <w:rPr>
          <w:rFonts w:ascii="Arial" w:cs="Arial" w:eastAsia="Arial" w:hAnsi="Arial"/>
          <w:sz w:val="20"/>
          <w:szCs w:val="20"/>
          <w:b w:val="1"/>
          <w:bCs w:val="1"/>
          <w:color w:val="2A2A2A"/>
        </w:rPr>
        <w:t>The company invests significant time and resources combatting illicit diversion and preventing the improper or illegal use of its products.</w:t>
      </w:r>
    </w:p>
    <w:p>
      <w:pPr>
        <w:spacing w:after="0" w:line="151" w:lineRule="exact"/>
        <w:rPr>
          <w:sz w:val="20"/>
          <w:szCs w:val="20"/>
          <w:color w:val="auto"/>
        </w:rPr>
      </w:pPr>
    </w:p>
    <w:p>
      <w:pPr>
        <w:ind w:left="1" w:right="40"/>
        <w:spacing w:after="0" w:line="262" w:lineRule="auto"/>
        <w:rPr>
          <w:sz w:val="20"/>
          <w:szCs w:val="20"/>
          <w:color w:val="auto"/>
        </w:rPr>
      </w:pPr>
      <w:r>
        <w:rPr>
          <w:rFonts w:ascii="Arial" w:cs="Arial" w:eastAsia="Arial" w:hAnsi="Arial"/>
          <w:sz w:val="20"/>
          <w:szCs w:val="20"/>
          <w:color w:val="2A2A2A"/>
        </w:rPr>
        <w:t>TI has policies and practices in place to address the proposal’s primary objective—to keep our products out of the hands of bad actors who seek to evade applicable laws and misuse our products for illicit and unauthorized uses. To address this challenge, we have a robust global trade compliance program, which includes customer due diligence. The company’s compliance program is overseen by the audit committee of the board of directors.</w:t>
      </w:r>
    </w:p>
    <w:p>
      <w:pPr>
        <w:spacing w:after="0" w:line="196" w:lineRule="exact"/>
        <w:rPr>
          <w:sz w:val="20"/>
          <w:szCs w:val="20"/>
          <w:color w:val="auto"/>
        </w:rPr>
      </w:pPr>
    </w:p>
    <w:p>
      <w:pPr>
        <w:ind w:left="1" w:right="60"/>
        <w:spacing w:after="0" w:line="268" w:lineRule="auto"/>
        <w:rPr>
          <w:sz w:val="20"/>
          <w:szCs w:val="20"/>
          <w:color w:val="auto"/>
        </w:rPr>
      </w:pPr>
      <w:r>
        <w:rPr>
          <w:rFonts w:ascii="Arial" w:cs="Arial" w:eastAsia="Arial" w:hAnsi="Arial"/>
          <w:sz w:val="20"/>
          <w:szCs w:val="20"/>
          <w:color w:val="2A2A2A"/>
        </w:rPr>
        <w:t>Building, implementing and operating a global trade compliance program to address sanctions and export controls involves a complex, detailed, industry-specific process. The global trade compliance team implements this program. Their key responsibilities include:</w:t>
      </w:r>
    </w:p>
    <w:p>
      <w:pPr>
        <w:spacing w:after="0" w:line="190" w:lineRule="exact"/>
        <w:rPr>
          <w:sz w:val="20"/>
          <w:szCs w:val="20"/>
          <w:color w:val="auto"/>
        </w:rPr>
      </w:pPr>
    </w:p>
    <w:p>
      <w:pPr>
        <w:ind w:left="721" w:right="80" w:hanging="361"/>
        <w:spacing w:after="0" w:line="281" w:lineRule="auto"/>
        <w:tabs>
          <w:tab w:leader="none" w:pos="721" w:val="left"/>
        </w:tabs>
        <w:numPr>
          <w:ilvl w:val="0"/>
          <w:numId w:val="145"/>
        </w:numPr>
        <w:rPr>
          <w:rFonts w:ascii="Arial" w:cs="Arial" w:eastAsia="Arial" w:hAnsi="Arial"/>
          <w:sz w:val="20"/>
          <w:szCs w:val="20"/>
          <w:color w:val="2A2A2A"/>
        </w:rPr>
      </w:pPr>
      <w:r>
        <w:rPr>
          <w:rFonts w:ascii="Arial" w:cs="Arial" w:eastAsia="Arial" w:hAnsi="Arial"/>
          <w:sz w:val="20"/>
          <w:szCs w:val="20"/>
          <w:color w:val="2A2A2A"/>
        </w:rPr>
        <w:t>performing customer due diligence, including real-time screening of multiple millions of orders each year for compliance with restricted and sanctioned-party lists;</w:t>
      </w:r>
    </w:p>
    <w:p>
      <w:pPr>
        <w:spacing w:after="0" w:line="1" w:lineRule="exact"/>
        <w:rPr>
          <w:rFonts w:ascii="Arial" w:cs="Arial" w:eastAsia="Arial" w:hAnsi="Arial"/>
          <w:sz w:val="20"/>
          <w:szCs w:val="20"/>
          <w:color w:val="2A2A2A"/>
        </w:rPr>
      </w:pPr>
    </w:p>
    <w:p>
      <w:pPr>
        <w:ind w:left="721" w:hanging="361"/>
        <w:spacing w:after="0"/>
        <w:tabs>
          <w:tab w:leader="none" w:pos="721" w:val="left"/>
        </w:tabs>
        <w:numPr>
          <w:ilvl w:val="0"/>
          <w:numId w:val="145"/>
        </w:numPr>
        <w:rPr>
          <w:rFonts w:ascii="Arial" w:cs="Arial" w:eastAsia="Arial" w:hAnsi="Arial"/>
          <w:sz w:val="20"/>
          <w:szCs w:val="20"/>
          <w:color w:val="2A2A2A"/>
        </w:rPr>
      </w:pPr>
      <w:r>
        <w:rPr>
          <w:rFonts w:ascii="Arial" w:cs="Arial" w:eastAsia="Arial" w:hAnsi="Arial"/>
          <w:sz w:val="20"/>
          <w:szCs w:val="20"/>
          <w:color w:val="2A2A2A"/>
        </w:rPr>
        <w:t>identifying export and import classifications of our products and obtaining licenses as needed;</w:t>
      </w:r>
    </w:p>
    <w:p>
      <w:pPr>
        <w:spacing w:after="0" w:line="70" w:lineRule="exact"/>
        <w:rPr>
          <w:rFonts w:ascii="Arial" w:cs="Arial" w:eastAsia="Arial" w:hAnsi="Arial"/>
          <w:sz w:val="20"/>
          <w:szCs w:val="20"/>
          <w:color w:val="2A2A2A"/>
        </w:rPr>
      </w:pPr>
    </w:p>
    <w:p>
      <w:pPr>
        <w:ind w:left="721" w:right="140" w:hanging="361"/>
        <w:spacing w:after="0" w:line="281" w:lineRule="auto"/>
        <w:tabs>
          <w:tab w:leader="none" w:pos="721" w:val="left"/>
        </w:tabs>
        <w:numPr>
          <w:ilvl w:val="0"/>
          <w:numId w:val="145"/>
        </w:numPr>
        <w:rPr>
          <w:rFonts w:ascii="Arial" w:cs="Arial" w:eastAsia="Arial" w:hAnsi="Arial"/>
          <w:sz w:val="20"/>
          <w:szCs w:val="20"/>
          <w:color w:val="2A2A2A"/>
        </w:rPr>
      </w:pPr>
      <w:r>
        <w:rPr>
          <w:rFonts w:ascii="Arial" w:cs="Arial" w:eastAsia="Arial" w:hAnsi="Arial"/>
          <w:sz w:val="20"/>
          <w:szCs w:val="20"/>
          <w:color w:val="2A2A2A"/>
        </w:rPr>
        <w:t>engaging with regulatory agencies and law enforcement to support the effectiveness of export controls and sanctions; and</w:t>
      </w:r>
    </w:p>
    <w:p>
      <w:pPr>
        <w:spacing w:after="0" w:line="1" w:lineRule="exact"/>
        <w:rPr>
          <w:rFonts w:ascii="Arial" w:cs="Arial" w:eastAsia="Arial" w:hAnsi="Arial"/>
          <w:sz w:val="20"/>
          <w:szCs w:val="20"/>
          <w:color w:val="2A2A2A"/>
        </w:rPr>
      </w:pPr>
    </w:p>
    <w:p>
      <w:pPr>
        <w:ind w:left="721" w:right="120" w:hanging="361"/>
        <w:spacing w:after="0" w:line="287" w:lineRule="auto"/>
        <w:tabs>
          <w:tab w:leader="none" w:pos="721" w:val="left"/>
        </w:tabs>
        <w:numPr>
          <w:ilvl w:val="0"/>
          <w:numId w:val="145"/>
        </w:numPr>
        <w:rPr>
          <w:rFonts w:ascii="Arial" w:cs="Arial" w:eastAsia="Arial" w:hAnsi="Arial"/>
          <w:sz w:val="20"/>
          <w:szCs w:val="20"/>
          <w:color w:val="2A2A2A"/>
        </w:rPr>
      </w:pPr>
      <w:r>
        <w:rPr>
          <w:rFonts w:ascii="Arial" w:cs="Arial" w:eastAsia="Arial" w:hAnsi="Arial"/>
          <w:sz w:val="20"/>
          <w:szCs w:val="20"/>
          <w:color w:val="2A2A2A"/>
        </w:rPr>
        <w:t>continually assessing program evolutions and opportunities to better block the efforts of bad actors seeking to divert our chips to unauthorized parties or for unauthorized uses.</w:t>
      </w:r>
    </w:p>
    <w:p>
      <w:pPr>
        <w:spacing w:after="0" w:line="170" w:lineRule="exact"/>
        <w:rPr>
          <w:sz w:val="20"/>
          <w:szCs w:val="20"/>
          <w:color w:val="auto"/>
        </w:rPr>
      </w:pPr>
    </w:p>
    <w:p>
      <w:pPr>
        <w:ind w:left="1" w:right="260"/>
        <w:spacing w:after="0" w:line="297" w:lineRule="auto"/>
        <w:rPr>
          <w:sz w:val="20"/>
          <w:szCs w:val="20"/>
          <w:color w:val="auto"/>
        </w:rPr>
      </w:pPr>
      <w:r>
        <w:rPr>
          <w:rFonts w:ascii="Arial" w:cs="Arial" w:eastAsia="Arial" w:hAnsi="Arial"/>
          <w:sz w:val="20"/>
          <w:szCs w:val="20"/>
          <w:b w:val="1"/>
          <w:bCs w:val="1"/>
          <w:color w:val="2A2A2A"/>
        </w:rPr>
        <w:t>Our continued investment in keeping our products out of the hands of bad actors is important because of the challenges associated with the nature of the semiconductor industry.</w:t>
      </w:r>
    </w:p>
    <w:p>
      <w:pPr>
        <w:spacing w:after="0" w:line="151" w:lineRule="exact"/>
        <w:rPr>
          <w:sz w:val="20"/>
          <w:szCs w:val="20"/>
          <w:color w:val="auto"/>
        </w:rPr>
      </w:pPr>
    </w:p>
    <w:p>
      <w:pPr>
        <w:ind w:left="1" w:right="580"/>
        <w:spacing w:after="0" w:line="287" w:lineRule="auto"/>
        <w:rPr>
          <w:sz w:val="20"/>
          <w:szCs w:val="20"/>
          <w:color w:val="auto"/>
        </w:rPr>
      </w:pPr>
      <w:r>
        <w:rPr>
          <w:rFonts w:ascii="Arial" w:cs="Arial" w:eastAsia="Arial" w:hAnsi="Arial"/>
          <w:sz w:val="20"/>
          <w:szCs w:val="20"/>
          <w:color w:val="2A2A2A"/>
        </w:rPr>
        <w:t>We understand the importance of investing in an ever-evolving global trade compliance program because bad actors continue to run sophisticated sanctions-evasion schemes to obtain the chips they need.</w:t>
      </w:r>
    </w:p>
    <w:p>
      <w:pPr>
        <w:spacing w:after="0" w:line="170"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TI sells billions of commonly-used chips each year. Any electronic device that plugs into a wall or has a battery likely has at least one TI chip in it. Staggering volumes of chips are produced by manufacturers around the world every year. The industry as a whole shipped more than 1.15 trillion chips in 2021.</w:t>
      </w:r>
      <w:r>
        <w:rPr>
          <w:rFonts w:ascii="Arial" w:cs="Arial" w:eastAsia="Arial" w:hAnsi="Arial"/>
          <w:sz w:val="26"/>
          <w:szCs w:val="26"/>
          <w:color w:val="2A2A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254000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21" w:hanging="121"/>
        <w:spacing w:after="0"/>
        <w:tabs>
          <w:tab w:leader="none" w:pos="121" w:val="left"/>
        </w:tabs>
        <w:numPr>
          <w:ilvl w:val="0"/>
          <w:numId w:val="146"/>
        </w:numPr>
        <w:rPr>
          <w:rFonts w:ascii="Arial" w:cs="Arial" w:eastAsia="Arial" w:hAnsi="Arial"/>
          <w:sz w:val="26"/>
          <w:szCs w:val="26"/>
          <w:color w:val="2A2A2A"/>
          <w:vertAlign w:val="superscript"/>
        </w:rPr>
      </w:pPr>
      <w:r>
        <w:rPr>
          <w:rFonts w:ascii="Arial" w:cs="Arial" w:eastAsia="Arial" w:hAnsi="Arial"/>
          <w:sz w:val="20"/>
          <w:szCs w:val="20"/>
          <w:color w:val="2A2A2A"/>
        </w:rPr>
        <w:t>https://www.semiconductors.org/semiconductor-industry-is-committed-to-combatting-illicit-chip-diversion/</w:t>
      </w:r>
    </w:p>
    <w:p>
      <w:pPr>
        <w:sectPr>
          <w:pgSz w:w="12240" w:h="15840" w:orient="portrait"/>
          <w:cols w:equalWidth="0" w:num="1">
            <w:col w:w="10281"/>
          </w:cols>
          <w:pgMar w:left="979" w:top="658" w:right="980" w:bottom="33"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67</w:t>
      </w:r>
    </w:p>
    <w:p>
      <w:pPr>
        <w:sectPr>
          <w:pgSz w:w="12240" w:h="15840" w:orient="portrait"/>
          <w:cols w:equalWidth="0" w:num="1">
            <w:col w:w="10281"/>
          </w:cols>
          <w:pgMar w:left="979" w:top="658" w:right="980" w:bottom="33" w:gutter="0" w:footer="0" w:header="0"/>
          <w:type w:val="continuous"/>
        </w:sectPr>
      </w:pPr>
    </w:p>
    <w:bookmarkStart w:id="139" w:name="page140"/>
    <w:bookmarkEnd w:id="139"/>
    <w:p>
      <w:pPr>
        <w:ind w:left="1" w:right="60"/>
        <w:spacing w:after="0" w:line="262" w:lineRule="auto"/>
        <w:rPr>
          <w:sz w:val="20"/>
          <w:szCs w:val="20"/>
          <w:color w:val="auto"/>
        </w:rPr>
      </w:pPr>
      <w:r>
        <w:rPr>
          <w:rFonts w:ascii="Arial" w:cs="Arial" w:eastAsia="Arial" w:hAnsi="Arial"/>
          <w:sz w:val="20"/>
          <w:szCs w:val="20"/>
          <w:color w:val="2A2A2A"/>
        </w:rPr>
        <w:t>Compounding the issue further is the longevity of our and others’ chips, which can last for decades. Chips manufactured in the1980’s – and even earlier – can still function without significant degradation or loss of function. Even today, chips shipped before the Russian invasion of Ukraine are likely sitting unused in storerooms around the globe.</w:t>
      </w:r>
    </w:p>
    <w:p>
      <w:pPr>
        <w:spacing w:after="0" w:line="196" w:lineRule="exact"/>
        <w:rPr>
          <w:sz w:val="20"/>
          <w:szCs w:val="20"/>
          <w:color w:val="auto"/>
        </w:rPr>
      </w:pPr>
    </w:p>
    <w:p>
      <w:pPr>
        <w:ind w:left="1" w:right="160"/>
        <w:spacing w:after="0" w:line="262" w:lineRule="auto"/>
        <w:rPr>
          <w:sz w:val="20"/>
          <w:szCs w:val="20"/>
          <w:color w:val="auto"/>
        </w:rPr>
      </w:pPr>
      <w:r>
        <w:rPr>
          <w:rFonts w:ascii="Arial" w:cs="Arial" w:eastAsia="Arial" w:hAnsi="Arial"/>
          <w:sz w:val="20"/>
          <w:szCs w:val="20"/>
          <w:color w:val="2A2A2A"/>
        </w:rPr>
        <w:t>The low cost and extremely small size of many chips also contribute to this challenge. Chips acquired legally in the United States or any number of other countries can easily be diverted and sent out of the country without much chance of detection by authorities. Also, unauthorized companies might acquire chips at any point in the supply chain, including from other companies reselling excess inventory.</w:t>
      </w:r>
    </w:p>
    <w:p>
      <w:pPr>
        <w:spacing w:after="0" w:line="196" w:lineRule="exact"/>
        <w:rPr>
          <w:sz w:val="20"/>
          <w:szCs w:val="20"/>
          <w:color w:val="auto"/>
        </w:rPr>
      </w:pPr>
    </w:p>
    <w:p>
      <w:pPr>
        <w:ind w:left="1" w:right="380"/>
        <w:spacing w:after="0" w:line="287" w:lineRule="auto"/>
        <w:rPr>
          <w:sz w:val="20"/>
          <w:szCs w:val="20"/>
          <w:color w:val="auto"/>
        </w:rPr>
      </w:pPr>
      <w:r>
        <w:rPr>
          <w:rFonts w:ascii="Arial" w:cs="Arial" w:eastAsia="Arial" w:hAnsi="Arial"/>
          <w:sz w:val="20"/>
          <w:szCs w:val="20"/>
          <w:color w:val="2A2A2A"/>
        </w:rPr>
        <w:t>Analyzing these challenges and trying to effectively address them are key components of TI’s robust compliance strategies and efforts, and TI works with both the industry and governments to do so.</w:t>
      </w:r>
    </w:p>
    <w:p>
      <w:pPr>
        <w:spacing w:after="0" w:line="170" w:lineRule="exact"/>
        <w:rPr>
          <w:sz w:val="20"/>
          <w:szCs w:val="20"/>
          <w:color w:val="auto"/>
        </w:rPr>
      </w:pPr>
    </w:p>
    <w:p>
      <w:pPr>
        <w:ind w:left="1" w:right="1040"/>
        <w:spacing w:after="0" w:line="312" w:lineRule="auto"/>
        <w:rPr>
          <w:sz w:val="20"/>
          <w:szCs w:val="20"/>
          <w:color w:val="auto"/>
        </w:rPr>
      </w:pPr>
      <w:r>
        <w:rPr>
          <w:rFonts w:ascii="Arial" w:cs="Arial" w:eastAsia="Arial" w:hAnsi="Arial"/>
          <w:sz w:val="20"/>
          <w:szCs w:val="20"/>
          <w:b w:val="1"/>
          <w:bCs w:val="1"/>
          <w:color w:val="2A2A2A"/>
        </w:rPr>
        <w:t>The proposal would inappropriately interfere with TI’s business operations and micromanage our substantial efforts already in place to combat the illicit diversion of our products.</w:t>
      </w:r>
    </w:p>
    <w:p>
      <w:pPr>
        <w:spacing w:after="0" w:line="146" w:lineRule="exact"/>
        <w:rPr>
          <w:sz w:val="20"/>
          <w:szCs w:val="20"/>
          <w:color w:val="auto"/>
        </w:rPr>
      </w:pPr>
    </w:p>
    <w:p>
      <w:pPr>
        <w:ind w:left="1" w:right="20"/>
        <w:spacing w:after="0" w:line="287" w:lineRule="auto"/>
        <w:rPr>
          <w:sz w:val="20"/>
          <w:szCs w:val="20"/>
          <w:color w:val="auto"/>
        </w:rPr>
      </w:pPr>
      <w:r>
        <w:rPr>
          <w:rFonts w:ascii="Arial" w:cs="Arial" w:eastAsia="Arial" w:hAnsi="Arial"/>
          <w:sz w:val="20"/>
          <w:szCs w:val="20"/>
          <w:color w:val="2A2A2A"/>
        </w:rPr>
        <w:t>As is explained above, TI already invests significant time and resources aimed at preventing the improper and illegal use of its products, which helps combat illicit chip diversion.</w:t>
      </w:r>
    </w:p>
    <w:p>
      <w:pPr>
        <w:spacing w:after="0" w:line="170" w:lineRule="exact"/>
        <w:rPr>
          <w:sz w:val="20"/>
          <w:szCs w:val="20"/>
          <w:color w:val="auto"/>
        </w:rPr>
      </w:pPr>
    </w:p>
    <w:p>
      <w:pPr>
        <w:ind w:left="1" w:right="160"/>
        <w:spacing w:after="0" w:line="262" w:lineRule="auto"/>
        <w:rPr>
          <w:sz w:val="20"/>
          <w:szCs w:val="20"/>
          <w:color w:val="auto"/>
        </w:rPr>
      </w:pPr>
      <w:r>
        <w:rPr>
          <w:rFonts w:ascii="Arial" w:cs="Arial" w:eastAsia="Arial" w:hAnsi="Arial"/>
          <w:sz w:val="20"/>
          <w:szCs w:val="20"/>
          <w:color w:val="2A2A2A"/>
        </w:rPr>
        <w:t>The proposal’s request for an independent third-party report seeks to supplant the judgments of the company’s compliance professionals, leadership and the board in deciding how best to navigate this complex, industry-wide effort. The requested report probes deeply into day-to-day business and compliance matters, which TI is managing appropriately and over which the board’s audit committee is exercising effective oversight.</w:t>
      </w:r>
    </w:p>
    <w:p>
      <w:pPr>
        <w:spacing w:after="0" w:line="196" w:lineRule="exact"/>
        <w:rPr>
          <w:sz w:val="20"/>
          <w:szCs w:val="20"/>
          <w:color w:val="auto"/>
        </w:rPr>
      </w:pPr>
    </w:p>
    <w:p>
      <w:pPr>
        <w:ind w:left="1" w:right="240"/>
        <w:spacing w:after="0" w:line="268" w:lineRule="auto"/>
        <w:rPr>
          <w:sz w:val="20"/>
          <w:szCs w:val="20"/>
          <w:color w:val="auto"/>
        </w:rPr>
      </w:pPr>
      <w:r>
        <w:rPr>
          <w:rFonts w:ascii="Arial" w:cs="Arial" w:eastAsia="Arial" w:hAnsi="Arial"/>
          <w:sz w:val="20"/>
          <w:szCs w:val="20"/>
          <w:color w:val="2A2A2A"/>
        </w:rPr>
        <w:t>We have long been committed to operating our business with high standards, and we take seriously the issue of illicit diversion and misuse of our products in conflict-affected and high-risk areas. This commitment is reflected by the significant investment we have made in implementing our robust, global compliance program.</w:t>
      </w:r>
    </w:p>
    <w:p>
      <w:pPr>
        <w:spacing w:after="0" w:line="190" w:lineRule="exact"/>
        <w:rPr>
          <w:sz w:val="20"/>
          <w:szCs w:val="20"/>
          <w:color w:val="auto"/>
        </w:rPr>
      </w:pPr>
    </w:p>
    <w:p>
      <w:pPr>
        <w:ind w:left="1" w:right="820"/>
        <w:spacing w:after="0" w:line="297" w:lineRule="auto"/>
        <w:rPr>
          <w:sz w:val="20"/>
          <w:szCs w:val="20"/>
          <w:color w:val="auto"/>
        </w:rPr>
      </w:pPr>
      <w:r>
        <w:rPr>
          <w:rFonts w:ascii="Arial" w:cs="Arial" w:eastAsia="Arial" w:hAnsi="Arial"/>
          <w:sz w:val="20"/>
          <w:szCs w:val="20"/>
          <w:b w:val="1"/>
          <w:bCs w:val="1"/>
          <w:color w:val="2A2A2A"/>
        </w:rPr>
        <w:t>Given the significant time and resources the company invests in combatting illicit diversion and the improper use of its products, the board of directors recommends a vote against this ballot item.</w:t>
      </w:r>
    </w:p>
    <w:p>
      <w:pPr>
        <w:spacing w:after="0" w:line="380" w:lineRule="exact"/>
        <w:rPr>
          <w:sz w:val="20"/>
          <w:szCs w:val="20"/>
          <w:color w:val="auto"/>
        </w:rPr>
      </w:pPr>
    </w:p>
    <w:p>
      <w:pPr>
        <w:ind w:left="1"/>
        <w:spacing w:after="0"/>
        <w:rPr>
          <w:sz w:val="20"/>
          <w:szCs w:val="20"/>
          <w:color w:val="auto"/>
        </w:rPr>
      </w:pPr>
      <w:r>
        <w:rPr>
          <w:rFonts w:ascii="Arial" w:cs="Arial" w:eastAsia="Arial" w:hAnsi="Arial"/>
          <w:sz w:val="24"/>
          <w:szCs w:val="24"/>
          <w:b w:val="1"/>
          <w:bCs w:val="1"/>
          <w:color w:val="2A2A2A"/>
        </w:rPr>
        <w:t>Additional information</w:t>
      </w:r>
    </w:p>
    <w:p>
      <w:pPr>
        <w:spacing w:after="0" w:line="258"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Voting securities</w:t>
      </w:r>
    </w:p>
    <w:p>
      <w:pPr>
        <w:spacing w:after="0" w:line="257" w:lineRule="exact"/>
        <w:rPr>
          <w:sz w:val="20"/>
          <w:szCs w:val="20"/>
          <w:color w:val="auto"/>
        </w:rPr>
      </w:pPr>
    </w:p>
    <w:p>
      <w:pPr>
        <w:ind w:left="1" w:right="240"/>
        <w:spacing w:after="0" w:line="262" w:lineRule="auto"/>
        <w:rPr>
          <w:sz w:val="20"/>
          <w:szCs w:val="20"/>
          <w:color w:val="auto"/>
        </w:rPr>
      </w:pPr>
      <w:r>
        <w:rPr>
          <w:rFonts w:ascii="Arial" w:cs="Arial" w:eastAsia="Arial" w:hAnsi="Arial"/>
          <w:sz w:val="20"/>
          <w:szCs w:val="20"/>
          <w:color w:val="2A2A2A"/>
        </w:rPr>
        <w:t>As stated in the notice of annual meeting, holders of record of the common stock at the close of business on February 28, 2024, may vote at the meeting or any adjournment of the meeting. As of February 28, 2024, 910,055,750 shares of TI common stock were outstanding. This is the only class of capital stock entitled to vote at the meeting. Each holder of common stock has one vote for each share held.</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Security ownership of certain beneficial owners</w:t>
      </w:r>
    </w:p>
    <w:p>
      <w:pPr>
        <w:spacing w:after="0" w:line="257"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4480" w:type="dxa"/>
            <w:vAlign w:val="bottom"/>
          </w:tcPr>
          <w:p>
            <w:pPr>
              <w:jc w:val="center"/>
              <w:ind w:left="2170"/>
              <w:spacing w:after="0"/>
              <w:rPr>
                <w:sz w:val="20"/>
                <w:szCs w:val="20"/>
                <w:color w:val="auto"/>
              </w:rPr>
            </w:pPr>
            <w:r>
              <w:rPr>
                <w:rFonts w:ascii="Arial" w:cs="Arial" w:eastAsia="Arial" w:hAnsi="Arial"/>
                <w:sz w:val="16"/>
                <w:szCs w:val="16"/>
                <w:b w:val="1"/>
                <w:bCs w:val="1"/>
                <w:color w:val="2A2A2A"/>
              </w:rPr>
              <w:t>Shares Owned at</w:t>
            </w:r>
          </w:p>
        </w:tc>
        <w:tc>
          <w:tcPr>
            <w:tcW w:w="1240" w:type="dxa"/>
            <w:vAlign w:val="bottom"/>
          </w:tcPr>
          <w:p>
            <w:pPr>
              <w:jc w:val="right"/>
              <w:ind w:right="150"/>
              <w:spacing w:after="0"/>
              <w:rPr>
                <w:sz w:val="20"/>
                <w:szCs w:val="20"/>
                <w:color w:val="auto"/>
              </w:rPr>
            </w:pPr>
            <w:r>
              <w:rPr>
                <w:rFonts w:ascii="Arial" w:cs="Arial" w:eastAsia="Arial" w:hAnsi="Arial"/>
                <w:sz w:val="16"/>
                <w:szCs w:val="16"/>
                <w:b w:val="1"/>
                <w:bCs w:val="1"/>
                <w:color w:val="2A2A2A"/>
              </w:rPr>
              <w:t>Percent</w:t>
            </w:r>
          </w:p>
        </w:tc>
      </w:tr>
      <w:tr>
        <w:trPr>
          <w:trHeight w:val="214"/>
        </w:trPr>
        <w:tc>
          <w:tcPr>
            <w:tcW w:w="456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 and Address</w:t>
            </w:r>
          </w:p>
        </w:tc>
        <w:tc>
          <w:tcPr>
            <w:tcW w:w="4480" w:type="dxa"/>
            <w:vAlign w:val="bottom"/>
            <w:tcBorders>
              <w:bottom w:val="single" w:sz="8" w:color="2A2A2A"/>
            </w:tcBorders>
          </w:tcPr>
          <w:p>
            <w:pPr>
              <w:jc w:val="center"/>
              <w:ind w:left="2190"/>
              <w:spacing w:after="0"/>
              <w:rPr>
                <w:sz w:val="20"/>
                <w:szCs w:val="20"/>
                <w:color w:val="auto"/>
              </w:rPr>
            </w:pPr>
            <w:r>
              <w:rPr>
                <w:rFonts w:ascii="Arial" w:cs="Arial" w:eastAsia="Arial" w:hAnsi="Arial"/>
                <w:sz w:val="16"/>
                <w:szCs w:val="16"/>
                <w:b w:val="1"/>
                <w:bCs w:val="1"/>
                <w:color w:val="2A2A2A"/>
                <w:w w:val="99"/>
              </w:rPr>
              <w:t>December 31, 2023</w:t>
            </w:r>
          </w:p>
        </w:tc>
        <w:tc>
          <w:tcPr>
            <w:tcW w:w="1240" w:type="dxa"/>
            <w:vAlign w:val="bottom"/>
            <w:tcBorders>
              <w:bottom w:val="single" w:sz="8" w:color="2A2A2A"/>
            </w:tcBorders>
          </w:tcPr>
          <w:p>
            <w:pPr>
              <w:jc w:val="right"/>
              <w:ind w:right="130"/>
              <w:spacing w:after="0"/>
              <w:rPr>
                <w:sz w:val="20"/>
                <w:szCs w:val="20"/>
                <w:color w:val="auto"/>
              </w:rPr>
            </w:pPr>
            <w:r>
              <w:rPr>
                <w:rFonts w:ascii="Arial" w:cs="Arial" w:eastAsia="Arial" w:hAnsi="Arial"/>
                <w:sz w:val="16"/>
                <w:szCs w:val="16"/>
                <w:b w:val="1"/>
                <w:bCs w:val="1"/>
                <w:color w:val="2A2A2A"/>
              </w:rPr>
              <w:t>of Class</w:t>
            </w:r>
          </w:p>
        </w:tc>
      </w:tr>
      <w:tr>
        <w:trPr>
          <w:trHeight w:val="276"/>
        </w:trPr>
        <w:tc>
          <w:tcPr>
            <w:tcW w:w="45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The Vanguard Group</w:t>
            </w:r>
          </w:p>
        </w:tc>
        <w:tc>
          <w:tcPr>
            <w:tcW w:w="4480" w:type="dxa"/>
            <w:vAlign w:val="bottom"/>
            <w:shd w:val="clear" w:color="auto" w:fill="D7D7D7"/>
          </w:tcPr>
          <w:p>
            <w:pPr>
              <w:spacing w:after="0"/>
              <w:rPr>
                <w:sz w:val="23"/>
                <w:szCs w:val="23"/>
                <w:color w:val="auto"/>
              </w:rPr>
            </w:pPr>
          </w:p>
        </w:tc>
        <w:tc>
          <w:tcPr>
            <w:tcW w:w="1240" w:type="dxa"/>
            <w:vAlign w:val="bottom"/>
            <w:shd w:val="clear" w:color="auto" w:fill="D7D7D7"/>
          </w:tcPr>
          <w:p>
            <w:pPr>
              <w:spacing w:after="0"/>
              <w:rPr>
                <w:sz w:val="23"/>
                <w:szCs w:val="23"/>
                <w:color w:val="auto"/>
              </w:rPr>
            </w:pPr>
          </w:p>
        </w:tc>
      </w:tr>
      <w:tr>
        <w:trPr>
          <w:trHeight w:val="240"/>
        </w:trPr>
        <w:tc>
          <w:tcPr>
            <w:tcW w:w="456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100 Vanguard Blvd.</w:t>
            </w:r>
          </w:p>
        </w:tc>
        <w:tc>
          <w:tcPr>
            <w:tcW w:w="4480" w:type="dxa"/>
            <w:vAlign w:val="bottom"/>
            <w:shd w:val="clear" w:color="auto" w:fill="D7D7D7"/>
          </w:tcPr>
          <w:p>
            <w:pPr>
              <w:jc w:val="center"/>
              <w:ind w:left="2170"/>
              <w:spacing w:after="0"/>
              <w:rPr>
                <w:sz w:val="20"/>
                <w:szCs w:val="20"/>
                <w:color w:val="auto"/>
              </w:rPr>
            </w:pPr>
            <w:r>
              <w:rPr>
                <w:rFonts w:ascii="Arial" w:cs="Arial" w:eastAsia="Arial" w:hAnsi="Arial"/>
                <w:sz w:val="20"/>
                <w:szCs w:val="20"/>
                <w:color w:val="2A2A2A"/>
                <w:w w:val="99"/>
              </w:rPr>
              <w:t>90,033,191 (1)</w:t>
            </w:r>
          </w:p>
        </w:tc>
        <w:tc>
          <w:tcPr>
            <w:tcW w:w="1240" w:type="dxa"/>
            <w:vAlign w:val="bottom"/>
            <w:shd w:val="clear" w:color="auto" w:fill="D7D7D7"/>
          </w:tcPr>
          <w:p>
            <w:pPr>
              <w:jc w:val="right"/>
              <w:ind w:right="110"/>
              <w:spacing w:after="0"/>
              <w:rPr>
                <w:sz w:val="20"/>
                <w:szCs w:val="20"/>
                <w:color w:val="auto"/>
              </w:rPr>
            </w:pPr>
            <w:r>
              <w:rPr>
                <w:rFonts w:ascii="Arial" w:cs="Arial" w:eastAsia="Arial" w:hAnsi="Arial"/>
                <w:sz w:val="20"/>
                <w:szCs w:val="20"/>
                <w:color w:val="2A2A2A"/>
              </w:rPr>
              <w:t>9.91%</w:t>
            </w:r>
          </w:p>
        </w:tc>
      </w:tr>
      <w:tr>
        <w:trPr>
          <w:trHeight w:val="279"/>
        </w:trPr>
        <w:tc>
          <w:tcPr>
            <w:tcW w:w="4560" w:type="dxa"/>
            <w:vAlign w:val="bottom"/>
            <w:tcBorders>
              <w:bottom w:val="single" w:sz="8" w:color="D7D7D7"/>
            </w:tcBorders>
            <w:shd w:val="clear" w:color="auto" w:fill="D7D7D7"/>
          </w:tcPr>
          <w:p>
            <w:pPr>
              <w:ind w:left="60"/>
              <w:spacing w:after="0"/>
              <w:rPr>
                <w:sz w:val="20"/>
                <w:szCs w:val="20"/>
                <w:color w:val="auto"/>
              </w:rPr>
            </w:pPr>
            <w:r>
              <w:rPr>
                <w:rFonts w:ascii="Arial" w:cs="Arial" w:eastAsia="Arial" w:hAnsi="Arial"/>
                <w:sz w:val="20"/>
                <w:szCs w:val="20"/>
                <w:color w:val="2A2A2A"/>
              </w:rPr>
              <w:t>Malvern, PA 19355</w:t>
            </w:r>
          </w:p>
        </w:tc>
        <w:tc>
          <w:tcPr>
            <w:tcW w:w="4480" w:type="dxa"/>
            <w:vAlign w:val="bottom"/>
            <w:tcBorders>
              <w:bottom w:val="single" w:sz="8" w:color="D7D7D7"/>
            </w:tcBorders>
            <w:shd w:val="clear" w:color="auto" w:fill="D7D7D7"/>
          </w:tcPr>
          <w:p>
            <w:pPr>
              <w:spacing w:after="0"/>
              <w:rPr>
                <w:sz w:val="24"/>
                <w:szCs w:val="24"/>
                <w:color w:val="auto"/>
              </w:rPr>
            </w:pPr>
          </w:p>
        </w:tc>
        <w:tc>
          <w:tcPr>
            <w:tcW w:w="1240" w:type="dxa"/>
            <w:vAlign w:val="bottom"/>
            <w:tcBorders>
              <w:bottom w:val="single" w:sz="8" w:color="D7D7D7"/>
            </w:tcBorders>
            <w:shd w:val="clear" w:color="auto" w:fill="D7D7D7"/>
          </w:tcPr>
          <w:p>
            <w:pPr>
              <w:spacing w:after="0"/>
              <w:rPr>
                <w:sz w:val="24"/>
                <w:szCs w:val="24"/>
                <w:color w:val="auto"/>
              </w:rPr>
            </w:pPr>
          </w:p>
        </w:tc>
      </w:tr>
      <w:tr>
        <w:trPr>
          <w:trHeight w:val="286"/>
        </w:trPr>
        <w:tc>
          <w:tcPr>
            <w:tcW w:w="4560" w:type="dxa"/>
            <w:vAlign w:val="bottom"/>
          </w:tcPr>
          <w:p>
            <w:pPr>
              <w:ind w:left="60"/>
              <w:spacing w:after="0"/>
              <w:rPr>
                <w:sz w:val="20"/>
                <w:szCs w:val="20"/>
                <w:color w:val="auto"/>
              </w:rPr>
            </w:pPr>
            <w:r>
              <w:rPr>
                <w:rFonts w:ascii="Arial" w:cs="Arial" w:eastAsia="Arial" w:hAnsi="Arial"/>
                <w:sz w:val="20"/>
                <w:szCs w:val="20"/>
                <w:color w:val="2A2A2A"/>
              </w:rPr>
              <w:t>BlackRock, Inc.</w:t>
            </w:r>
          </w:p>
        </w:tc>
        <w:tc>
          <w:tcPr>
            <w:tcW w:w="4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0"/>
        </w:trPr>
        <w:tc>
          <w:tcPr>
            <w:tcW w:w="4560" w:type="dxa"/>
            <w:vAlign w:val="bottom"/>
          </w:tcPr>
          <w:p>
            <w:pPr>
              <w:ind w:left="60"/>
              <w:spacing w:after="0"/>
              <w:rPr>
                <w:sz w:val="20"/>
                <w:szCs w:val="20"/>
                <w:color w:val="auto"/>
              </w:rPr>
            </w:pPr>
            <w:r>
              <w:rPr>
                <w:rFonts w:ascii="Arial" w:cs="Arial" w:eastAsia="Arial" w:hAnsi="Arial"/>
                <w:sz w:val="20"/>
                <w:szCs w:val="20"/>
                <w:color w:val="2A2A2A"/>
              </w:rPr>
              <w:t>55 East 52</w:t>
            </w:r>
            <w:r>
              <w:rPr>
                <w:rFonts w:ascii="Arial" w:cs="Arial" w:eastAsia="Arial" w:hAnsi="Arial"/>
                <w:sz w:val="18"/>
                <w:szCs w:val="18"/>
                <w:color w:val="2A2A2A"/>
              </w:rPr>
              <w:t>nd</w:t>
            </w:r>
            <w:r>
              <w:rPr>
                <w:rFonts w:ascii="Arial" w:cs="Arial" w:eastAsia="Arial" w:hAnsi="Arial"/>
                <w:sz w:val="20"/>
                <w:szCs w:val="20"/>
                <w:color w:val="2A2A2A"/>
              </w:rPr>
              <w:t xml:space="preserve"> Street</w:t>
            </w:r>
          </w:p>
        </w:tc>
        <w:tc>
          <w:tcPr>
            <w:tcW w:w="4480" w:type="dxa"/>
            <w:vAlign w:val="bottom"/>
          </w:tcPr>
          <w:p>
            <w:pPr>
              <w:jc w:val="center"/>
              <w:ind w:left="2170"/>
              <w:spacing w:after="0"/>
              <w:rPr>
                <w:sz w:val="20"/>
                <w:szCs w:val="20"/>
                <w:color w:val="auto"/>
              </w:rPr>
            </w:pPr>
            <w:r>
              <w:rPr>
                <w:rFonts w:ascii="Arial" w:cs="Arial" w:eastAsia="Arial" w:hAnsi="Arial"/>
                <w:sz w:val="20"/>
                <w:szCs w:val="20"/>
                <w:color w:val="2A2A2A"/>
                <w:w w:val="99"/>
              </w:rPr>
              <w:t>76,795,073 (2)</w:t>
            </w:r>
          </w:p>
        </w:tc>
        <w:tc>
          <w:tcPr>
            <w:tcW w:w="1240" w:type="dxa"/>
            <w:vAlign w:val="bottom"/>
          </w:tcPr>
          <w:p>
            <w:pPr>
              <w:jc w:val="right"/>
              <w:ind w:right="110"/>
              <w:spacing w:after="0"/>
              <w:rPr>
                <w:sz w:val="20"/>
                <w:szCs w:val="20"/>
                <w:color w:val="auto"/>
              </w:rPr>
            </w:pPr>
            <w:r>
              <w:rPr>
                <w:rFonts w:ascii="Arial" w:cs="Arial" w:eastAsia="Arial" w:hAnsi="Arial"/>
                <w:sz w:val="20"/>
                <w:szCs w:val="20"/>
                <w:color w:val="2A2A2A"/>
              </w:rPr>
              <w:t>8.5%</w:t>
            </w:r>
          </w:p>
        </w:tc>
      </w:tr>
      <w:tr>
        <w:trPr>
          <w:trHeight w:val="265"/>
        </w:trPr>
        <w:tc>
          <w:tcPr>
            <w:tcW w:w="4560" w:type="dxa"/>
            <w:vAlign w:val="bottom"/>
          </w:tcPr>
          <w:p>
            <w:pPr>
              <w:ind w:left="60"/>
              <w:spacing w:after="0"/>
              <w:rPr>
                <w:sz w:val="20"/>
                <w:szCs w:val="20"/>
                <w:color w:val="auto"/>
              </w:rPr>
            </w:pPr>
            <w:r>
              <w:rPr>
                <w:rFonts w:ascii="Arial" w:cs="Arial" w:eastAsia="Arial" w:hAnsi="Arial"/>
                <w:sz w:val="20"/>
                <w:szCs w:val="20"/>
                <w:color w:val="2A2A2A"/>
              </w:rPr>
              <w:t>New York, NY 10055</w:t>
            </w:r>
          </w:p>
        </w:tc>
        <w:tc>
          <w:tcPr>
            <w:tcW w:w="44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-1038225</wp:posOffset>
            </wp:positionV>
            <wp:extent cx="232092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20925" cy="25400"/>
                    </a:xfrm>
                    <a:prstGeom prst="rect">
                      <a:avLst/>
                    </a:prstGeom>
                    <a:noFill/>
                  </pic:spPr>
                </pic:pic>
              </a:graphicData>
            </a:graphic>
          </wp:anchor>
        </w:drawing>
      </w:r>
    </w:p>
    <w:p>
      <w:pPr>
        <w:spacing w:after="0" w:line="179" w:lineRule="exact"/>
        <w:rPr>
          <w:sz w:val="20"/>
          <w:szCs w:val="20"/>
          <w:color w:val="auto"/>
        </w:rPr>
      </w:pPr>
    </w:p>
    <w:p>
      <w:pPr>
        <w:ind w:left="541" w:right="260" w:hanging="541"/>
        <w:spacing w:after="0" w:line="287" w:lineRule="auto"/>
        <w:tabs>
          <w:tab w:leader="none" w:pos="541" w:val="left"/>
        </w:tabs>
        <w:numPr>
          <w:ilvl w:val="0"/>
          <w:numId w:val="147"/>
        </w:numPr>
        <w:rPr>
          <w:rFonts w:ascii="Arial" w:cs="Arial" w:eastAsia="Arial" w:hAnsi="Arial"/>
          <w:sz w:val="20"/>
          <w:szCs w:val="20"/>
          <w:color w:val="2A2A2A"/>
        </w:rPr>
      </w:pPr>
      <w:r>
        <w:rPr>
          <w:rFonts w:ascii="Arial" w:cs="Arial" w:eastAsia="Arial" w:hAnsi="Arial"/>
          <w:sz w:val="20"/>
          <w:szCs w:val="20"/>
          <w:color w:val="2A2A2A"/>
        </w:rPr>
        <w:t>According to its Schedule 13G/A filing, The Vanguard Group has shared voting power for 1,168,090 shares, sole dispositive power for 86,012,274 shares and shared dispositive power for 4,020,917 shares.</w:t>
      </w:r>
    </w:p>
    <w:p>
      <w:pPr>
        <w:sectPr>
          <w:pgSz w:w="12240" w:h="15840" w:orient="portrait"/>
          <w:cols w:equalWidth="0" w:num="1">
            <w:col w:w="10281"/>
          </w:cols>
          <w:pgMar w:left="979" w:top="664" w:right="980" w:bottom="33"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68</w:t>
      </w:r>
    </w:p>
    <w:p>
      <w:pPr>
        <w:sectPr>
          <w:pgSz w:w="12240" w:h="15840" w:orient="portrait"/>
          <w:cols w:equalWidth="0" w:num="1">
            <w:col w:w="10281"/>
          </w:cols>
          <w:pgMar w:left="979" w:top="664" w:right="980" w:bottom="33" w:gutter="0" w:footer="0" w:header="0"/>
          <w:type w:val="continuous"/>
        </w:sectPr>
      </w:pPr>
    </w:p>
    <w:bookmarkStart w:id="140" w:name="page141"/>
    <w:bookmarkEnd w:id="140"/>
    <w:p>
      <w:pPr>
        <w:ind w:left="541" w:right="120" w:hanging="541"/>
        <w:spacing w:after="0" w:line="287" w:lineRule="auto"/>
        <w:tabs>
          <w:tab w:leader="none" w:pos="541" w:val="left"/>
        </w:tabs>
        <w:numPr>
          <w:ilvl w:val="0"/>
          <w:numId w:val="148"/>
        </w:numPr>
        <w:rPr>
          <w:rFonts w:ascii="Arial" w:cs="Arial" w:eastAsia="Arial" w:hAnsi="Arial"/>
          <w:sz w:val="20"/>
          <w:szCs w:val="20"/>
          <w:color w:val="2A2A2A"/>
        </w:rPr>
      </w:pPr>
      <w:r>
        <w:rPr>
          <w:rFonts w:ascii="Arial" w:cs="Arial" w:eastAsia="Arial" w:hAnsi="Arial"/>
          <w:sz w:val="20"/>
          <w:szCs w:val="20"/>
          <w:color w:val="2A2A2A"/>
        </w:rPr>
        <w:t>According to its Schedule 13G/A filing, BlackRock, Inc. has sole voting power for 69,978,094 shares and sole dispositive power for 76,795,073 shares.</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Security ownership of directors and management</w:t>
      </w:r>
    </w:p>
    <w:p>
      <w:pPr>
        <w:spacing w:after="0" w:line="257" w:lineRule="exact"/>
        <w:rPr>
          <w:sz w:val="20"/>
          <w:szCs w:val="20"/>
          <w:color w:val="auto"/>
        </w:rPr>
      </w:pPr>
    </w:p>
    <w:p>
      <w:pPr>
        <w:ind w:left="1" w:right="60"/>
        <w:spacing w:after="0" w:line="262" w:lineRule="auto"/>
        <w:rPr>
          <w:sz w:val="20"/>
          <w:szCs w:val="20"/>
          <w:color w:val="auto"/>
        </w:rPr>
      </w:pPr>
      <w:r>
        <w:rPr>
          <w:rFonts w:ascii="Arial" w:cs="Arial" w:eastAsia="Arial" w:hAnsi="Arial"/>
          <w:sz w:val="20"/>
          <w:szCs w:val="20"/>
          <w:color w:val="2A2A2A"/>
        </w:rPr>
        <w:t>The following table shows the beneficial ownership of TI common stock by directors, the named executive officers and all executive officers and directors as a group.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300" w:lineRule="exact"/>
        <w:rPr>
          <w:sz w:val="20"/>
          <w:szCs w:val="20"/>
          <w:color w:val="auto"/>
        </w:rPr>
      </w:pPr>
    </w:p>
    <w:tbl>
      <w:tblPr>
        <w:tblLayout w:type="fixed"/>
        <w:tblInd w:w="1"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180" w:type="dxa"/>
            <w:vAlign w:val="bottom"/>
          </w:tcPr>
          <w:p>
            <w:pPr>
              <w:jc w:val="right"/>
              <w:ind w:right="282"/>
              <w:spacing w:after="0"/>
              <w:rPr>
                <w:sz w:val="20"/>
                <w:szCs w:val="20"/>
                <w:color w:val="auto"/>
              </w:rPr>
            </w:pPr>
            <w:r>
              <w:rPr>
                <w:rFonts w:ascii="Arial" w:cs="Arial" w:eastAsia="Arial" w:hAnsi="Arial"/>
                <w:sz w:val="16"/>
                <w:szCs w:val="16"/>
                <w:b w:val="1"/>
                <w:bCs w:val="1"/>
                <w:color w:val="2A2A2A"/>
              </w:rPr>
              <w:t>Shares Owned at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2A2A2A"/>
              </w:rPr>
              <w:t>Percent</w:t>
            </w:r>
          </w:p>
        </w:tc>
      </w:tr>
      <w:tr>
        <w:trPr>
          <w:trHeight w:val="214"/>
        </w:trPr>
        <w:tc>
          <w:tcPr>
            <w:tcW w:w="58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Name</w:t>
            </w:r>
          </w:p>
        </w:tc>
        <w:tc>
          <w:tcPr>
            <w:tcW w:w="3180" w:type="dxa"/>
            <w:vAlign w:val="bottom"/>
            <w:tcBorders>
              <w:bottom w:val="single" w:sz="8" w:color="2A2A2A"/>
            </w:tcBorders>
          </w:tcPr>
          <w:p>
            <w:pPr>
              <w:jc w:val="right"/>
              <w:ind w:right="202"/>
              <w:spacing w:after="0"/>
              <w:rPr>
                <w:sz w:val="20"/>
                <w:szCs w:val="20"/>
                <w:color w:val="auto"/>
              </w:rPr>
            </w:pPr>
            <w:r>
              <w:rPr>
                <w:rFonts w:ascii="Arial" w:cs="Arial" w:eastAsia="Arial" w:hAnsi="Arial"/>
                <w:sz w:val="16"/>
                <w:szCs w:val="16"/>
                <w:b w:val="1"/>
                <w:bCs w:val="1"/>
                <w:color w:val="2A2A2A"/>
              </w:rPr>
              <w:t>December 31, 2023</w:t>
            </w:r>
          </w:p>
        </w:tc>
        <w:tc>
          <w:tcPr>
            <w:tcW w:w="12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of Class</w:t>
            </w:r>
          </w:p>
        </w:tc>
      </w:tr>
      <w:tr>
        <w:trPr>
          <w:trHeight w:val="275"/>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b w:val="1"/>
                <w:bCs w:val="1"/>
                <w:color w:val="2A2A2A"/>
              </w:rPr>
              <w:t>Directors (1)</w:t>
            </w:r>
          </w:p>
        </w:tc>
        <w:tc>
          <w:tcPr>
            <w:tcW w:w="3180" w:type="dxa"/>
            <w:vAlign w:val="bottom"/>
            <w:shd w:val="clear" w:color="auto" w:fill="D7D7D7"/>
          </w:tcPr>
          <w:p>
            <w:pPr>
              <w:spacing w:after="0"/>
              <w:rPr>
                <w:sz w:val="23"/>
                <w:szCs w:val="23"/>
                <w:color w:val="auto"/>
              </w:rPr>
            </w:pPr>
          </w:p>
        </w:tc>
        <w:tc>
          <w:tcPr>
            <w:tcW w:w="1280" w:type="dxa"/>
            <w:vAlign w:val="bottom"/>
            <w:shd w:val="clear" w:color="auto" w:fill="D7D7D7"/>
          </w:tcPr>
          <w:p>
            <w:pPr>
              <w:spacing w:after="0"/>
              <w:rPr>
                <w:sz w:val="23"/>
                <w:szCs w:val="23"/>
                <w:color w:val="auto"/>
              </w:rPr>
            </w:pP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Mark A. Blinn (2)</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42,020</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Todd M. Bluedorn</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22,752</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Janet F. Clark</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39,738</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Carrie S. Cox</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56,260</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Martin S. Craighead</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34,614</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Reginald DesRoches</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Curtis C. Farmer</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1,605</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Jean M. Hobby</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27,678</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Haviv Ilan</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588,707</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Ronald Kirk</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61,939</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Pamela H. Patsley</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124,448</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Robert E. Sanchez</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74,079</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Richard K. Templeton (3)</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3,520,205</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spacing w:after="0"/>
              <w:rPr>
                <w:sz w:val="24"/>
                <w:szCs w:val="24"/>
                <w:color w:val="auto"/>
              </w:rPr>
            </w:pPr>
          </w:p>
        </w:tc>
        <w:tc>
          <w:tcPr>
            <w:tcW w:w="3180" w:type="dxa"/>
            <w:vAlign w:val="bottom"/>
            <w:shd w:val="clear" w:color="auto" w:fill="D7D7D7"/>
          </w:tcPr>
          <w:p>
            <w:pPr>
              <w:spacing w:after="0"/>
              <w:rPr>
                <w:sz w:val="24"/>
                <w:szCs w:val="24"/>
                <w:color w:val="auto"/>
              </w:rPr>
            </w:pPr>
          </w:p>
        </w:tc>
        <w:tc>
          <w:tcPr>
            <w:tcW w:w="1280" w:type="dxa"/>
            <w:vAlign w:val="bottom"/>
            <w:shd w:val="clear" w:color="auto" w:fill="D7D7D7"/>
          </w:tcPr>
          <w:p>
            <w:pPr>
              <w:spacing w:after="0"/>
              <w:rPr>
                <w:sz w:val="24"/>
                <w:szCs w:val="24"/>
                <w:color w:val="auto"/>
              </w:rPr>
            </w:pPr>
          </w:p>
        </w:tc>
      </w:tr>
      <w:tr>
        <w:trPr>
          <w:trHeight w:val="285"/>
        </w:trPr>
        <w:tc>
          <w:tcPr>
            <w:tcW w:w="5820" w:type="dxa"/>
            <w:vAlign w:val="bottom"/>
          </w:tcPr>
          <w:p>
            <w:pPr>
              <w:ind w:left="60"/>
              <w:spacing w:after="0"/>
              <w:rPr>
                <w:sz w:val="20"/>
                <w:szCs w:val="20"/>
                <w:color w:val="auto"/>
              </w:rPr>
            </w:pPr>
            <w:r>
              <w:rPr>
                <w:rFonts w:ascii="Arial" w:cs="Arial" w:eastAsia="Arial" w:hAnsi="Arial"/>
                <w:sz w:val="20"/>
                <w:szCs w:val="20"/>
                <w:b w:val="1"/>
                <w:bCs w:val="1"/>
                <w:color w:val="2A2A2A"/>
              </w:rPr>
              <w:t>Management (4)</w:t>
            </w:r>
          </w:p>
        </w:tc>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5"/>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276,638</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172,693</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287,495</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r>
        <w:trPr>
          <w:trHeight w:val="283"/>
        </w:trPr>
        <w:tc>
          <w:tcPr>
            <w:tcW w:w="582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3180" w:type="dxa"/>
            <w:vAlign w:val="bottom"/>
          </w:tcPr>
          <w:p>
            <w:pPr>
              <w:jc w:val="right"/>
              <w:ind w:right="422"/>
              <w:spacing w:after="0"/>
              <w:rPr>
                <w:sz w:val="20"/>
                <w:szCs w:val="20"/>
                <w:color w:val="auto"/>
              </w:rPr>
            </w:pPr>
            <w:r>
              <w:rPr>
                <w:rFonts w:ascii="Arial" w:cs="Arial" w:eastAsia="Arial" w:hAnsi="Arial"/>
                <w:sz w:val="20"/>
                <w:szCs w:val="20"/>
                <w:color w:val="2A2A2A"/>
              </w:rPr>
              <w:t>183,701</w:t>
            </w:r>
          </w:p>
        </w:tc>
        <w:tc>
          <w:tcPr>
            <w:tcW w:w="1280" w:type="dxa"/>
            <w:vAlign w:val="bottom"/>
          </w:tcPr>
          <w:p>
            <w:pPr>
              <w:jc w:val="center"/>
              <w:spacing w:after="0"/>
              <w:rPr>
                <w:sz w:val="20"/>
                <w:szCs w:val="20"/>
                <w:color w:val="auto"/>
              </w:rPr>
            </w:pPr>
            <w:r>
              <w:rPr>
                <w:rFonts w:ascii="Arial" w:cs="Arial" w:eastAsia="Arial" w:hAnsi="Arial"/>
                <w:sz w:val="20"/>
                <w:szCs w:val="20"/>
                <w:color w:val="2A2A2A"/>
              </w:rPr>
              <w:t>*</w:t>
            </w:r>
          </w:p>
        </w:tc>
      </w:tr>
      <w:tr>
        <w:trPr>
          <w:trHeight w:val="287"/>
        </w:trPr>
        <w:tc>
          <w:tcPr>
            <w:tcW w:w="58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All executive officers and directors as a group (5)</w:t>
            </w:r>
          </w:p>
        </w:tc>
        <w:tc>
          <w:tcPr>
            <w:tcW w:w="3180" w:type="dxa"/>
            <w:vAlign w:val="bottom"/>
            <w:shd w:val="clear" w:color="auto" w:fill="D7D7D7"/>
          </w:tcPr>
          <w:p>
            <w:pPr>
              <w:jc w:val="right"/>
              <w:ind w:right="422"/>
              <w:spacing w:after="0"/>
              <w:rPr>
                <w:sz w:val="20"/>
                <w:szCs w:val="20"/>
                <w:color w:val="auto"/>
              </w:rPr>
            </w:pPr>
            <w:r>
              <w:rPr>
                <w:rFonts w:ascii="Arial" w:cs="Arial" w:eastAsia="Arial" w:hAnsi="Arial"/>
                <w:sz w:val="20"/>
                <w:szCs w:val="20"/>
                <w:color w:val="2A2A2A"/>
              </w:rPr>
              <w:t>6,214,657</w:t>
            </w:r>
          </w:p>
        </w:tc>
        <w:tc>
          <w:tcPr>
            <w:tcW w:w="128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-3812540</wp:posOffset>
            </wp:positionV>
            <wp:extent cx="655002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550025" cy="25400"/>
                    </a:xfrm>
                    <a:prstGeom prst="rect">
                      <a:avLst/>
                    </a:prstGeom>
                    <a:noFill/>
                  </pic:spPr>
                </pic:pic>
              </a:graphicData>
            </a:graphic>
          </wp:anchor>
        </w:drawing>
      </w:r>
    </w:p>
    <w:p>
      <w:pPr>
        <w:spacing w:after="0" w:line="205" w:lineRule="exact"/>
        <w:rPr>
          <w:sz w:val="20"/>
          <w:szCs w:val="20"/>
          <w:color w:val="auto"/>
        </w:rPr>
      </w:pPr>
    </w:p>
    <w:p>
      <w:pPr>
        <w:ind w:left="361" w:hanging="361"/>
        <w:spacing w:after="0"/>
        <w:tabs>
          <w:tab w:leader="none" w:pos="361" w:val="left"/>
        </w:tabs>
        <w:numPr>
          <w:ilvl w:val="0"/>
          <w:numId w:val="149"/>
        </w:numPr>
        <w:rPr>
          <w:rFonts w:ascii="Arial" w:cs="Arial" w:eastAsia="Arial" w:hAnsi="Arial"/>
          <w:sz w:val="20"/>
          <w:szCs w:val="20"/>
          <w:color w:val="2A2A2A"/>
        </w:rPr>
      </w:pPr>
      <w:r>
        <w:rPr>
          <w:rFonts w:ascii="Arial" w:cs="Arial" w:eastAsia="Arial" w:hAnsi="Arial"/>
          <w:sz w:val="20"/>
          <w:szCs w:val="20"/>
          <w:color w:val="2A2A2A"/>
        </w:rPr>
        <w:t>Less than 1%</w:t>
      </w:r>
    </w:p>
    <w:p>
      <w:pPr>
        <w:spacing w:after="0" w:line="130" w:lineRule="exact"/>
        <w:rPr>
          <w:rFonts w:ascii="Arial" w:cs="Arial" w:eastAsia="Arial" w:hAnsi="Arial"/>
          <w:sz w:val="20"/>
          <w:szCs w:val="20"/>
          <w:color w:val="2A2A2A"/>
        </w:rPr>
      </w:pPr>
    </w:p>
    <w:p>
      <w:pPr>
        <w:ind w:left="361" w:right="360" w:hanging="361"/>
        <w:spacing w:after="0" w:line="314" w:lineRule="auto"/>
        <w:tabs>
          <w:tab w:leader="none" w:pos="361" w:val="left"/>
        </w:tabs>
        <w:numPr>
          <w:ilvl w:val="0"/>
          <w:numId w:val="150"/>
        </w:numPr>
        <w:rPr>
          <w:rFonts w:ascii="Arial" w:cs="Arial" w:eastAsia="Arial" w:hAnsi="Arial"/>
          <w:sz w:val="19"/>
          <w:szCs w:val="19"/>
          <w:color w:val="2A2A2A"/>
        </w:rPr>
      </w:pPr>
      <w:r>
        <w:rPr>
          <w:rFonts w:ascii="Arial" w:cs="Arial" w:eastAsia="Arial" w:hAnsi="Arial"/>
          <w:sz w:val="19"/>
          <w:szCs w:val="19"/>
          <w:color w:val="2A2A2A"/>
        </w:rPr>
        <w:t>On March 1, 2024, the date of his election to the board, Dr. DesRoches received a restricted stock unit grant with a value of $200,000 pursuant to the terms of the Texas Instruments 2018 Director Compensation Plan.</w:t>
      </w:r>
    </w:p>
    <w:p>
      <w:pPr>
        <w:sectPr>
          <w:pgSz w:w="12240" w:h="15840" w:orient="portrait"/>
          <w:cols w:equalWidth="0" w:num="1">
            <w:col w:w="10281"/>
          </w:cols>
          <w:pgMar w:left="979"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69</w:t>
      </w:r>
    </w:p>
    <w:p>
      <w:pPr>
        <w:sectPr>
          <w:pgSz w:w="12240" w:h="15840" w:orient="portrait"/>
          <w:cols w:equalWidth="0" w:num="1">
            <w:col w:w="10281"/>
          </w:cols>
          <w:pgMar w:left="979" w:top="664" w:right="980" w:bottom="33" w:gutter="0" w:footer="0" w:header="0"/>
          <w:type w:val="continuous"/>
        </w:sectPr>
      </w:pPr>
    </w:p>
    <w:bookmarkStart w:id="141" w:name="page142"/>
    <w:bookmarkEnd w:id="141"/>
    <w:p>
      <w:pPr>
        <w:ind w:left="541" w:hanging="541"/>
        <w:spacing w:after="0"/>
        <w:tabs>
          <w:tab w:leader="none" w:pos="541" w:val="left"/>
        </w:tabs>
        <w:numPr>
          <w:ilvl w:val="0"/>
          <w:numId w:val="151"/>
        </w:numPr>
        <w:rPr>
          <w:rFonts w:ascii="Arial" w:cs="Arial" w:eastAsia="Arial" w:hAnsi="Arial"/>
          <w:sz w:val="20"/>
          <w:szCs w:val="20"/>
          <w:color w:val="2A2A2A"/>
        </w:rPr>
      </w:pPr>
      <w:r>
        <w:rPr>
          <w:rFonts w:ascii="Arial" w:cs="Arial" w:eastAsia="Arial" w:hAnsi="Arial"/>
          <w:sz w:val="20"/>
          <w:szCs w:val="20"/>
          <w:color w:val="2A2A2A"/>
        </w:rPr>
        <w:t>Included in the shares owned shown above are:</w:t>
      </w:r>
    </w:p>
    <w:p>
      <w:pPr>
        <w:spacing w:after="0" w:line="90" w:lineRule="exact"/>
        <w:rPr>
          <w:sz w:val="20"/>
          <w:szCs w:val="20"/>
          <w:color w:val="auto"/>
        </w:rPr>
      </w:pPr>
    </w:p>
    <w:tbl>
      <w:tblPr>
        <w:tblLayout w:type="fixed"/>
        <w:tblInd w:w="541"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jc w:val="center"/>
              <w:ind w:left="91"/>
              <w:spacing w:after="0"/>
              <w:rPr>
                <w:sz w:val="20"/>
                <w:szCs w:val="20"/>
                <w:color w:val="auto"/>
              </w:rPr>
            </w:pPr>
            <w:r>
              <w:rPr>
                <w:rFonts w:ascii="Arial" w:cs="Arial" w:eastAsia="Arial" w:hAnsi="Arial"/>
                <w:sz w:val="16"/>
                <w:szCs w:val="16"/>
                <w:b w:val="1"/>
                <w:bCs w:val="1"/>
                <w:color w:val="2A2A2A"/>
              </w:rPr>
              <w:t>Shares Credited</w:t>
            </w:r>
          </w:p>
        </w:tc>
      </w:tr>
      <w:tr>
        <w:trPr>
          <w:trHeight w:val="192"/>
        </w:trPr>
        <w:tc>
          <w:tcPr>
            <w:tcW w:w="35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jc w:val="center"/>
              <w:ind w:left="91"/>
              <w:spacing w:after="0"/>
              <w:rPr>
                <w:sz w:val="20"/>
                <w:szCs w:val="20"/>
                <w:color w:val="auto"/>
              </w:rPr>
            </w:pPr>
            <w:r>
              <w:rPr>
                <w:rFonts w:ascii="Arial" w:cs="Arial" w:eastAsia="Arial" w:hAnsi="Arial"/>
                <w:sz w:val="16"/>
                <w:szCs w:val="16"/>
                <w:b w:val="1"/>
                <w:bCs w:val="1"/>
                <w:color w:val="2A2A2A"/>
                <w:w w:val="98"/>
              </w:rPr>
              <w:t>to Deferred</w:t>
            </w:r>
          </w:p>
        </w:tc>
      </w:tr>
      <w:tr>
        <w:trPr>
          <w:trHeight w:val="192"/>
        </w:trPr>
        <w:tc>
          <w:tcPr>
            <w:tcW w:w="3520" w:type="dxa"/>
            <w:vAlign w:val="bottom"/>
          </w:tcPr>
          <w:p>
            <w:pPr>
              <w:spacing w:after="0"/>
              <w:rPr>
                <w:sz w:val="16"/>
                <w:szCs w:val="16"/>
                <w:color w:val="auto"/>
              </w:rPr>
            </w:pPr>
          </w:p>
        </w:tc>
        <w:tc>
          <w:tcPr>
            <w:tcW w:w="3260" w:type="dxa"/>
            <w:vAlign w:val="bottom"/>
          </w:tcPr>
          <w:p>
            <w:pPr>
              <w:jc w:val="right"/>
              <w:ind w:right="223"/>
              <w:spacing w:after="0"/>
              <w:rPr>
                <w:sz w:val="20"/>
                <w:szCs w:val="20"/>
                <w:color w:val="auto"/>
              </w:rPr>
            </w:pPr>
            <w:r>
              <w:rPr>
                <w:rFonts w:ascii="Arial" w:cs="Arial" w:eastAsia="Arial" w:hAnsi="Arial"/>
                <w:sz w:val="16"/>
                <w:szCs w:val="16"/>
                <w:b w:val="1"/>
                <w:bCs w:val="1"/>
                <w:color w:val="2A2A2A"/>
              </w:rPr>
              <w:t>Shares Obtainable</w:t>
            </w:r>
          </w:p>
        </w:tc>
        <w:tc>
          <w:tcPr>
            <w:tcW w:w="1420" w:type="dxa"/>
            <w:vAlign w:val="bottom"/>
          </w:tcPr>
          <w:p>
            <w:pPr>
              <w:jc w:val="right"/>
              <w:ind w:right="363"/>
              <w:spacing w:after="0"/>
              <w:rPr>
                <w:sz w:val="20"/>
                <w:szCs w:val="20"/>
                <w:color w:val="auto"/>
              </w:rPr>
            </w:pPr>
            <w:r>
              <w:rPr>
                <w:rFonts w:ascii="Arial" w:cs="Arial" w:eastAsia="Arial" w:hAnsi="Arial"/>
                <w:sz w:val="16"/>
                <w:szCs w:val="16"/>
                <w:b w:val="1"/>
                <w:bCs w:val="1"/>
                <w:color w:val="2A2A2A"/>
              </w:rPr>
              <w:t>RSUs</w:t>
            </w:r>
          </w:p>
        </w:tc>
        <w:tc>
          <w:tcPr>
            <w:tcW w:w="1540" w:type="dxa"/>
            <w:vAlign w:val="bottom"/>
          </w:tcPr>
          <w:p>
            <w:pPr>
              <w:jc w:val="center"/>
              <w:ind w:left="91"/>
              <w:spacing w:after="0"/>
              <w:rPr>
                <w:sz w:val="20"/>
                <w:szCs w:val="20"/>
                <w:color w:val="auto"/>
              </w:rPr>
            </w:pPr>
            <w:r>
              <w:rPr>
                <w:rFonts w:ascii="Arial" w:cs="Arial" w:eastAsia="Arial" w:hAnsi="Arial"/>
                <w:sz w:val="16"/>
                <w:szCs w:val="16"/>
                <w:b w:val="1"/>
                <w:bCs w:val="1"/>
                <w:color w:val="2A2A2A"/>
              </w:rPr>
              <w:t>Compensation</w:t>
            </w:r>
          </w:p>
        </w:tc>
      </w:tr>
      <w:tr>
        <w:trPr>
          <w:trHeight w:val="214"/>
        </w:trPr>
        <w:tc>
          <w:tcPr>
            <w:tcW w:w="35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Directors</w:t>
            </w:r>
          </w:p>
        </w:tc>
        <w:tc>
          <w:tcPr>
            <w:tcW w:w="3260" w:type="dxa"/>
            <w:vAlign w:val="bottom"/>
            <w:tcBorders>
              <w:bottom w:val="single" w:sz="8" w:color="2A2A2A"/>
            </w:tcBorders>
          </w:tcPr>
          <w:p>
            <w:pPr>
              <w:jc w:val="right"/>
              <w:ind w:right="363"/>
              <w:spacing w:after="0"/>
              <w:rPr>
                <w:sz w:val="20"/>
                <w:szCs w:val="20"/>
                <w:color w:val="auto"/>
              </w:rPr>
            </w:pPr>
            <w:r>
              <w:rPr>
                <w:rFonts w:ascii="Arial" w:cs="Arial" w:eastAsia="Arial" w:hAnsi="Arial"/>
                <w:sz w:val="16"/>
                <w:szCs w:val="16"/>
                <w:b w:val="1"/>
                <w:bCs w:val="1"/>
                <w:color w:val="2A2A2A"/>
              </w:rPr>
              <w:t>within 60 Days</w:t>
            </w:r>
          </w:p>
        </w:tc>
        <w:tc>
          <w:tcPr>
            <w:tcW w:w="1420" w:type="dxa"/>
            <w:vAlign w:val="bottom"/>
            <w:tcBorders>
              <w:bottom w:val="single" w:sz="8" w:color="2A2A2A"/>
            </w:tcBorders>
          </w:tcPr>
          <w:p>
            <w:pPr>
              <w:jc w:val="right"/>
              <w:ind w:right="143"/>
              <w:spacing w:after="0"/>
              <w:rPr>
                <w:sz w:val="20"/>
                <w:szCs w:val="20"/>
                <w:color w:val="auto"/>
              </w:rPr>
            </w:pPr>
            <w:r>
              <w:rPr>
                <w:rFonts w:ascii="Arial" w:cs="Arial" w:eastAsia="Arial" w:hAnsi="Arial"/>
                <w:sz w:val="16"/>
                <w:szCs w:val="16"/>
                <w:b w:val="1"/>
                <w:bCs w:val="1"/>
                <w:color w:val="2A2A2A"/>
              </w:rPr>
              <w:t>(Shares) (a)</w:t>
            </w:r>
          </w:p>
        </w:tc>
        <w:tc>
          <w:tcPr>
            <w:tcW w:w="1540" w:type="dxa"/>
            <w:vAlign w:val="bottom"/>
            <w:tcBorders>
              <w:bottom w:val="single" w:sz="8" w:color="2A2A2A"/>
            </w:tcBorders>
          </w:tcPr>
          <w:p>
            <w:pPr>
              <w:jc w:val="center"/>
              <w:ind w:left="91"/>
              <w:spacing w:after="0"/>
              <w:rPr>
                <w:sz w:val="20"/>
                <w:szCs w:val="20"/>
                <w:color w:val="auto"/>
              </w:rPr>
            </w:pPr>
            <w:r>
              <w:rPr>
                <w:rFonts w:ascii="Arial" w:cs="Arial" w:eastAsia="Arial" w:hAnsi="Arial"/>
                <w:sz w:val="16"/>
                <w:szCs w:val="16"/>
                <w:b w:val="1"/>
                <w:bCs w:val="1"/>
                <w:color w:val="2A2A2A"/>
                <w:w w:val="98"/>
              </w:rPr>
              <w:t>Accounts (b)</w:t>
            </w:r>
          </w:p>
        </w:tc>
      </w:tr>
      <w:tr>
        <w:trPr>
          <w:trHeight w:val="275"/>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Mark A. Blinn</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4,615</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11,773</w:t>
            </w:r>
          </w:p>
        </w:tc>
        <w:tc>
          <w:tcPr>
            <w:tcW w:w="1540" w:type="dxa"/>
            <w:vAlign w:val="bottom"/>
            <w:shd w:val="clear" w:color="auto" w:fill="D7D7D7"/>
          </w:tcPr>
          <w:p>
            <w:pPr>
              <w:jc w:val="right"/>
              <w:ind w:right="191"/>
              <w:spacing w:after="0"/>
              <w:rPr>
                <w:sz w:val="20"/>
                <w:szCs w:val="20"/>
                <w:color w:val="auto"/>
              </w:rPr>
            </w:pPr>
            <w:r>
              <w:rPr>
                <w:rFonts w:ascii="Arial" w:cs="Arial" w:eastAsia="Arial" w:hAnsi="Arial"/>
                <w:sz w:val="20"/>
                <w:szCs w:val="20"/>
                <w:color w:val="2A2A2A"/>
              </w:rPr>
              <w:t>10,586</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Todd M. Bluedorn</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16,386</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2,502</w:t>
            </w:r>
          </w:p>
        </w:tc>
        <w:tc>
          <w:tcPr>
            <w:tcW w:w="1540" w:type="dxa"/>
            <w:vAlign w:val="bottom"/>
          </w:tcPr>
          <w:p>
            <w:pPr>
              <w:jc w:val="right"/>
              <w:ind w:right="211"/>
              <w:spacing w:after="0"/>
              <w:rPr>
                <w:sz w:val="20"/>
                <w:szCs w:val="20"/>
                <w:color w:val="auto"/>
              </w:rPr>
            </w:pPr>
            <w:r>
              <w:rPr>
                <w:rFonts w:ascii="Arial" w:cs="Arial" w:eastAsia="Arial" w:hAnsi="Arial"/>
                <w:sz w:val="16"/>
                <w:szCs w:val="16"/>
                <w:color w:val="2A2A2A"/>
              </w:rPr>
              <w:t>—</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Janet F. Clark</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22,451</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9,516</w:t>
            </w:r>
          </w:p>
        </w:tc>
        <w:tc>
          <w:tcPr>
            <w:tcW w:w="1540" w:type="dxa"/>
            <w:vAlign w:val="bottom"/>
            <w:shd w:val="clear" w:color="auto" w:fill="D7D7D7"/>
          </w:tcPr>
          <w:p>
            <w:pPr>
              <w:jc w:val="right"/>
              <w:ind w:right="191"/>
              <w:spacing w:after="0"/>
              <w:rPr>
                <w:sz w:val="20"/>
                <w:szCs w:val="20"/>
                <w:color w:val="auto"/>
              </w:rPr>
            </w:pPr>
            <w:r>
              <w:rPr>
                <w:rFonts w:ascii="Arial" w:cs="Arial" w:eastAsia="Arial" w:hAnsi="Arial"/>
                <w:sz w:val="20"/>
                <w:szCs w:val="20"/>
                <w:color w:val="2A2A2A"/>
              </w:rPr>
              <w:t>7,771</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Carrie S. Cox</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16,386</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32,662</w:t>
            </w:r>
          </w:p>
        </w:tc>
        <w:tc>
          <w:tcPr>
            <w:tcW w:w="1540" w:type="dxa"/>
            <w:vAlign w:val="bottom"/>
          </w:tcPr>
          <w:p>
            <w:pPr>
              <w:jc w:val="right"/>
              <w:ind w:right="191"/>
              <w:spacing w:after="0"/>
              <w:rPr>
                <w:sz w:val="20"/>
                <w:szCs w:val="20"/>
                <w:color w:val="auto"/>
              </w:rPr>
            </w:pPr>
            <w:r>
              <w:rPr>
                <w:rFonts w:ascii="Arial" w:cs="Arial" w:eastAsia="Arial" w:hAnsi="Arial"/>
                <w:sz w:val="20"/>
                <w:szCs w:val="20"/>
                <w:color w:val="2A2A2A"/>
              </w:rPr>
              <w:t>4,073</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Martin S. Craighead</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12,080</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2,502</w:t>
            </w:r>
          </w:p>
        </w:tc>
        <w:tc>
          <w:tcPr>
            <w:tcW w:w="1540" w:type="dxa"/>
            <w:vAlign w:val="bottom"/>
            <w:shd w:val="clear" w:color="auto" w:fill="D7D7D7"/>
          </w:tcPr>
          <w:p>
            <w:pPr>
              <w:jc w:val="right"/>
              <w:ind w:right="211"/>
              <w:spacing w:after="0"/>
              <w:rPr>
                <w:sz w:val="20"/>
                <w:szCs w:val="20"/>
                <w:color w:val="auto"/>
              </w:rPr>
            </w:pPr>
            <w:r>
              <w:rPr>
                <w:rFonts w:ascii="Arial" w:cs="Arial" w:eastAsia="Arial" w:hAnsi="Arial"/>
                <w:sz w:val="16"/>
                <w:szCs w:val="16"/>
                <w:color w:val="2A2A2A"/>
              </w:rPr>
              <w:t>—</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Reginald DesRoches</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(c)</w:t>
            </w:r>
          </w:p>
        </w:tc>
        <w:tc>
          <w:tcPr>
            <w:tcW w:w="1540" w:type="dxa"/>
            <w:vAlign w:val="bottom"/>
          </w:tcPr>
          <w:p>
            <w:pPr>
              <w:jc w:val="right"/>
              <w:ind w:right="191"/>
              <w:spacing w:after="0"/>
              <w:rPr>
                <w:sz w:val="20"/>
                <w:szCs w:val="20"/>
                <w:color w:val="auto"/>
              </w:rPr>
            </w:pPr>
            <w:r>
              <w:rPr>
                <w:rFonts w:ascii="Arial" w:cs="Arial" w:eastAsia="Arial" w:hAnsi="Arial"/>
                <w:sz w:val="20"/>
                <w:szCs w:val="20"/>
                <w:color w:val="2A2A2A"/>
              </w:rPr>
              <w:t>—</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Curtis C. Farmer</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1,086</w:t>
            </w:r>
          </w:p>
        </w:tc>
        <w:tc>
          <w:tcPr>
            <w:tcW w:w="1540" w:type="dxa"/>
            <w:vAlign w:val="bottom"/>
            <w:shd w:val="clear" w:color="auto" w:fill="D7D7D7"/>
          </w:tcPr>
          <w:p>
            <w:pPr>
              <w:jc w:val="right"/>
              <w:ind w:right="191"/>
              <w:spacing w:after="0"/>
              <w:rPr>
                <w:sz w:val="20"/>
                <w:szCs w:val="20"/>
                <w:color w:val="auto"/>
              </w:rPr>
            </w:pPr>
            <w:r>
              <w:rPr>
                <w:rFonts w:ascii="Arial" w:cs="Arial" w:eastAsia="Arial" w:hAnsi="Arial"/>
                <w:sz w:val="20"/>
                <w:szCs w:val="20"/>
                <w:color w:val="2A2A2A"/>
              </w:rPr>
              <w:t>519</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Jean M. Hobby</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22,451</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2,502</w:t>
            </w:r>
          </w:p>
        </w:tc>
        <w:tc>
          <w:tcPr>
            <w:tcW w:w="1540" w:type="dxa"/>
            <w:vAlign w:val="bottom"/>
          </w:tcPr>
          <w:p>
            <w:pPr>
              <w:jc w:val="right"/>
              <w:ind w:right="211"/>
              <w:spacing w:after="0"/>
              <w:rPr>
                <w:sz w:val="20"/>
                <w:szCs w:val="20"/>
                <w:color w:val="auto"/>
              </w:rPr>
            </w:pPr>
            <w:r>
              <w:rPr>
                <w:rFonts w:ascii="Arial" w:cs="Arial" w:eastAsia="Arial" w:hAnsi="Arial"/>
                <w:sz w:val="16"/>
                <w:szCs w:val="16"/>
                <w:color w:val="2A2A2A"/>
              </w:rPr>
              <w:t>—</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Haviv Ilan</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467,513</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98,127</w:t>
            </w:r>
          </w:p>
        </w:tc>
        <w:tc>
          <w:tcPr>
            <w:tcW w:w="1540" w:type="dxa"/>
            <w:vAlign w:val="bottom"/>
            <w:shd w:val="clear" w:color="auto" w:fill="D7D7D7"/>
          </w:tcPr>
          <w:p>
            <w:pPr>
              <w:jc w:val="right"/>
              <w:ind w:right="211"/>
              <w:spacing w:after="0"/>
              <w:rPr>
                <w:sz w:val="20"/>
                <w:szCs w:val="20"/>
                <w:color w:val="auto"/>
              </w:rPr>
            </w:pPr>
            <w:r>
              <w:rPr>
                <w:rFonts w:ascii="Arial" w:cs="Arial" w:eastAsia="Arial" w:hAnsi="Arial"/>
                <w:sz w:val="16"/>
                <w:szCs w:val="16"/>
                <w:color w:val="2A2A2A"/>
              </w:rPr>
              <w:t>—</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Ronald Kirk</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42,980</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2,502</w:t>
            </w:r>
          </w:p>
        </w:tc>
        <w:tc>
          <w:tcPr>
            <w:tcW w:w="1540" w:type="dxa"/>
            <w:vAlign w:val="bottom"/>
          </w:tcPr>
          <w:p>
            <w:pPr>
              <w:jc w:val="right"/>
              <w:ind w:right="191"/>
              <w:spacing w:after="0"/>
              <w:rPr>
                <w:sz w:val="20"/>
                <w:szCs w:val="20"/>
                <w:color w:val="auto"/>
              </w:rPr>
            </w:pPr>
            <w:r>
              <w:rPr>
                <w:rFonts w:ascii="Arial" w:cs="Arial" w:eastAsia="Arial" w:hAnsi="Arial"/>
                <w:sz w:val="20"/>
                <w:szCs w:val="20"/>
                <w:color w:val="2A2A2A"/>
              </w:rPr>
              <w:t>5,322</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Pamela H. Patsley</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32,441</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4,502</w:t>
            </w:r>
          </w:p>
        </w:tc>
        <w:tc>
          <w:tcPr>
            <w:tcW w:w="1540" w:type="dxa"/>
            <w:vAlign w:val="bottom"/>
            <w:shd w:val="clear" w:color="auto" w:fill="D7D7D7"/>
          </w:tcPr>
          <w:p>
            <w:pPr>
              <w:jc w:val="right"/>
              <w:ind w:right="191"/>
              <w:spacing w:after="0"/>
              <w:rPr>
                <w:sz w:val="20"/>
                <w:szCs w:val="20"/>
                <w:color w:val="auto"/>
              </w:rPr>
            </w:pPr>
            <w:r>
              <w:rPr>
                <w:rFonts w:ascii="Arial" w:cs="Arial" w:eastAsia="Arial" w:hAnsi="Arial"/>
                <w:sz w:val="20"/>
                <w:szCs w:val="20"/>
                <w:color w:val="2A2A2A"/>
              </w:rPr>
              <w:t>59,345</w:t>
            </w:r>
          </w:p>
        </w:tc>
      </w:tr>
      <w:tr>
        <w:trPr>
          <w:trHeight w:val="283"/>
        </w:trPr>
        <w:tc>
          <w:tcPr>
            <w:tcW w:w="3520" w:type="dxa"/>
            <w:vAlign w:val="bottom"/>
          </w:tcPr>
          <w:p>
            <w:pPr>
              <w:ind w:left="60"/>
              <w:spacing w:after="0"/>
              <w:rPr>
                <w:sz w:val="20"/>
                <w:szCs w:val="20"/>
                <w:color w:val="auto"/>
              </w:rPr>
            </w:pPr>
            <w:r>
              <w:rPr>
                <w:rFonts w:ascii="Arial" w:cs="Arial" w:eastAsia="Arial" w:hAnsi="Arial"/>
                <w:sz w:val="20"/>
                <w:szCs w:val="20"/>
                <w:color w:val="2A2A2A"/>
              </w:rPr>
              <w:t>Robert E. Sanchez</w:t>
            </w:r>
          </w:p>
        </w:tc>
        <w:tc>
          <w:tcPr>
            <w:tcW w:w="3260" w:type="dxa"/>
            <w:vAlign w:val="bottom"/>
          </w:tcPr>
          <w:p>
            <w:pPr>
              <w:jc w:val="right"/>
              <w:ind w:right="463"/>
              <w:spacing w:after="0"/>
              <w:rPr>
                <w:sz w:val="20"/>
                <w:szCs w:val="20"/>
                <w:color w:val="auto"/>
              </w:rPr>
            </w:pPr>
            <w:r>
              <w:rPr>
                <w:rFonts w:ascii="Arial" w:cs="Arial" w:eastAsia="Arial" w:hAnsi="Arial"/>
                <w:sz w:val="20"/>
                <w:szCs w:val="20"/>
                <w:color w:val="2A2A2A"/>
              </w:rPr>
              <w:t>42,980</w:t>
            </w:r>
          </w:p>
        </w:tc>
        <w:tc>
          <w:tcPr>
            <w:tcW w:w="1420" w:type="dxa"/>
            <w:vAlign w:val="bottom"/>
          </w:tcPr>
          <w:p>
            <w:pPr>
              <w:jc w:val="right"/>
              <w:ind w:right="183"/>
              <w:spacing w:after="0"/>
              <w:rPr>
                <w:sz w:val="20"/>
                <w:szCs w:val="20"/>
                <w:color w:val="auto"/>
              </w:rPr>
            </w:pPr>
            <w:r>
              <w:rPr>
                <w:rFonts w:ascii="Arial" w:cs="Arial" w:eastAsia="Arial" w:hAnsi="Arial"/>
                <w:sz w:val="20"/>
                <w:szCs w:val="20"/>
                <w:color w:val="2A2A2A"/>
              </w:rPr>
              <w:t>9,369</w:t>
            </w:r>
          </w:p>
        </w:tc>
        <w:tc>
          <w:tcPr>
            <w:tcW w:w="1540" w:type="dxa"/>
            <w:vAlign w:val="bottom"/>
          </w:tcPr>
          <w:p>
            <w:pPr>
              <w:jc w:val="right"/>
              <w:ind w:right="191"/>
              <w:spacing w:after="0"/>
              <w:rPr>
                <w:sz w:val="20"/>
                <w:szCs w:val="20"/>
                <w:color w:val="auto"/>
              </w:rPr>
            </w:pPr>
            <w:r>
              <w:rPr>
                <w:rFonts w:ascii="Arial" w:cs="Arial" w:eastAsia="Arial" w:hAnsi="Arial"/>
                <w:sz w:val="20"/>
                <w:szCs w:val="20"/>
                <w:color w:val="2A2A2A"/>
              </w:rPr>
              <w:t>11,324</w:t>
            </w:r>
          </w:p>
        </w:tc>
      </w:tr>
      <w:tr>
        <w:trPr>
          <w:trHeight w:val="287"/>
        </w:trPr>
        <w:tc>
          <w:tcPr>
            <w:tcW w:w="35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Richard K. Templeton</w:t>
            </w:r>
          </w:p>
        </w:tc>
        <w:tc>
          <w:tcPr>
            <w:tcW w:w="3260" w:type="dxa"/>
            <w:vAlign w:val="bottom"/>
            <w:shd w:val="clear" w:color="auto" w:fill="D7D7D7"/>
          </w:tcPr>
          <w:p>
            <w:pPr>
              <w:jc w:val="right"/>
              <w:ind w:right="463"/>
              <w:spacing w:after="0"/>
              <w:rPr>
                <w:sz w:val="20"/>
                <w:szCs w:val="20"/>
                <w:color w:val="auto"/>
              </w:rPr>
            </w:pPr>
            <w:r>
              <w:rPr>
                <w:rFonts w:ascii="Arial" w:cs="Arial" w:eastAsia="Arial" w:hAnsi="Arial"/>
                <w:sz w:val="20"/>
                <w:szCs w:val="20"/>
                <w:color w:val="2A2A2A"/>
              </w:rPr>
              <w:t>2,408,083</w:t>
            </w:r>
          </w:p>
        </w:tc>
        <w:tc>
          <w:tcPr>
            <w:tcW w:w="1420" w:type="dxa"/>
            <w:vAlign w:val="bottom"/>
            <w:shd w:val="clear" w:color="auto" w:fill="D7D7D7"/>
          </w:tcPr>
          <w:p>
            <w:pPr>
              <w:jc w:val="right"/>
              <w:ind w:right="183"/>
              <w:spacing w:after="0"/>
              <w:rPr>
                <w:sz w:val="20"/>
                <w:szCs w:val="20"/>
                <w:color w:val="auto"/>
              </w:rPr>
            </w:pPr>
            <w:r>
              <w:rPr>
                <w:rFonts w:ascii="Arial" w:cs="Arial" w:eastAsia="Arial" w:hAnsi="Arial"/>
                <w:sz w:val="20"/>
                <w:szCs w:val="20"/>
                <w:color w:val="2A2A2A"/>
              </w:rPr>
              <w:t>301,374</w:t>
            </w:r>
          </w:p>
        </w:tc>
        <w:tc>
          <w:tcPr>
            <w:tcW w:w="1540" w:type="dxa"/>
            <w:vAlign w:val="bottom"/>
            <w:shd w:val="clear" w:color="auto" w:fill="D7D7D7"/>
          </w:tcPr>
          <w:p>
            <w:pPr>
              <w:jc w:val="right"/>
              <w:ind w:right="211"/>
              <w:spacing w:after="0"/>
              <w:rPr>
                <w:sz w:val="20"/>
                <w:szCs w:val="20"/>
                <w:color w:val="auto"/>
              </w:rPr>
            </w:pPr>
            <w:r>
              <w:rPr>
                <w:rFonts w:ascii="Arial" w:cs="Arial" w:eastAsia="Arial" w:hAnsi="Arial"/>
                <w:sz w:val="16"/>
                <w:szCs w:val="16"/>
                <w:color w:val="2A2A2A"/>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-2364740</wp:posOffset>
            </wp:positionV>
            <wp:extent cx="620712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07125" cy="25400"/>
                    </a:xfrm>
                    <a:prstGeom prst="rect">
                      <a:avLst/>
                    </a:prstGeom>
                    <a:noFill/>
                  </pic:spPr>
                </pic:pic>
              </a:graphicData>
            </a:graphic>
          </wp:anchor>
        </w:drawing>
      </w:r>
    </w:p>
    <w:p>
      <w:pPr>
        <w:spacing w:after="0" w:line="205" w:lineRule="exact"/>
        <w:rPr>
          <w:sz w:val="20"/>
          <w:szCs w:val="20"/>
          <w:color w:val="auto"/>
        </w:rPr>
      </w:pPr>
    </w:p>
    <w:p>
      <w:pPr>
        <w:ind w:left="1081" w:right="100" w:hanging="541"/>
        <w:spacing w:after="0" w:line="262" w:lineRule="auto"/>
        <w:tabs>
          <w:tab w:leader="none" w:pos="1081" w:val="left"/>
        </w:tabs>
        <w:numPr>
          <w:ilvl w:val="1"/>
          <w:numId w:val="152"/>
        </w:numPr>
        <w:rPr>
          <w:rFonts w:ascii="Arial" w:cs="Arial" w:eastAsia="Arial" w:hAnsi="Arial"/>
          <w:sz w:val="20"/>
          <w:szCs w:val="20"/>
          <w:color w:val="2A2A2A"/>
        </w:rPr>
      </w:pPr>
      <w:r>
        <w:rPr>
          <w:rFonts w:ascii="Arial" w:cs="Arial" w:eastAsia="Arial" w:hAnsi="Arial"/>
          <w:sz w:val="20"/>
          <w:szCs w:val="20"/>
          <w:color w:val="2A2A2A"/>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75" w:lineRule="exact"/>
        <w:rPr>
          <w:rFonts w:ascii="Arial" w:cs="Arial" w:eastAsia="Arial" w:hAnsi="Arial"/>
          <w:sz w:val="20"/>
          <w:szCs w:val="20"/>
          <w:color w:val="2A2A2A"/>
        </w:rPr>
      </w:pPr>
    </w:p>
    <w:p>
      <w:pPr>
        <w:ind w:left="1081" w:hanging="541"/>
        <w:spacing w:after="0"/>
        <w:tabs>
          <w:tab w:leader="none" w:pos="1081" w:val="left"/>
        </w:tabs>
        <w:numPr>
          <w:ilvl w:val="1"/>
          <w:numId w:val="152"/>
        </w:numPr>
        <w:rPr>
          <w:rFonts w:ascii="Arial" w:cs="Arial" w:eastAsia="Arial" w:hAnsi="Arial"/>
          <w:sz w:val="20"/>
          <w:szCs w:val="20"/>
          <w:color w:val="2A2A2A"/>
        </w:rPr>
      </w:pPr>
      <w:r>
        <w:rPr>
          <w:rFonts w:ascii="Arial" w:cs="Arial" w:eastAsia="Arial" w:hAnsi="Arial"/>
          <w:sz w:val="20"/>
          <w:szCs w:val="20"/>
          <w:color w:val="2A2A2A"/>
        </w:rPr>
        <w:t>The shares in deferred compensation accounts are issued following the director’s termination of service.</w:t>
      </w:r>
    </w:p>
    <w:p>
      <w:pPr>
        <w:spacing w:after="0" w:line="130" w:lineRule="exact"/>
        <w:rPr>
          <w:rFonts w:ascii="Arial" w:cs="Arial" w:eastAsia="Arial" w:hAnsi="Arial"/>
          <w:sz w:val="20"/>
          <w:szCs w:val="20"/>
          <w:color w:val="2A2A2A"/>
        </w:rPr>
      </w:pPr>
    </w:p>
    <w:p>
      <w:pPr>
        <w:ind w:left="1081" w:right="160" w:hanging="541"/>
        <w:spacing w:after="0" w:line="268" w:lineRule="auto"/>
        <w:tabs>
          <w:tab w:leader="none" w:pos="1081" w:val="left"/>
        </w:tabs>
        <w:numPr>
          <w:ilvl w:val="1"/>
          <w:numId w:val="152"/>
        </w:numPr>
        <w:rPr>
          <w:rFonts w:ascii="Arial" w:cs="Arial" w:eastAsia="Arial" w:hAnsi="Arial"/>
          <w:sz w:val="20"/>
          <w:szCs w:val="20"/>
          <w:color w:val="2A2A2A"/>
        </w:rPr>
      </w:pPr>
      <w:r>
        <w:rPr>
          <w:rFonts w:ascii="Arial" w:cs="Arial" w:eastAsia="Arial" w:hAnsi="Arial"/>
          <w:sz w:val="20"/>
          <w:szCs w:val="20"/>
          <w:color w:val="2A2A2A"/>
        </w:rPr>
        <w:t>On March 1, 2024, the date of his election to the board, Dr. DesRoches received a restricted stock unit grant with a value of $200,000 pursuant to the terms of the Texas Instruments 2018 Director Compensation Plan.</w:t>
      </w:r>
    </w:p>
    <w:p>
      <w:pPr>
        <w:spacing w:after="0" w:line="69" w:lineRule="exact"/>
        <w:rPr>
          <w:rFonts w:ascii="Arial" w:cs="Arial" w:eastAsia="Arial" w:hAnsi="Arial"/>
          <w:sz w:val="20"/>
          <w:szCs w:val="20"/>
          <w:color w:val="2A2A2A"/>
        </w:rPr>
      </w:pPr>
    </w:p>
    <w:p>
      <w:pPr>
        <w:ind w:left="541" w:hanging="541"/>
        <w:spacing w:after="0"/>
        <w:tabs>
          <w:tab w:leader="none" w:pos="541" w:val="left"/>
        </w:tabs>
        <w:numPr>
          <w:ilvl w:val="0"/>
          <w:numId w:val="153"/>
        </w:numPr>
        <w:rPr>
          <w:rFonts w:ascii="Arial" w:cs="Arial" w:eastAsia="Arial" w:hAnsi="Arial"/>
          <w:sz w:val="20"/>
          <w:szCs w:val="20"/>
          <w:color w:val="2A2A2A"/>
        </w:rPr>
      </w:pPr>
      <w:r>
        <w:rPr>
          <w:rFonts w:ascii="Arial" w:cs="Arial" w:eastAsia="Arial" w:hAnsi="Arial"/>
          <w:sz w:val="20"/>
          <w:szCs w:val="20"/>
          <w:color w:val="2A2A2A"/>
        </w:rPr>
        <w:t>Includes 15,046 shares held in a trust for which Mr. Blinn shares voting and investment power.</w:t>
      </w:r>
    </w:p>
    <w:p>
      <w:pPr>
        <w:spacing w:after="0" w:line="130" w:lineRule="exact"/>
        <w:rPr>
          <w:rFonts w:ascii="Arial" w:cs="Arial" w:eastAsia="Arial" w:hAnsi="Arial"/>
          <w:sz w:val="20"/>
          <w:szCs w:val="20"/>
          <w:color w:val="2A2A2A"/>
        </w:rPr>
      </w:pPr>
    </w:p>
    <w:p>
      <w:pPr>
        <w:ind w:left="541" w:right="220" w:hanging="541"/>
        <w:spacing w:after="0" w:line="262" w:lineRule="auto"/>
        <w:tabs>
          <w:tab w:leader="none" w:pos="541" w:val="left"/>
        </w:tabs>
        <w:numPr>
          <w:ilvl w:val="0"/>
          <w:numId w:val="153"/>
        </w:numPr>
        <w:rPr>
          <w:rFonts w:ascii="Arial" w:cs="Arial" w:eastAsia="Arial" w:hAnsi="Arial"/>
          <w:sz w:val="20"/>
          <w:szCs w:val="20"/>
          <w:color w:val="2A2A2A"/>
        </w:rPr>
      </w:pPr>
      <w:r>
        <w:rPr>
          <w:rFonts w:ascii="Arial" w:cs="Arial" w:eastAsia="Arial" w:hAnsi="Arial"/>
          <w:sz w:val="20"/>
          <w:szCs w:val="20"/>
          <w:color w:val="2A2A2A"/>
        </w:rPr>
        <w:t>Includes 12,999 shares credited to Mr. Templeton’s 401(k) and profit sharing accounts. Also includes 48,840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135" w:lineRule="exact"/>
        <w:rPr>
          <w:rFonts w:ascii="Arial" w:cs="Arial" w:eastAsia="Arial" w:hAnsi="Arial"/>
          <w:sz w:val="20"/>
          <w:szCs w:val="20"/>
          <w:color w:val="2A2A2A"/>
        </w:rPr>
      </w:pPr>
    </w:p>
    <w:p>
      <w:pPr>
        <w:ind w:left="541" w:hanging="541"/>
        <w:spacing w:after="0"/>
        <w:tabs>
          <w:tab w:leader="none" w:pos="541" w:val="left"/>
        </w:tabs>
        <w:numPr>
          <w:ilvl w:val="0"/>
          <w:numId w:val="153"/>
        </w:numPr>
        <w:rPr>
          <w:rFonts w:ascii="Arial" w:cs="Arial" w:eastAsia="Arial" w:hAnsi="Arial"/>
          <w:sz w:val="20"/>
          <w:szCs w:val="20"/>
          <w:color w:val="2A2A2A"/>
        </w:rPr>
      </w:pPr>
      <w:r>
        <w:rPr>
          <w:rFonts w:ascii="Arial" w:cs="Arial" w:eastAsia="Arial" w:hAnsi="Arial"/>
          <w:sz w:val="20"/>
          <w:szCs w:val="20"/>
          <w:color w:val="2A2A2A"/>
        </w:rPr>
        <w:t>Included in the shares owned shown above are:</w:t>
      </w:r>
    </w:p>
    <w:p>
      <w:pPr>
        <w:spacing w:after="0" w:line="69" w:lineRule="exact"/>
        <w:rPr>
          <w:sz w:val="20"/>
          <w:szCs w:val="20"/>
          <w:color w:val="auto"/>
        </w:rPr>
      </w:pPr>
    </w:p>
    <w:tbl>
      <w:tblPr>
        <w:tblLayout w:type="fixed"/>
        <w:tblInd w:w="541"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3240" w:type="dxa"/>
            <w:vAlign w:val="bottom"/>
          </w:tcPr>
          <w:p>
            <w:pPr>
              <w:jc w:val="right"/>
              <w:ind w:right="107"/>
              <w:spacing w:after="0"/>
              <w:rPr>
                <w:sz w:val="20"/>
                <w:szCs w:val="20"/>
                <w:color w:val="auto"/>
              </w:rPr>
            </w:pPr>
            <w:r>
              <w:rPr>
                <w:rFonts w:ascii="Arial" w:cs="Arial" w:eastAsia="Arial" w:hAnsi="Arial"/>
                <w:sz w:val="16"/>
                <w:szCs w:val="16"/>
                <w:b w:val="1"/>
                <w:bCs w:val="1"/>
                <w:color w:val="2A2A2A"/>
              </w:rPr>
              <w:t>Shares Obtainable</w:t>
            </w:r>
          </w:p>
        </w:tc>
        <w:tc>
          <w:tcPr>
            <w:tcW w:w="1840" w:type="dxa"/>
            <w:vAlign w:val="bottom"/>
          </w:tcPr>
          <w:p>
            <w:pPr>
              <w:ind w:left="240"/>
              <w:spacing w:after="0"/>
              <w:rPr>
                <w:sz w:val="20"/>
                <w:szCs w:val="20"/>
                <w:color w:val="auto"/>
              </w:rPr>
            </w:pPr>
            <w:r>
              <w:rPr>
                <w:rFonts w:ascii="Arial" w:cs="Arial" w:eastAsia="Arial" w:hAnsi="Arial"/>
                <w:sz w:val="16"/>
                <w:szCs w:val="16"/>
                <w:b w:val="1"/>
                <w:bCs w:val="1"/>
                <w:color w:val="2A2A2A"/>
              </w:rPr>
              <w:t>Shares Credited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2A2A2A"/>
              </w:rPr>
              <w:t>RSUs</w:t>
            </w:r>
          </w:p>
        </w:tc>
      </w:tr>
      <w:tr>
        <w:trPr>
          <w:trHeight w:val="214"/>
        </w:trPr>
        <w:tc>
          <w:tcPr>
            <w:tcW w:w="342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Executive Officer</w:t>
            </w:r>
          </w:p>
        </w:tc>
        <w:tc>
          <w:tcPr>
            <w:tcW w:w="3240" w:type="dxa"/>
            <w:vAlign w:val="bottom"/>
            <w:tcBorders>
              <w:bottom w:val="single" w:sz="8" w:color="2A2A2A"/>
            </w:tcBorders>
          </w:tcPr>
          <w:p>
            <w:pPr>
              <w:jc w:val="right"/>
              <w:ind w:right="247"/>
              <w:spacing w:after="0"/>
              <w:rPr>
                <w:sz w:val="20"/>
                <w:szCs w:val="20"/>
                <w:color w:val="auto"/>
              </w:rPr>
            </w:pPr>
            <w:r>
              <w:rPr>
                <w:rFonts w:ascii="Arial" w:cs="Arial" w:eastAsia="Arial" w:hAnsi="Arial"/>
                <w:sz w:val="16"/>
                <w:szCs w:val="16"/>
                <w:b w:val="1"/>
                <w:bCs w:val="1"/>
                <w:color w:val="2A2A2A"/>
              </w:rPr>
              <w:t>within 60 Days</w:t>
            </w:r>
          </w:p>
        </w:tc>
        <w:tc>
          <w:tcPr>
            <w:tcW w:w="1840" w:type="dxa"/>
            <w:vAlign w:val="bottom"/>
            <w:tcBorders>
              <w:bottom w:val="single" w:sz="8" w:color="2A2A2A"/>
            </w:tcBorders>
          </w:tcPr>
          <w:p>
            <w:pPr>
              <w:ind w:left="180"/>
              <w:spacing w:after="0"/>
              <w:rPr>
                <w:sz w:val="20"/>
                <w:szCs w:val="20"/>
                <w:color w:val="auto"/>
              </w:rPr>
            </w:pPr>
            <w:r>
              <w:rPr>
                <w:rFonts w:ascii="Arial" w:cs="Arial" w:eastAsia="Arial" w:hAnsi="Arial"/>
                <w:sz w:val="16"/>
                <w:szCs w:val="16"/>
                <w:b w:val="1"/>
                <w:bCs w:val="1"/>
                <w:color w:val="2A2A2A"/>
              </w:rPr>
              <w:t>to 401(k) Account</w:t>
            </w:r>
          </w:p>
        </w:tc>
        <w:tc>
          <w:tcPr>
            <w:tcW w:w="124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9"/>
              </w:rPr>
              <w:t>(Shares)</w:t>
            </w:r>
          </w:p>
        </w:tc>
      </w:tr>
      <w:tr>
        <w:trPr>
          <w:trHeight w:val="275"/>
        </w:trPr>
        <w:tc>
          <w:tcPr>
            <w:tcW w:w="34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Rafael R. Lizardi</w:t>
            </w:r>
          </w:p>
        </w:tc>
        <w:tc>
          <w:tcPr>
            <w:tcW w:w="3240" w:type="dxa"/>
            <w:vAlign w:val="bottom"/>
            <w:shd w:val="clear" w:color="auto" w:fill="D7D7D7"/>
          </w:tcPr>
          <w:p>
            <w:pPr>
              <w:jc w:val="right"/>
              <w:ind w:right="307"/>
              <w:spacing w:after="0"/>
              <w:rPr>
                <w:sz w:val="20"/>
                <w:szCs w:val="20"/>
                <w:color w:val="auto"/>
              </w:rPr>
            </w:pPr>
            <w:r>
              <w:rPr>
                <w:rFonts w:ascii="Arial" w:cs="Arial" w:eastAsia="Arial" w:hAnsi="Arial"/>
                <w:sz w:val="20"/>
                <w:szCs w:val="20"/>
                <w:color w:val="2A2A2A"/>
              </w:rPr>
              <w:t>178,713</w:t>
            </w:r>
          </w:p>
        </w:tc>
        <w:tc>
          <w:tcPr>
            <w:tcW w:w="1840" w:type="dxa"/>
            <w:vAlign w:val="bottom"/>
            <w:shd w:val="clear" w:color="auto" w:fill="D7D7D7"/>
          </w:tcPr>
          <w:p>
            <w:pPr>
              <w:ind w:left="1020"/>
              <w:spacing w:after="0"/>
              <w:rPr>
                <w:sz w:val="20"/>
                <w:szCs w:val="20"/>
                <w:color w:val="auto"/>
              </w:rPr>
            </w:pPr>
            <w:r>
              <w:rPr>
                <w:rFonts w:ascii="Arial" w:cs="Arial" w:eastAsia="Arial" w:hAnsi="Arial"/>
                <w:sz w:val="20"/>
                <w:szCs w:val="20"/>
                <w:color w:val="2A2A2A"/>
              </w:rPr>
              <w:t>—</w:t>
            </w:r>
          </w:p>
        </w:tc>
        <w:tc>
          <w:tcPr>
            <w:tcW w:w="124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47,048</w:t>
            </w:r>
          </w:p>
        </w:tc>
      </w:tr>
      <w:tr>
        <w:trPr>
          <w:trHeight w:val="283"/>
        </w:trPr>
        <w:tc>
          <w:tcPr>
            <w:tcW w:w="3420" w:type="dxa"/>
            <w:vAlign w:val="bottom"/>
          </w:tcPr>
          <w:p>
            <w:pPr>
              <w:ind w:left="60"/>
              <w:spacing w:after="0"/>
              <w:rPr>
                <w:sz w:val="20"/>
                <w:szCs w:val="20"/>
                <w:color w:val="auto"/>
              </w:rPr>
            </w:pPr>
            <w:r>
              <w:rPr>
                <w:rFonts w:ascii="Arial" w:cs="Arial" w:eastAsia="Arial" w:hAnsi="Arial"/>
                <w:sz w:val="20"/>
                <w:szCs w:val="20"/>
                <w:color w:val="2A2A2A"/>
              </w:rPr>
              <w:t>Hagop H. Kozanian</w:t>
            </w:r>
          </w:p>
        </w:tc>
        <w:tc>
          <w:tcPr>
            <w:tcW w:w="3240" w:type="dxa"/>
            <w:vAlign w:val="bottom"/>
          </w:tcPr>
          <w:p>
            <w:pPr>
              <w:jc w:val="right"/>
              <w:ind w:right="307"/>
              <w:spacing w:after="0"/>
              <w:rPr>
                <w:sz w:val="20"/>
                <w:szCs w:val="20"/>
                <w:color w:val="auto"/>
              </w:rPr>
            </w:pPr>
            <w:r>
              <w:rPr>
                <w:rFonts w:ascii="Arial" w:cs="Arial" w:eastAsia="Arial" w:hAnsi="Arial"/>
                <w:sz w:val="20"/>
                <w:szCs w:val="20"/>
                <w:color w:val="2A2A2A"/>
              </w:rPr>
              <w:t>117,078</w:t>
            </w:r>
          </w:p>
        </w:tc>
        <w:tc>
          <w:tcPr>
            <w:tcW w:w="1840" w:type="dxa"/>
            <w:vAlign w:val="bottom"/>
          </w:tcPr>
          <w:p>
            <w:pPr>
              <w:ind w:left="1020"/>
              <w:spacing w:after="0"/>
              <w:rPr>
                <w:sz w:val="20"/>
                <w:szCs w:val="20"/>
                <w:color w:val="auto"/>
              </w:rPr>
            </w:pPr>
            <w:r>
              <w:rPr>
                <w:rFonts w:ascii="Arial" w:cs="Arial" w:eastAsia="Arial" w:hAnsi="Arial"/>
                <w:sz w:val="20"/>
                <w:szCs w:val="20"/>
                <w:color w:val="2A2A2A"/>
              </w:rPr>
              <w:t>—</w:t>
            </w:r>
          </w:p>
        </w:tc>
        <w:tc>
          <w:tcPr>
            <w:tcW w:w="1240" w:type="dxa"/>
            <w:vAlign w:val="bottom"/>
          </w:tcPr>
          <w:p>
            <w:pPr>
              <w:jc w:val="center"/>
              <w:spacing w:after="0"/>
              <w:rPr>
                <w:sz w:val="20"/>
                <w:szCs w:val="20"/>
                <w:color w:val="auto"/>
              </w:rPr>
            </w:pPr>
            <w:r>
              <w:rPr>
                <w:rFonts w:ascii="Arial" w:cs="Arial" w:eastAsia="Arial" w:hAnsi="Arial"/>
                <w:sz w:val="20"/>
                <w:szCs w:val="20"/>
                <w:color w:val="2A2A2A"/>
              </w:rPr>
              <w:t>49,954</w:t>
            </w:r>
          </w:p>
        </w:tc>
      </w:tr>
      <w:tr>
        <w:trPr>
          <w:trHeight w:val="287"/>
        </w:trPr>
        <w:tc>
          <w:tcPr>
            <w:tcW w:w="342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Kyle M. Flessner</w:t>
            </w:r>
          </w:p>
        </w:tc>
        <w:tc>
          <w:tcPr>
            <w:tcW w:w="3240" w:type="dxa"/>
            <w:vAlign w:val="bottom"/>
            <w:shd w:val="clear" w:color="auto" w:fill="D7D7D7"/>
          </w:tcPr>
          <w:p>
            <w:pPr>
              <w:jc w:val="right"/>
              <w:ind w:right="307"/>
              <w:spacing w:after="0"/>
              <w:rPr>
                <w:sz w:val="20"/>
                <w:szCs w:val="20"/>
                <w:color w:val="auto"/>
              </w:rPr>
            </w:pPr>
            <w:r>
              <w:rPr>
                <w:rFonts w:ascii="Arial" w:cs="Arial" w:eastAsia="Arial" w:hAnsi="Arial"/>
                <w:sz w:val="20"/>
                <w:szCs w:val="20"/>
                <w:color w:val="2A2A2A"/>
              </w:rPr>
              <w:t>211,201</w:t>
            </w:r>
          </w:p>
        </w:tc>
        <w:tc>
          <w:tcPr>
            <w:tcW w:w="1840" w:type="dxa"/>
            <w:vAlign w:val="bottom"/>
            <w:shd w:val="clear" w:color="auto" w:fill="D7D7D7"/>
          </w:tcPr>
          <w:p>
            <w:pPr>
              <w:ind w:left="1020"/>
              <w:spacing w:after="0"/>
              <w:rPr>
                <w:sz w:val="20"/>
                <w:szCs w:val="20"/>
                <w:color w:val="auto"/>
              </w:rPr>
            </w:pPr>
            <w:r>
              <w:rPr>
                <w:rFonts w:ascii="Arial" w:cs="Arial" w:eastAsia="Arial" w:hAnsi="Arial"/>
                <w:sz w:val="20"/>
                <w:szCs w:val="20"/>
                <w:color w:val="2A2A2A"/>
              </w:rPr>
              <w:t>—</w:t>
            </w:r>
          </w:p>
        </w:tc>
        <w:tc>
          <w:tcPr>
            <w:tcW w:w="1240" w:type="dxa"/>
            <w:vAlign w:val="bottom"/>
            <w:shd w:val="clear" w:color="auto" w:fill="D7D7D7"/>
          </w:tcPr>
          <w:p>
            <w:pPr>
              <w:jc w:val="center"/>
              <w:spacing w:after="0"/>
              <w:rPr>
                <w:sz w:val="20"/>
                <w:szCs w:val="20"/>
                <w:color w:val="auto"/>
              </w:rPr>
            </w:pPr>
            <w:r>
              <w:rPr>
                <w:rFonts w:ascii="Arial" w:cs="Arial" w:eastAsia="Arial" w:hAnsi="Arial"/>
                <w:sz w:val="20"/>
                <w:szCs w:val="20"/>
                <w:color w:val="2A2A2A"/>
              </w:rPr>
              <w:t>50,515</w:t>
            </w:r>
          </w:p>
        </w:tc>
      </w:tr>
      <w:tr>
        <w:trPr>
          <w:trHeight w:val="281"/>
        </w:trPr>
        <w:tc>
          <w:tcPr>
            <w:tcW w:w="3420" w:type="dxa"/>
            <w:vAlign w:val="bottom"/>
          </w:tcPr>
          <w:p>
            <w:pPr>
              <w:ind w:left="60"/>
              <w:spacing w:after="0"/>
              <w:rPr>
                <w:sz w:val="20"/>
                <w:szCs w:val="20"/>
                <w:color w:val="auto"/>
              </w:rPr>
            </w:pPr>
            <w:r>
              <w:rPr>
                <w:rFonts w:ascii="Arial" w:cs="Arial" w:eastAsia="Arial" w:hAnsi="Arial"/>
                <w:sz w:val="20"/>
                <w:szCs w:val="20"/>
                <w:color w:val="2A2A2A"/>
              </w:rPr>
              <w:t>Amichai Ron</w:t>
            </w:r>
          </w:p>
        </w:tc>
        <w:tc>
          <w:tcPr>
            <w:tcW w:w="3240" w:type="dxa"/>
            <w:vAlign w:val="bottom"/>
          </w:tcPr>
          <w:p>
            <w:pPr>
              <w:jc w:val="right"/>
              <w:ind w:right="307"/>
              <w:spacing w:after="0"/>
              <w:rPr>
                <w:sz w:val="20"/>
                <w:szCs w:val="20"/>
                <w:color w:val="auto"/>
              </w:rPr>
            </w:pPr>
            <w:r>
              <w:rPr>
                <w:rFonts w:ascii="Arial" w:cs="Arial" w:eastAsia="Arial" w:hAnsi="Arial"/>
                <w:sz w:val="20"/>
                <w:szCs w:val="20"/>
                <w:color w:val="2A2A2A"/>
              </w:rPr>
              <w:t>133,654</w:t>
            </w:r>
          </w:p>
        </w:tc>
        <w:tc>
          <w:tcPr>
            <w:tcW w:w="1840" w:type="dxa"/>
            <w:vAlign w:val="bottom"/>
          </w:tcPr>
          <w:p>
            <w:pPr>
              <w:ind w:left="1020"/>
              <w:spacing w:after="0"/>
              <w:rPr>
                <w:sz w:val="20"/>
                <w:szCs w:val="20"/>
                <w:color w:val="auto"/>
              </w:rPr>
            </w:pPr>
            <w:r>
              <w:rPr>
                <w:rFonts w:ascii="Arial" w:cs="Arial" w:eastAsia="Arial" w:hAnsi="Arial"/>
                <w:sz w:val="20"/>
                <w:szCs w:val="20"/>
                <w:color w:val="2A2A2A"/>
              </w:rPr>
              <w:t>—</w:t>
            </w:r>
          </w:p>
        </w:tc>
        <w:tc>
          <w:tcPr>
            <w:tcW w:w="1240" w:type="dxa"/>
            <w:vAlign w:val="bottom"/>
          </w:tcPr>
          <w:p>
            <w:pPr>
              <w:jc w:val="center"/>
              <w:spacing w:after="0"/>
              <w:rPr>
                <w:sz w:val="20"/>
                <w:szCs w:val="20"/>
                <w:color w:val="auto"/>
              </w:rPr>
            </w:pPr>
            <w:r>
              <w:rPr>
                <w:rFonts w:ascii="Arial" w:cs="Arial" w:eastAsia="Arial" w:hAnsi="Arial"/>
                <w:sz w:val="20"/>
                <w:szCs w:val="20"/>
                <w:color w:val="2A2A2A"/>
              </w:rPr>
              <w:t>41,753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-733425</wp:posOffset>
            </wp:positionV>
            <wp:extent cx="620712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07125" cy="25400"/>
                    </a:xfrm>
                    <a:prstGeom prst="rect">
                      <a:avLst/>
                    </a:prstGeom>
                    <a:noFill/>
                  </pic:spPr>
                </pic:pic>
              </a:graphicData>
            </a:graphic>
          </wp:anchor>
        </w:drawing>
      </w:r>
    </w:p>
    <w:p>
      <w:pPr>
        <w:spacing w:after="0" w:line="209" w:lineRule="exact"/>
        <w:rPr>
          <w:sz w:val="20"/>
          <w:szCs w:val="20"/>
          <w:color w:val="auto"/>
        </w:rPr>
      </w:pPr>
    </w:p>
    <w:p>
      <w:pPr>
        <w:ind w:left="541" w:hanging="541"/>
        <w:spacing w:after="0"/>
        <w:tabs>
          <w:tab w:leader="none" w:pos="541" w:val="left"/>
        </w:tabs>
        <w:numPr>
          <w:ilvl w:val="0"/>
          <w:numId w:val="154"/>
        </w:numPr>
        <w:rPr>
          <w:rFonts w:ascii="Arial" w:cs="Arial" w:eastAsia="Arial" w:hAnsi="Arial"/>
          <w:sz w:val="20"/>
          <w:szCs w:val="20"/>
          <w:color w:val="2A2A2A"/>
        </w:rPr>
      </w:pPr>
      <w:r>
        <w:rPr>
          <w:rFonts w:ascii="Arial" w:cs="Arial" w:eastAsia="Arial" w:hAnsi="Arial"/>
          <w:sz w:val="20"/>
          <w:szCs w:val="20"/>
          <w:color w:val="2A2A2A"/>
        </w:rPr>
        <w:t>Includes:</w:t>
      </w:r>
    </w:p>
    <w:p>
      <w:pPr>
        <w:spacing w:after="0" w:line="130" w:lineRule="exact"/>
        <w:rPr>
          <w:rFonts w:ascii="Arial" w:cs="Arial" w:eastAsia="Arial" w:hAnsi="Arial"/>
          <w:sz w:val="20"/>
          <w:szCs w:val="20"/>
          <w:color w:val="2A2A2A"/>
        </w:rPr>
      </w:pPr>
    </w:p>
    <w:p>
      <w:pPr>
        <w:ind w:left="1081" w:hanging="541"/>
        <w:spacing w:after="0"/>
        <w:tabs>
          <w:tab w:leader="none" w:pos="1081" w:val="left"/>
        </w:tabs>
        <w:numPr>
          <w:ilvl w:val="1"/>
          <w:numId w:val="154"/>
        </w:numPr>
        <w:rPr>
          <w:rFonts w:ascii="Arial" w:cs="Arial" w:eastAsia="Arial" w:hAnsi="Arial"/>
          <w:sz w:val="20"/>
          <w:szCs w:val="20"/>
          <w:color w:val="2A2A2A"/>
        </w:rPr>
      </w:pPr>
      <w:r>
        <w:rPr>
          <w:rFonts w:ascii="Arial" w:cs="Arial" w:eastAsia="Arial" w:hAnsi="Arial"/>
          <w:sz w:val="20"/>
          <w:szCs w:val="20"/>
          <w:color w:val="2A2A2A"/>
        </w:rPr>
        <w:t>4,234,199 shares obtainable within 60 days;</w:t>
      </w:r>
    </w:p>
    <w:p>
      <w:pPr>
        <w:spacing w:after="0" w:line="130" w:lineRule="exact"/>
        <w:rPr>
          <w:rFonts w:ascii="Arial" w:cs="Arial" w:eastAsia="Arial" w:hAnsi="Arial"/>
          <w:sz w:val="20"/>
          <w:szCs w:val="20"/>
          <w:color w:val="2A2A2A"/>
        </w:rPr>
      </w:pPr>
    </w:p>
    <w:p>
      <w:pPr>
        <w:ind w:left="1081" w:hanging="541"/>
        <w:spacing w:after="0"/>
        <w:tabs>
          <w:tab w:leader="none" w:pos="1081" w:val="left"/>
        </w:tabs>
        <w:numPr>
          <w:ilvl w:val="1"/>
          <w:numId w:val="154"/>
        </w:numPr>
        <w:rPr>
          <w:rFonts w:ascii="Arial" w:cs="Arial" w:eastAsia="Arial" w:hAnsi="Arial"/>
          <w:sz w:val="20"/>
          <w:szCs w:val="20"/>
          <w:color w:val="2A2A2A"/>
        </w:rPr>
      </w:pPr>
      <w:r>
        <w:rPr>
          <w:rFonts w:ascii="Arial" w:cs="Arial" w:eastAsia="Arial" w:hAnsi="Arial"/>
          <w:sz w:val="20"/>
          <w:szCs w:val="20"/>
          <w:color w:val="2A2A2A"/>
        </w:rPr>
        <w:t>12,999 shares credited to 401(k) accounts;</w:t>
      </w:r>
    </w:p>
    <w:p>
      <w:pPr>
        <w:spacing w:after="0" w:line="130" w:lineRule="exact"/>
        <w:rPr>
          <w:rFonts w:ascii="Arial" w:cs="Arial" w:eastAsia="Arial" w:hAnsi="Arial"/>
          <w:sz w:val="20"/>
          <w:szCs w:val="20"/>
          <w:color w:val="2A2A2A"/>
        </w:rPr>
      </w:pPr>
    </w:p>
    <w:p>
      <w:pPr>
        <w:ind w:left="1081" w:hanging="541"/>
        <w:spacing w:after="0"/>
        <w:tabs>
          <w:tab w:leader="none" w:pos="1081" w:val="left"/>
        </w:tabs>
        <w:numPr>
          <w:ilvl w:val="1"/>
          <w:numId w:val="154"/>
        </w:numPr>
        <w:rPr>
          <w:rFonts w:ascii="Arial" w:cs="Arial" w:eastAsia="Arial" w:hAnsi="Arial"/>
          <w:sz w:val="20"/>
          <w:szCs w:val="20"/>
          <w:color w:val="2A2A2A"/>
        </w:rPr>
      </w:pPr>
      <w:r>
        <w:rPr>
          <w:rFonts w:ascii="Arial" w:cs="Arial" w:eastAsia="Arial" w:hAnsi="Arial"/>
          <w:sz w:val="20"/>
          <w:szCs w:val="20"/>
          <w:color w:val="2A2A2A"/>
        </w:rPr>
        <w:t>821,190 shares subject to RSU awards; for the terms of these RSUs, see page 50; and</w:t>
      </w:r>
    </w:p>
    <w:p>
      <w:pPr>
        <w:spacing w:after="0" w:line="130" w:lineRule="exact"/>
        <w:rPr>
          <w:rFonts w:ascii="Arial" w:cs="Arial" w:eastAsia="Arial" w:hAnsi="Arial"/>
          <w:sz w:val="20"/>
          <w:szCs w:val="20"/>
          <w:color w:val="2A2A2A"/>
        </w:rPr>
      </w:pPr>
    </w:p>
    <w:p>
      <w:pPr>
        <w:ind w:left="1081" w:right="240" w:hanging="541"/>
        <w:spacing w:after="0" w:line="287" w:lineRule="auto"/>
        <w:tabs>
          <w:tab w:leader="none" w:pos="1081" w:val="left"/>
        </w:tabs>
        <w:numPr>
          <w:ilvl w:val="1"/>
          <w:numId w:val="154"/>
        </w:numPr>
        <w:rPr>
          <w:rFonts w:ascii="Arial" w:cs="Arial" w:eastAsia="Arial" w:hAnsi="Arial"/>
          <w:sz w:val="20"/>
          <w:szCs w:val="20"/>
          <w:color w:val="2A2A2A"/>
        </w:rPr>
      </w:pPr>
      <w:r>
        <w:rPr>
          <w:rFonts w:ascii="Arial" w:cs="Arial" w:eastAsia="Arial" w:hAnsi="Arial"/>
          <w:sz w:val="20"/>
          <w:szCs w:val="20"/>
          <w:color w:val="2A2A2A"/>
        </w:rPr>
        <w:t>98,940 shares credited to certain non-employee directors’ deferred compensation accounts; shares in deferred compensation accounts are issued following a director’s termination of service.</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A2A2A"/>
        </w:rPr>
        <w:t>Related person transactions</w:t>
      </w:r>
    </w:p>
    <w:p>
      <w:pPr>
        <w:spacing w:after="0" w:line="257" w:lineRule="exact"/>
        <w:rPr>
          <w:sz w:val="20"/>
          <w:szCs w:val="20"/>
          <w:color w:val="auto"/>
        </w:rPr>
      </w:pPr>
    </w:p>
    <w:p>
      <w:pPr>
        <w:jc w:val="both"/>
        <w:ind w:left="1" w:right="140"/>
        <w:spacing w:after="0" w:line="314" w:lineRule="auto"/>
        <w:rPr>
          <w:sz w:val="20"/>
          <w:szCs w:val="20"/>
          <w:color w:val="auto"/>
        </w:rPr>
      </w:pPr>
      <w:r>
        <w:rPr>
          <w:rFonts w:ascii="Arial" w:cs="Arial" w:eastAsia="Arial" w:hAnsi="Arial"/>
          <w:sz w:val="19"/>
          <w:szCs w:val="19"/>
          <w:color w:val="2A2A2A"/>
        </w:rPr>
        <w:t>Because we believe that company transactions with directors and executive officers of TI or with persons related to TI directors and executive officers present a heightened risk of creating or appearing to create a conflict of interest,</w:t>
      </w:r>
    </w:p>
    <w:p>
      <w:pPr>
        <w:sectPr>
          <w:pgSz w:w="12240" w:h="15840" w:orient="portrait"/>
          <w:cols w:equalWidth="0" w:num="1">
            <w:col w:w="10281"/>
          </w:cols>
          <w:pgMar w:left="979" w:top="664" w:right="980" w:bottom="33"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70</w:t>
      </w:r>
    </w:p>
    <w:p>
      <w:pPr>
        <w:sectPr>
          <w:pgSz w:w="12240" w:h="15840" w:orient="portrait"/>
          <w:cols w:equalWidth="0" w:num="1">
            <w:col w:w="10281"/>
          </w:cols>
          <w:pgMar w:left="979" w:top="664" w:right="980" w:bottom="33" w:gutter="0" w:footer="0" w:header="0"/>
          <w:type w:val="continuous"/>
        </w:sectPr>
      </w:pPr>
    </w:p>
    <w:bookmarkStart w:id="142" w:name="page143"/>
    <w:bookmarkEnd w:id="142"/>
    <w:p>
      <w:pPr>
        <w:ind w:left="1" w:right="360"/>
        <w:spacing w:after="0" w:line="268" w:lineRule="auto"/>
        <w:rPr>
          <w:sz w:val="20"/>
          <w:szCs w:val="20"/>
          <w:color w:val="auto"/>
        </w:rPr>
      </w:pPr>
      <w:r>
        <w:rPr>
          <w:rFonts w:ascii="Arial" w:cs="Arial" w:eastAsia="Arial" w:hAnsi="Arial"/>
          <w:sz w:val="20"/>
          <w:szCs w:val="20"/>
          <w:color w:val="2A2A2A"/>
        </w:rPr>
        <w:t>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90" w:lineRule="exact"/>
        <w:rPr>
          <w:sz w:val="20"/>
          <w:szCs w:val="20"/>
          <w:color w:val="auto"/>
        </w:rPr>
      </w:pPr>
    </w:p>
    <w:p>
      <w:pPr>
        <w:ind w:left="1081" w:hanging="541"/>
        <w:spacing w:after="0"/>
        <w:tabs>
          <w:tab w:leader="none" w:pos="1081" w:val="left"/>
        </w:tabs>
        <w:numPr>
          <w:ilvl w:val="0"/>
          <w:numId w:val="155"/>
        </w:numPr>
        <w:rPr>
          <w:rFonts w:ascii="Arial" w:cs="Arial" w:eastAsia="Arial" w:hAnsi="Arial"/>
          <w:sz w:val="20"/>
          <w:szCs w:val="20"/>
          <w:color w:val="2A2A2A"/>
        </w:rPr>
      </w:pPr>
      <w:r>
        <w:rPr>
          <w:rFonts w:ascii="Arial" w:cs="Arial" w:eastAsia="Arial" w:hAnsi="Arial"/>
          <w:sz w:val="20"/>
          <w:szCs w:val="20"/>
          <w:color w:val="2A2A2A"/>
        </w:rPr>
        <w:t>TI or any TI subsidiary is or will be a participant;</w:t>
      </w:r>
    </w:p>
    <w:p>
      <w:pPr>
        <w:spacing w:after="0" w:line="70" w:lineRule="exact"/>
        <w:rPr>
          <w:rFonts w:ascii="Arial" w:cs="Arial" w:eastAsia="Arial" w:hAnsi="Arial"/>
          <w:sz w:val="20"/>
          <w:szCs w:val="20"/>
          <w:color w:val="2A2A2A"/>
        </w:rPr>
      </w:pPr>
    </w:p>
    <w:p>
      <w:pPr>
        <w:ind w:left="1081" w:hanging="541"/>
        <w:spacing w:after="0"/>
        <w:tabs>
          <w:tab w:leader="none" w:pos="1081" w:val="left"/>
        </w:tabs>
        <w:numPr>
          <w:ilvl w:val="0"/>
          <w:numId w:val="155"/>
        </w:numPr>
        <w:rPr>
          <w:rFonts w:ascii="Arial" w:cs="Arial" w:eastAsia="Arial" w:hAnsi="Arial"/>
          <w:sz w:val="20"/>
          <w:szCs w:val="20"/>
          <w:color w:val="2A2A2A"/>
        </w:rPr>
      </w:pPr>
      <w:r>
        <w:rPr>
          <w:rFonts w:ascii="Arial" w:cs="Arial" w:eastAsia="Arial" w:hAnsi="Arial"/>
          <w:sz w:val="20"/>
          <w:szCs w:val="20"/>
          <w:color w:val="2A2A2A"/>
        </w:rPr>
        <w:t>The amount involved exceeds or is expected to exceed $120,000 in a fiscal year; and</w:t>
      </w:r>
    </w:p>
    <w:p>
      <w:pPr>
        <w:spacing w:after="0" w:line="70" w:lineRule="exact"/>
        <w:rPr>
          <w:rFonts w:ascii="Arial" w:cs="Arial" w:eastAsia="Arial" w:hAnsi="Arial"/>
          <w:sz w:val="20"/>
          <w:szCs w:val="20"/>
          <w:color w:val="2A2A2A"/>
        </w:rPr>
      </w:pPr>
    </w:p>
    <w:p>
      <w:pPr>
        <w:ind w:left="1081" w:hanging="541"/>
        <w:spacing w:after="0"/>
        <w:tabs>
          <w:tab w:leader="none" w:pos="1081" w:val="left"/>
        </w:tabs>
        <w:numPr>
          <w:ilvl w:val="0"/>
          <w:numId w:val="155"/>
        </w:numPr>
        <w:rPr>
          <w:rFonts w:ascii="Arial" w:cs="Arial" w:eastAsia="Arial" w:hAnsi="Arial"/>
          <w:sz w:val="20"/>
          <w:szCs w:val="20"/>
          <w:color w:val="2A2A2A"/>
        </w:rPr>
      </w:pPr>
      <w:r>
        <w:rPr>
          <w:rFonts w:ascii="Arial" w:cs="Arial" w:eastAsia="Arial" w:hAnsi="Arial"/>
          <w:sz w:val="20"/>
          <w:szCs w:val="20"/>
          <w:color w:val="2A2A2A"/>
        </w:rPr>
        <w:t>Any of the following (a “related person”) has or will have a direct or indirect interest:</w:t>
      </w:r>
    </w:p>
    <w:p>
      <w:pPr>
        <w:spacing w:after="0" w:line="70" w:lineRule="exact"/>
        <w:rPr>
          <w:rFonts w:ascii="Arial" w:cs="Arial" w:eastAsia="Arial" w:hAnsi="Arial"/>
          <w:sz w:val="20"/>
          <w:szCs w:val="20"/>
          <w:color w:val="2A2A2A"/>
        </w:rPr>
      </w:pPr>
    </w:p>
    <w:p>
      <w:pPr>
        <w:ind w:left="1621" w:hanging="541"/>
        <w:spacing w:after="0"/>
        <w:tabs>
          <w:tab w:leader="none" w:pos="1621" w:val="left"/>
        </w:tabs>
        <w:numPr>
          <w:ilvl w:val="1"/>
          <w:numId w:val="155"/>
        </w:numPr>
        <w:rPr>
          <w:rFonts w:ascii="Arial" w:cs="Arial" w:eastAsia="Arial" w:hAnsi="Arial"/>
          <w:sz w:val="19"/>
          <w:szCs w:val="19"/>
          <w:color w:val="2A2A2A"/>
        </w:rPr>
      </w:pPr>
      <w:r>
        <w:rPr>
          <w:rFonts w:ascii="Arial" w:cs="Arial" w:eastAsia="Arial" w:hAnsi="Arial"/>
          <w:sz w:val="19"/>
          <w:szCs w:val="19"/>
          <w:color w:val="2A2A2A"/>
        </w:rPr>
        <w:t>A TI director or executive officer or an Immediate Family Member of a director or executive officer;</w:t>
      </w:r>
    </w:p>
    <w:p>
      <w:pPr>
        <w:spacing w:after="0" w:line="81" w:lineRule="exact"/>
        <w:rPr>
          <w:rFonts w:ascii="Arial" w:cs="Arial" w:eastAsia="Arial" w:hAnsi="Arial"/>
          <w:sz w:val="19"/>
          <w:szCs w:val="19"/>
          <w:color w:val="2A2A2A"/>
        </w:rPr>
      </w:pPr>
    </w:p>
    <w:p>
      <w:pPr>
        <w:ind w:left="1621" w:right="160" w:hanging="541"/>
        <w:spacing w:after="0" w:line="259" w:lineRule="auto"/>
        <w:tabs>
          <w:tab w:leader="none" w:pos="1621" w:val="left"/>
        </w:tabs>
        <w:numPr>
          <w:ilvl w:val="1"/>
          <w:numId w:val="155"/>
        </w:numPr>
        <w:rPr>
          <w:rFonts w:ascii="Arial" w:cs="Arial" w:eastAsia="Arial" w:hAnsi="Arial"/>
          <w:sz w:val="20"/>
          <w:szCs w:val="20"/>
          <w:color w:val="2A2A2A"/>
        </w:rPr>
      </w:pPr>
      <w:r>
        <w:rPr>
          <w:rFonts w:ascii="Arial" w:cs="Arial" w:eastAsia="Arial" w:hAnsi="Arial"/>
          <w:sz w:val="20"/>
          <w:szCs w:val="20"/>
          <w:color w:val="2A2A2A"/>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9" w:lineRule="exact"/>
        <w:rPr>
          <w:rFonts w:ascii="Arial" w:cs="Arial" w:eastAsia="Arial" w:hAnsi="Arial"/>
          <w:sz w:val="20"/>
          <w:szCs w:val="20"/>
          <w:color w:val="2A2A2A"/>
        </w:rPr>
      </w:pPr>
    </w:p>
    <w:p>
      <w:pPr>
        <w:ind w:left="1621" w:right="180" w:hanging="541"/>
        <w:spacing w:after="0" w:line="268" w:lineRule="auto"/>
        <w:tabs>
          <w:tab w:leader="none" w:pos="1621" w:val="left"/>
        </w:tabs>
        <w:numPr>
          <w:ilvl w:val="1"/>
          <w:numId w:val="155"/>
        </w:numPr>
        <w:rPr>
          <w:rFonts w:ascii="Arial" w:cs="Arial" w:eastAsia="Arial" w:hAnsi="Arial"/>
          <w:sz w:val="20"/>
          <w:szCs w:val="20"/>
          <w:color w:val="2A2A2A"/>
        </w:rPr>
      </w:pPr>
      <w:r>
        <w:rPr>
          <w:rFonts w:ascii="Arial" w:cs="Arial" w:eastAsia="Arial" w:hAnsi="Arial"/>
          <w:sz w:val="20"/>
          <w:szCs w:val="20"/>
          <w:color w:val="2A2A2A"/>
        </w:rPr>
        <w:t>An entity in which someone listed in (a) above has a 5% or greater ownership interest, by which someone listed in (a) is employed, or of which someone listed in (a) is a director, principal or partner.</w:t>
      </w:r>
    </w:p>
    <w:p>
      <w:pPr>
        <w:spacing w:after="0" w:line="190" w:lineRule="exact"/>
        <w:rPr>
          <w:sz w:val="20"/>
          <w:szCs w:val="20"/>
          <w:color w:val="auto"/>
        </w:rPr>
      </w:pPr>
    </w:p>
    <w:p>
      <w:pPr>
        <w:ind w:left="1" w:right="320"/>
        <w:spacing w:after="0" w:line="268" w:lineRule="auto"/>
        <w:rPr>
          <w:sz w:val="20"/>
          <w:szCs w:val="20"/>
          <w:color w:val="auto"/>
        </w:rPr>
      </w:pPr>
      <w:r>
        <w:rPr>
          <w:rFonts w:ascii="Arial" w:cs="Arial" w:eastAsia="Arial" w:hAnsi="Arial"/>
          <w:sz w:val="20"/>
          <w:szCs w:val="20"/>
          <w:color w:val="2A2A2A"/>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90" w:lineRule="exact"/>
        <w:rPr>
          <w:sz w:val="20"/>
          <w:szCs w:val="20"/>
          <w:color w:val="auto"/>
        </w:rPr>
      </w:pPr>
    </w:p>
    <w:p>
      <w:pPr>
        <w:ind w:left="1" w:right="480"/>
        <w:spacing w:after="0" w:line="268" w:lineRule="auto"/>
        <w:rPr>
          <w:sz w:val="20"/>
          <w:szCs w:val="20"/>
          <w:color w:val="auto"/>
        </w:rPr>
      </w:pPr>
      <w:r>
        <w:rPr>
          <w:rFonts w:ascii="Arial" w:cs="Arial" w:eastAsia="Arial" w:hAnsi="Arial"/>
          <w:sz w:val="20"/>
          <w:szCs w:val="20"/>
          <w:color w:val="2A2A2A"/>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2A2A2A"/>
        </w:rPr>
        <w:t>The required approvals are as follows:</w:t>
      </w:r>
    </w:p>
    <w:p>
      <w:pPr>
        <w:spacing w:after="0" w:line="246" w:lineRule="exact"/>
        <w:rPr>
          <w:sz w:val="20"/>
          <w:szCs w:val="20"/>
          <w:color w:val="auto"/>
        </w:rPr>
      </w:pPr>
    </w:p>
    <w:tbl>
      <w:tblPr>
        <w:tblLayout w:type="fixed"/>
        <w:tblInd w:w="801" w:type="dxa"/>
        <w:tblCellMar>
          <w:top w:w="0" w:type="dxa"/>
          <w:left w:w="0" w:type="dxa"/>
          <w:bottom w:w="0" w:type="dxa"/>
          <w:right w:w="0" w:type="dxa"/>
        </w:tblCellMar>
      </w:tblPr>
      <w:tr>
        <w:trPr>
          <w:trHeight w:val="214"/>
        </w:trPr>
        <w:tc>
          <w:tcPr>
            <w:tcW w:w="5580" w:type="dxa"/>
            <w:vAlign w:val="bottom"/>
            <w:tcBorders>
              <w:bottom w:val="single" w:sz="8" w:color="2A2A2A"/>
            </w:tcBorders>
          </w:tcPr>
          <w:p>
            <w:pPr>
              <w:ind w:left="60"/>
              <w:spacing w:after="0"/>
              <w:rPr>
                <w:sz w:val="20"/>
                <w:szCs w:val="20"/>
                <w:color w:val="auto"/>
              </w:rPr>
            </w:pPr>
            <w:r>
              <w:rPr>
                <w:rFonts w:ascii="Arial" w:cs="Arial" w:eastAsia="Arial" w:hAnsi="Arial"/>
                <w:sz w:val="16"/>
                <w:szCs w:val="16"/>
                <w:b w:val="1"/>
                <w:bCs w:val="1"/>
                <w:color w:val="2A2A2A"/>
              </w:rPr>
              <w:t>Arrangement Involving:</w:t>
            </w:r>
          </w:p>
        </w:tc>
        <w:tc>
          <w:tcPr>
            <w:tcW w:w="3100" w:type="dxa"/>
            <w:vAlign w:val="bottom"/>
            <w:tcBorders>
              <w:bottom w:val="single" w:sz="8" w:color="2A2A2A"/>
            </w:tcBorders>
          </w:tcPr>
          <w:p>
            <w:pPr>
              <w:ind w:left="380"/>
              <w:spacing w:after="0"/>
              <w:rPr>
                <w:sz w:val="20"/>
                <w:szCs w:val="20"/>
                <w:color w:val="auto"/>
              </w:rPr>
            </w:pPr>
            <w:r>
              <w:rPr>
                <w:rFonts w:ascii="Arial" w:cs="Arial" w:eastAsia="Arial" w:hAnsi="Arial"/>
                <w:sz w:val="16"/>
                <w:szCs w:val="16"/>
                <w:b w:val="1"/>
                <w:bCs w:val="1"/>
                <w:color w:val="2A2A2A"/>
              </w:rPr>
              <w:t>Approval Required by:</w:t>
            </w:r>
          </w:p>
        </w:tc>
      </w:tr>
      <w:tr>
        <w:trPr>
          <w:trHeight w:val="230"/>
        </w:trPr>
        <w:tc>
          <w:tcPr>
            <w:tcW w:w="55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Executive officer who is also a member of the TI board, an</w:t>
            </w:r>
          </w:p>
        </w:tc>
        <w:tc>
          <w:tcPr>
            <w:tcW w:w="3100" w:type="dxa"/>
            <w:vAlign w:val="bottom"/>
            <w:shd w:val="clear" w:color="auto" w:fill="D7D7D7"/>
          </w:tcPr>
          <w:p>
            <w:pPr>
              <w:ind w:left="380"/>
              <w:spacing w:after="0"/>
              <w:rPr>
                <w:sz w:val="20"/>
                <w:szCs w:val="20"/>
                <w:color w:val="auto"/>
              </w:rPr>
            </w:pPr>
            <w:r>
              <w:rPr>
                <w:rFonts w:ascii="Arial" w:cs="Arial" w:eastAsia="Arial" w:hAnsi="Arial"/>
                <w:sz w:val="20"/>
                <w:szCs w:val="20"/>
                <w:color w:val="2A2A2A"/>
              </w:rPr>
              <w:t>GSR committee</w:t>
            </w:r>
          </w:p>
        </w:tc>
      </w:tr>
      <w:tr>
        <w:trPr>
          <w:trHeight w:val="220"/>
        </w:trPr>
        <w:tc>
          <w:tcPr>
            <w:tcW w:w="5580" w:type="dxa"/>
            <w:vAlign w:val="bottom"/>
            <w:shd w:val="clear" w:color="auto" w:fill="D7D7D7"/>
          </w:tcPr>
          <w:p>
            <w:pPr>
              <w:ind w:left="60"/>
              <w:spacing w:after="0" w:line="220" w:lineRule="exact"/>
              <w:rPr>
                <w:sz w:val="20"/>
                <w:szCs w:val="20"/>
                <w:color w:val="auto"/>
              </w:rPr>
            </w:pPr>
            <w:r>
              <w:rPr>
                <w:rFonts w:ascii="Arial" w:cs="Arial" w:eastAsia="Arial" w:hAnsi="Arial"/>
                <w:sz w:val="20"/>
                <w:szCs w:val="20"/>
                <w:color w:val="2A2A2A"/>
              </w:rPr>
              <w:t>Immediate Family Member of such person, or an entity in</w:t>
            </w:r>
          </w:p>
        </w:tc>
        <w:tc>
          <w:tcPr>
            <w:tcW w:w="3100" w:type="dxa"/>
            <w:vAlign w:val="bottom"/>
            <w:shd w:val="clear" w:color="auto" w:fill="D7D7D7"/>
          </w:tcPr>
          <w:p>
            <w:pPr>
              <w:spacing w:after="0"/>
              <w:rPr>
                <w:sz w:val="19"/>
                <w:szCs w:val="19"/>
                <w:color w:val="auto"/>
              </w:rPr>
            </w:pPr>
          </w:p>
        </w:tc>
      </w:tr>
      <w:tr>
        <w:trPr>
          <w:trHeight w:val="220"/>
        </w:trPr>
        <w:tc>
          <w:tcPr>
            <w:tcW w:w="5580" w:type="dxa"/>
            <w:vAlign w:val="bottom"/>
            <w:shd w:val="clear" w:color="auto" w:fill="D7D7D7"/>
          </w:tcPr>
          <w:p>
            <w:pPr>
              <w:ind w:left="60"/>
              <w:spacing w:after="0" w:line="220" w:lineRule="exact"/>
              <w:rPr>
                <w:sz w:val="20"/>
                <w:szCs w:val="20"/>
                <w:color w:val="auto"/>
              </w:rPr>
            </w:pPr>
            <w:r>
              <w:rPr>
                <w:rFonts w:ascii="Arial" w:cs="Arial" w:eastAsia="Arial" w:hAnsi="Arial"/>
                <w:sz w:val="20"/>
                <w:szCs w:val="20"/>
                <w:color w:val="2A2A2A"/>
              </w:rPr>
              <w:t>which any of the foregoing has a 5% or greater</w:t>
            </w:r>
          </w:p>
        </w:tc>
        <w:tc>
          <w:tcPr>
            <w:tcW w:w="3100" w:type="dxa"/>
            <w:vAlign w:val="bottom"/>
            <w:shd w:val="clear" w:color="auto" w:fill="D7D7D7"/>
          </w:tcPr>
          <w:p>
            <w:pPr>
              <w:spacing w:after="0"/>
              <w:rPr>
                <w:sz w:val="19"/>
                <w:szCs w:val="19"/>
                <w:color w:val="auto"/>
              </w:rPr>
            </w:pPr>
          </w:p>
        </w:tc>
      </w:tr>
      <w:tr>
        <w:trPr>
          <w:trHeight w:val="265"/>
        </w:trPr>
        <w:tc>
          <w:tcPr>
            <w:tcW w:w="5580" w:type="dxa"/>
            <w:vAlign w:val="bottom"/>
            <w:shd w:val="clear" w:color="auto" w:fill="D7D7D7"/>
          </w:tcPr>
          <w:p>
            <w:pPr>
              <w:ind w:left="60"/>
              <w:spacing w:after="0"/>
              <w:rPr>
                <w:sz w:val="20"/>
                <w:szCs w:val="20"/>
                <w:color w:val="auto"/>
              </w:rPr>
            </w:pPr>
            <w:r>
              <w:rPr>
                <w:rFonts w:ascii="Arial" w:cs="Arial" w:eastAsia="Arial" w:hAnsi="Arial"/>
                <w:sz w:val="20"/>
                <w:szCs w:val="20"/>
                <w:color w:val="2A2A2A"/>
              </w:rPr>
              <w:t>ownership interest</w:t>
            </w:r>
          </w:p>
        </w:tc>
        <w:tc>
          <w:tcPr>
            <w:tcW w:w="3100" w:type="dxa"/>
            <w:vAlign w:val="bottom"/>
            <w:shd w:val="clear" w:color="auto" w:fill="D7D7D7"/>
          </w:tcPr>
          <w:p>
            <w:pPr>
              <w:spacing w:after="0"/>
              <w:rPr>
                <w:sz w:val="23"/>
                <w:szCs w:val="23"/>
                <w:color w:val="auto"/>
              </w:rPr>
            </w:pPr>
          </w:p>
        </w:tc>
      </w:tr>
      <w:tr>
        <w:trPr>
          <w:trHeight w:val="60"/>
        </w:trPr>
        <w:tc>
          <w:tcPr>
            <w:tcW w:w="5580" w:type="dxa"/>
            <w:vAlign w:val="bottom"/>
            <w:shd w:val="clear" w:color="auto" w:fill="D7D7D7"/>
          </w:tcPr>
          <w:p>
            <w:pPr>
              <w:spacing w:after="0"/>
              <w:rPr>
                <w:sz w:val="5"/>
                <w:szCs w:val="5"/>
                <w:color w:val="auto"/>
              </w:rPr>
            </w:pPr>
          </w:p>
        </w:tc>
        <w:tc>
          <w:tcPr>
            <w:tcW w:w="3100" w:type="dxa"/>
            <w:vAlign w:val="bottom"/>
            <w:shd w:val="clear" w:color="auto" w:fill="D7D7D7"/>
          </w:tcPr>
          <w:p>
            <w:pPr>
              <w:spacing w:after="0"/>
              <w:rPr>
                <w:sz w:val="5"/>
                <w:szCs w:val="5"/>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20"/>
                <w:szCs w:val="20"/>
                <w:color w:val="2A2A2A"/>
              </w:rPr>
              <w:t>Chair of the GSR committee, chief compliance officer, any</w:t>
            </w:r>
          </w:p>
        </w:tc>
        <w:tc>
          <w:tcPr>
            <w:tcW w:w="3100" w:type="dxa"/>
            <w:vAlign w:val="bottom"/>
          </w:tcPr>
          <w:p>
            <w:pPr>
              <w:ind w:left="380"/>
              <w:spacing w:after="0"/>
              <w:rPr>
                <w:sz w:val="20"/>
                <w:szCs w:val="20"/>
                <w:color w:val="auto"/>
              </w:rPr>
            </w:pPr>
            <w:r>
              <w:rPr>
                <w:rFonts w:ascii="Arial" w:cs="Arial" w:eastAsia="Arial" w:hAnsi="Arial"/>
                <w:sz w:val="20"/>
                <w:szCs w:val="20"/>
                <w:color w:val="2A2A2A"/>
              </w:rPr>
              <w:t>GSR committee</w:t>
            </w:r>
          </w:p>
        </w:tc>
      </w:tr>
      <w:tr>
        <w:trPr>
          <w:trHeight w:val="220"/>
        </w:trPr>
        <w:tc>
          <w:tcPr>
            <w:tcW w:w="5580" w:type="dxa"/>
            <w:vAlign w:val="bottom"/>
          </w:tcPr>
          <w:p>
            <w:pPr>
              <w:ind w:left="60"/>
              <w:spacing w:after="0" w:line="220" w:lineRule="exact"/>
              <w:rPr>
                <w:sz w:val="20"/>
                <w:szCs w:val="20"/>
                <w:color w:val="auto"/>
              </w:rPr>
            </w:pPr>
            <w:r>
              <w:rPr>
                <w:rFonts w:ascii="Arial" w:cs="Arial" w:eastAsia="Arial" w:hAnsi="Arial"/>
                <w:sz w:val="20"/>
                <w:szCs w:val="20"/>
                <w:color w:val="2A2A2A"/>
              </w:rPr>
              <w:t>of his or her Immediate Family Members, or an entity in</w:t>
            </w:r>
          </w:p>
        </w:tc>
        <w:tc>
          <w:tcPr>
            <w:tcW w:w="3100" w:type="dxa"/>
            <w:vAlign w:val="bottom"/>
          </w:tcPr>
          <w:p>
            <w:pPr>
              <w:spacing w:after="0"/>
              <w:rPr>
                <w:sz w:val="19"/>
                <w:szCs w:val="19"/>
                <w:color w:val="auto"/>
              </w:rPr>
            </w:pPr>
          </w:p>
        </w:tc>
      </w:tr>
      <w:tr>
        <w:trPr>
          <w:trHeight w:val="220"/>
        </w:trPr>
        <w:tc>
          <w:tcPr>
            <w:tcW w:w="5580" w:type="dxa"/>
            <w:vAlign w:val="bottom"/>
          </w:tcPr>
          <w:p>
            <w:pPr>
              <w:ind w:left="60"/>
              <w:spacing w:after="0" w:line="220" w:lineRule="exact"/>
              <w:rPr>
                <w:sz w:val="20"/>
                <w:szCs w:val="20"/>
                <w:color w:val="auto"/>
              </w:rPr>
            </w:pPr>
            <w:r>
              <w:rPr>
                <w:rFonts w:ascii="Arial" w:cs="Arial" w:eastAsia="Arial" w:hAnsi="Arial"/>
                <w:sz w:val="20"/>
                <w:szCs w:val="20"/>
                <w:color w:val="2A2A2A"/>
              </w:rPr>
              <w:t>which any of the foregoing has a 5% or greater ownership</w:t>
            </w:r>
          </w:p>
        </w:tc>
        <w:tc>
          <w:tcPr>
            <w:tcW w:w="3100" w:type="dxa"/>
            <w:vAlign w:val="bottom"/>
          </w:tcPr>
          <w:p>
            <w:pPr>
              <w:spacing w:after="0"/>
              <w:rPr>
                <w:sz w:val="19"/>
                <w:szCs w:val="19"/>
                <w:color w:val="auto"/>
              </w:rPr>
            </w:pPr>
          </w:p>
        </w:tc>
      </w:tr>
      <w:tr>
        <w:trPr>
          <w:trHeight w:val="265"/>
        </w:trPr>
        <w:tc>
          <w:tcPr>
            <w:tcW w:w="5580" w:type="dxa"/>
            <w:vAlign w:val="bottom"/>
          </w:tcPr>
          <w:p>
            <w:pPr>
              <w:ind w:left="60"/>
              <w:spacing w:after="0"/>
              <w:rPr>
                <w:sz w:val="20"/>
                <w:szCs w:val="20"/>
                <w:color w:val="auto"/>
              </w:rPr>
            </w:pPr>
            <w:r>
              <w:rPr>
                <w:rFonts w:ascii="Arial" w:cs="Arial" w:eastAsia="Arial" w:hAnsi="Arial"/>
                <w:sz w:val="20"/>
                <w:szCs w:val="20"/>
                <w:color w:val="2A2A2A"/>
              </w:rPr>
              <w:t>interest</w:t>
            </w:r>
          </w:p>
        </w:tc>
        <w:tc>
          <w:tcPr>
            <w:tcW w:w="3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-1250315</wp:posOffset>
            </wp:positionV>
            <wp:extent cx="5530850" cy="20256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30850" cy="2025650"/>
                    </a:xfrm>
                    <a:prstGeom prst="rect">
                      <a:avLst/>
                    </a:prstGeom>
                    <a:noFill/>
                  </pic:spPr>
                </pic:pic>
              </a:graphicData>
            </a:graphic>
          </wp:anchor>
        </w:drawing>
      </w:r>
    </w:p>
    <w:p>
      <w:pPr>
        <w:sectPr>
          <w:pgSz w:w="12240" w:h="15840" w:orient="portrait"/>
          <w:cols w:equalWidth="0" w:num="1">
            <w:col w:w="10241"/>
          </w:cols>
          <w:pgMar w:left="979" w:top="664" w:right="1020" w:bottom="33" w:gutter="0" w:footer="0" w:header="0"/>
        </w:sectPr>
      </w:pPr>
    </w:p>
    <w:p>
      <w:pPr>
        <w:spacing w:after="0" w:line="80" w:lineRule="exact"/>
        <w:rPr>
          <w:sz w:val="20"/>
          <w:szCs w:val="20"/>
          <w:color w:val="auto"/>
        </w:rPr>
      </w:pPr>
    </w:p>
    <w:p>
      <w:pPr>
        <w:ind w:left="861"/>
        <w:spacing w:after="0" w:line="268" w:lineRule="auto"/>
        <w:rPr>
          <w:sz w:val="20"/>
          <w:szCs w:val="20"/>
          <w:color w:val="auto"/>
        </w:rPr>
      </w:pPr>
      <w:r>
        <w:rPr>
          <w:rFonts w:ascii="Arial" w:cs="Arial" w:eastAsia="Arial" w:hAnsi="Arial"/>
          <w:sz w:val="20"/>
          <w:szCs w:val="20"/>
          <w:color w:val="2A2A2A"/>
        </w:rPr>
        <w:t>Any other director or executive officer, an Immediate Family Member of such person, or an entity in which any of the foregoing has a 5% or greater ownership interest</w:t>
      </w:r>
    </w:p>
    <w:p>
      <w:pPr>
        <w:spacing w:after="0" w:line="70" w:lineRule="exact"/>
        <w:rPr>
          <w:sz w:val="20"/>
          <w:szCs w:val="20"/>
          <w:color w:val="auto"/>
        </w:rPr>
      </w:pPr>
    </w:p>
    <w:p>
      <w:pPr>
        <w:ind w:left="861"/>
        <w:spacing w:after="0"/>
        <w:rPr>
          <w:sz w:val="20"/>
          <w:szCs w:val="20"/>
          <w:color w:val="auto"/>
        </w:rPr>
      </w:pPr>
      <w:r>
        <w:rPr>
          <w:rFonts w:ascii="Arial" w:cs="Arial" w:eastAsia="Arial" w:hAnsi="Arial"/>
          <w:sz w:val="20"/>
          <w:szCs w:val="20"/>
          <w:color w:val="2A2A2A"/>
        </w:rPr>
        <w:t>A 5% holder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040"/>
        <w:spacing w:after="0" w:line="247" w:lineRule="auto"/>
        <w:rPr>
          <w:sz w:val="20"/>
          <w:szCs w:val="20"/>
          <w:color w:val="auto"/>
        </w:rPr>
      </w:pPr>
      <w:r>
        <w:rPr>
          <w:rFonts w:ascii="Arial" w:cs="Arial" w:eastAsia="Arial" w:hAnsi="Arial"/>
          <w:sz w:val="20"/>
          <w:szCs w:val="20"/>
          <w:color w:val="2A2A2A"/>
        </w:rPr>
        <w:t>Chief compliance officer in consultation with the chair of the GSR committee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2A2A2A"/>
        </w:rPr>
        <w:t>GSR committee</w:t>
      </w:r>
    </w:p>
    <w:p>
      <w:pPr>
        <w:spacing w:after="0" w:line="200" w:lineRule="exact"/>
        <w:rPr>
          <w:sz w:val="20"/>
          <w:szCs w:val="20"/>
          <w:color w:val="auto"/>
        </w:rPr>
      </w:pPr>
    </w:p>
    <w:p>
      <w:pPr>
        <w:sectPr>
          <w:pgSz w:w="12240" w:h="15840" w:orient="portrait"/>
          <w:cols w:equalWidth="0" w:num="2">
            <w:col w:w="6121" w:space="640"/>
            <w:col w:w="3480"/>
          </w:cols>
          <w:pgMar w:left="979" w:top="664" w:right="1020" w:bottom="33" w:gutter="0" w:footer="0" w:header="0"/>
          <w:type w:val="continuous"/>
        </w:sectPr>
      </w:pPr>
    </w:p>
    <w:p>
      <w:pPr>
        <w:spacing w:after="0" w:line="135" w:lineRule="exact"/>
        <w:rPr>
          <w:sz w:val="20"/>
          <w:szCs w:val="20"/>
          <w:color w:val="auto"/>
        </w:rPr>
      </w:pPr>
    </w:p>
    <w:p>
      <w:pPr>
        <w:ind w:left="1" w:right="380"/>
        <w:spacing w:after="0" w:line="287" w:lineRule="auto"/>
        <w:rPr>
          <w:sz w:val="20"/>
          <w:szCs w:val="20"/>
          <w:color w:val="auto"/>
        </w:rPr>
      </w:pPr>
      <w:r>
        <w:rPr>
          <w:rFonts w:ascii="Arial" w:cs="Arial" w:eastAsia="Arial" w:hAnsi="Arial"/>
          <w:sz w:val="20"/>
          <w:szCs w:val="20"/>
          <w:color w:val="2A2A2A"/>
        </w:rPr>
        <w:t>No member of the GSR committee will participate in the consideration of a related person arrangement in which such member or any of his or her Immediate Family Members is the related person.</w:t>
      </w:r>
    </w:p>
    <w:p>
      <w:pPr>
        <w:spacing w:after="0" w:line="170" w:lineRule="exact"/>
        <w:rPr>
          <w:sz w:val="20"/>
          <w:szCs w:val="20"/>
          <w:color w:val="auto"/>
        </w:rPr>
      </w:pPr>
    </w:p>
    <w:p>
      <w:pPr>
        <w:ind w:left="1" w:right="80"/>
        <w:spacing w:after="0" w:line="268" w:lineRule="auto"/>
        <w:rPr>
          <w:sz w:val="20"/>
          <w:szCs w:val="20"/>
          <w:color w:val="auto"/>
        </w:rPr>
      </w:pPr>
      <w:r>
        <w:rPr>
          <w:rFonts w:ascii="Arial" w:cs="Arial" w:eastAsia="Arial" w:hAnsi="Arial"/>
          <w:sz w:val="19"/>
          <w:szCs w:val="19"/>
          <w:color w:val="2A2A2A"/>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w:t>
      </w:r>
    </w:p>
    <w:p>
      <w:pPr>
        <w:ind w:left="1" w:right="140" w:hanging="1"/>
        <w:spacing w:after="0" w:line="258" w:lineRule="auto"/>
        <w:tabs>
          <w:tab w:leader="none" w:pos="278" w:val="left"/>
        </w:tabs>
        <w:numPr>
          <w:ilvl w:val="0"/>
          <w:numId w:val="156"/>
        </w:numPr>
        <w:rPr>
          <w:rFonts w:ascii="Arial" w:cs="Arial" w:eastAsia="Arial" w:hAnsi="Arial"/>
          <w:sz w:val="20"/>
          <w:szCs w:val="20"/>
          <w:color w:val="2A2A2A"/>
        </w:rPr>
      </w:pPr>
      <w:r>
        <w:rPr>
          <w:rFonts w:ascii="Arial" w:cs="Arial" w:eastAsia="Arial" w:hAnsi="Arial"/>
          <w:sz w:val="20"/>
          <w:szCs w:val="20"/>
          <w:color w:val="2A2A2A"/>
        </w:rPr>
        <w:t>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98" w:lineRule="exact"/>
        <w:rPr>
          <w:sz w:val="20"/>
          <w:szCs w:val="20"/>
          <w:color w:val="auto"/>
        </w:rPr>
      </w:pPr>
    </w:p>
    <w:p>
      <w:pPr>
        <w:ind w:left="1" w:right="240"/>
        <w:spacing w:after="0" w:line="314" w:lineRule="auto"/>
        <w:rPr>
          <w:sz w:val="20"/>
          <w:szCs w:val="20"/>
          <w:color w:val="auto"/>
        </w:rPr>
      </w:pPr>
      <w:r>
        <w:rPr>
          <w:rFonts w:ascii="Arial" w:cs="Arial" w:eastAsia="Arial" w:hAnsi="Arial"/>
          <w:sz w:val="19"/>
          <w:szCs w:val="19"/>
          <w:color w:val="2A2A2A"/>
        </w:rPr>
        <w:t>No related person arrangement will be approved unless it is determined to be in, or not inconsistent with, the best interests of the company and its stockholders, as the approving body or persons shall determine in good faith.</w:t>
      </w:r>
    </w:p>
    <w:p>
      <w:pPr>
        <w:sectPr>
          <w:pgSz w:w="12240" w:h="15840" w:orient="portrait"/>
          <w:cols w:equalWidth="0" w:num="1">
            <w:col w:w="10241"/>
          </w:cols>
          <w:pgMar w:left="979" w:top="664" w:right="1020" w:bottom="33"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383838"/>
        </w:rPr>
        <w:t>2024 PROXY STATEMENT • PAGE 71</w:t>
      </w:r>
    </w:p>
    <w:p>
      <w:pPr>
        <w:sectPr>
          <w:pgSz w:w="12240" w:h="15840" w:orient="portrait"/>
          <w:cols w:equalWidth="0" w:num="1">
            <w:col w:w="10241"/>
          </w:cols>
          <w:pgMar w:left="979" w:top="664" w:right="1020" w:bottom="33" w:gutter="0" w:footer="0" w:header="0"/>
          <w:type w:val="continuous"/>
        </w:sectPr>
      </w:pPr>
    </w:p>
    <w:bookmarkStart w:id="143" w:name="page144"/>
    <w:bookmarkEnd w:id="143"/>
    <w:p>
      <w:pPr>
        <w:ind w:right="180"/>
        <w:spacing w:after="0" w:line="262" w:lineRule="auto"/>
        <w:rPr>
          <w:sz w:val="20"/>
          <w:szCs w:val="20"/>
          <w:color w:val="auto"/>
        </w:rPr>
      </w:pPr>
      <w:r>
        <w:rPr>
          <w:rFonts w:ascii="Arial" w:cs="Arial" w:eastAsia="Arial" w:hAnsi="Arial"/>
          <w:sz w:val="20"/>
          <w:szCs w:val="20"/>
          <w:color w:val="2A2A2A"/>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96" w:lineRule="exact"/>
        <w:rPr>
          <w:sz w:val="20"/>
          <w:szCs w:val="20"/>
          <w:color w:val="auto"/>
        </w:rPr>
      </w:pPr>
    </w:p>
    <w:p>
      <w:pPr>
        <w:ind w:right="840"/>
        <w:spacing w:after="0" w:line="287" w:lineRule="auto"/>
        <w:rPr>
          <w:sz w:val="20"/>
          <w:szCs w:val="20"/>
          <w:color w:val="auto"/>
        </w:rPr>
      </w:pPr>
      <w:r>
        <w:rPr>
          <w:rFonts w:ascii="Arial" w:cs="Arial" w:eastAsia="Arial" w:hAnsi="Arial"/>
          <w:sz w:val="20"/>
          <w:szCs w:val="20"/>
          <w:color w:val="2A2A2A"/>
        </w:rPr>
        <w:t>The board has determined that the following types of transactions pose little risk of a conflict of interest and therefore has deemed them approved:</w:t>
      </w:r>
    </w:p>
    <w:p>
      <w:pPr>
        <w:spacing w:after="0" w:line="170" w:lineRule="exact"/>
        <w:rPr>
          <w:sz w:val="20"/>
          <w:szCs w:val="20"/>
          <w:color w:val="auto"/>
        </w:rPr>
      </w:pPr>
    </w:p>
    <w:p>
      <w:pPr>
        <w:ind w:left="720" w:right="220" w:hanging="361"/>
        <w:spacing w:after="0" w:line="281" w:lineRule="auto"/>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Compensation paid to a TI director or executive officer for services as such, or where the sole interest in a related person transaction of a TI director, executive officer or 5% holder is their position as such;</w:t>
      </w:r>
    </w:p>
    <w:p>
      <w:pPr>
        <w:spacing w:after="0" w:line="1" w:lineRule="exact"/>
        <w:rPr>
          <w:rFonts w:ascii="Arial" w:cs="Arial" w:eastAsia="Arial" w:hAnsi="Arial"/>
          <w:sz w:val="20"/>
          <w:szCs w:val="20"/>
          <w:color w:val="2A2A2A"/>
        </w:rPr>
      </w:pPr>
    </w:p>
    <w:p>
      <w:pPr>
        <w:ind w:left="720" w:right="80" w:hanging="361"/>
        <w:spacing w:after="0" w:line="268" w:lineRule="auto"/>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9" w:lineRule="exact"/>
        <w:rPr>
          <w:rFonts w:ascii="Arial" w:cs="Arial" w:eastAsia="Arial" w:hAnsi="Arial"/>
          <w:sz w:val="20"/>
          <w:szCs w:val="20"/>
          <w:color w:val="2A2A2A"/>
        </w:rPr>
      </w:pPr>
    </w:p>
    <w:p>
      <w:pPr>
        <w:ind w:left="720" w:right="60" w:hanging="361"/>
        <w:spacing w:after="0" w:line="281" w:lineRule="auto"/>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Transactions involving services as a bank depository of funds, transfer agent, registrar, trustee under a trust indenture or similar services;</w:t>
      </w:r>
    </w:p>
    <w:p>
      <w:pPr>
        <w:spacing w:after="0" w:line="1" w:lineRule="exact"/>
        <w:rPr>
          <w:rFonts w:ascii="Arial" w:cs="Arial" w:eastAsia="Arial" w:hAnsi="Arial"/>
          <w:sz w:val="20"/>
          <w:szCs w:val="20"/>
          <w:color w:val="2A2A2A"/>
        </w:rPr>
      </w:pPr>
    </w:p>
    <w:p>
      <w:pPr>
        <w:ind w:left="720" w:hanging="361"/>
        <w:spacing w:after="0"/>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Interests of a related person arising only from:</w:t>
      </w:r>
    </w:p>
    <w:p>
      <w:pPr>
        <w:spacing w:after="0" w:line="70" w:lineRule="exact"/>
        <w:rPr>
          <w:rFonts w:ascii="Arial" w:cs="Arial" w:eastAsia="Arial" w:hAnsi="Arial"/>
          <w:sz w:val="20"/>
          <w:szCs w:val="20"/>
          <w:color w:val="2A2A2A"/>
        </w:rPr>
      </w:pPr>
    </w:p>
    <w:p>
      <w:pPr>
        <w:ind w:left="1080" w:right="200" w:hanging="361"/>
        <w:spacing w:after="0" w:line="268" w:lineRule="auto"/>
        <w:tabs>
          <w:tab w:leader="none" w:pos="1080" w:val="left"/>
        </w:tabs>
        <w:numPr>
          <w:ilvl w:val="1"/>
          <w:numId w:val="157"/>
        </w:numPr>
        <w:rPr>
          <w:rFonts w:ascii="Arial" w:cs="Arial" w:eastAsia="Arial" w:hAnsi="Arial"/>
          <w:sz w:val="20"/>
          <w:szCs w:val="20"/>
          <w:color w:val="2A2A2A"/>
        </w:rPr>
      </w:pPr>
      <w:r>
        <w:rPr>
          <w:rFonts w:ascii="Arial" w:cs="Arial" w:eastAsia="Arial" w:hAnsi="Arial"/>
          <w:sz w:val="20"/>
          <w:szCs w:val="20"/>
          <w:color w:val="2A2A2A"/>
        </w:rPr>
        <w:t>the direct or indirect ownership in another party to the transaction and that ownership, when combined with the ownership of all the other individuals specified in 3(a)-(c) above, is less than 5% of the outstanding equity of such party;</w:t>
      </w:r>
    </w:p>
    <w:p>
      <w:pPr>
        <w:spacing w:after="0" w:line="9" w:lineRule="exact"/>
        <w:rPr>
          <w:rFonts w:ascii="Arial" w:cs="Arial" w:eastAsia="Arial" w:hAnsi="Arial"/>
          <w:sz w:val="20"/>
          <w:szCs w:val="20"/>
          <w:color w:val="2A2A2A"/>
        </w:rPr>
      </w:pPr>
    </w:p>
    <w:p>
      <w:pPr>
        <w:jc w:val="both"/>
        <w:ind w:left="1080" w:right="60" w:hanging="361"/>
        <w:spacing w:after="0" w:line="268" w:lineRule="auto"/>
        <w:tabs>
          <w:tab w:leader="none" w:pos="1080" w:val="left"/>
        </w:tabs>
        <w:numPr>
          <w:ilvl w:val="1"/>
          <w:numId w:val="157"/>
        </w:numPr>
        <w:rPr>
          <w:rFonts w:ascii="Arial" w:cs="Arial" w:eastAsia="Arial" w:hAnsi="Arial"/>
          <w:sz w:val="20"/>
          <w:szCs w:val="20"/>
          <w:color w:val="2A2A2A"/>
        </w:rPr>
      </w:pPr>
      <w:r>
        <w:rPr>
          <w:rFonts w:ascii="Arial" w:cs="Arial" w:eastAsia="Arial" w:hAnsi="Arial"/>
          <w:sz w:val="20"/>
          <w:szCs w:val="20"/>
          <w:color w:val="2A2A2A"/>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9" w:lineRule="exact"/>
        <w:rPr>
          <w:rFonts w:ascii="Arial" w:cs="Arial" w:eastAsia="Arial" w:hAnsi="Arial"/>
          <w:sz w:val="20"/>
          <w:szCs w:val="20"/>
          <w:color w:val="2A2A2A"/>
        </w:rPr>
      </w:pPr>
    </w:p>
    <w:p>
      <w:pPr>
        <w:ind w:left="1080" w:hanging="361"/>
        <w:spacing w:after="0"/>
        <w:tabs>
          <w:tab w:leader="none" w:pos="1080" w:val="left"/>
        </w:tabs>
        <w:numPr>
          <w:ilvl w:val="1"/>
          <w:numId w:val="157"/>
        </w:numPr>
        <w:rPr>
          <w:rFonts w:ascii="Arial" w:cs="Arial" w:eastAsia="Arial" w:hAnsi="Arial"/>
          <w:sz w:val="20"/>
          <w:szCs w:val="20"/>
          <w:color w:val="2A2A2A"/>
        </w:rPr>
      </w:pPr>
      <w:r>
        <w:rPr>
          <w:rFonts w:ascii="Arial" w:cs="Arial" w:eastAsia="Arial" w:hAnsi="Arial"/>
          <w:sz w:val="20"/>
          <w:szCs w:val="20"/>
          <w:color w:val="2A2A2A"/>
        </w:rPr>
        <w:t>their position as a director of another corporation or organization;</w:t>
      </w:r>
    </w:p>
    <w:p>
      <w:pPr>
        <w:spacing w:after="0" w:line="70" w:lineRule="exact"/>
        <w:rPr>
          <w:rFonts w:ascii="Arial" w:cs="Arial" w:eastAsia="Arial" w:hAnsi="Arial"/>
          <w:sz w:val="20"/>
          <w:szCs w:val="20"/>
          <w:color w:val="2A2A2A"/>
        </w:rPr>
      </w:pPr>
    </w:p>
    <w:p>
      <w:pPr>
        <w:ind w:left="1080" w:right="340" w:hanging="361"/>
        <w:spacing w:after="0" w:line="281" w:lineRule="auto"/>
        <w:tabs>
          <w:tab w:leader="none" w:pos="1080" w:val="left"/>
        </w:tabs>
        <w:numPr>
          <w:ilvl w:val="1"/>
          <w:numId w:val="157"/>
        </w:numPr>
        <w:rPr>
          <w:rFonts w:ascii="Arial" w:cs="Arial" w:eastAsia="Arial" w:hAnsi="Arial"/>
          <w:sz w:val="20"/>
          <w:szCs w:val="20"/>
          <w:color w:val="2A2A2A"/>
        </w:rPr>
      </w:pPr>
      <w:r>
        <w:rPr>
          <w:rFonts w:ascii="Arial" w:cs="Arial" w:eastAsia="Arial" w:hAnsi="Arial"/>
          <w:sz w:val="20"/>
          <w:szCs w:val="20"/>
          <w:color w:val="2A2A2A"/>
        </w:rPr>
        <w:t>the ownership of TI stock and all holders of that class of stock receive the same benefit on a pro rata basis;</w:t>
      </w:r>
    </w:p>
    <w:p>
      <w:pPr>
        <w:spacing w:after="0" w:line="1" w:lineRule="exact"/>
        <w:rPr>
          <w:rFonts w:ascii="Arial" w:cs="Arial" w:eastAsia="Arial" w:hAnsi="Arial"/>
          <w:sz w:val="20"/>
          <w:szCs w:val="20"/>
          <w:color w:val="2A2A2A"/>
        </w:rPr>
      </w:pPr>
    </w:p>
    <w:p>
      <w:pPr>
        <w:ind w:left="720" w:right="360" w:hanging="361"/>
        <w:spacing w:after="0" w:line="259" w:lineRule="auto"/>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Transactions in the ordinary course of business where the only relationship of a TI director or executive officer or their Immediate Family Member is as an employee (other than an executive officer) and/or less than a 10% beneficial owner of the other entity if (i) the TI director or executive officer is not involved in negotiating the terms of the transaction and (ii) amounts involved for the fiscal year do not exceed the greater of $200,000 or 2% of the entity’s consolidated gross revenues for that year;</w:t>
      </w:r>
    </w:p>
    <w:p>
      <w:pPr>
        <w:spacing w:after="0" w:line="19" w:lineRule="exact"/>
        <w:rPr>
          <w:rFonts w:ascii="Arial" w:cs="Arial" w:eastAsia="Arial" w:hAnsi="Arial"/>
          <w:sz w:val="20"/>
          <w:szCs w:val="20"/>
          <w:color w:val="2A2A2A"/>
        </w:rPr>
      </w:pPr>
    </w:p>
    <w:p>
      <w:pPr>
        <w:ind w:left="720" w:right="320" w:hanging="361"/>
        <w:spacing w:after="0" w:line="273" w:lineRule="auto"/>
        <w:tabs>
          <w:tab w:leader="none" w:pos="720" w:val="left"/>
        </w:tabs>
        <w:numPr>
          <w:ilvl w:val="0"/>
          <w:numId w:val="157"/>
        </w:numPr>
        <w:rPr>
          <w:rFonts w:ascii="Arial" w:cs="Arial" w:eastAsia="Arial" w:hAnsi="Arial"/>
          <w:sz w:val="19"/>
          <w:szCs w:val="19"/>
          <w:color w:val="2A2A2A"/>
        </w:rPr>
      </w:pPr>
      <w:r>
        <w:rPr>
          <w:rFonts w:ascii="Arial" w:cs="Arial" w:eastAsia="Arial" w:hAnsi="Arial"/>
          <w:sz w:val="19"/>
          <w:szCs w:val="19"/>
          <w:color w:val="2A2A2A"/>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8" w:lineRule="exact"/>
        <w:rPr>
          <w:rFonts w:ascii="Arial" w:cs="Arial" w:eastAsia="Arial" w:hAnsi="Arial"/>
          <w:sz w:val="19"/>
          <w:szCs w:val="19"/>
          <w:color w:val="2A2A2A"/>
        </w:rPr>
      </w:pPr>
    </w:p>
    <w:p>
      <w:pPr>
        <w:ind w:left="720" w:right="120" w:hanging="361"/>
        <w:spacing w:after="0" w:line="262" w:lineRule="auto"/>
        <w:tabs>
          <w:tab w:leader="none" w:pos="720" w:val="left"/>
        </w:tabs>
        <w:numPr>
          <w:ilvl w:val="0"/>
          <w:numId w:val="157"/>
        </w:numPr>
        <w:rPr>
          <w:rFonts w:ascii="Arial" w:cs="Arial" w:eastAsia="Arial" w:hAnsi="Arial"/>
          <w:sz w:val="20"/>
          <w:szCs w:val="20"/>
          <w:color w:val="2A2A2A"/>
        </w:rPr>
      </w:pPr>
      <w:r>
        <w:rPr>
          <w:rFonts w:ascii="Arial" w:cs="Arial" w:eastAsia="Arial" w:hAnsi="Arial"/>
          <w:sz w:val="20"/>
          <w:szCs w:val="20"/>
          <w:color w:val="2A2A2A"/>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Compensation committee interlocks and insider participation</w:t>
      </w: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During 2023, Messrs. Craighead, Blinn and Kirk and Mses. Cox and Patsley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Cost of solicitation</w:t>
      </w:r>
    </w:p>
    <w:p>
      <w:pPr>
        <w:spacing w:after="0" w:line="257"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2A2A2A"/>
        </w:rPr>
        <w:t>The solicitation is made on behalf of our board of directors. TI will pay the cost of soliciting these proxies. We will reimburse brokerage houses and other custodians, nominees and fiduciaries for reasonable expenses they incur in sending these proxy materials to beneficial holders of our shares.</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72</w:t>
      </w:r>
    </w:p>
    <w:p>
      <w:pPr>
        <w:sectPr>
          <w:pgSz w:w="12240" w:h="15840" w:orient="portrait"/>
          <w:cols w:equalWidth="0" w:num="1">
            <w:col w:w="10280"/>
          </w:cols>
          <w:pgMar w:left="980" w:top="664" w:right="980" w:bottom="33" w:gutter="0" w:footer="0" w:header="0"/>
          <w:type w:val="continuous"/>
        </w:sectPr>
      </w:pPr>
    </w:p>
    <w:bookmarkStart w:id="144" w:name="page145"/>
    <w:bookmarkEnd w:id="144"/>
    <w:p>
      <w:pPr>
        <w:jc w:val="both"/>
        <w:spacing w:after="0" w:line="268" w:lineRule="auto"/>
        <w:rPr>
          <w:sz w:val="20"/>
          <w:szCs w:val="20"/>
          <w:color w:val="auto"/>
        </w:rPr>
      </w:pPr>
      <w:r>
        <w:rPr>
          <w:rFonts w:ascii="Arial" w:cs="Arial" w:eastAsia="Arial" w:hAnsi="Arial"/>
          <w:sz w:val="20"/>
          <w:szCs w:val="20"/>
          <w:color w:val="2A2A2A"/>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Stockholder proposals and nominations for 2025</w:t>
      </w:r>
    </w:p>
    <w:p>
      <w:pPr>
        <w:spacing w:after="0" w:line="257"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A2A2A"/>
        </w:rPr>
        <w:t>The table below shows the deadlines for stockholders to submit proposals or director nominations for next year’s annual meeting.</w:t>
      </w:r>
    </w:p>
    <w:p>
      <w:pPr>
        <w:spacing w:after="0" w:line="265" w:lineRule="exact"/>
        <w:rPr>
          <w:sz w:val="20"/>
          <w:szCs w:val="20"/>
          <w:color w:val="auto"/>
        </w:rPr>
      </w:pPr>
    </w:p>
    <w:tbl>
      <w:tblPr>
        <w:tblLayout w:type="fixed"/>
        <w:tblInd w:w="2820" w:type="dxa"/>
        <w:tblCellMar>
          <w:top w:w="0" w:type="dxa"/>
          <w:left w:w="0" w:type="dxa"/>
          <w:bottom w:w="0" w:type="dxa"/>
          <w:right w:w="0" w:type="dxa"/>
        </w:tblCellMar>
      </w:tblPr>
      <w:tr>
        <w:trPr>
          <w:trHeight w:val="192"/>
        </w:trPr>
        <w:tc>
          <w:tcPr>
            <w:tcW w:w="1560" w:type="dxa"/>
            <w:vAlign w:val="bottom"/>
          </w:tcPr>
          <w:p>
            <w:pPr>
              <w:jc w:val="center"/>
              <w:ind w:right="440"/>
              <w:spacing w:after="0"/>
              <w:rPr>
                <w:sz w:val="20"/>
                <w:szCs w:val="20"/>
                <w:color w:val="auto"/>
              </w:rPr>
            </w:pPr>
            <w:r>
              <w:rPr>
                <w:rFonts w:ascii="Arial" w:cs="Arial" w:eastAsia="Arial" w:hAnsi="Arial"/>
                <w:sz w:val="16"/>
                <w:szCs w:val="16"/>
                <w:b w:val="1"/>
                <w:bCs w:val="1"/>
                <w:color w:val="2A2A2A"/>
              </w:rPr>
              <w:t>Proposals for</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2A2A2A"/>
                <w:w w:val="99"/>
              </w:rPr>
              <w:t>Director Nominees for</w:t>
            </w:r>
          </w:p>
        </w:tc>
        <w:tc>
          <w:tcPr>
            <w:tcW w:w="3080" w:type="dxa"/>
            <w:vAlign w:val="bottom"/>
          </w:tcPr>
          <w:p>
            <w:pPr>
              <w:jc w:val="center"/>
              <w:ind w:left="400"/>
              <w:spacing w:after="0"/>
              <w:rPr>
                <w:sz w:val="20"/>
                <w:szCs w:val="20"/>
                <w:color w:val="auto"/>
              </w:rPr>
            </w:pPr>
            <w:r>
              <w:rPr>
                <w:rFonts w:ascii="Arial" w:cs="Arial" w:eastAsia="Arial" w:hAnsi="Arial"/>
                <w:sz w:val="16"/>
                <w:szCs w:val="16"/>
                <w:b w:val="1"/>
                <w:bCs w:val="1"/>
                <w:color w:val="2A2A2A"/>
                <w:w w:val="99"/>
              </w:rPr>
              <w:t>Other Proposals/Nominees to be</w:t>
            </w:r>
          </w:p>
        </w:tc>
      </w:tr>
      <w:tr>
        <w:trPr>
          <w:trHeight w:val="192"/>
        </w:trPr>
        <w:tc>
          <w:tcPr>
            <w:tcW w:w="1560" w:type="dxa"/>
            <w:vAlign w:val="bottom"/>
          </w:tcPr>
          <w:p>
            <w:pPr>
              <w:jc w:val="center"/>
              <w:ind w:right="440"/>
              <w:spacing w:after="0"/>
              <w:rPr>
                <w:sz w:val="20"/>
                <w:szCs w:val="20"/>
                <w:color w:val="auto"/>
              </w:rPr>
            </w:pPr>
            <w:r>
              <w:rPr>
                <w:rFonts w:ascii="Arial" w:cs="Arial" w:eastAsia="Arial" w:hAnsi="Arial"/>
                <w:sz w:val="16"/>
                <w:szCs w:val="16"/>
                <w:b w:val="1"/>
                <w:bCs w:val="1"/>
                <w:color w:val="2A2A2A"/>
                <w:w w:val="98"/>
              </w:rPr>
              <w:t>Inclusion in</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2A2A2A"/>
                <w:w w:val="99"/>
              </w:rPr>
              <w:t>Inclusion in 2025</w:t>
            </w:r>
          </w:p>
        </w:tc>
        <w:tc>
          <w:tcPr>
            <w:tcW w:w="3080" w:type="dxa"/>
            <w:vAlign w:val="bottom"/>
          </w:tcPr>
          <w:p>
            <w:pPr>
              <w:jc w:val="center"/>
              <w:ind w:left="400"/>
              <w:spacing w:after="0"/>
              <w:rPr>
                <w:sz w:val="20"/>
                <w:szCs w:val="20"/>
                <w:color w:val="auto"/>
              </w:rPr>
            </w:pPr>
            <w:r>
              <w:rPr>
                <w:rFonts w:ascii="Arial" w:cs="Arial" w:eastAsia="Arial" w:hAnsi="Arial"/>
                <w:sz w:val="16"/>
                <w:szCs w:val="16"/>
                <w:b w:val="1"/>
                <w:bCs w:val="1"/>
                <w:color w:val="2A2A2A"/>
              </w:rPr>
              <w:t>Presented at 2025 Annual Meeting</w:t>
            </w:r>
          </w:p>
        </w:tc>
      </w:tr>
      <w:tr>
        <w:trPr>
          <w:trHeight w:val="192"/>
        </w:trPr>
        <w:tc>
          <w:tcPr>
            <w:tcW w:w="1560" w:type="dxa"/>
            <w:vAlign w:val="bottom"/>
          </w:tcPr>
          <w:p>
            <w:pPr>
              <w:jc w:val="center"/>
              <w:ind w:right="440"/>
              <w:spacing w:after="0"/>
              <w:rPr>
                <w:sz w:val="20"/>
                <w:szCs w:val="20"/>
                <w:color w:val="auto"/>
              </w:rPr>
            </w:pPr>
            <w:r>
              <w:rPr>
                <w:rFonts w:ascii="Arial" w:cs="Arial" w:eastAsia="Arial" w:hAnsi="Arial"/>
                <w:sz w:val="16"/>
                <w:szCs w:val="16"/>
                <w:b w:val="1"/>
                <w:bCs w:val="1"/>
                <w:color w:val="2A2A2A"/>
                <w:w w:val="99"/>
              </w:rPr>
              <w:t>2025 Proxy</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2A2A2A"/>
                <w:w w:val="99"/>
              </w:rPr>
              <w:t>Proxy Materials</w:t>
            </w:r>
          </w:p>
        </w:tc>
        <w:tc>
          <w:tcPr>
            <w:tcW w:w="3080" w:type="dxa"/>
            <w:vAlign w:val="bottom"/>
          </w:tcPr>
          <w:p>
            <w:pPr>
              <w:jc w:val="center"/>
              <w:ind w:left="400"/>
              <w:spacing w:after="0"/>
              <w:rPr>
                <w:sz w:val="20"/>
                <w:szCs w:val="20"/>
                <w:color w:val="auto"/>
              </w:rPr>
            </w:pPr>
            <w:r>
              <w:rPr>
                <w:rFonts w:ascii="Arial" w:cs="Arial" w:eastAsia="Arial" w:hAnsi="Arial"/>
                <w:sz w:val="16"/>
                <w:szCs w:val="16"/>
                <w:b w:val="1"/>
                <w:bCs w:val="1"/>
                <w:color w:val="2A2A2A"/>
                <w:w w:val="99"/>
              </w:rPr>
              <w:t>(and Not for Inclusion in</w:t>
            </w:r>
          </w:p>
        </w:tc>
      </w:tr>
      <w:tr>
        <w:trPr>
          <w:trHeight w:val="221"/>
        </w:trPr>
        <w:tc>
          <w:tcPr>
            <w:tcW w:w="1560" w:type="dxa"/>
            <w:vAlign w:val="bottom"/>
          </w:tcPr>
          <w:p>
            <w:pPr>
              <w:jc w:val="center"/>
              <w:ind w:right="440"/>
              <w:spacing w:after="0"/>
              <w:rPr>
                <w:sz w:val="20"/>
                <w:szCs w:val="20"/>
                <w:color w:val="auto"/>
              </w:rPr>
            </w:pPr>
            <w:r>
              <w:rPr>
                <w:rFonts w:ascii="Arial" w:cs="Arial" w:eastAsia="Arial" w:hAnsi="Arial"/>
                <w:sz w:val="16"/>
                <w:szCs w:val="16"/>
                <w:b w:val="1"/>
                <w:bCs w:val="1"/>
                <w:color w:val="2A2A2A"/>
                <w:w w:val="97"/>
              </w:rPr>
              <w:t>Materials</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2A2A2A"/>
              </w:rPr>
              <w:t>(Proxy Access)</w:t>
            </w:r>
          </w:p>
        </w:tc>
        <w:tc>
          <w:tcPr>
            <w:tcW w:w="3080" w:type="dxa"/>
            <w:vAlign w:val="bottom"/>
          </w:tcPr>
          <w:p>
            <w:pPr>
              <w:jc w:val="center"/>
              <w:ind w:left="400"/>
              <w:spacing w:after="0"/>
              <w:rPr>
                <w:sz w:val="20"/>
                <w:szCs w:val="20"/>
                <w:color w:val="auto"/>
              </w:rPr>
            </w:pPr>
            <w:r>
              <w:rPr>
                <w:rFonts w:ascii="Arial" w:cs="Arial" w:eastAsia="Arial" w:hAnsi="Arial"/>
                <w:sz w:val="16"/>
                <w:szCs w:val="16"/>
                <w:b w:val="1"/>
                <w:bCs w:val="1"/>
                <w:color w:val="2A2A2A"/>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52462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524625" cy="12700"/>
                    </a:xfrm>
                    <a:prstGeom prst="rect">
                      <a:avLst/>
                    </a:prstGeom>
                    <a:noFill/>
                  </pic:spPr>
                </pic:pic>
              </a:graphicData>
            </a:graphic>
          </wp:anchor>
        </w:drawing>
      </w:r>
    </w:p>
    <w:p>
      <w:pPr>
        <w:sectPr>
          <w:pgSz w:w="12240" w:h="15840" w:orient="portrait"/>
          <w:cols w:equalWidth="0" w:num="1">
            <w:col w:w="10220"/>
          </w:cols>
          <w:pgMar w:left="980" w:top="664" w:right="1040" w:bottom="33" w:gutter="0" w:footer="0" w:header="0"/>
        </w:sectPr>
      </w:pP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2280" w:type="dxa"/>
            <w:vAlign w:val="bottom"/>
          </w:tcPr>
          <w:p>
            <w:pPr>
              <w:spacing w:after="0"/>
              <w:rPr>
                <w:sz w:val="20"/>
                <w:szCs w:val="20"/>
                <w:color w:val="auto"/>
              </w:rPr>
            </w:pPr>
            <w:r>
              <w:rPr>
                <w:rFonts w:ascii="Arial" w:cs="Arial" w:eastAsia="Arial" w:hAnsi="Arial"/>
                <w:sz w:val="20"/>
                <w:szCs w:val="20"/>
                <w:color w:val="2A2A2A"/>
              </w:rPr>
              <w:t>When proposal must</w:t>
            </w:r>
          </w:p>
        </w:tc>
        <w:tc>
          <w:tcPr>
            <w:tcW w:w="1960" w:type="dxa"/>
            <w:vAlign w:val="bottom"/>
          </w:tcPr>
          <w:p>
            <w:pPr>
              <w:ind w:left="440"/>
              <w:spacing w:after="0"/>
              <w:rPr>
                <w:sz w:val="20"/>
                <w:szCs w:val="20"/>
                <w:color w:val="auto"/>
              </w:rPr>
            </w:pPr>
            <w:r>
              <w:rPr>
                <w:rFonts w:ascii="Arial" w:cs="Arial" w:eastAsia="Arial" w:hAnsi="Arial"/>
                <w:sz w:val="20"/>
                <w:szCs w:val="20"/>
                <w:color w:val="2A2A2A"/>
              </w:rPr>
              <w:t>On or before</w:t>
            </w:r>
          </w:p>
        </w:tc>
        <w:tc>
          <w:tcPr>
            <w:tcW w:w="2680" w:type="dxa"/>
            <w:vAlign w:val="bottom"/>
          </w:tcPr>
          <w:p>
            <w:pPr>
              <w:ind w:left="280"/>
              <w:spacing w:after="0"/>
              <w:rPr>
                <w:sz w:val="20"/>
                <w:szCs w:val="20"/>
                <w:color w:val="auto"/>
              </w:rPr>
            </w:pPr>
            <w:r>
              <w:rPr>
                <w:rFonts w:ascii="Arial" w:cs="Arial" w:eastAsia="Arial" w:hAnsi="Arial"/>
                <w:sz w:val="20"/>
                <w:szCs w:val="20"/>
                <w:color w:val="2A2A2A"/>
                <w:w w:val="98"/>
              </w:rPr>
              <w:t>No earlier than October 13,</w:t>
            </w:r>
          </w:p>
        </w:tc>
      </w:tr>
      <w:tr>
        <w:trPr>
          <w:trHeight w:val="240"/>
        </w:trPr>
        <w:tc>
          <w:tcPr>
            <w:tcW w:w="2280" w:type="dxa"/>
            <w:vAlign w:val="bottom"/>
          </w:tcPr>
          <w:p>
            <w:pPr>
              <w:spacing w:after="0"/>
              <w:rPr>
                <w:sz w:val="20"/>
                <w:szCs w:val="20"/>
                <w:color w:val="auto"/>
              </w:rPr>
            </w:pPr>
            <w:r>
              <w:rPr>
                <w:rFonts w:ascii="Arial" w:cs="Arial" w:eastAsia="Arial" w:hAnsi="Arial"/>
                <w:sz w:val="20"/>
                <w:szCs w:val="20"/>
                <w:color w:val="2A2A2A"/>
              </w:rPr>
              <w:t>be received by</w:t>
            </w:r>
          </w:p>
        </w:tc>
        <w:tc>
          <w:tcPr>
            <w:tcW w:w="1960" w:type="dxa"/>
            <w:vAlign w:val="bottom"/>
          </w:tcPr>
          <w:p>
            <w:pPr>
              <w:ind w:left="440"/>
              <w:spacing w:after="0"/>
              <w:rPr>
                <w:sz w:val="20"/>
                <w:szCs w:val="20"/>
                <w:color w:val="auto"/>
              </w:rPr>
            </w:pPr>
            <w:r>
              <w:rPr>
                <w:rFonts w:ascii="Arial" w:cs="Arial" w:eastAsia="Arial" w:hAnsi="Arial"/>
                <w:sz w:val="20"/>
                <w:szCs w:val="20"/>
                <w:color w:val="2A2A2A"/>
              </w:rPr>
              <w:t>November 12,</w:t>
            </w:r>
          </w:p>
        </w:tc>
        <w:tc>
          <w:tcPr>
            <w:tcW w:w="2680" w:type="dxa"/>
            <w:vAlign w:val="bottom"/>
          </w:tcPr>
          <w:p>
            <w:pPr>
              <w:ind w:left="280"/>
              <w:spacing w:after="0"/>
              <w:rPr>
                <w:sz w:val="20"/>
                <w:szCs w:val="20"/>
                <w:color w:val="auto"/>
              </w:rPr>
            </w:pPr>
            <w:r>
              <w:rPr>
                <w:rFonts w:ascii="Arial" w:cs="Arial" w:eastAsia="Arial" w:hAnsi="Arial"/>
                <w:sz w:val="20"/>
                <w:szCs w:val="20"/>
                <w:color w:val="2A2A2A"/>
              </w:rPr>
              <w:t>2024, and no later than</w:t>
            </w:r>
          </w:p>
        </w:tc>
      </w:tr>
      <w:tr>
        <w:trPr>
          <w:trHeight w:val="265"/>
        </w:trPr>
        <w:tc>
          <w:tcPr>
            <w:tcW w:w="2280" w:type="dxa"/>
            <w:vAlign w:val="bottom"/>
          </w:tcPr>
          <w:p>
            <w:pPr>
              <w:spacing w:after="0"/>
              <w:rPr>
                <w:sz w:val="20"/>
                <w:szCs w:val="20"/>
                <w:color w:val="auto"/>
              </w:rPr>
            </w:pPr>
            <w:r>
              <w:rPr>
                <w:rFonts w:ascii="Arial" w:cs="Arial" w:eastAsia="Arial" w:hAnsi="Arial"/>
                <w:sz w:val="20"/>
                <w:szCs w:val="20"/>
                <w:color w:val="2A2A2A"/>
              </w:rPr>
              <w:t>Texas Instruments</w:t>
            </w:r>
          </w:p>
        </w:tc>
        <w:tc>
          <w:tcPr>
            <w:tcW w:w="1960" w:type="dxa"/>
            <w:vAlign w:val="bottom"/>
          </w:tcPr>
          <w:p>
            <w:pPr>
              <w:ind w:left="440"/>
              <w:spacing w:after="0"/>
              <w:rPr>
                <w:sz w:val="20"/>
                <w:szCs w:val="20"/>
                <w:color w:val="auto"/>
              </w:rPr>
            </w:pPr>
            <w:r>
              <w:rPr>
                <w:rFonts w:ascii="Arial" w:cs="Arial" w:eastAsia="Arial" w:hAnsi="Arial"/>
                <w:sz w:val="20"/>
                <w:szCs w:val="20"/>
                <w:color w:val="2A2A2A"/>
              </w:rPr>
              <w:t>2024</w:t>
            </w:r>
          </w:p>
        </w:tc>
        <w:tc>
          <w:tcPr>
            <w:tcW w:w="2680" w:type="dxa"/>
            <w:vAlign w:val="bottom"/>
          </w:tcPr>
          <w:p>
            <w:pPr>
              <w:ind w:left="280"/>
              <w:spacing w:after="0"/>
              <w:rPr>
                <w:sz w:val="20"/>
                <w:szCs w:val="20"/>
                <w:color w:val="auto"/>
              </w:rPr>
            </w:pPr>
            <w:r>
              <w:rPr>
                <w:rFonts w:ascii="Arial" w:cs="Arial" w:eastAsia="Arial" w:hAnsi="Arial"/>
                <w:sz w:val="20"/>
                <w:szCs w:val="20"/>
                <w:color w:val="2A2A2A"/>
              </w:rPr>
              <w:t>November 12, 2024</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2A2A2A"/>
        </w:rPr>
        <w:t>No earlier than December 26, 2024, and no later than January 25, 2025</w:t>
      </w:r>
    </w:p>
    <w:p>
      <w:pPr>
        <w:spacing w:after="0" w:line="200" w:lineRule="exact"/>
        <w:rPr>
          <w:sz w:val="20"/>
          <w:szCs w:val="20"/>
          <w:color w:val="auto"/>
        </w:rPr>
      </w:pPr>
    </w:p>
    <w:p>
      <w:pPr>
        <w:sectPr>
          <w:pgSz w:w="12240" w:h="15840" w:orient="portrait"/>
          <w:cols w:equalWidth="0" w:num="2">
            <w:col w:w="6980" w:space="580"/>
            <w:col w:w="2660"/>
          </w:cols>
          <w:pgMar w:left="980" w:top="664" w:right="1040" w:bottom="33" w:gutter="0" w:footer="0" w:header="0"/>
          <w:type w:val="continuous"/>
        </w:sectPr>
      </w:pP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2A2A2A"/>
        </w:rPr>
        <w:t>In addition to satisfying the requirements of the company’s by-laws, to comply with the SEC’s universal proxy rules, stockholders who intend to solicit proxies in support of director nominees other than board’s nominees must also comply with the additional requirements of Rule 14a-19(b) under the Exchange Act.</w:t>
      </w:r>
    </w:p>
    <w:p>
      <w:pPr>
        <w:spacing w:after="0" w:line="190"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color w:val="2A2A2A"/>
        </w:rPr>
        <w:t>Any proposals, nominations or notices are to be sent to Texas Instruments Incorporated, 12500 TI Boulevard, MS 8658, Dallas, TX 75243, Attn: Secretary.</w:t>
      </w:r>
    </w:p>
    <w:p>
      <w:pPr>
        <w:spacing w:after="0" w:line="170"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color w:val="2A2A2A"/>
        </w:rPr>
        <w:t>We reserve the right to reject, rule out of order or take any other appropriate action with respect to any proposal or nomination that does not comply with these and other applicable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Benefit plan voting</w:t>
      </w: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2A2A2A"/>
        </w:rPr>
        <w:t>A participant in the TI Contribution and 401(k) Savings Plan or the TI 401(k) Savings Plan is a “named fiduciary” under the plans and is entitled to direct the voting of shares allocable to his or her accounts under these plans. The trustee administering the plan will vote the shares in accordance with the named fiduciary’s instructions. Instructing the trustee on the voting of shares held for the accounts should be done by April 22, 2024, in the manner described in the notice of annual meeting.</w:t>
      </w:r>
    </w:p>
    <w:p>
      <w:pPr>
        <w:spacing w:after="0" w:line="199"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color w:val="2A2A2A"/>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22, 2024, will be voted in the same proportions as the shares in the plans for which voting instructions have been received by that date unless otherwise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Delinquent Section 16(a) reports</w:t>
      </w: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20"/>
          <w:szCs w:val="20"/>
          <w:color w:val="2A2A2A"/>
        </w:rPr>
        <w:t>Section 16(a) of the Securities Exchange Act requires certain persons, including the company’s directors and Section 16 officers, to file reports with the SEC regarding beneficial ownership of certain equity securities of the company. Based upon a review of reports filed with the SEC and written representations from the reporting persons, the company believes that all reports, other than as follows, during 2023 were timely filed by its directors and Section 16 officers. Due to administrative errors, there were four late filings for Kyle Flessner with respect to seven purchases occurring in 2021 and 2022 that were reported on Form 4 in 2023 and one late filing for Carrie Cox with respect to an exercise of options and resulting sale of shares in 2023.</w:t>
      </w:r>
    </w:p>
    <w:p>
      <w:pPr>
        <w:sectPr>
          <w:pgSz w:w="12240" w:h="15840" w:orient="portrait"/>
          <w:cols w:equalWidth="0" w:num="1">
            <w:col w:w="10220"/>
          </w:cols>
          <w:pgMar w:left="980" w:top="664" w:right="1040" w:bottom="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2024 PROXY STATEMENT • PAGE 73</w:t>
      </w:r>
    </w:p>
    <w:p>
      <w:pPr>
        <w:sectPr>
          <w:pgSz w:w="12240" w:h="15840" w:orient="portrait"/>
          <w:cols w:equalWidth="0" w:num="1">
            <w:col w:w="10220"/>
          </w:cols>
          <w:pgMar w:left="980" w:top="664" w:right="1040" w:bottom="33" w:gutter="0" w:footer="0" w:header="0"/>
          <w:type w:val="continuous"/>
        </w:sectPr>
      </w:pPr>
    </w:p>
    <w:bookmarkStart w:id="145" w:name="page146"/>
    <w:bookmarkEnd w:id="145"/>
    <w:p>
      <w:pPr>
        <w:spacing w:after="0"/>
        <w:rPr>
          <w:sz w:val="20"/>
          <w:szCs w:val="20"/>
          <w:color w:val="auto"/>
        </w:rPr>
      </w:pPr>
      <w:r>
        <w:rPr>
          <w:rFonts w:ascii="Arial" w:cs="Arial" w:eastAsia="Arial" w:hAnsi="Arial"/>
          <w:sz w:val="22"/>
          <w:szCs w:val="22"/>
          <w:b w:val="1"/>
          <w:bCs w:val="1"/>
          <w:color w:val="2A2A2A"/>
        </w:rPr>
        <w:t>Telephone and internet voting</w:t>
      </w:r>
    </w:p>
    <w:p>
      <w:pPr>
        <w:spacing w:after="0" w:line="257" w:lineRule="exact"/>
        <w:rPr>
          <w:sz w:val="20"/>
          <w:szCs w:val="20"/>
          <w:color w:val="auto"/>
        </w:rPr>
      </w:pPr>
    </w:p>
    <w:p>
      <w:pPr>
        <w:ind w:right="540"/>
        <w:spacing w:after="0" w:line="262" w:lineRule="auto"/>
        <w:rPr>
          <w:sz w:val="20"/>
          <w:szCs w:val="20"/>
          <w:color w:val="auto"/>
        </w:rPr>
      </w:pPr>
      <w:r>
        <w:rPr>
          <w:rFonts w:ascii="Arial" w:cs="Arial" w:eastAsia="Arial" w:hAnsi="Arial"/>
          <w:sz w:val="20"/>
          <w:szCs w:val="20"/>
          <w:u w:val="single" w:color="auto"/>
          <w:color w:val="2A2A2A"/>
        </w:rPr>
        <w:t>Registered stockholders and benefit plan participants</w:t>
      </w:r>
      <w:r>
        <w:rPr>
          <w:rFonts w:ascii="Arial" w:cs="Arial" w:eastAsia="Arial" w:hAnsi="Arial"/>
          <w:sz w:val="20"/>
          <w:szCs w:val="20"/>
          <w:color w:val="2A2A2A"/>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96" w:lineRule="exact"/>
        <w:rPr>
          <w:sz w:val="20"/>
          <w:szCs w:val="20"/>
          <w:color w:val="auto"/>
        </w:rPr>
      </w:pPr>
    </w:p>
    <w:p>
      <w:pPr>
        <w:ind w:right="600"/>
        <w:spacing w:after="0" w:line="268" w:lineRule="auto"/>
        <w:rPr>
          <w:sz w:val="20"/>
          <w:szCs w:val="20"/>
          <w:color w:val="auto"/>
        </w:rPr>
      </w:pPr>
      <w:r>
        <w:rPr>
          <w:rFonts w:ascii="Arial" w:cs="Arial" w:eastAsia="Arial" w:hAnsi="Arial"/>
          <w:sz w:val="20"/>
          <w:szCs w:val="20"/>
          <w:color w:val="2A2A2A"/>
        </w:rPr>
        <w:t>The telephone and internet voting procedures are designed to authenticate stockholders’ identities, to allow stockholders to give their voting instructions and to confirm that stockholders’ instructions have been recorded properly.</w:t>
      </w:r>
    </w:p>
    <w:p>
      <w:pPr>
        <w:spacing w:after="0" w:line="190"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u w:val="single" w:color="auto"/>
          <w:color w:val="2A2A2A"/>
        </w:rPr>
        <w:t>Stockholders with shares registered in the name of a brokerage firm or bank</w:t>
      </w:r>
      <w:r>
        <w:rPr>
          <w:rFonts w:ascii="Arial" w:cs="Arial" w:eastAsia="Arial" w:hAnsi="Arial"/>
          <w:sz w:val="20"/>
          <w:szCs w:val="20"/>
          <w:color w:val="2A2A2A"/>
        </w:rPr>
        <w:t>. A number of brokerage firms and banks offer telephone and internet voting options. These programs may differ from the program provided to registered stockholders and benefit plan participants. Stockholders should check the information forwarded by the bank, broker or other holder of record to see which options are available.</w:t>
      </w:r>
    </w:p>
    <w:p>
      <w:pPr>
        <w:spacing w:after="0" w:line="196"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2A2A2A"/>
        </w:rPr>
        <w:t>Stockholders voting via the internet should understand that there may be costs associated with electronic access, such as usage charges from telephone companies and internet access providers, that must be borne by the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Stockholders sharing the same address</w:t>
      </w:r>
    </w:p>
    <w:p>
      <w:pPr>
        <w:spacing w:after="0" w:line="257"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2A2A2A"/>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Stockholders who share an address with another stockholder and who received only one set of these materials may request a separate copy at no cost by calling Investor Relations at (214) 479-3773 or by writing to Texas Instruments Incorporated, P.O. Box 660199, MS 8657, Dallas, TX 75266-0199, Attn: Investor Relations. For future annual meetings, those stockholders may request separate materials, or request that we send only one set of materials if they are receiving multiple copies, by calling (866) 540-7095 or writing to Broadridge, Householding Department, 51 Mercedes Way, Edgewood, NY 11717.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Internet availability of proxy materials</w:t>
      </w: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20"/>
          <w:szCs w:val="20"/>
          <w:color w:val="2A2A2A"/>
        </w:rPr>
        <w:t>We are furnishing proxy materials to our stockholders primarily over the internet. A Notice of Internet Availability of Proxy Materials will be mailed to stockholders with instructions on how to access the proxy materials online. Stockholders may follow the instructions in the Notice of Internet Availability of Proxy Materials to elect to receive future proxy materials in print by mail or electronically by email. Stockholders may also request electronic delivery by visiting https://enroll.icsdelivery.com/TXN. We encourage stockholders to take advantage of electronic delivery to help support our sustainability efforts and reduce the company’s printing and mailing costs.</w:t>
      </w:r>
    </w:p>
    <w:p>
      <w:pPr>
        <w:sectPr>
          <w:pgSz w:w="12240" w:h="15840" w:orient="portrait"/>
          <w:cols w:equalWidth="0" w:num="1">
            <w:col w:w="10280"/>
          </w:cols>
          <w:pgMar w:left="980" w:top="658"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74</w:t>
      </w:r>
    </w:p>
    <w:p>
      <w:pPr>
        <w:sectPr>
          <w:pgSz w:w="12240" w:h="15840" w:orient="portrait"/>
          <w:cols w:equalWidth="0" w:num="1">
            <w:col w:w="10280"/>
          </w:cols>
          <w:pgMar w:left="980" w:top="658" w:right="980" w:bottom="33" w:gutter="0" w:footer="0" w:header="0"/>
          <w:type w:val="continuous"/>
        </w:sectPr>
      </w:pPr>
    </w:p>
    <w:bookmarkStart w:id="146" w:name="page147"/>
    <w:bookmarkEnd w:id="146"/>
    <w:p>
      <w:pPr>
        <w:ind w:right="420"/>
        <w:spacing w:after="0" w:line="273" w:lineRule="auto"/>
        <w:rPr>
          <w:sz w:val="20"/>
          <w:szCs w:val="20"/>
          <w:color w:val="auto"/>
        </w:rPr>
      </w:pPr>
      <w:r>
        <w:rPr>
          <w:rFonts w:ascii="Arial" w:cs="Arial" w:eastAsia="Arial" w:hAnsi="Arial"/>
          <w:sz w:val="20"/>
          <w:szCs w:val="20"/>
          <w:b w:val="1"/>
          <w:bCs w:val="1"/>
          <w:color w:val="2A2A2A"/>
        </w:rPr>
        <w:t>Important Notice Regarding the Availability of Proxy Materials for the Stockholder Meeting to be held on April 25, 2024. This 2024 proxy statement and the company’s 2023 annual report are accessible at www.proxyvote.com.</w:t>
      </w:r>
    </w:p>
    <w:p>
      <w:pPr>
        <w:spacing w:after="0" w:line="175" w:lineRule="exact"/>
        <w:rPr>
          <w:sz w:val="20"/>
          <w:szCs w:val="20"/>
          <w:color w:val="auto"/>
        </w:rPr>
      </w:pPr>
    </w:p>
    <w:p>
      <w:pPr>
        <w:ind w:right="340"/>
        <w:spacing w:after="0" w:line="274" w:lineRule="auto"/>
        <w:rPr>
          <w:sz w:val="20"/>
          <w:szCs w:val="20"/>
          <w:color w:val="auto"/>
        </w:rPr>
      </w:pPr>
      <w:r>
        <w:rPr>
          <w:rFonts w:ascii="Arial" w:cs="Arial" w:eastAsia="Arial" w:hAnsi="Arial"/>
          <w:sz w:val="19"/>
          <w:szCs w:val="19"/>
          <w:color w:val="2A2A2A"/>
        </w:rPr>
        <w:t xml:space="preserve">The company’s annual report on Form 10-K for the year ended December 31, 2023, which contains consolidated financial statements, accompanies this proxy statement. </w:t>
      </w:r>
      <w:r>
        <w:rPr>
          <w:rFonts w:ascii="Arial" w:cs="Arial" w:eastAsia="Arial" w:hAnsi="Arial"/>
          <w:sz w:val="19"/>
          <w:szCs w:val="19"/>
          <w:b w:val="1"/>
          <w:bCs w:val="1"/>
          <w:color w:val="2A2A2A"/>
        </w:rPr>
        <w:t>You may also obtain a copy of the company’s 2023</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b w:val="1"/>
          <w:bCs w:val="1"/>
          <w:color w:val="2A2A2A"/>
        </w:rPr>
        <w:t xml:space="preserve">Form 10-K, including a list of exhibits and any exhibit specifically requested, without charge by writing to Investor Relations, P.O. Box 660199, MS 8657, Dallas, TX 75266-0199. </w:t>
      </w:r>
      <w:r>
        <w:rPr>
          <w:rFonts w:ascii="Arial" w:cs="Arial" w:eastAsia="Arial" w:hAnsi="Arial"/>
          <w:sz w:val="20"/>
          <w:szCs w:val="20"/>
          <w:color w:val="2A2A2A"/>
        </w:rPr>
        <w:t>Our Form 10-K is also available in the</w:t>
      </w:r>
      <w:r>
        <w:rPr>
          <w:rFonts w:ascii="Arial" w:cs="Arial" w:eastAsia="Arial" w:hAnsi="Arial"/>
          <w:sz w:val="20"/>
          <w:szCs w:val="20"/>
          <w:b w:val="1"/>
          <w:bCs w:val="1"/>
          <w:color w:val="2A2A2A"/>
        </w:rPr>
        <w:t xml:space="preserve"> </w:t>
      </w:r>
      <w:r>
        <w:rPr>
          <w:rFonts w:ascii="Arial" w:cs="Arial" w:eastAsia="Arial" w:hAnsi="Arial"/>
          <w:sz w:val="20"/>
          <w:szCs w:val="20"/>
          <w:color w:val="2A2A2A"/>
        </w:rPr>
        <w:t>“Investor Relations” section of our website at www.ti.com. The contents posted on our website are not incorporated by reference into this proxy statement.</w:t>
      </w: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2A2A2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79375</wp:posOffset>
            </wp:positionV>
            <wp:extent cx="2560320" cy="791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60320" cy="79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Arial" w:cs="Arial" w:eastAsia="Arial" w:hAnsi="Arial"/>
          <w:sz w:val="20"/>
          <w:szCs w:val="20"/>
          <w:color w:val="2A2A2A"/>
        </w:rPr>
        <w:t>Cynthia Hoff Trochu</w:t>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20"/>
          <w:szCs w:val="20"/>
          <w:color w:val="2A2A2A"/>
        </w:rPr>
        <w:t>Senior Vice President, Secretary and General Counsel</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0"/>
          <w:szCs w:val="20"/>
          <w:color w:val="2A2A2A"/>
        </w:rPr>
        <w:t>Dallas, Texas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color w:val="2A2A2A"/>
        </w:rPr>
        <w:t>March 12, 2024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Notice regarding forward-looking statements</w:t>
      </w: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20"/>
          <w:szCs w:val="20"/>
          <w:color w:val="2A2A2A"/>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2023. The forward-looking statements included in this proxy statement are made only as of the date of this proxy statement, and we undertake no obligation to update the forward-looking statements to reflect subsequent events or circumstances.</w:t>
      </w:r>
    </w:p>
    <w:p>
      <w:pPr>
        <w:sectPr>
          <w:pgSz w:w="12240" w:h="15840" w:orient="portrait"/>
          <w:cols w:equalWidth="0" w:num="1">
            <w:col w:w="10280"/>
          </w:cols>
          <w:pgMar w:left="980"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75</w:t>
      </w:r>
    </w:p>
    <w:p>
      <w:pPr>
        <w:sectPr>
          <w:pgSz w:w="12240" w:h="15840" w:orient="portrait"/>
          <w:cols w:equalWidth="0" w:num="1">
            <w:col w:w="10280"/>
          </w:cols>
          <w:pgMar w:left="980" w:top="664" w:right="980" w:bottom="33" w:gutter="0" w:footer="0" w:header="0"/>
          <w:type w:val="continuous"/>
        </w:sectPr>
      </w:pPr>
    </w:p>
    <w:bookmarkStart w:id="147" w:name="page148"/>
    <w:bookmarkEnd w:id="147"/>
    <w:p>
      <w:pPr>
        <w:spacing w:after="0"/>
        <w:rPr>
          <w:sz w:val="20"/>
          <w:szCs w:val="20"/>
          <w:color w:val="auto"/>
        </w:rPr>
      </w:pPr>
      <w:r>
        <w:rPr>
          <w:rFonts w:ascii="Arial" w:cs="Arial" w:eastAsia="Arial" w:hAnsi="Arial"/>
          <w:sz w:val="24"/>
          <w:szCs w:val="24"/>
          <w:b w:val="1"/>
          <w:bCs w:val="1"/>
          <w:color w:val="2A2A2A"/>
        </w:rPr>
        <w:t>Appendix A</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A2A2A"/>
        </w:rPr>
        <w:t>TEXAS INSTRUMENTS 2024 LONG-TERM INCENTIVE PLAN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 </w:t>
      </w:r>
      <w:r>
        <w:rPr>
          <w:rFonts w:ascii="Arial" w:cs="Arial" w:eastAsia="Arial" w:hAnsi="Arial"/>
          <w:sz w:val="20"/>
          <w:szCs w:val="20"/>
          <w:b w:val="1"/>
          <w:bCs w:val="1"/>
          <w:i w:val="1"/>
          <w:iCs w:val="1"/>
          <w:color w:val="2A2A2A"/>
        </w:rPr>
        <w:t>Purpose</w:t>
      </w:r>
    </w:p>
    <w:p>
      <w:pPr>
        <w:spacing w:after="0" w:line="250"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color w:val="2A2A2A"/>
        </w:rPr>
        <w:t>The Texas Instruments 2024 Long-Term Incentive Plan is intended as a successor plan to the Company’s 2009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2. </w:t>
      </w:r>
      <w:r>
        <w:rPr>
          <w:rFonts w:ascii="Arial" w:cs="Arial" w:eastAsia="Arial" w:hAnsi="Arial"/>
          <w:sz w:val="20"/>
          <w:szCs w:val="20"/>
          <w:b w:val="1"/>
          <w:bCs w:val="1"/>
          <w:i w:val="1"/>
          <w:iCs w:val="1"/>
          <w:color w:val="2A2A2A"/>
        </w:rPr>
        <w:t>Definitions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As used in the Plan, the following terms shall have the meanings set forth in this Section 2.</w:t>
      </w:r>
    </w:p>
    <w:p>
      <w:pPr>
        <w:spacing w:after="0" w:line="130" w:lineRule="exact"/>
        <w:rPr>
          <w:sz w:val="20"/>
          <w:szCs w:val="20"/>
          <w:color w:val="auto"/>
        </w:rPr>
      </w:pPr>
    </w:p>
    <w:p>
      <w:pPr>
        <w:ind w:right="120" w:firstLine="359"/>
        <w:spacing w:after="0" w:line="287" w:lineRule="auto"/>
        <w:tabs>
          <w:tab w:leader="none" w:pos="715"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Affiliate</w:t>
      </w:r>
      <w:r>
        <w:rPr>
          <w:rFonts w:ascii="Arial" w:cs="Arial" w:eastAsia="Arial" w:hAnsi="Arial"/>
          <w:sz w:val="20"/>
          <w:szCs w:val="20"/>
          <w:color w:val="2A2A2A"/>
        </w:rPr>
        <w:t>” shall mean (i) any entity that, directly or indirectly, is controlled by the Company and (ii) any entity in which the Company has a significant equity interest, in either case as determined by the Committee.</w:t>
      </w:r>
    </w:p>
    <w:p>
      <w:pPr>
        <w:spacing w:after="0" w:line="49" w:lineRule="exact"/>
        <w:rPr>
          <w:rFonts w:ascii="Arial" w:cs="Arial" w:eastAsia="Arial" w:hAnsi="Arial"/>
          <w:sz w:val="20"/>
          <w:szCs w:val="20"/>
          <w:color w:val="2A2A2A"/>
        </w:rPr>
      </w:pPr>
    </w:p>
    <w:p>
      <w:pPr>
        <w:ind w:right="240" w:firstLine="359"/>
        <w:spacing w:after="0" w:line="287" w:lineRule="auto"/>
        <w:tabs>
          <w:tab w:leader="none" w:pos="715"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Award</w:t>
      </w:r>
      <w:r>
        <w:rPr>
          <w:rFonts w:ascii="Arial" w:cs="Arial" w:eastAsia="Arial" w:hAnsi="Arial"/>
          <w:sz w:val="20"/>
          <w:szCs w:val="20"/>
          <w:color w:val="2A2A2A"/>
        </w:rPr>
        <w:t>” shall mean any award of an Option, Restricted Stock, Restricted Stock Unit, Performance Unit or Other Stock-Based Award granted under the Plan.</w:t>
      </w:r>
    </w:p>
    <w:p>
      <w:pPr>
        <w:spacing w:after="0" w:line="49" w:lineRule="exact"/>
        <w:rPr>
          <w:rFonts w:ascii="Arial" w:cs="Arial" w:eastAsia="Arial" w:hAnsi="Arial"/>
          <w:sz w:val="20"/>
          <w:szCs w:val="20"/>
          <w:color w:val="2A2A2A"/>
        </w:rPr>
      </w:pPr>
    </w:p>
    <w:p>
      <w:pPr>
        <w:ind w:right="20" w:firstLine="359"/>
        <w:spacing w:after="0" w:line="268" w:lineRule="auto"/>
        <w:tabs>
          <w:tab w:leader="none" w:pos="704"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Award Agreement</w:t>
      </w:r>
      <w:r>
        <w:rPr>
          <w:rFonts w:ascii="Arial" w:cs="Arial" w:eastAsia="Arial" w:hAnsi="Arial"/>
          <w:sz w:val="20"/>
          <w:szCs w:val="20"/>
          <w:color w:val="2A2A2A"/>
        </w:rPr>
        <w:t>” shall mean any written agreement, contract or other instrument or document evidencing an Award granted under the Plan, which may, but need not, be executed or acknowledged by a Participant. An Award Agreement may be in electronic form.</w:t>
      </w:r>
    </w:p>
    <w:p>
      <w:pPr>
        <w:spacing w:after="0" w:line="69" w:lineRule="exact"/>
        <w:rPr>
          <w:rFonts w:ascii="Arial" w:cs="Arial" w:eastAsia="Arial" w:hAnsi="Arial"/>
          <w:sz w:val="20"/>
          <w:szCs w:val="20"/>
          <w:color w:val="2A2A2A"/>
        </w:rPr>
      </w:pPr>
    </w:p>
    <w:p>
      <w:pPr>
        <w:ind w:left="720" w:hanging="361"/>
        <w:spacing w:after="0"/>
        <w:tabs>
          <w:tab w:leader="none" w:pos="720"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Board</w:t>
      </w:r>
      <w:r>
        <w:rPr>
          <w:rFonts w:ascii="Arial" w:cs="Arial" w:eastAsia="Arial" w:hAnsi="Arial"/>
          <w:sz w:val="20"/>
          <w:szCs w:val="20"/>
          <w:color w:val="2A2A2A"/>
        </w:rPr>
        <w:t>” shall mean the board of directors of the Company.</w:t>
      </w:r>
    </w:p>
    <w:p>
      <w:pPr>
        <w:spacing w:after="0" w:line="130" w:lineRule="exact"/>
        <w:rPr>
          <w:rFonts w:ascii="Arial" w:cs="Arial" w:eastAsia="Arial" w:hAnsi="Arial"/>
          <w:sz w:val="20"/>
          <w:szCs w:val="20"/>
          <w:color w:val="2A2A2A"/>
        </w:rPr>
      </w:pPr>
    </w:p>
    <w:p>
      <w:pPr>
        <w:ind w:right="80" w:firstLine="359"/>
        <w:spacing w:after="0" w:line="287" w:lineRule="auto"/>
        <w:tabs>
          <w:tab w:leader="none" w:pos="715"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Cause</w:t>
      </w:r>
      <w:r>
        <w:rPr>
          <w:rFonts w:ascii="Arial" w:cs="Arial" w:eastAsia="Arial" w:hAnsi="Arial"/>
          <w:sz w:val="20"/>
          <w:szCs w:val="20"/>
          <w:color w:val="2A2A2A"/>
        </w:rPr>
        <w:t>” shall have the meaning set forth in the Award Agreement, if any, or if not so defined, shall have the meaning determined by the Company in its sole discretion.</w:t>
      </w:r>
    </w:p>
    <w:p>
      <w:pPr>
        <w:spacing w:after="0" w:line="49" w:lineRule="exact"/>
        <w:rPr>
          <w:rFonts w:ascii="Arial" w:cs="Arial" w:eastAsia="Arial" w:hAnsi="Arial"/>
          <w:sz w:val="20"/>
          <w:szCs w:val="20"/>
          <w:color w:val="2A2A2A"/>
        </w:rPr>
      </w:pPr>
    </w:p>
    <w:p>
      <w:pPr>
        <w:ind w:left="660" w:hanging="301"/>
        <w:spacing w:after="0"/>
        <w:tabs>
          <w:tab w:leader="none" w:pos="660" w:val="left"/>
        </w:tabs>
        <w:numPr>
          <w:ilvl w:val="0"/>
          <w:numId w:val="158"/>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Change in Control</w:t>
      </w:r>
      <w:r>
        <w:rPr>
          <w:rFonts w:ascii="Arial" w:cs="Arial" w:eastAsia="Arial" w:hAnsi="Arial"/>
          <w:sz w:val="20"/>
          <w:szCs w:val="20"/>
          <w:color w:val="2A2A2A"/>
        </w:rPr>
        <w:t>” shall mean an event that will be deemed to have occurred:</w:t>
      </w:r>
    </w:p>
    <w:p>
      <w:pPr>
        <w:spacing w:after="0" w:line="130" w:lineRule="exact"/>
        <w:rPr>
          <w:rFonts w:ascii="Arial" w:cs="Arial" w:eastAsia="Arial" w:hAnsi="Arial"/>
          <w:sz w:val="20"/>
          <w:szCs w:val="20"/>
          <w:color w:val="2A2A2A"/>
        </w:rPr>
      </w:pPr>
    </w:p>
    <w:p>
      <w:pPr>
        <w:ind w:right="100" w:firstLine="719"/>
        <w:spacing w:after="0" w:line="255" w:lineRule="auto"/>
        <w:tabs>
          <w:tab w:leader="none" w:pos="953" w:val="left"/>
        </w:tabs>
        <w:numPr>
          <w:ilvl w:val="1"/>
          <w:numId w:val="158"/>
        </w:numPr>
        <w:rPr>
          <w:rFonts w:ascii="Arial" w:cs="Arial" w:eastAsia="Arial" w:hAnsi="Arial"/>
          <w:sz w:val="20"/>
          <w:szCs w:val="20"/>
          <w:color w:val="2A2A2A"/>
        </w:rPr>
      </w:pPr>
      <w:r>
        <w:rPr>
          <w:rFonts w:ascii="Arial" w:cs="Arial" w:eastAsia="Arial" w:hAnsi="Arial"/>
          <w:sz w:val="20"/>
          <w:szCs w:val="20"/>
          <w:color w:val="2A2A2A"/>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of the total fair market value or total voting power of the stock of the Company. However, if any Person is considered to own more than 50% of the total fair market value or total voting power of the stock of the Company, the acquisition of additional stock by the same Person is not considered to be a Change in Control;</w:t>
      </w:r>
    </w:p>
    <w:p>
      <w:pPr>
        <w:spacing w:after="0" w:line="25" w:lineRule="exact"/>
        <w:rPr>
          <w:rFonts w:ascii="Arial" w:cs="Arial" w:eastAsia="Arial" w:hAnsi="Arial"/>
          <w:sz w:val="20"/>
          <w:szCs w:val="20"/>
          <w:color w:val="2A2A2A"/>
        </w:rPr>
      </w:pPr>
    </w:p>
    <w:p>
      <w:pPr>
        <w:jc w:val="both"/>
        <w:ind w:right="420" w:firstLine="719"/>
        <w:spacing w:after="0" w:line="268" w:lineRule="auto"/>
        <w:tabs>
          <w:tab w:leader="none" w:pos="997" w:val="left"/>
        </w:tabs>
        <w:numPr>
          <w:ilvl w:val="1"/>
          <w:numId w:val="158"/>
        </w:numPr>
        <w:rPr>
          <w:rFonts w:ascii="Arial" w:cs="Arial" w:eastAsia="Arial" w:hAnsi="Arial"/>
          <w:sz w:val="20"/>
          <w:szCs w:val="20"/>
          <w:color w:val="2A2A2A"/>
        </w:rPr>
      </w:pPr>
      <w:r>
        <w:rPr>
          <w:rFonts w:ascii="Arial" w:cs="Arial" w:eastAsia="Arial" w:hAnsi="Arial"/>
          <w:sz w:val="20"/>
          <w:szCs w:val="20"/>
          <w:color w:val="2A2A2A"/>
        </w:rPr>
        <w:t>On the date a majority of members of the Board is replaced during any 12-month period by directors whose appointment or election is not endorsed by a majority of the Board before the date of the appointment or election; or</w:t>
      </w:r>
    </w:p>
    <w:p>
      <w:pPr>
        <w:spacing w:after="0" w:line="9" w:lineRule="exact"/>
        <w:rPr>
          <w:rFonts w:ascii="Arial" w:cs="Arial" w:eastAsia="Arial" w:hAnsi="Arial"/>
          <w:sz w:val="20"/>
          <w:szCs w:val="20"/>
          <w:color w:val="2A2A2A"/>
        </w:rPr>
      </w:pPr>
    </w:p>
    <w:p>
      <w:pPr>
        <w:ind w:firstLine="719"/>
        <w:spacing w:after="0" w:line="253" w:lineRule="auto"/>
        <w:tabs>
          <w:tab w:leader="none" w:pos="1042" w:val="left"/>
        </w:tabs>
        <w:numPr>
          <w:ilvl w:val="1"/>
          <w:numId w:val="158"/>
        </w:numPr>
        <w:rPr>
          <w:rFonts w:ascii="Arial" w:cs="Arial" w:eastAsia="Arial" w:hAnsi="Arial"/>
          <w:sz w:val="20"/>
          <w:szCs w:val="20"/>
          <w:color w:val="2A2A2A"/>
        </w:rPr>
      </w:pPr>
      <w:r>
        <w:rPr>
          <w:rFonts w:ascii="Arial" w:cs="Arial" w:eastAsia="Arial" w:hAnsi="Arial"/>
          <w:sz w:val="20"/>
          <w:szCs w:val="20"/>
          <w:color w:val="2A2A2A"/>
        </w:rPr>
        <w:t>On the date any Person acquires (or has acquired during the 12-month period ending on the date of the most recent acquisition by such Person) assets from the Company that have a total gross fair market value equal to or more than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of the total value or voting power of the stock of which is owned, directly or indirectly, by the Company; (iii) a Person that owns, directly or indirectly, at least 50% of the total value or voting power of the outstanding stock of the Company; or (iv) an entity, at least 50% of the total value or voting power of the stock of which is owned, directly or indirectly, by a Person that owns, directly or indirectly, at least 50% of the total value or voting power of the outstanding stock of the Company.</w:t>
      </w:r>
    </w:p>
    <w:p>
      <w:pPr>
        <w:spacing w:after="0" w:line="30" w:lineRule="exact"/>
        <w:rPr>
          <w:rFonts w:ascii="Arial" w:cs="Arial" w:eastAsia="Arial" w:hAnsi="Arial"/>
          <w:sz w:val="20"/>
          <w:szCs w:val="20"/>
          <w:color w:val="2A2A2A"/>
        </w:rPr>
      </w:pPr>
    </w:p>
    <w:p>
      <w:pPr>
        <w:ind w:left="1060" w:hanging="341"/>
        <w:spacing w:after="0"/>
        <w:tabs>
          <w:tab w:leader="none" w:pos="1060" w:val="left"/>
        </w:tabs>
        <w:numPr>
          <w:ilvl w:val="1"/>
          <w:numId w:val="158"/>
        </w:numPr>
        <w:rPr>
          <w:rFonts w:ascii="Arial" w:cs="Arial" w:eastAsia="Arial" w:hAnsi="Arial"/>
          <w:sz w:val="20"/>
          <w:szCs w:val="20"/>
          <w:color w:val="2A2A2A"/>
        </w:rPr>
      </w:pPr>
      <w:r>
        <w:rPr>
          <w:rFonts w:ascii="Arial" w:cs="Arial" w:eastAsia="Arial" w:hAnsi="Arial"/>
          <w:sz w:val="20"/>
          <w:szCs w:val="20"/>
          <w:color w:val="2A2A2A"/>
        </w:rPr>
        <w:t>For purposes of (i), (ii) and (iii) of this Section 2(f),</w:t>
      </w:r>
    </w:p>
    <w:p>
      <w:pPr>
        <w:spacing w:after="0" w:line="70" w:lineRule="exact"/>
        <w:rPr>
          <w:rFonts w:ascii="Arial" w:cs="Arial" w:eastAsia="Arial" w:hAnsi="Arial"/>
          <w:sz w:val="20"/>
          <w:szCs w:val="20"/>
          <w:color w:val="2A2A2A"/>
        </w:rPr>
      </w:pPr>
    </w:p>
    <w:p>
      <w:pPr>
        <w:ind w:right="640" w:firstLine="1079"/>
        <w:spacing w:after="0" w:line="281" w:lineRule="auto"/>
        <w:tabs>
          <w:tab w:leader="none" w:pos="1402" w:val="left"/>
        </w:tabs>
        <w:numPr>
          <w:ilvl w:val="2"/>
          <w:numId w:val="158"/>
        </w:numPr>
        <w:rPr>
          <w:rFonts w:ascii="Arial" w:cs="Arial" w:eastAsia="Arial" w:hAnsi="Arial"/>
          <w:sz w:val="20"/>
          <w:szCs w:val="20"/>
          <w:color w:val="2A2A2A"/>
        </w:rPr>
      </w:pPr>
      <w:r>
        <w:rPr>
          <w:rFonts w:ascii="Arial" w:cs="Arial" w:eastAsia="Arial" w:hAnsi="Arial"/>
          <w:sz w:val="20"/>
          <w:szCs w:val="20"/>
          <w:color w:val="2A2A2A"/>
        </w:rPr>
        <w:t>“Affiliate” shall have the meaning set forth in Rule 12b-2 promulgated under Section 12 of the Securities Exchange Act of 1934, as amended;</w:t>
      </w:r>
    </w:p>
    <w:p>
      <w:pPr>
        <w:spacing w:after="0" w:line="1" w:lineRule="exact"/>
        <w:rPr>
          <w:rFonts w:ascii="Arial" w:cs="Arial" w:eastAsia="Arial" w:hAnsi="Arial"/>
          <w:sz w:val="20"/>
          <w:szCs w:val="20"/>
          <w:color w:val="2A2A2A"/>
        </w:rPr>
      </w:pPr>
    </w:p>
    <w:p>
      <w:pPr>
        <w:ind w:firstLine="1079"/>
        <w:spacing w:after="0" w:line="287" w:lineRule="auto"/>
        <w:tabs>
          <w:tab w:leader="none" w:pos="1402" w:val="left"/>
        </w:tabs>
        <w:numPr>
          <w:ilvl w:val="2"/>
          <w:numId w:val="158"/>
        </w:numPr>
        <w:rPr>
          <w:rFonts w:ascii="Arial" w:cs="Arial" w:eastAsia="Arial" w:hAnsi="Arial"/>
          <w:sz w:val="20"/>
          <w:szCs w:val="20"/>
          <w:color w:val="2A2A2A"/>
        </w:rPr>
      </w:pPr>
      <w:r>
        <w:rPr>
          <w:rFonts w:ascii="Arial" w:cs="Arial" w:eastAsia="Arial" w:hAnsi="Arial"/>
          <w:sz w:val="20"/>
          <w:szCs w:val="20"/>
          <w:color w:val="2A2A2A"/>
        </w:rPr>
        <w:t>“Person” shall have the meaning given in Section 7701(a)(1) of the Code. Person shall include more than one Person acting as a group as defined by the Final Treasury Regulations issued under Section 409A; and</w:t>
      </w:r>
    </w:p>
    <w:p>
      <w:pPr>
        <w:sectPr>
          <w:pgSz w:w="12240" w:h="15840" w:orient="portrait"/>
          <w:cols w:equalWidth="0" w:num="1">
            <w:col w:w="10240"/>
          </w:cols>
          <w:pgMar w:left="980" w:top="653" w:right="1020" w:bottom="33"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83838"/>
        </w:rPr>
        <w:t>2024 PROXY STATEMENT • PAGE 76</w:t>
      </w:r>
    </w:p>
    <w:p>
      <w:pPr>
        <w:sectPr>
          <w:pgSz w:w="12240" w:h="15840" w:orient="portrait"/>
          <w:cols w:equalWidth="0" w:num="1">
            <w:col w:w="10240"/>
          </w:cols>
          <w:pgMar w:left="980" w:top="653" w:right="1020" w:bottom="33" w:gutter="0" w:footer="0" w:header="0"/>
          <w:type w:val="continuous"/>
        </w:sectPr>
      </w:pPr>
    </w:p>
    <w:bookmarkStart w:id="148" w:name="page149"/>
    <w:bookmarkEnd w:id="148"/>
    <w:p>
      <w:pPr>
        <w:ind w:left="1" w:right="180" w:firstLine="1079"/>
        <w:spacing w:after="0" w:line="268" w:lineRule="auto"/>
        <w:tabs>
          <w:tab w:leader="none" w:pos="1414" w:val="left"/>
        </w:tabs>
        <w:numPr>
          <w:ilvl w:val="3"/>
          <w:numId w:val="159"/>
        </w:numPr>
        <w:rPr>
          <w:rFonts w:ascii="Arial" w:cs="Arial" w:eastAsia="Arial" w:hAnsi="Arial"/>
          <w:sz w:val="20"/>
          <w:szCs w:val="20"/>
          <w:color w:val="2A2A2A"/>
        </w:rPr>
      </w:pPr>
      <w:r>
        <w:rPr>
          <w:rFonts w:ascii="Arial" w:cs="Arial" w:eastAsia="Arial" w:hAnsi="Arial"/>
          <w:sz w:val="20"/>
          <w:szCs w:val="20"/>
          <w:color w:val="2A2A2A"/>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9" w:lineRule="exact"/>
        <w:rPr>
          <w:rFonts w:ascii="Arial" w:cs="Arial" w:eastAsia="Arial" w:hAnsi="Arial"/>
          <w:sz w:val="20"/>
          <w:szCs w:val="20"/>
          <w:color w:val="2A2A2A"/>
        </w:rPr>
      </w:pPr>
    </w:p>
    <w:p>
      <w:pPr>
        <w:jc w:val="both"/>
        <w:ind w:left="1" w:firstLine="719"/>
        <w:spacing w:after="0" w:line="268" w:lineRule="auto"/>
        <w:tabs>
          <w:tab w:leader="none" w:pos="1009" w:val="left"/>
        </w:tabs>
        <w:numPr>
          <w:ilvl w:val="2"/>
          <w:numId w:val="160"/>
        </w:numPr>
        <w:rPr>
          <w:rFonts w:ascii="Arial" w:cs="Arial" w:eastAsia="Arial" w:hAnsi="Arial"/>
          <w:sz w:val="20"/>
          <w:szCs w:val="20"/>
          <w:color w:val="2A2A2A"/>
        </w:rPr>
      </w:pPr>
      <w:r>
        <w:rPr>
          <w:rFonts w:ascii="Arial" w:cs="Arial" w:eastAsia="Arial" w:hAnsi="Arial"/>
          <w:sz w:val="20"/>
          <w:szCs w:val="20"/>
          <w:color w:val="2A2A2A"/>
        </w:rPr>
        <w:t>Notwithstanding the foregoing, in no case will an event in (i), (ii) or (iii) of this Section 2(f) be treated as a Change in Control unless such event also constitutes a “change in control event” with respect to the Company within the meaning of Treas. Reg. § 1.409A-3(i)(5) or any successor provision.</w:t>
      </w:r>
    </w:p>
    <w:p>
      <w:pPr>
        <w:spacing w:after="0" w:line="69" w:lineRule="exact"/>
        <w:rPr>
          <w:rFonts w:ascii="Arial" w:cs="Arial" w:eastAsia="Arial" w:hAnsi="Arial"/>
          <w:sz w:val="20"/>
          <w:szCs w:val="20"/>
          <w:color w:val="2A2A2A"/>
        </w:rPr>
      </w:pPr>
    </w:p>
    <w:p>
      <w:pPr>
        <w:ind w:left="1" w:right="740" w:firstLine="359"/>
        <w:spacing w:after="0" w:line="287" w:lineRule="auto"/>
        <w:tabs>
          <w:tab w:leader="none" w:pos="716"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Code</w:t>
      </w:r>
      <w:r>
        <w:rPr>
          <w:rFonts w:ascii="Arial" w:cs="Arial" w:eastAsia="Arial" w:hAnsi="Arial"/>
          <w:sz w:val="20"/>
          <w:szCs w:val="20"/>
          <w:color w:val="2A2A2A"/>
        </w:rPr>
        <w:t>” shall mean the Internal Revenue Code of 1986, as amended from time to time, including any regulations or guidance issued thereunder.</w:t>
      </w:r>
    </w:p>
    <w:p>
      <w:pPr>
        <w:spacing w:after="0" w:line="49" w:lineRule="exact"/>
        <w:rPr>
          <w:rFonts w:ascii="Arial" w:cs="Arial" w:eastAsia="Arial" w:hAnsi="Arial"/>
          <w:sz w:val="20"/>
          <w:szCs w:val="20"/>
          <w:color w:val="2A2A2A"/>
        </w:rPr>
      </w:pPr>
    </w:p>
    <w:p>
      <w:pPr>
        <w:ind w:left="1" w:right="100" w:firstLine="359"/>
        <w:spacing w:after="0" w:line="268" w:lineRule="auto"/>
        <w:tabs>
          <w:tab w:leader="none" w:pos="716"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Committee</w:t>
      </w:r>
      <w:r>
        <w:rPr>
          <w:rFonts w:ascii="Arial" w:cs="Arial" w:eastAsia="Arial" w:hAnsi="Arial"/>
          <w:sz w:val="20"/>
          <w:szCs w:val="20"/>
          <w:color w:val="2A2A2A"/>
        </w:rPr>
        <w:t>” shall mean a committee of the Board designated by the Board to administer the Plan. Unless otherwise determined by the Board, the Compensation Committee designated by the Board shall be the Committee under the Plan.</w:t>
      </w:r>
    </w:p>
    <w:p>
      <w:pPr>
        <w:spacing w:after="0" w:line="69" w:lineRule="exact"/>
        <w:rPr>
          <w:rFonts w:ascii="Arial" w:cs="Arial" w:eastAsia="Arial" w:hAnsi="Arial"/>
          <w:sz w:val="20"/>
          <w:szCs w:val="20"/>
          <w:color w:val="2A2A2A"/>
        </w:rPr>
      </w:pPr>
    </w:p>
    <w:p>
      <w:pPr>
        <w:ind w:left="641" w:hanging="281"/>
        <w:spacing w:after="0"/>
        <w:tabs>
          <w:tab w:leader="none" w:pos="64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Company</w:t>
      </w:r>
      <w:r>
        <w:rPr>
          <w:rFonts w:ascii="Arial" w:cs="Arial" w:eastAsia="Arial" w:hAnsi="Arial"/>
          <w:sz w:val="20"/>
          <w:szCs w:val="20"/>
          <w:color w:val="2A2A2A"/>
        </w:rPr>
        <w:t>” shall mean Texas Instruments Incorporated, together with any successor thereto.</w:t>
      </w:r>
    </w:p>
    <w:p>
      <w:pPr>
        <w:spacing w:after="0" w:line="130" w:lineRule="exact"/>
        <w:rPr>
          <w:rFonts w:ascii="Arial" w:cs="Arial" w:eastAsia="Arial" w:hAnsi="Arial"/>
          <w:sz w:val="20"/>
          <w:szCs w:val="20"/>
          <w:color w:val="2A2A2A"/>
        </w:rPr>
      </w:pPr>
    </w:p>
    <w:p>
      <w:pPr>
        <w:jc w:val="both"/>
        <w:ind w:left="1" w:right="480" w:firstLine="359"/>
        <w:spacing w:after="0" w:line="268" w:lineRule="auto"/>
        <w:tabs>
          <w:tab w:leader="none" w:pos="649"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Fair Market Value</w:t>
      </w:r>
      <w:r>
        <w:rPr>
          <w:rFonts w:ascii="Arial" w:cs="Arial" w:eastAsia="Arial" w:hAnsi="Arial"/>
          <w:sz w:val="20"/>
          <w:szCs w:val="20"/>
          <w:color w:val="2A2A2A"/>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69" w:lineRule="exact"/>
        <w:rPr>
          <w:rFonts w:ascii="Arial" w:cs="Arial" w:eastAsia="Arial" w:hAnsi="Arial"/>
          <w:sz w:val="20"/>
          <w:szCs w:val="20"/>
          <w:color w:val="2A2A2A"/>
        </w:rPr>
      </w:pPr>
    </w:p>
    <w:p>
      <w:pPr>
        <w:ind w:left="1" w:right="900" w:firstLine="359"/>
        <w:spacing w:after="0" w:line="287" w:lineRule="auto"/>
        <w:tabs>
          <w:tab w:leader="none" w:pos="705"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Incentive Stock Option</w:t>
      </w:r>
      <w:r>
        <w:rPr>
          <w:rFonts w:ascii="Arial" w:cs="Arial" w:eastAsia="Arial" w:hAnsi="Arial"/>
          <w:sz w:val="20"/>
          <w:szCs w:val="20"/>
          <w:color w:val="2A2A2A"/>
        </w:rPr>
        <w:t>” shall mean an option granted under Section 6 that is intended to meet the requirements of Section 422 of the Code, or any successor provision thereto.</w:t>
      </w:r>
    </w:p>
    <w:p>
      <w:pPr>
        <w:spacing w:after="0" w:line="49" w:lineRule="exact"/>
        <w:rPr>
          <w:rFonts w:ascii="Arial" w:cs="Arial" w:eastAsia="Arial" w:hAnsi="Arial"/>
          <w:sz w:val="20"/>
          <w:szCs w:val="20"/>
          <w:color w:val="2A2A2A"/>
        </w:rPr>
      </w:pPr>
    </w:p>
    <w:p>
      <w:pPr>
        <w:ind w:left="1" w:firstLine="359"/>
        <w:spacing w:after="0" w:line="259" w:lineRule="auto"/>
        <w:tabs>
          <w:tab w:leader="none" w:pos="649"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Involuntary Termination</w:t>
      </w:r>
      <w:r>
        <w:rPr>
          <w:rFonts w:ascii="Arial" w:cs="Arial" w:eastAsia="Arial" w:hAnsi="Arial"/>
          <w:sz w:val="20"/>
          <w:szCs w:val="20"/>
          <w:color w:val="2A2A2A"/>
        </w:rPr>
        <w:t>” shall mean a separation from service, other than for Cause, due to the independent exercise of unilateral authority of the Company or any Affiliate to terminate the Participant’s services, other than due to the Participant’s implicit or explicit request, where the Participant was willing and able to continue to perform services, provided that such separation from service satisfies the requirements of Section 409A to the extent necessary.</w:t>
      </w:r>
    </w:p>
    <w:p>
      <w:pPr>
        <w:spacing w:after="0" w:line="79" w:lineRule="exact"/>
        <w:rPr>
          <w:rFonts w:ascii="Arial" w:cs="Arial" w:eastAsia="Arial" w:hAnsi="Arial"/>
          <w:sz w:val="20"/>
          <w:szCs w:val="20"/>
          <w:color w:val="2A2A2A"/>
        </w:rPr>
      </w:pPr>
    </w:p>
    <w:p>
      <w:pPr>
        <w:ind w:left="1" w:right="340" w:firstLine="359"/>
        <w:spacing w:after="0" w:line="287" w:lineRule="auto"/>
        <w:tabs>
          <w:tab w:leader="none" w:pos="77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Non-Qualified Stock Option</w:t>
      </w:r>
      <w:r>
        <w:rPr>
          <w:rFonts w:ascii="Arial" w:cs="Arial" w:eastAsia="Arial" w:hAnsi="Arial"/>
          <w:sz w:val="20"/>
          <w:szCs w:val="20"/>
          <w:color w:val="2A2A2A"/>
        </w:rPr>
        <w:t>” shall mean an option granted under Section 6 that is not intended to be an Incentive Stock Option.</w:t>
      </w:r>
    </w:p>
    <w:p>
      <w:pPr>
        <w:spacing w:after="0" w:line="49" w:lineRule="exact"/>
        <w:rPr>
          <w:rFonts w:ascii="Arial" w:cs="Arial" w:eastAsia="Arial" w:hAnsi="Arial"/>
          <w:sz w:val="20"/>
          <w:szCs w:val="20"/>
          <w:color w:val="2A2A2A"/>
        </w:rPr>
      </w:pPr>
    </w:p>
    <w:p>
      <w:pPr>
        <w:ind w:left="721" w:hanging="361"/>
        <w:spacing w:after="0"/>
        <w:tabs>
          <w:tab w:leader="none" w:pos="72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Option</w:t>
      </w:r>
      <w:r>
        <w:rPr>
          <w:rFonts w:ascii="Arial" w:cs="Arial" w:eastAsia="Arial" w:hAnsi="Arial"/>
          <w:sz w:val="20"/>
          <w:szCs w:val="20"/>
          <w:color w:val="2A2A2A"/>
        </w:rPr>
        <w:t>” shall mean an Incentive Stock Option or a Non-Qualified Stock Option.</w:t>
      </w:r>
    </w:p>
    <w:p>
      <w:pPr>
        <w:spacing w:after="0" w:line="130" w:lineRule="exact"/>
        <w:rPr>
          <w:rFonts w:ascii="Arial" w:cs="Arial" w:eastAsia="Arial" w:hAnsi="Arial"/>
          <w:sz w:val="20"/>
          <w:szCs w:val="20"/>
          <w:color w:val="2A2A2A"/>
        </w:rPr>
      </w:pPr>
    </w:p>
    <w:p>
      <w:pPr>
        <w:ind w:left="721" w:hanging="361"/>
        <w:spacing w:after="0"/>
        <w:tabs>
          <w:tab w:leader="none" w:pos="72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Other Stock-Based Award</w:t>
      </w:r>
      <w:r>
        <w:rPr>
          <w:rFonts w:ascii="Arial" w:cs="Arial" w:eastAsia="Arial" w:hAnsi="Arial"/>
          <w:sz w:val="20"/>
          <w:szCs w:val="20"/>
          <w:color w:val="2A2A2A"/>
        </w:rPr>
        <w:t>” shall mean any right granted under Section 10.</w:t>
      </w:r>
    </w:p>
    <w:p>
      <w:pPr>
        <w:spacing w:after="0" w:line="130" w:lineRule="exact"/>
        <w:rPr>
          <w:rFonts w:ascii="Arial" w:cs="Arial" w:eastAsia="Arial" w:hAnsi="Arial"/>
          <w:sz w:val="20"/>
          <w:szCs w:val="20"/>
          <w:color w:val="2A2A2A"/>
        </w:rPr>
      </w:pPr>
    </w:p>
    <w:p>
      <w:pPr>
        <w:ind w:left="721" w:hanging="361"/>
        <w:spacing w:after="0"/>
        <w:tabs>
          <w:tab w:leader="none" w:pos="72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Participant</w:t>
      </w:r>
      <w:r>
        <w:rPr>
          <w:rFonts w:ascii="Arial" w:cs="Arial" w:eastAsia="Arial" w:hAnsi="Arial"/>
          <w:sz w:val="20"/>
          <w:szCs w:val="20"/>
          <w:color w:val="2A2A2A"/>
        </w:rPr>
        <w:t>” shall mean an individual granted an Award under the Plan.</w:t>
      </w:r>
    </w:p>
    <w:p>
      <w:pPr>
        <w:spacing w:after="0" w:line="130" w:lineRule="exact"/>
        <w:rPr>
          <w:rFonts w:ascii="Arial" w:cs="Arial" w:eastAsia="Arial" w:hAnsi="Arial"/>
          <w:sz w:val="20"/>
          <w:szCs w:val="20"/>
          <w:color w:val="2A2A2A"/>
        </w:rPr>
      </w:pPr>
    </w:p>
    <w:p>
      <w:pPr>
        <w:ind w:left="721" w:hanging="361"/>
        <w:spacing w:after="0"/>
        <w:tabs>
          <w:tab w:leader="none" w:pos="72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Performance Unit</w:t>
      </w:r>
      <w:r>
        <w:rPr>
          <w:rFonts w:ascii="Arial" w:cs="Arial" w:eastAsia="Arial" w:hAnsi="Arial"/>
          <w:sz w:val="20"/>
          <w:szCs w:val="20"/>
          <w:color w:val="2A2A2A"/>
        </w:rPr>
        <w:t>” shall mean any right granted under Section 8.</w:t>
      </w:r>
    </w:p>
    <w:p>
      <w:pPr>
        <w:spacing w:after="0" w:line="130" w:lineRule="exact"/>
        <w:rPr>
          <w:rFonts w:ascii="Arial" w:cs="Arial" w:eastAsia="Arial" w:hAnsi="Arial"/>
          <w:sz w:val="20"/>
          <w:szCs w:val="20"/>
          <w:color w:val="2A2A2A"/>
        </w:rPr>
      </w:pPr>
    </w:p>
    <w:p>
      <w:pPr>
        <w:ind w:left="661" w:hanging="301"/>
        <w:spacing w:after="0"/>
        <w:tabs>
          <w:tab w:leader="none" w:pos="66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Plan</w:t>
      </w:r>
      <w:r>
        <w:rPr>
          <w:rFonts w:ascii="Arial" w:cs="Arial" w:eastAsia="Arial" w:hAnsi="Arial"/>
          <w:sz w:val="20"/>
          <w:szCs w:val="20"/>
          <w:color w:val="2A2A2A"/>
        </w:rPr>
        <w:t>” shall mean this Texas Instruments 2024 Long-Term Incentive Plan, as may be amended from time to</w:t>
      </w:r>
    </w:p>
    <w:p>
      <w:pPr>
        <w:spacing w:after="0" w:line="30" w:lineRule="exact"/>
        <w:rPr>
          <w:rFonts w:ascii="Arial" w:cs="Arial" w:eastAsia="Arial" w:hAnsi="Arial"/>
          <w:sz w:val="20"/>
          <w:szCs w:val="20"/>
          <w:color w:val="2A2A2A"/>
        </w:rPr>
      </w:pPr>
    </w:p>
    <w:p>
      <w:pPr>
        <w:ind w:left="1"/>
        <w:spacing w:after="0"/>
        <w:rPr>
          <w:rFonts w:ascii="Arial" w:cs="Arial" w:eastAsia="Arial" w:hAnsi="Arial"/>
          <w:sz w:val="20"/>
          <w:szCs w:val="20"/>
          <w:color w:val="2A2A2A"/>
        </w:rPr>
      </w:pPr>
      <w:r>
        <w:rPr>
          <w:rFonts w:ascii="Arial" w:cs="Arial" w:eastAsia="Arial" w:hAnsi="Arial"/>
          <w:sz w:val="20"/>
          <w:szCs w:val="20"/>
          <w:color w:val="2A2A2A"/>
        </w:rPr>
        <w:t>time.</w:t>
      </w:r>
    </w:p>
    <w:p>
      <w:pPr>
        <w:spacing w:after="0" w:line="110" w:lineRule="exact"/>
        <w:rPr>
          <w:rFonts w:ascii="Arial" w:cs="Arial" w:eastAsia="Arial" w:hAnsi="Arial"/>
          <w:sz w:val="20"/>
          <w:szCs w:val="20"/>
          <w:color w:val="2A2A2A"/>
        </w:rPr>
      </w:pPr>
    </w:p>
    <w:p>
      <w:pPr>
        <w:ind w:left="701" w:hanging="341"/>
        <w:spacing w:after="0"/>
        <w:tabs>
          <w:tab w:leader="none" w:pos="70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Restricted Stock</w:t>
      </w:r>
      <w:r>
        <w:rPr>
          <w:rFonts w:ascii="Arial" w:cs="Arial" w:eastAsia="Arial" w:hAnsi="Arial"/>
          <w:sz w:val="20"/>
          <w:szCs w:val="20"/>
          <w:color w:val="2A2A2A"/>
        </w:rPr>
        <w:t>” shall mean any Share granted under Section 7.</w:t>
      </w:r>
    </w:p>
    <w:p>
      <w:pPr>
        <w:spacing w:after="0" w:line="130" w:lineRule="exact"/>
        <w:rPr>
          <w:rFonts w:ascii="Arial" w:cs="Arial" w:eastAsia="Arial" w:hAnsi="Arial"/>
          <w:sz w:val="20"/>
          <w:szCs w:val="20"/>
          <w:color w:val="2A2A2A"/>
        </w:rPr>
      </w:pPr>
    </w:p>
    <w:p>
      <w:pPr>
        <w:ind w:left="1" w:right="20" w:firstLine="359"/>
        <w:spacing w:after="0" w:line="289" w:lineRule="auto"/>
        <w:tabs>
          <w:tab w:leader="none" w:pos="660" w:val="left"/>
        </w:tabs>
        <w:numPr>
          <w:ilvl w:val="1"/>
          <w:numId w:val="161"/>
        </w:numPr>
        <w:rPr>
          <w:rFonts w:ascii="Arial" w:cs="Arial" w:eastAsia="Arial" w:hAnsi="Arial"/>
          <w:sz w:val="19"/>
          <w:szCs w:val="19"/>
          <w:color w:val="2A2A2A"/>
        </w:rPr>
      </w:pPr>
      <w:r>
        <w:rPr>
          <w:rFonts w:ascii="Arial" w:cs="Arial" w:eastAsia="Arial" w:hAnsi="Arial"/>
          <w:sz w:val="19"/>
          <w:szCs w:val="19"/>
          <w:color w:val="2A2A2A"/>
        </w:rPr>
        <w:t>“</w:t>
      </w:r>
      <w:r>
        <w:rPr>
          <w:rFonts w:ascii="Arial" w:cs="Arial" w:eastAsia="Arial" w:hAnsi="Arial"/>
          <w:sz w:val="19"/>
          <w:szCs w:val="19"/>
          <w:i w:val="1"/>
          <w:iCs w:val="1"/>
          <w:color w:val="2A2A2A"/>
        </w:rPr>
        <w:t>Restricted Stock Unit</w:t>
      </w:r>
      <w:r>
        <w:rPr>
          <w:rFonts w:ascii="Arial" w:cs="Arial" w:eastAsia="Arial" w:hAnsi="Arial"/>
          <w:sz w:val="19"/>
          <w:szCs w:val="19"/>
          <w:color w:val="2A2A2A"/>
        </w:rPr>
        <w: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50" w:lineRule="exact"/>
        <w:rPr>
          <w:rFonts w:ascii="Arial" w:cs="Arial" w:eastAsia="Arial" w:hAnsi="Arial"/>
          <w:sz w:val="19"/>
          <w:szCs w:val="19"/>
          <w:color w:val="2A2A2A"/>
        </w:rPr>
      </w:pPr>
    </w:p>
    <w:p>
      <w:pPr>
        <w:ind w:left="721" w:hanging="361"/>
        <w:spacing w:after="0"/>
        <w:tabs>
          <w:tab w:leader="none" w:pos="72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Section 409A</w:t>
      </w:r>
      <w:r>
        <w:rPr>
          <w:rFonts w:ascii="Arial" w:cs="Arial" w:eastAsia="Arial" w:hAnsi="Arial"/>
          <w:sz w:val="20"/>
          <w:szCs w:val="20"/>
          <w:color w:val="2A2A2A"/>
        </w:rPr>
        <w:t>” shall mean Section 409A of the Code.</w:t>
      </w:r>
    </w:p>
    <w:p>
      <w:pPr>
        <w:spacing w:after="0" w:line="130" w:lineRule="exact"/>
        <w:rPr>
          <w:rFonts w:ascii="Arial" w:cs="Arial" w:eastAsia="Arial" w:hAnsi="Arial"/>
          <w:sz w:val="20"/>
          <w:szCs w:val="20"/>
          <w:color w:val="2A2A2A"/>
        </w:rPr>
      </w:pPr>
    </w:p>
    <w:p>
      <w:pPr>
        <w:ind w:left="701" w:hanging="341"/>
        <w:spacing w:after="0"/>
        <w:tabs>
          <w:tab w:leader="none" w:pos="70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Shares</w:t>
      </w:r>
      <w:r>
        <w:rPr>
          <w:rFonts w:ascii="Arial" w:cs="Arial" w:eastAsia="Arial" w:hAnsi="Arial"/>
          <w:sz w:val="20"/>
          <w:szCs w:val="20"/>
          <w:color w:val="2A2A2A"/>
        </w:rPr>
        <w:t>” shall mean shares of the common stock of the Company, $1.00 par value.</w:t>
      </w:r>
    </w:p>
    <w:p>
      <w:pPr>
        <w:spacing w:after="0" w:line="130" w:lineRule="exact"/>
        <w:rPr>
          <w:rFonts w:ascii="Arial" w:cs="Arial" w:eastAsia="Arial" w:hAnsi="Arial"/>
          <w:sz w:val="20"/>
          <w:szCs w:val="20"/>
          <w:color w:val="2A2A2A"/>
        </w:rPr>
      </w:pPr>
    </w:p>
    <w:p>
      <w:pPr>
        <w:ind w:left="741" w:hanging="381"/>
        <w:spacing w:after="0"/>
        <w:tabs>
          <w:tab w:leader="none" w:pos="741" w:val="left"/>
        </w:tabs>
        <w:numPr>
          <w:ilvl w:val="1"/>
          <w:numId w:val="161"/>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Specified Employee</w:t>
      </w:r>
      <w:r>
        <w:rPr>
          <w:rFonts w:ascii="Arial" w:cs="Arial" w:eastAsia="Arial" w:hAnsi="Arial"/>
          <w:sz w:val="20"/>
          <w:szCs w:val="20"/>
          <w:color w:val="2A2A2A"/>
        </w:rPr>
        <w:t>” shall mean an employee who is a “specified employee” (as defined in Section</w:t>
      </w:r>
    </w:p>
    <w:p>
      <w:pPr>
        <w:spacing w:after="0" w:line="30" w:lineRule="exact"/>
        <w:rPr>
          <w:rFonts w:ascii="Arial" w:cs="Arial" w:eastAsia="Arial" w:hAnsi="Arial"/>
          <w:sz w:val="20"/>
          <w:szCs w:val="20"/>
          <w:color w:val="2A2A2A"/>
        </w:rPr>
      </w:pPr>
    </w:p>
    <w:p>
      <w:pPr>
        <w:ind w:left="1"/>
        <w:spacing w:after="0"/>
        <w:rPr>
          <w:rFonts w:ascii="Arial" w:cs="Arial" w:eastAsia="Arial" w:hAnsi="Arial"/>
          <w:sz w:val="20"/>
          <w:szCs w:val="20"/>
          <w:color w:val="2A2A2A"/>
        </w:rPr>
      </w:pPr>
      <w:r>
        <w:rPr>
          <w:rFonts w:ascii="Arial" w:cs="Arial" w:eastAsia="Arial" w:hAnsi="Arial"/>
          <w:sz w:val="19"/>
          <w:szCs w:val="19"/>
          <w:color w:val="2A2A2A"/>
        </w:rPr>
        <w:t>409A(2)(b)(i) of the Code) for the applicable period, as determined by the Committee in accordance with Treas. Reg.</w:t>
      </w:r>
    </w:p>
    <w:p>
      <w:pPr>
        <w:spacing w:after="0" w:line="21" w:lineRule="exact"/>
        <w:rPr>
          <w:rFonts w:ascii="Arial" w:cs="Arial" w:eastAsia="Arial" w:hAnsi="Arial"/>
          <w:sz w:val="20"/>
          <w:szCs w:val="20"/>
          <w:color w:val="2A2A2A"/>
        </w:rPr>
      </w:pPr>
    </w:p>
    <w:p>
      <w:pPr>
        <w:ind w:left="161" w:hanging="161"/>
        <w:spacing w:after="0"/>
        <w:tabs>
          <w:tab w:leader="none" w:pos="161" w:val="left"/>
        </w:tabs>
        <w:numPr>
          <w:ilvl w:val="0"/>
          <w:numId w:val="161"/>
        </w:numPr>
        <w:rPr>
          <w:rFonts w:ascii="Arial" w:cs="Arial" w:eastAsia="Arial" w:hAnsi="Arial"/>
          <w:sz w:val="20"/>
          <w:szCs w:val="20"/>
          <w:color w:val="2A2A2A"/>
        </w:rPr>
      </w:pPr>
      <w:r>
        <w:rPr>
          <w:rFonts w:ascii="Arial" w:cs="Arial" w:eastAsia="Arial" w:hAnsi="Arial"/>
          <w:sz w:val="20"/>
          <w:szCs w:val="20"/>
          <w:color w:val="2A2A2A"/>
        </w:rPr>
        <w:t>1.409A-1(i) or any successor provision.</w:t>
      </w:r>
    </w:p>
    <w:p>
      <w:pPr>
        <w:spacing w:after="0" w:line="110" w:lineRule="exact"/>
        <w:rPr>
          <w:rFonts w:ascii="Arial" w:cs="Arial" w:eastAsia="Arial" w:hAnsi="Arial"/>
          <w:sz w:val="20"/>
          <w:szCs w:val="20"/>
          <w:color w:val="2A2A2A"/>
        </w:rPr>
      </w:pPr>
    </w:p>
    <w:p>
      <w:pPr>
        <w:ind w:left="1" w:right="140" w:firstLine="359"/>
        <w:spacing w:after="0" w:line="259" w:lineRule="auto"/>
        <w:tabs>
          <w:tab w:leader="none" w:pos="705" w:val="left"/>
        </w:tabs>
        <w:numPr>
          <w:ilvl w:val="1"/>
          <w:numId w:val="162"/>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Stock Appreciation Right</w:t>
      </w:r>
      <w:r>
        <w:rPr>
          <w:rFonts w:ascii="Arial" w:cs="Arial" w:eastAsia="Arial" w:hAnsi="Arial"/>
          <w:sz w:val="20"/>
          <w:szCs w:val="20"/>
          <w:color w:val="2A2A2A"/>
        </w:rPr>
        <w:t>” or “</w:t>
      </w:r>
      <w:r>
        <w:rPr>
          <w:rFonts w:ascii="Arial" w:cs="Arial" w:eastAsia="Arial" w:hAnsi="Arial"/>
          <w:sz w:val="20"/>
          <w:szCs w:val="20"/>
          <w:i w:val="1"/>
          <w:iCs w:val="1"/>
          <w:color w:val="2A2A2A"/>
        </w:rPr>
        <w:t>SAR</w:t>
      </w:r>
      <w:r>
        <w:rPr>
          <w:rFonts w:ascii="Arial" w:cs="Arial" w:eastAsia="Arial" w:hAnsi="Arial"/>
          <w:sz w:val="20"/>
          <w:szCs w:val="20"/>
          <w:color w:val="2A2A2A"/>
        </w:rPr>
        <w:t>”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79" w:lineRule="exact"/>
        <w:rPr>
          <w:rFonts w:ascii="Arial" w:cs="Arial" w:eastAsia="Arial" w:hAnsi="Arial"/>
          <w:sz w:val="20"/>
          <w:szCs w:val="20"/>
          <w:color w:val="2A2A2A"/>
        </w:rPr>
      </w:pPr>
    </w:p>
    <w:p>
      <w:pPr>
        <w:ind w:left="1" w:right="180" w:firstLine="359"/>
        <w:spacing w:after="0" w:line="287" w:lineRule="auto"/>
        <w:tabs>
          <w:tab w:leader="none" w:pos="705" w:val="left"/>
        </w:tabs>
        <w:numPr>
          <w:ilvl w:val="1"/>
          <w:numId w:val="162"/>
        </w:numPr>
        <w:rPr>
          <w:rFonts w:ascii="Arial" w:cs="Arial" w:eastAsia="Arial" w:hAnsi="Arial"/>
          <w:sz w:val="20"/>
          <w:szCs w:val="20"/>
          <w:color w:val="2A2A2A"/>
        </w:rPr>
      </w:pPr>
      <w:r>
        <w:rPr>
          <w:rFonts w:ascii="Arial" w:cs="Arial" w:eastAsia="Arial" w:hAnsi="Arial"/>
          <w:sz w:val="20"/>
          <w:szCs w:val="20"/>
          <w:color w:val="2A2A2A"/>
        </w:rPr>
        <w:t>“</w:t>
      </w:r>
      <w:r>
        <w:rPr>
          <w:rFonts w:ascii="Arial" w:cs="Arial" w:eastAsia="Arial" w:hAnsi="Arial"/>
          <w:sz w:val="20"/>
          <w:szCs w:val="20"/>
          <w:i w:val="1"/>
          <w:iCs w:val="1"/>
          <w:color w:val="2A2A2A"/>
        </w:rPr>
        <w:t>Substitute Awards</w:t>
      </w:r>
      <w:r>
        <w:rPr>
          <w:rFonts w:ascii="Arial" w:cs="Arial" w:eastAsia="Arial" w:hAnsi="Arial"/>
          <w:sz w:val="20"/>
          <w:szCs w:val="20"/>
          <w:color w:val="2A2A2A"/>
        </w:rPr>
        <w:t>” shall mean Awards granted in assumption of, or in substitution for, outstanding awards previously granted by a company acquired by the Company or with which the Company combines.</w:t>
      </w:r>
    </w:p>
    <w:p>
      <w:pPr>
        <w:sectPr>
          <w:pgSz w:w="12240" w:h="15840" w:orient="portrait"/>
          <w:cols w:equalWidth="0" w:num="1">
            <w:col w:w="10281"/>
          </w:cols>
          <w:pgMar w:left="979" w:top="664"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77</w:t>
      </w:r>
    </w:p>
    <w:p>
      <w:pPr>
        <w:sectPr>
          <w:pgSz w:w="12240" w:h="15840" w:orient="portrait"/>
          <w:cols w:equalWidth="0" w:num="1">
            <w:col w:w="10281"/>
          </w:cols>
          <w:pgMar w:left="979" w:top="664" w:right="980" w:bottom="33" w:gutter="0" w:footer="0" w:header="0"/>
          <w:type w:val="continuous"/>
        </w:sectPr>
      </w:pPr>
    </w:p>
    <w:bookmarkStart w:id="149" w:name="page150"/>
    <w:bookmarkEnd w:id="149"/>
    <w:p>
      <w:pPr>
        <w:spacing w:after="0"/>
        <w:rPr>
          <w:sz w:val="20"/>
          <w:szCs w:val="20"/>
          <w:color w:val="auto"/>
        </w:rPr>
      </w:pPr>
      <w:r>
        <w:rPr>
          <w:rFonts w:ascii="Arial" w:cs="Arial" w:eastAsia="Arial" w:hAnsi="Arial"/>
          <w:sz w:val="20"/>
          <w:szCs w:val="20"/>
          <w:b w:val="1"/>
          <w:bCs w:val="1"/>
          <w:color w:val="2A2A2A"/>
        </w:rPr>
        <w:t xml:space="preserve">SECTION 3. </w:t>
      </w:r>
      <w:r>
        <w:rPr>
          <w:rFonts w:ascii="Arial" w:cs="Arial" w:eastAsia="Arial" w:hAnsi="Arial"/>
          <w:sz w:val="20"/>
          <w:szCs w:val="20"/>
          <w:b w:val="1"/>
          <w:bCs w:val="1"/>
          <w:i w:val="1"/>
          <w:iCs w:val="1"/>
          <w:color w:val="2A2A2A"/>
        </w:rPr>
        <w:t>Eligibility.</w:t>
      </w:r>
    </w:p>
    <w:p>
      <w:pPr>
        <w:spacing w:after="0" w:line="250" w:lineRule="exact"/>
        <w:rPr>
          <w:sz w:val="20"/>
          <w:szCs w:val="20"/>
          <w:color w:val="auto"/>
        </w:rPr>
      </w:pPr>
    </w:p>
    <w:p>
      <w:pPr>
        <w:ind w:right="80" w:firstLine="359"/>
        <w:spacing w:after="0" w:line="268" w:lineRule="auto"/>
        <w:tabs>
          <w:tab w:leader="none" w:pos="704" w:val="left"/>
        </w:tabs>
        <w:numPr>
          <w:ilvl w:val="0"/>
          <w:numId w:val="163"/>
        </w:numPr>
        <w:rPr>
          <w:rFonts w:ascii="Arial" w:cs="Arial" w:eastAsia="Arial" w:hAnsi="Arial"/>
          <w:sz w:val="20"/>
          <w:szCs w:val="20"/>
          <w:color w:val="2A2A2A"/>
        </w:rPr>
      </w:pPr>
      <w:r>
        <w:rPr>
          <w:rFonts w:ascii="Arial" w:cs="Arial" w:eastAsia="Arial" w:hAnsi="Arial"/>
          <w:sz w:val="20"/>
          <w:szCs w:val="20"/>
          <w:color w:val="2A2A2A"/>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69" w:lineRule="exact"/>
        <w:rPr>
          <w:rFonts w:ascii="Arial" w:cs="Arial" w:eastAsia="Arial" w:hAnsi="Arial"/>
          <w:sz w:val="20"/>
          <w:szCs w:val="20"/>
          <w:color w:val="2A2A2A"/>
        </w:rPr>
      </w:pPr>
    </w:p>
    <w:p>
      <w:pPr>
        <w:ind w:right="660" w:firstLine="366"/>
        <w:spacing w:after="0" w:line="287" w:lineRule="auto"/>
        <w:tabs>
          <w:tab w:leader="none" w:pos="711" w:val="left"/>
        </w:tabs>
        <w:numPr>
          <w:ilvl w:val="0"/>
          <w:numId w:val="163"/>
        </w:numPr>
        <w:rPr>
          <w:rFonts w:ascii="Arial" w:cs="Arial" w:eastAsia="Arial" w:hAnsi="Arial"/>
          <w:sz w:val="20"/>
          <w:szCs w:val="20"/>
          <w:color w:val="2A2A2A"/>
        </w:rPr>
      </w:pPr>
      <w:r>
        <w:rPr>
          <w:rFonts w:ascii="Arial" w:cs="Arial" w:eastAsia="Arial" w:hAnsi="Arial"/>
          <w:sz w:val="20"/>
          <w:szCs w:val="20"/>
          <w:color w:val="2A2A2A"/>
        </w:rPr>
        <w:t>An individual who has agreed to accept employment by, or to provide services to, the Company or an Affiliate shall be deemed to be eligible for Awards hereunder as of commencement of employment.</w:t>
      </w:r>
    </w:p>
    <w:p>
      <w:pPr>
        <w:spacing w:after="0" w:line="49" w:lineRule="exact"/>
        <w:rPr>
          <w:rFonts w:ascii="Arial" w:cs="Arial" w:eastAsia="Arial" w:hAnsi="Arial"/>
          <w:sz w:val="20"/>
          <w:szCs w:val="20"/>
          <w:color w:val="2A2A2A"/>
        </w:rPr>
      </w:pPr>
    </w:p>
    <w:p>
      <w:pPr>
        <w:ind w:right="900" w:firstLine="366"/>
        <w:spacing w:after="0" w:line="287" w:lineRule="auto"/>
        <w:tabs>
          <w:tab w:leader="none" w:pos="711" w:val="left"/>
        </w:tabs>
        <w:numPr>
          <w:ilvl w:val="0"/>
          <w:numId w:val="163"/>
        </w:numPr>
        <w:rPr>
          <w:rFonts w:ascii="Arial" w:cs="Arial" w:eastAsia="Arial" w:hAnsi="Arial"/>
          <w:sz w:val="20"/>
          <w:szCs w:val="20"/>
          <w:color w:val="2A2A2A"/>
        </w:rPr>
      </w:pPr>
      <w:r>
        <w:rPr>
          <w:rFonts w:ascii="Arial" w:cs="Arial" w:eastAsia="Arial" w:hAnsi="Arial"/>
          <w:sz w:val="20"/>
          <w:szCs w:val="20"/>
          <w:color w:val="2A2A2A"/>
        </w:rPr>
        <w:t>Directors who are not full-time or part-time officers or employees are not eligible to receive Awards hereunder.</w:t>
      </w:r>
    </w:p>
    <w:p>
      <w:pPr>
        <w:spacing w:after="0" w:line="49" w:lineRule="exact"/>
        <w:rPr>
          <w:rFonts w:ascii="Arial" w:cs="Arial" w:eastAsia="Arial" w:hAnsi="Arial"/>
          <w:sz w:val="20"/>
          <w:szCs w:val="20"/>
          <w:color w:val="2A2A2A"/>
        </w:rPr>
      </w:pPr>
    </w:p>
    <w:p>
      <w:pPr>
        <w:ind w:right="20" w:firstLine="359"/>
        <w:spacing w:after="0" w:line="287" w:lineRule="auto"/>
        <w:tabs>
          <w:tab w:leader="none" w:pos="715" w:val="left"/>
        </w:tabs>
        <w:numPr>
          <w:ilvl w:val="0"/>
          <w:numId w:val="163"/>
        </w:numPr>
        <w:rPr>
          <w:rFonts w:ascii="Arial" w:cs="Arial" w:eastAsia="Arial" w:hAnsi="Arial"/>
          <w:sz w:val="20"/>
          <w:szCs w:val="20"/>
          <w:color w:val="2A2A2A"/>
        </w:rPr>
      </w:pPr>
      <w:r>
        <w:rPr>
          <w:rFonts w:ascii="Arial" w:cs="Arial" w:eastAsia="Arial" w:hAnsi="Arial"/>
          <w:sz w:val="20"/>
          <w:szCs w:val="20"/>
          <w:color w:val="2A2A2A"/>
        </w:rPr>
        <w:t>Holders of options and other types of awards granted by a company acquired by the Company or with which the Company combines are eligible for grant of Substitute Awards hereunder.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4. </w:t>
      </w:r>
      <w:r>
        <w:rPr>
          <w:rFonts w:ascii="Arial" w:cs="Arial" w:eastAsia="Arial" w:hAnsi="Arial"/>
          <w:sz w:val="20"/>
          <w:szCs w:val="20"/>
          <w:b w:val="1"/>
          <w:bCs w:val="1"/>
          <w:i w:val="1"/>
          <w:iCs w:val="1"/>
          <w:color w:val="2A2A2A"/>
        </w:rPr>
        <w:t>Administration</w:t>
      </w:r>
      <w:r>
        <w:rPr>
          <w:rFonts w:ascii="Arial" w:cs="Arial" w:eastAsia="Arial" w:hAnsi="Arial"/>
          <w:sz w:val="20"/>
          <w:szCs w:val="20"/>
          <w:b w:val="1"/>
          <w:bCs w:val="1"/>
          <w:color w:val="2A2A2A"/>
        </w:rPr>
        <w:t>.</w:t>
      </w:r>
    </w:p>
    <w:p>
      <w:pPr>
        <w:spacing w:after="0" w:line="250" w:lineRule="exact"/>
        <w:rPr>
          <w:sz w:val="20"/>
          <w:szCs w:val="20"/>
          <w:color w:val="auto"/>
        </w:rPr>
      </w:pPr>
    </w:p>
    <w:p>
      <w:pPr>
        <w:ind w:left="720" w:hanging="361"/>
        <w:spacing w:after="0"/>
        <w:tabs>
          <w:tab w:leader="none" w:pos="720" w:val="left"/>
        </w:tabs>
        <w:numPr>
          <w:ilvl w:val="0"/>
          <w:numId w:val="164"/>
        </w:numPr>
        <w:rPr>
          <w:rFonts w:ascii="Arial" w:cs="Arial" w:eastAsia="Arial" w:hAnsi="Arial"/>
          <w:sz w:val="20"/>
          <w:szCs w:val="20"/>
          <w:color w:val="2A2A2A"/>
        </w:rPr>
      </w:pPr>
      <w:r>
        <w:rPr>
          <w:rFonts w:ascii="Arial" w:cs="Arial" w:eastAsia="Arial" w:hAnsi="Arial"/>
          <w:sz w:val="20"/>
          <w:szCs w:val="20"/>
          <w:color w:val="2A2A2A"/>
        </w:rPr>
        <w:t>The Plan shall be administered by the Committee.</w:t>
      </w:r>
    </w:p>
    <w:p>
      <w:pPr>
        <w:spacing w:after="0" w:line="130" w:lineRule="exact"/>
        <w:rPr>
          <w:rFonts w:ascii="Arial" w:cs="Arial" w:eastAsia="Arial" w:hAnsi="Arial"/>
          <w:sz w:val="20"/>
          <w:szCs w:val="20"/>
          <w:color w:val="2A2A2A"/>
        </w:rPr>
      </w:pPr>
    </w:p>
    <w:p>
      <w:pPr>
        <w:ind w:firstLine="359"/>
        <w:spacing w:after="0" w:line="252" w:lineRule="auto"/>
        <w:tabs>
          <w:tab w:leader="none" w:pos="715" w:val="left"/>
        </w:tabs>
        <w:numPr>
          <w:ilvl w:val="0"/>
          <w:numId w:val="164"/>
        </w:numPr>
        <w:rPr>
          <w:rFonts w:ascii="Arial" w:cs="Arial" w:eastAsia="Arial" w:hAnsi="Arial"/>
          <w:sz w:val="20"/>
          <w:szCs w:val="20"/>
          <w:color w:val="2A2A2A"/>
        </w:rPr>
      </w:pPr>
      <w:r>
        <w:rPr>
          <w:rFonts w:ascii="Arial" w:cs="Arial" w:eastAsia="Arial" w:hAnsi="Arial"/>
          <w:sz w:val="20"/>
          <w:szCs w:val="20"/>
          <w:color w:val="2A2A2A"/>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including any amendments or revisions thereto;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11(f),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94" w:lineRule="exact"/>
        <w:rPr>
          <w:rFonts w:ascii="Arial" w:cs="Arial" w:eastAsia="Arial" w:hAnsi="Arial"/>
          <w:sz w:val="20"/>
          <w:szCs w:val="20"/>
          <w:color w:val="2A2A2A"/>
        </w:rPr>
      </w:pPr>
    </w:p>
    <w:p>
      <w:pPr>
        <w:ind w:right="40" w:firstLine="359"/>
        <w:spacing w:after="0" w:line="287" w:lineRule="auto"/>
        <w:tabs>
          <w:tab w:leader="none" w:pos="693" w:val="left"/>
        </w:tabs>
        <w:numPr>
          <w:ilvl w:val="0"/>
          <w:numId w:val="164"/>
        </w:numPr>
        <w:rPr>
          <w:rFonts w:ascii="Arial" w:cs="Arial" w:eastAsia="Arial" w:hAnsi="Arial"/>
          <w:sz w:val="20"/>
          <w:szCs w:val="20"/>
          <w:color w:val="2A2A2A"/>
        </w:rPr>
      </w:pPr>
      <w:r>
        <w:rPr>
          <w:rFonts w:ascii="Arial" w:cs="Arial" w:eastAsia="Arial" w:hAnsi="Arial"/>
          <w:sz w:val="20"/>
          <w:szCs w:val="20"/>
          <w:color w:val="2A2A2A"/>
        </w:rPr>
        <w:t>All decisions of the Committee shall be final, conclusive and binding upon all parties, including the Company or any Affiliate, the stockholders and the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5. </w:t>
      </w:r>
      <w:r>
        <w:rPr>
          <w:rFonts w:ascii="Arial" w:cs="Arial" w:eastAsia="Arial" w:hAnsi="Arial"/>
          <w:sz w:val="20"/>
          <w:szCs w:val="20"/>
          <w:b w:val="1"/>
          <w:bCs w:val="1"/>
          <w:i w:val="1"/>
          <w:iCs w:val="1"/>
          <w:color w:val="2A2A2A"/>
        </w:rPr>
        <w:t>Shares Available for Awards</w:t>
      </w:r>
      <w:r>
        <w:rPr>
          <w:rFonts w:ascii="Arial" w:cs="Arial" w:eastAsia="Arial" w:hAnsi="Arial"/>
          <w:sz w:val="20"/>
          <w:szCs w:val="20"/>
          <w:b w:val="1"/>
          <w:bCs w:val="1"/>
          <w:color w:val="2A2A2A"/>
        </w:rPr>
        <w:t>.</w:t>
      </w:r>
    </w:p>
    <w:p>
      <w:pPr>
        <w:spacing w:after="0" w:line="250" w:lineRule="exact"/>
        <w:rPr>
          <w:sz w:val="20"/>
          <w:szCs w:val="20"/>
          <w:color w:val="auto"/>
        </w:rPr>
      </w:pPr>
    </w:p>
    <w:p>
      <w:pPr>
        <w:ind w:right="180" w:firstLine="359"/>
        <w:spacing w:after="0" w:line="287" w:lineRule="auto"/>
        <w:tabs>
          <w:tab w:leader="none" w:pos="715" w:val="left"/>
        </w:tabs>
        <w:numPr>
          <w:ilvl w:val="0"/>
          <w:numId w:val="165"/>
        </w:numPr>
        <w:rPr>
          <w:rFonts w:ascii="Arial" w:cs="Arial" w:eastAsia="Arial" w:hAnsi="Arial"/>
          <w:sz w:val="20"/>
          <w:szCs w:val="20"/>
          <w:color w:val="2A2A2A"/>
        </w:rPr>
      </w:pPr>
      <w:r>
        <w:rPr>
          <w:rFonts w:ascii="Arial" w:cs="Arial" w:eastAsia="Arial" w:hAnsi="Arial"/>
          <w:sz w:val="20"/>
          <w:szCs w:val="20"/>
          <w:color w:val="2A2A2A"/>
        </w:rPr>
        <w:t>Subject to adjustment as provided in this Section 5, the number of Shares available for issuance under the Plan shall be 33,000,000 shares.</w:t>
      </w:r>
    </w:p>
    <w:p>
      <w:pPr>
        <w:spacing w:after="0" w:line="49" w:lineRule="exact"/>
        <w:rPr>
          <w:rFonts w:ascii="Arial" w:cs="Arial" w:eastAsia="Arial" w:hAnsi="Arial"/>
          <w:sz w:val="20"/>
          <w:szCs w:val="20"/>
          <w:color w:val="2A2A2A"/>
        </w:rPr>
      </w:pPr>
    </w:p>
    <w:p>
      <w:pPr>
        <w:ind w:right="120" w:firstLine="359"/>
        <w:spacing w:after="0" w:line="255" w:lineRule="auto"/>
        <w:tabs>
          <w:tab w:leader="none" w:pos="715" w:val="left"/>
        </w:tabs>
        <w:numPr>
          <w:ilvl w:val="0"/>
          <w:numId w:val="165"/>
        </w:numPr>
        <w:rPr>
          <w:rFonts w:ascii="Arial" w:cs="Arial" w:eastAsia="Arial" w:hAnsi="Arial"/>
          <w:sz w:val="20"/>
          <w:szCs w:val="20"/>
          <w:color w:val="2A2A2A"/>
        </w:rPr>
      </w:pPr>
      <w:r>
        <w:rPr>
          <w:rFonts w:ascii="Arial" w:cs="Arial" w:eastAsia="Arial" w:hAnsi="Arial"/>
          <w:sz w:val="20"/>
          <w:szCs w:val="20"/>
          <w:color w:val="2A2A2A"/>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80" w:lineRule="exact"/>
        <w:rPr>
          <w:rFonts w:ascii="Arial" w:cs="Arial" w:eastAsia="Arial" w:hAnsi="Arial"/>
          <w:sz w:val="20"/>
          <w:szCs w:val="20"/>
          <w:color w:val="2A2A2A"/>
        </w:rPr>
      </w:pPr>
    </w:p>
    <w:p>
      <w:pPr>
        <w:ind w:right="440" w:firstLine="359"/>
        <w:spacing w:after="0" w:line="287" w:lineRule="auto"/>
        <w:tabs>
          <w:tab w:leader="none" w:pos="693" w:val="left"/>
        </w:tabs>
        <w:numPr>
          <w:ilvl w:val="0"/>
          <w:numId w:val="165"/>
        </w:numPr>
        <w:rPr>
          <w:rFonts w:ascii="Arial" w:cs="Arial" w:eastAsia="Arial" w:hAnsi="Arial"/>
          <w:sz w:val="20"/>
          <w:szCs w:val="20"/>
          <w:color w:val="2A2A2A"/>
        </w:rPr>
      </w:pPr>
      <w:r>
        <w:rPr>
          <w:rFonts w:ascii="Arial" w:cs="Arial" w:eastAsia="Arial" w:hAnsi="Arial"/>
          <w:sz w:val="20"/>
          <w:szCs w:val="20"/>
          <w:color w:val="2A2A2A"/>
        </w:rPr>
        <w:t>Any Shares underlying Substitute Awards shall not be counted against the Shares available for granting Awards.</w:t>
      </w:r>
    </w:p>
    <w:p>
      <w:pPr>
        <w:spacing w:after="0" w:line="49" w:lineRule="exact"/>
        <w:rPr>
          <w:rFonts w:ascii="Arial" w:cs="Arial" w:eastAsia="Arial" w:hAnsi="Arial"/>
          <w:sz w:val="20"/>
          <w:szCs w:val="20"/>
          <w:color w:val="2A2A2A"/>
        </w:rPr>
      </w:pPr>
    </w:p>
    <w:p>
      <w:pPr>
        <w:ind w:right="480" w:firstLine="359"/>
        <w:spacing w:after="0" w:line="287" w:lineRule="auto"/>
        <w:tabs>
          <w:tab w:leader="none" w:pos="649" w:val="left"/>
        </w:tabs>
        <w:numPr>
          <w:ilvl w:val="0"/>
          <w:numId w:val="165"/>
        </w:numPr>
        <w:rPr>
          <w:rFonts w:ascii="Arial" w:cs="Arial" w:eastAsia="Arial" w:hAnsi="Arial"/>
          <w:sz w:val="20"/>
          <w:szCs w:val="20"/>
          <w:color w:val="2A2A2A"/>
        </w:rPr>
      </w:pPr>
      <w:r>
        <w:rPr>
          <w:rFonts w:ascii="Arial" w:cs="Arial" w:eastAsia="Arial" w:hAnsi="Arial"/>
          <w:sz w:val="20"/>
          <w:szCs w:val="20"/>
          <w:color w:val="2A2A2A"/>
        </w:rPr>
        <w:t>Any Shares delivered pursuant to an Award may consist, in whole or in part, of authorized and unissued Shares, of treasury Shares or of both.</w:t>
      </w:r>
    </w:p>
    <w:p>
      <w:pPr>
        <w:spacing w:after="0" w:line="49" w:lineRule="exact"/>
        <w:rPr>
          <w:rFonts w:ascii="Arial" w:cs="Arial" w:eastAsia="Arial" w:hAnsi="Arial"/>
          <w:sz w:val="20"/>
          <w:szCs w:val="20"/>
          <w:color w:val="2A2A2A"/>
        </w:rPr>
      </w:pPr>
    </w:p>
    <w:p>
      <w:pPr>
        <w:jc w:val="both"/>
        <w:ind w:right="140" w:firstLine="359"/>
        <w:spacing w:after="0" w:line="314" w:lineRule="auto"/>
        <w:tabs>
          <w:tab w:leader="none" w:pos="715" w:val="left"/>
        </w:tabs>
        <w:numPr>
          <w:ilvl w:val="0"/>
          <w:numId w:val="165"/>
        </w:numPr>
        <w:rPr>
          <w:rFonts w:ascii="Arial" w:cs="Arial" w:eastAsia="Arial" w:hAnsi="Arial"/>
          <w:sz w:val="19"/>
          <w:szCs w:val="19"/>
          <w:color w:val="2A2A2A"/>
        </w:rPr>
      </w:pPr>
      <w:r>
        <w:rPr>
          <w:rFonts w:ascii="Arial" w:cs="Arial" w:eastAsia="Arial" w:hAnsi="Arial"/>
          <w:sz w:val="19"/>
          <w:szCs w:val="19"/>
          <w:color w:val="2A2A2A"/>
        </w:rPr>
        <w:t>In the event that any dividend or other distribution (whether in the form of cash, Shares, other securities, or other property), recapitalization, stock split, reverse stock split, reorganization, merger, consolidation, split-up, spin-</w:t>
      </w:r>
    </w:p>
    <w:p>
      <w:pPr>
        <w:sectPr>
          <w:pgSz w:w="12240" w:h="15840" w:orient="portrait"/>
          <w:cols w:equalWidth="0" w:num="1">
            <w:col w:w="10280"/>
          </w:cols>
          <w:pgMar w:left="980" w:top="664" w:right="980" w:bottom="33"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78</w:t>
      </w:r>
    </w:p>
    <w:p>
      <w:pPr>
        <w:sectPr>
          <w:pgSz w:w="12240" w:h="15840" w:orient="portrait"/>
          <w:cols w:equalWidth="0" w:num="1">
            <w:col w:w="10280"/>
          </w:cols>
          <w:pgMar w:left="980" w:top="664" w:right="980" w:bottom="33" w:gutter="0" w:footer="0" w:header="0"/>
          <w:type w:val="continuous"/>
        </w:sectPr>
      </w:pPr>
    </w:p>
    <w:bookmarkStart w:id="150" w:name="page151"/>
    <w:bookmarkEnd w:id="150"/>
    <w:p>
      <w:pPr>
        <w:ind w:left="1" w:right="20"/>
        <w:spacing w:after="0" w:line="266" w:lineRule="auto"/>
        <w:rPr>
          <w:sz w:val="20"/>
          <w:szCs w:val="20"/>
          <w:color w:val="auto"/>
        </w:rPr>
      </w:pPr>
      <w:r>
        <w:rPr>
          <w:rFonts w:ascii="Arial" w:cs="Arial" w:eastAsia="Arial" w:hAnsi="Arial"/>
          <w:sz w:val="19"/>
          <w:szCs w:val="19"/>
          <w:color w:val="2A2A2A"/>
        </w:rPr>
        <w:t>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limit specified in Section 5(a), (ii) the number and type of Shares (or other securities, cash or property) subject to outstanding Awards, (iii) the grant, purchase, or exercise price with respect to any Award or, if deemed appropriate, make provision for a cash payment to the holder of an outstanding Award, and</w:t>
      </w:r>
    </w:p>
    <w:p>
      <w:pPr>
        <w:spacing w:after="0" w:line="3" w:lineRule="exact"/>
        <w:rPr>
          <w:sz w:val="20"/>
          <w:szCs w:val="20"/>
          <w:color w:val="auto"/>
        </w:rPr>
      </w:pPr>
    </w:p>
    <w:p>
      <w:pPr>
        <w:ind w:left="1" w:right="40" w:hanging="1"/>
        <w:spacing w:after="0" w:line="273" w:lineRule="auto"/>
        <w:tabs>
          <w:tab w:leader="none" w:pos="334" w:val="left"/>
        </w:tabs>
        <w:numPr>
          <w:ilvl w:val="0"/>
          <w:numId w:val="166"/>
        </w:numPr>
        <w:rPr>
          <w:rFonts w:ascii="Arial" w:cs="Arial" w:eastAsia="Arial" w:hAnsi="Arial"/>
          <w:sz w:val="19"/>
          <w:szCs w:val="19"/>
          <w:color w:val="2A2A2A"/>
        </w:rPr>
      </w:pPr>
      <w:r>
        <w:rPr>
          <w:rFonts w:ascii="Arial" w:cs="Arial" w:eastAsia="Arial" w:hAnsi="Arial"/>
          <w:sz w:val="19"/>
          <w:szCs w:val="19"/>
          <w:color w:val="2A2A2A"/>
        </w:rPr>
        <w:t xml:space="preserve">the terms and conditions of any outstanding Awards, including the performance criteria of any Awards; </w:t>
      </w:r>
      <w:r>
        <w:rPr>
          <w:rFonts w:ascii="Arial" w:cs="Arial" w:eastAsia="Arial" w:hAnsi="Arial"/>
          <w:sz w:val="19"/>
          <w:szCs w:val="19"/>
          <w:i w:val="1"/>
          <w:iCs w:val="1"/>
          <w:color w:val="2A2A2A"/>
        </w:rPr>
        <w:t>provided</w:t>
      </w:r>
      <w:r>
        <w:rPr>
          <w:rFonts w:ascii="Arial" w:cs="Arial" w:eastAsia="Arial" w:hAnsi="Arial"/>
          <w:sz w:val="19"/>
          <w:szCs w:val="19"/>
          <w:color w:val="2A2A2A"/>
        </w:rPr>
        <w:t xml:space="preserve">, </w:t>
      </w:r>
      <w:r>
        <w:rPr>
          <w:rFonts w:ascii="Arial" w:cs="Arial" w:eastAsia="Arial" w:hAnsi="Arial"/>
          <w:sz w:val="19"/>
          <w:szCs w:val="19"/>
          <w:i w:val="1"/>
          <w:iCs w:val="1"/>
          <w:color w:val="2A2A2A"/>
        </w:rPr>
        <w:t>however</w:t>
      </w:r>
      <w:r>
        <w:rPr>
          <w:rFonts w:ascii="Arial" w:cs="Arial" w:eastAsia="Arial" w:hAnsi="Arial"/>
          <w:sz w:val="19"/>
          <w:szCs w:val="19"/>
          <w:color w:val="2A2A2A"/>
        </w:rPr>
        <w:t>, that the number of Shares subject to any Award denominated in Shares shall always be a whole number.</w:t>
      </w:r>
      <w:r>
        <w:rPr>
          <w:rFonts w:ascii="Arial" w:cs="Arial" w:eastAsia="Arial" w:hAnsi="Arial"/>
          <w:sz w:val="19"/>
          <w:szCs w:val="19"/>
          <w:i w:val="1"/>
          <w:iCs w:val="1"/>
          <w:color w:val="2A2A2A"/>
        </w:rPr>
        <w:t xml:space="preserve"> </w:t>
      </w:r>
      <w:r>
        <w:rPr>
          <w:rFonts w:ascii="Arial" w:cs="Arial" w:eastAsia="Arial" w:hAnsi="Arial"/>
          <w:sz w:val="19"/>
          <w:szCs w:val="19"/>
          <w:color w:val="2A2A2A"/>
        </w:rPr>
        <w:t>Any such adjustment with respect to a “stock right” outstanding under the Plan, as defined in Section 409A, shall be made in a manner that is intended to avoid the imposition of any additional tax or penalty under Section 409A.</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2A2A2A"/>
        </w:rPr>
        <w:t xml:space="preserve">SECTION 6. </w:t>
      </w:r>
      <w:r>
        <w:rPr>
          <w:rFonts w:ascii="Arial" w:cs="Arial" w:eastAsia="Arial" w:hAnsi="Arial"/>
          <w:sz w:val="20"/>
          <w:szCs w:val="20"/>
          <w:b w:val="1"/>
          <w:bCs w:val="1"/>
          <w:i w:val="1"/>
          <w:iCs w:val="1"/>
          <w:color w:val="2A2A2A"/>
        </w:rPr>
        <w:t>Options</w:t>
      </w:r>
      <w:r>
        <w:rPr>
          <w:rFonts w:ascii="Arial" w:cs="Arial" w:eastAsia="Arial" w:hAnsi="Arial"/>
          <w:sz w:val="20"/>
          <w:szCs w:val="20"/>
          <w:b w:val="1"/>
          <w:bCs w:val="1"/>
          <w:color w:val="2A2A2A"/>
        </w:rPr>
        <w:t>.</w:t>
      </w:r>
    </w:p>
    <w:p>
      <w:pPr>
        <w:spacing w:after="0" w:line="250" w:lineRule="exact"/>
        <w:rPr>
          <w:sz w:val="20"/>
          <w:szCs w:val="20"/>
          <w:color w:val="auto"/>
        </w:rPr>
      </w:pPr>
    </w:p>
    <w:p>
      <w:pPr>
        <w:ind w:left="1" w:right="360" w:firstLine="359"/>
        <w:spacing w:after="0" w:line="268" w:lineRule="auto"/>
        <w:tabs>
          <w:tab w:leader="none" w:pos="712" w:val="left"/>
        </w:tabs>
        <w:numPr>
          <w:ilvl w:val="0"/>
          <w:numId w:val="167"/>
        </w:numPr>
        <w:rPr>
          <w:rFonts w:ascii="Arial" w:cs="Arial" w:eastAsia="Arial" w:hAnsi="Arial"/>
          <w:sz w:val="20"/>
          <w:szCs w:val="20"/>
          <w:color w:val="2A2A2A"/>
        </w:rPr>
      </w:pPr>
      <w:r>
        <w:rPr>
          <w:rFonts w:ascii="Arial" w:cs="Arial" w:eastAsia="Arial" w:hAnsi="Arial"/>
          <w:sz w:val="20"/>
          <w:szCs w:val="20"/>
          <w:color w:val="2A2A2A"/>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69" w:lineRule="exact"/>
        <w:rPr>
          <w:rFonts w:ascii="Arial" w:cs="Arial" w:eastAsia="Arial" w:hAnsi="Arial"/>
          <w:sz w:val="20"/>
          <w:szCs w:val="20"/>
          <w:color w:val="2A2A2A"/>
        </w:rPr>
      </w:pPr>
    </w:p>
    <w:p>
      <w:pPr>
        <w:jc w:val="both"/>
        <w:ind w:left="1" w:right="160" w:firstLine="359"/>
        <w:spacing w:after="0" w:line="268" w:lineRule="auto"/>
        <w:tabs>
          <w:tab w:leader="none" w:pos="712" w:val="left"/>
        </w:tabs>
        <w:numPr>
          <w:ilvl w:val="0"/>
          <w:numId w:val="167"/>
        </w:numPr>
        <w:rPr>
          <w:rFonts w:ascii="Arial" w:cs="Arial" w:eastAsia="Arial" w:hAnsi="Arial"/>
          <w:sz w:val="20"/>
          <w:szCs w:val="20"/>
          <w:color w:val="2A2A2A"/>
        </w:rPr>
      </w:pPr>
      <w:r>
        <w:rPr>
          <w:rFonts w:ascii="Arial" w:cs="Arial" w:eastAsia="Arial" w:hAnsi="Arial"/>
          <w:sz w:val="20"/>
          <w:szCs w:val="20"/>
          <w:color w:val="2A2A2A"/>
        </w:rPr>
        <w:t xml:space="preserve">The purchase price per Share under an Option shall be determined by the Committee;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except in the case of Substitute Awards, such purchase price shall not be less than the Fair Market Value of a Share on the date of grant of such Option.</w:t>
      </w:r>
    </w:p>
    <w:p>
      <w:pPr>
        <w:spacing w:after="0" w:line="69" w:lineRule="exact"/>
        <w:rPr>
          <w:rFonts w:ascii="Arial" w:cs="Arial" w:eastAsia="Arial" w:hAnsi="Arial"/>
          <w:sz w:val="20"/>
          <w:szCs w:val="20"/>
          <w:color w:val="2A2A2A"/>
        </w:rPr>
      </w:pPr>
    </w:p>
    <w:p>
      <w:pPr>
        <w:jc w:val="both"/>
        <w:ind w:left="1" w:right="100" w:firstLine="359"/>
        <w:spacing w:after="0" w:line="262" w:lineRule="auto"/>
        <w:tabs>
          <w:tab w:leader="none" w:pos="701" w:val="left"/>
        </w:tabs>
        <w:numPr>
          <w:ilvl w:val="0"/>
          <w:numId w:val="167"/>
        </w:numPr>
        <w:rPr>
          <w:rFonts w:ascii="Arial" w:cs="Arial" w:eastAsia="Arial" w:hAnsi="Arial"/>
          <w:sz w:val="20"/>
          <w:szCs w:val="20"/>
          <w:color w:val="2A2A2A"/>
        </w:rPr>
      </w:pPr>
      <w:r>
        <w:rPr>
          <w:rFonts w:ascii="Arial" w:cs="Arial" w:eastAsia="Arial" w:hAnsi="Arial"/>
          <w:sz w:val="20"/>
          <w:szCs w:val="20"/>
          <w:color w:val="2A2A2A"/>
        </w:rPr>
        <w:t xml:space="preserve">The term of each Option shall be fixed by the Committee but shall not exceed 10 years;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75" w:lineRule="exact"/>
        <w:rPr>
          <w:rFonts w:ascii="Arial" w:cs="Arial" w:eastAsia="Arial" w:hAnsi="Arial"/>
          <w:sz w:val="20"/>
          <w:szCs w:val="20"/>
          <w:color w:val="2A2A2A"/>
        </w:rPr>
      </w:pPr>
    </w:p>
    <w:p>
      <w:pPr>
        <w:ind w:left="1" w:right="100" w:firstLine="359"/>
        <w:spacing w:after="0" w:line="259" w:lineRule="auto"/>
        <w:tabs>
          <w:tab w:leader="none" w:pos="657" w:val="left"/>
        </w:tabs>
        <w:numPr>
          <w:ilvl w:val="0"/>
          <w:numId w:val="167"/>
        </w:numPr>
        <w:rPr>
          <w:rFonts w:ascii="Arial" w:cs="Arial" w:eastAsia="Arial" w:hAnsi="Arial"/>
          <w:sz w:val="20"/>
          <w:szCs w:val="20"/>
          <w:color w:val="2A2A2A"/>
        </w:rPr>
      </w:pPr>
      <w:r>
        <w:rPr>
          <w:rFonts w:ascii="Arial" w:cs="Arial" w:eastAsia="Arial" w:hAnsi="Arial"/>
          <w:sz w:val="20"/>
          <w:szCs w:val="20"/>
          <w:color w:val="2A2A2A"/>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79" w:lineRule="exact"/>
        <w:rPr>
          <w:rFonts w:ascii="Arial" w:cs="Arial" w:eastAsia="Arial" w:hAnsi="Arial"/>
          <w:sz w:val="20"/>
          <w:szCs w:val="20"/>
          <w:color w:val="2A2A2A"/>
        </w:rPr>
      </w:pPr>
    </w:p>
    <w:p>
      <w:pPr>
        <w:jc w:val="both"/>
        <w:ind w:left="1" w:right="500" w:firstLine="359"/>
        <w:spacing w:after="0" w:line="262" w:lineRule="auto"/>
        <w:tabs>
          <w:tab w:leader="none" w:pos="712" w:val="left"/>
        </w:tabs>
        <w:numPr>
          <w:ilvl w:val="0"/>
          <w:numId w:val="167"/>
        </w:numPr>
        <w:rPr>
          <w:rFonts w:ascii="Arial" w:cs="Arial" w:eastAsia="Arial" w:hAnsi="Arial"/>
          <w:sz w:val="20"/>
          <w:szCs w:val="20"/>
          <w:color w:val="2A2A2A"/>
        </w:rPr>
      </w:pPr>
      <w:r>
        <w:rPr>
          <w:rFonts w:ascii="Arial" w:cs="Arial" w:eastAsia="Arial" w:hAnsi="Arial"/>
          <w:sz w:val="20"/>
          <w:szCs w:val="20"/>
          <w:color w:val="2A2A2A"/>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2A2A2A"/>
        </w:rPr>
        <w:t xml:space="preserve">SECTION 7. </w:t>
      </w:r>
      <w:r>
        <w:rPr>
          <w:rFonts w:ascii="Arial" w:cs="Arial" w:eastAsia="Arial" w:hAnsi="Arial"/>
          <w:sz w:val="20"/>
          <w:szCs w:val="20"/>
          <w:b w:val="1"/>
          <w:bCs w:val="1"/>
          <w:i w:val="1"/>
          <w:iCs w:val="1"/>
          <w:color w:val="2A2A2A"/>
        </w:rPr>
        <w:t>Restricted Stock and Restricted Stock Units</w:t>
      </w:r>
      <w:r>
        <w:rPr>
          <w:rFonts w:ascii="Arial" w:cs="Arial" w:eastAsia="Arial" w:hAnsi="Arial"/>
          <w:sz w:val="20"/>
          <w:szCs w:val="20"/>
          <w:b w:val="1"/>
          <w:bCs w:val="1"/>
          <w:color w:val="2A2A2A"/>
        </w:rPr>
        <w:t>.</w:t>
      </w:r>
    </w:p>
    <w:p>
      <w:pPr>
        <w:spacing w:after="0" w:line="250" w:lineRule="exact"/>
        <w:rPr>
          <w:sz w:val="20"/>
          <w:szCs w:val="20"/>
          <w:color w:val="auto"/>
        </w:rPr>
      </w:pPr>
    </w:p>
    <w:p>
      <w:pPr>
        <w:ind w:left="1" w:right="40" w:firstLine="359"/>
        <w:spacing w:after="0" w:line="268" w:lineRule="auto"/>
        <w:tabs>
          <w:tab w:leader="none" w:pos="712" w:val="left"/>
        </w:tabs>
        <w:numPr>
          <w:ilvl w:val="0"/>
          <w:numId w:val="168"/>
        </w:numPr>
        <w:rPr>
          <w:rFonts w:ascii="Arial" w:cs="Arial" w:eastAsia="Arial" w:hAnsi="Arial"/>
          <w:sz w:val="20"/>
          <w:szCs w:val="20"/>
          <w:color w:val="2A2A2A"/>
        </w:rPr>
      </w:pPr>
      <w:r>
        <w:rPr>
          <w:rFonts w:ascii="Arial" w:cs="Arial" w:eastAsia="Arial" w:hAnsi="Arial"/>
          <w:sz w:val="20"/>
          <w:szCs w:val="20"/>
          <w:color w:val="2A2A2A"/>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69" w:lineRule="exact"/>
        <w:rPr>
          <w:rFonts w:ascii="Arial" w:cs="Arial" w:eastAsia="Arial" w:hAnsi="Arial"/>
          <w:sz w:val="20"/>
          <w:szCs w:val="20"/>
          <w:color w:val="2A2A2A"/>
        </w:rPr>
      </w:pPr>
    </w:p>
    <w:p>
      <w:pPr>
        <w:ind w:left="1" w:firstLine="359"/>
        <w:spacing w:after="0" w:line="262" w:lineRule="auto"/>
        <w:tabs>
          <w:tab w:leader="none" w:pos="716" w:val="left"/>
        </w:tabs>
        <w:numPr>
          <w:ilvl w:val="0"/>
          <w:numId w:val="168"/>
        </w:numPr>
        <w:rPr>
          <w:rFonts w:ascii="Arial" w:cs="Arial" w:eastAsia="Arial" w:hAnsi="Arial"/>
          <w:sz w:val="20"/>
          <w:szCs w:val="20"/>
          <w:color w:val="2A2A2A"/>
        </w:rPr>
      </w:pPr>
      <w:r>
        <w:rPr>
          <w:rFonts w:ascii="Arial" w:cs="Arial" w:eastAsia="Arial" w:hAnsi="Arial"/>
          <w:sz w:val="20"/>
          <w:szCs w:val="20"/>
          <w:color w:val="2A2A2A"/>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75" w:lineRule="exact"/>
        <w:rPr>
          <w:rFonts w:ascii="Arial" w:cs="Arial" w:eastAsia="Arial" w:hAnsi="Arial"/>
          <w:sz w:val="20"/>
          <w:szCs w:val="20"/>
          <w:color w:val="2A2A2A"/>
        </w:rPr>
      </w:pPr>
    </w:p>
    <w:p>
      <w:pPr>
        <w:ind w:left="1" w:right="120" w:firstLine="359"/>
        <w:spacing w:after="0" w:line="259" w:lineRule="auto"/>
        <w:tabs>
          <w:tab w:leader="none" w:pos="694" w:val="left"/>
        </w:tabs>
        <w:numPr>
          <w:ilvl w:val="0"/>
          <w:numId w:val="168"/>
        </w:numPr>
        <w:rPr>
          <w:rFonts w:ascii="Arial" w:cs="Arial" w:eastAsia="Arial" w:hAnsi="Arial"/>
          <w:sz w:val="20"/>
          <w:szCs w:val="20"/>
          <w:color w:val="2A2A2A"/>
        </w:rPr>
      </w:pPr>
      <w:r>
        <w:rPr>
          <w:rFonts w:ascii="Arial" w:cs="Arial" w:eastAsia="Arial" w:hAnsi="Arial"/>
          <w:sz w:val="20"/>
          <w:szCs w:val="20"/>
          <w:color w:val="2A2A2A"/>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9" w:lineRule="exact"/>
        <w:rPr>
          <w:rFonts w:ascii="Arial" w:cs="Arial" w:eastAsia="Arial" w:hAnsi="Arial"/>
          <w:sz w:val="20"/>
          <w:szCs w:val="20"/>
          <w:color w:val="2A2A2A"/>
        </w:rPr>
      </w:pPr>
    </w:p>
    <w:p>
      <w:pPr>
        <w:ind w:left="1" w:right="40" w:firstLine="359"/>
        <w:spacing w:after="0" w:line="257" w:lineRule="auto"/>
        <w:tabs>
          <w:tab w:leader="none" w:pos="661" w:val="left"/>
        </w:tabs>
        <w:numPr>
          <w:ilvl w:val="0"/>
          <w:numId w:val="168"/>
        </w:numPr>
        <w:rPr>
          <w:rFonts w:ascii="Arial" w:cs="Arial" w:eastAsia="Arial" w:hAnsi="Arial"/>
          <w:sz w:val="20"/>
          <w:szCs w:val="20"/>
          <w:color w:val="2A2A2A"/>
        </w:rPr>
      </w:pPr>
      <w:r>
        <w:rPr>
          <w:rFonts w:ascii="Arial" w:cs="Arial" w:eastAsia="Arial" w:hAnsi="Arial"/>
          <w:sz w:val="20"/>
          <w:szCs w:val="20"/>
          <w:color w:val="2A2A2A"/>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the Committee may, when it finds that a waiver would be in the best interests of the Company, waive in whole or in part any or all remaining restrictions with respect to Shares of Restricted Stock or Restricted Stock Units.</w:t>
      </w:r>
    </w:p>
    <w:p>
      <w:pPr>
        <w:sectPr>
          <w:pgSz w:w="12240" w:h="15840" w:orient="portrait"/>
          <w:cols w:equalWidth="0" w:num="1">
            <w:col w:w="10261"/>
          </w:cols>
          <w:pgMar w:left="979" w:top="664" w:right="1000" w:bottom="33"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383838"/>
        </w:rPr>
        <w:t>2024 PROXY STATEMENT • PAGE 79</w:t>
      </w:r>
    </w:p>
    <w:p>
      <w:pPr>
        <w:sectPr>
          <w:pgSz w:w="12240" w:h="15840" w:orient="portrait"/>
          <w:cols w:equalWidth="0" w:num="1">
            <w:col w:w="10261"/>
          </w:cols>
          <w:pgMar w:left="979" w:top="664" w:right="1000" w:bottom="33"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2A2A2A"/>
        </w:rPr>
        <w:t xml:space="preserve">SECTION 8. </w:t>
      </w:r>
      <w:r>
        <w:rPr>
          <w:rFonts w:ascii="Arial" w:cs="Arial" w:eastAsia="Arial" w:hAnsi="Arial"/>
          <w:sz w:val="20"/>
          <w:szCs w:val="20"/>
          <w:b w:val="1"/>
          <w:bCs w:val="1"/>
          <w:i w:val="1"/>
          <w:iCs w:val="1"/>
          <w:color w:val="2A2A2A"/>
        </w:rPr>
        <w:t>Performance Units</w:t>
      </w:r>
      <w:r>
        <w:rPr>
          <w:rFonts w:ascii="Arial" w:cs="Arial" w:eastAsia="Arial" w:hAnsi="Arial"/>
          <w:sz w:val="20"/>
          <w:szCs w:val="20"/>
          <w:b w:val="1"/>
          <w:bCs w:val="1"/>
          <w:color w:val="2A2A2A"/>
        </w:rPr>
        <w:t>.</w:t>
      </w:r>
    </w:p>
    <w:p>
      <w:pPr>
        <w:spacing w:after="0" w:line="250" w:lineRule="exact"/>
        <w:rPr>
          <w:sz w:val="20"/>
          <w:szCs w:val="20"/>
          <w:color w:val="auto"/>
        </w:rPr>
      </w:pPr>
    </w:p>
    <w:p>
      <w:pPr>
        <w:ind w:firstLine="359"/>
        <w:spacing w:after="0" w:line="287" w:lineRule="auto"/>
        <w:tabs>
          <w:tab w:leader="none" w:pos="712" w:val="left"/>
        </w:tabs>
        <w:numPr>
          <w:ilvl w:val="0"/>
          <w:numId w:val="169"/>
        </w:numPr>
        <w:rPr>
          <w:rFonts w:ascii="Arial" w:cs="Arial" w:eastAsia="Arial" w:hAnsi="Arial"/>
          <w:sz w:val="20"/>
          <w:szCs w:val="20"/>
          <w:color w:val="2A2A2A"/>
        </w:rPr>
      </w:pPr>
      <w:r>
        <w:rPr>
          <w:rFonts w:ascii="Arial" w:cs="Arial" w:eastAsia="Arial" w:hAnsi="Arial"/>
          <w:sz w:val="20"/>
          <w:szCs w:val="20"/>
          <w:color w:val="2A2A2A"/>
        </w:rPr>
        <w:t>The Committee is hereby authorized to grant Performance Units to Participants with terms and conditions as the Committee shall determine not inconsistent with the provisions of the Plan.</w:t>
      </w:r>
    </w:p>
    <w:p>
      <w:pPr>
        <w:spacing w:after="0" w:line="49" w:lineRule="exact"/>
        <w:rPr>
          <w:rFonts w:ascii="Arial" w:cs="Arial" w:eastAsia="Arial" w:hAnsi="Arial"/>
          <w:sz w:val="20"/>
          <w:szCs w:val="20"/>
          <w:color w:val="2A2A2A"/>
        </w:rPr>
      </w:pPr>
    </w:p>
    <w:p>
      <w:pPr>
        <w:ind w:firstLine="359"/>
        <w:spacing w:after="0" w:line="255" w:lineRule="auto"/>
        <w:tabs>
          <w:tab w:leader="none" w:pos="715" w:val="left"/>
        </w:tabs>
        <w:numPr>
          <w:ilvl w:val="0"/>
          <w:numId w:val="169"/>
        </w:numPr>
        <w:rPr>
          <w:rFonts w:ascii="Arial" w:cs="Arial" w:eastAsia="Arial" w:hAnsi="Arial"/>
          <w:sz w:val="20"/>
          <w:szCs w:val="20"/>
          <w:color w:val="2A2A2A"/>
        </w:rPr>
      </w:pPr>
      <w:r>
        <w:rPr>
          <w:rFonts w:ascii="Arial" w:cs="Arial" w:eastAsia="Arial" w:hAnsi="Arial"/>
          <w:sz w:val="20"/>
          <w:szCs w:val="20"/>
          <w:color w:val="2A2A2A"/>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9. </w:t>
      </w:r>
      <w:r>
        <w:rPr>
          <w:rFonts w:ascii="Arial" w:cs="Arial" w:eastAsia="Arial" w:hAnsi="Arial"/>
          <w:sz w:val="20"/>
          <w:szCs w:val="20"/>
          <w:b w:val="1"/>
          <w:bCs w:val="1"/>
          <w:i w:val="1"/>
          <w:iCs w:val="1"/>
          <w:color w:val="2A2A2A"/>
        </w:rPr>
        <w:t>Stock Appreciation Rights (SARs)</w:t>
      </w:r>
      <w:r>
        <w:rPr>
          <w:rFonts w:ascii="Arial" w:cs="Arial" w:eastAsia="Arial" w:hAnsi="Arial"/>
          <w:sz w:val="20"/>
          <w:szCs w:val="20"/>
          <w:b w:val="1"/>
          <w:bCs w:val="1"/>
          <w:color w:val="2A2A2A"/>
        </w:rPr>
        <w:t>.</w:t>
      </w:r>
    </w:p>
    <w:p>
      <w:pPr>
        <w:spacing w:after="0" w:line="250" w:lineRule="exact"/>
        <w:rPr>
          <w:sz w:val="20"/>
          <w:szCs w:val="20"/>
          <w:color w:val="auto"/>
        </w:rPr>
      </w:pPr>
    </w:p>
    <w:p>
      <w:pPr>
        <w:ind w:right="820" w:firstLine="359"/>
        <w:spacing w:after="0" w:line="287" w:lineRule="auto"/>
        <w:tabs>
          <w:tab w:leader="none" w:pos="711" w:val="left"/>
        </w:tabs>
        <w:numPr>
          <w:ilvl w:val="0"/>
          <w:numId w:val="170"/>
        </w:numPr>
        <w:rPr>
          <w:rFonts w:ascii="Arial" w:cs="Arial" w:eastAsia="Arial" w:hAnsi="Arial"/>
          <w:sz w:val="20"/>
          <w:szCs w:val="20"/>
          <w:color w:val="2A2A2A"/>
        </w:rPr>
      </w:pPr>
      <w:r>
        <w:rPr>
          <w:rFonts w:ascii="Arial" w:cs="Arial" w:eastAsia="Arial" w:hAnsi="Arial"/>
          <w:sz w:val="20"/>
          <w:szCs w:val="20"/>
          <w:color w:val="2A2A2A"/>
        </w:rPr>
        <w:t>The Committee is hereby authorized to grant SARs to Participants with terms and conditions as the Committee shall determine not inconsistent with the provisions of the Plan.</w:t>
      </w:r>
    </w:p>
    <w:p>
      <w:pPr>
        <w:spacing w:after="0" w:line="49" w:lineRule="exact"/>
        <w:rPr>
          <w:rFonts w:ascii="Arial" w:cs="Arial" w:eastAsia="Arial" w:hAnsi="Arial"/>
          <w:sz w:val="20"/>
          <w:szCs w:val="20"/>
          <w:color w:val="2A2A2A"/>
        </w:rPr>
      </w:pPr>
    </w:p>
    <w:p>
      <w:pPr>
        <w:ind w:right="140" w:firstLine="359"/>
        <w:spacing w:after="0" w:line="262" w:lineRule="auto"/>
        <w:tabs>
          <w:tab w:leader="none" w:pos="712" w:val="left"/>
        </w:tabs>
        <w:numPr>
          <w:ilvl w:val="0"/>
          <w:numId w:val="170"/>
        </w:numPr>
        <w:rPr>
          <w:rFonts w:ascii="Arial" w:cs="Arial" w:eastAsia="Arial" w:hAnsi="Arial"/>
          <w:sz w:val="20"/>
          <w:szCs w:val="20"/>
          <w:color w:val="2A2A2A"/>
        </w:rPr>
      </w:pPr>
      <w:r>
        <w:rPr>
          <w:rFonts w:ascii="Arial" w:cs="Arial" w:eastAsia="Arial" w:hAnsi="Arial"/>
          <w:sz w:val="20"/>
          <w:szCs w:val="20"/>
          <w:color w:val="2A2A2A"/>
        </w:rPr>
        <w:t xml:space="preserve">The term of each SAR shall be fixed by the Committee but shall not exceed 10 years;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10. </w:t>
      </w:r>
      <w:r>
        <w:rPr>
          <w:rFonts w:ascii="Arial" w:cs="Arial" w:eastAsia="Arial" w:hAnsi="Arial"/>
          <w:sz w:val="20"/>
          <w:szCs w:val="20"/>
          <w:b w:val="1"/>
          <w:bCs w:val="1"/>
          <w:i w:val="1"/>
          <w:iCs w:val="1"/>
          <w:color w:val="2A2A2A"/>
        </w:rPr>
        <w:t>Other Stock-Based Awards</w:t>
      </w:r>
      <w:r>
        <w:rPr>
          <w:rFonts w:ascii="Arial" w:cs="Arial" w:eastAsia="Arial" w:hAnsi="Arial"/>
          <w:sz w:val="20"/>
          <w:szCs w:val="20"/>
          <w:b w:val="1"/>
          <w:bCs w:val="1"/>
          <w:color w:val="2A2A2A"/>
        </w:rPr>
        <w:t>.</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2A2A2A"/>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11. </w:t>
      </w:r>
      <w:r>
        <w:rPr>
          <w:rFonts w:ascii="Arial" w:cs="Arial" w:eastAsia="Arial" w:hAnsi="Arial"/>
          <w:sz w:val="20"/>
          <w:szCs w:val="20"/>
          <w:b w:val="1"/>
          <w:bCs w:val="1"/>
          <w:i w:val="1"/>
          <w:iCs w:val="1"/>
          <w:color w:val="2A2A2A"/>
        </w:rPr>
        <w:t>General Provisions Applicable to Awards</w:t>
      </w:r>
      <w:r>
        <w:rPr>
          <w:rFonts w:ascii="Arial" w:cs="Arial" w:eastAsia="Arial" w:hAnsi="Arial"/>
          <w:sz w:val="20"/>
          <w:szCs w:val="20"/>
          <w:b w:val="1"/>
          <w:bCs w:val="1"/>
          <w:color w:val="2A2A2A"/>
        </w:rPr>
        <w:t>.</w:t>
      </w:r>
    </w:p>
    <w:p>
      <w:pPr>
        <w:spacing w:after="0" w:line="250" w:lineRule="exact"/>
        <w:rPr>
          <w:sz w:val="20"/>
          <w:szCs w:val="20"/>
          <w:color w:val="auto"/>
        </w:rPr>
      </w:pPr>
    </w:p>
    <w:p>
      <w:pPr>
        <w:ind w:right="700" w:firstLine="359"/>
        <w:spacing w:after="0" w:line="287" w:lineRule="auto"/>
        <w:tabs>
          <w:tab w:leader="none" w:pos="704" w:val="left"/>
        </w:tabs>
        <w:numPr>
          <w:ilvl w:val="0"/>
          <w:numId w:val="171"/>
        </w:numPr>
        <w:rPr>
          <w:rFonts w:ascii="Arial" w:cs="Arial" w:eastAsia="Arial" w:hAnsi="Arial"/>
          <w:sz w:val="20"/>
          <w:szCs w:val="20"/>
          <w:color w:val="2A2A2A"/>
        </w:rPr>
      </w:pPr>
      <w:r>
        <w:rPr>
          <w:rFonts w:ascii="Arial" w:cs="Arial" w:eastAsia="Arial" w:hAnsi="Arial"/>
          <w:sz w:val="20"/>
          <w:szCs w:val="20"/>
          <w:color w:val="2A2A2A"/>
        </w:rPr>
        <w:t>Awards shall be granted for no cash consideration or for such minimal cash consideration as may be required by applicable law.</w:t>
      </w:r>
    </w:p>
    <w:p>
      <w:pPr>
        <w:spacing w:after="0" w:line="49" w:lineRule="exact"/>
        <w:rPr>
          <w:rFonts w:ascii="Arial" w:cs="Arial" w:eastAsia="Arial" w:hAnsi="Arial"/>
          <w:sz w:val="20"/>
          <w:szCs w:val="20"/>
          <w:color w:val="2A2A2A"/>
        </w:rPr>
      </w:pPr>
    </w:p>
    <w:p>
      <w:pPr>
        <w:ind w:right="100" w:firstLine="359"/>
        <w:spacing w:after="0" w:line="280" w:lineRule="auto"/>
        <w:tabs>
          <w:tab w:leader="none" w:pos="704" w:val="left"/>
        </w:tabs>
        <w:numPr>
          <w:ilvl w:val="0"/>
          <w:numId w:val="171"/>
        </w:numPr>
        <w:rPr>
          <w:rFonts w:ascii="Arial" w:cs="Arial" w:eastAsia="Arial" w:hAnsi="Arial"/>
          <w:sz w:val="19"/>
          <w:szCs w:val="19"/>
          <w:color w:val="2A2A2A"/>
        </w:rPr>
      </w:pPr>
      <w:r>
        <w:rPr>
          <w:rFonts w:ascii="Arial" w:cs="Arial" w:eastAsia="Arial" w:hAnsi="Arial"/>
          <w:sz w:val="19"/>
          <w:szCs w:val="19"/>
          <w:color w:val="2A2A2A"/>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60" w:lineRule="exact"/>
        <w:rPr>
          <w:rFonts w:ascii="Arial" w:cs="Arial" w:eastAsia="Arial" w:hAnsi="Arial"/>
          <w:sz w:val="19"/>
          <w:szCs w:val="19"/>
          <w:color w:val="2A2A2A"/>
        </w:rPr>
      </w:pPr>
    </w:p>
    <w:p>
      <w:pPr>
        <w:ind w:left="700" w:hanging="341"/>
        <w:spacing w:after="0"/>
        <w:tabs>
          <w:tab w:leader="none" w:pos="700" w:val="left"/>
        </w:tabs>
        <w:numPr>
          <w:ilvl w:val="0"/>
          <w:numId w:val="171"/>
        </w:numPr>
        <w:rPr>
          <w:rFonts w:ascii="Arial" w:cs="Arial" w:eastAsia="Arial" w:hAnsi="Arial"/>
          <w:sz w:val="20"/>
          <w:szCs w:val="20"/>
          <w:color w:val="2A2A2A"/>
        </w:rPr>
      </w:pPr>
      <w:r>
        <w:rPr>
          <w:rFonts w:ascii="Arial" w:cs="Arial" w:eastAsia="Arial" w:hAnsi="Arial"/>
          <w:sz w:val="20"/>
          <w:szCs w:val="20"/>
          <w:color w:val="2A2A2A"/>
        </w:rPr>
        <w:t>Subject to the terms of the Plan, payments or transfers to be made by the Company upon the grant,</w:t>
      </w:r>
    </w:p>
    <w:p>
      <w:pPr>
        <w:spacing w:after="0" w:line="30" w:lineRule="exact"/>
        <w:rPr>
          <w:rFonts w:ascii="Arial" w:cs="Arial" w:eastAsia="Arial" w:hAnsi="Arial"/>
          <w:sz w:val="20"/>
          <w:szCs w:val="20"/>
          <w:color w:val="2A2A2A"/>
        </w:rPr>
      </w:pPr>
    </w:p>
    <w:p>
      <w:pPr>
        <w:ind w:right="60"/>
        <w:spacing w:after="0" w:line="253" w:lineRule="auto"/>
        <w:rPr>
          <w:rFonts w:ascii="Arial" w:cs="Arial" w:eastAsia="Arial" w:hAnsi="Arial"/>
          <w:sz w:val="20"/>
          <w:szCs w:val="20"/>
          <w:color w:val="2A2A2A"/>
        </w:rPr>
      </w:pPr>
      <w:r>
        <w:rPr>
          <w:rFonts w:ascii="Arial" w:cs="Arial" w:eastAsia="Arial" w:hAnsi="Arial"/>
          <w:sz w:val="20"/>
          <w:szCs w:val="20"/>
          <w:color w:val="2A2A2A"/>
        </w:rPr>
        <w:t>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11(f)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82" w:lineRule="exact"/>
        <w:rPr>
          <w:rFonts w:ascii="Arial" w:cs="Arial" w:eastAsia="Arial" w:hAnsi="Arial"/>
          <w:sz w:val="20"/>
          <w:szCs w:val="20"/>
          <w:color w:val="2A2A2A"/>
        </w:rPr>
      </w:pPr>
    </w:p>
    <w:p>
      <w:pPr>
        <w:ind w:right="160" w:firstLine="359"/>
        <w:spacing w:after="0" w:line="259" w:lineRule="auto"/>
        <w:tabs>
          <w:tab w:leader="none" w:pos="660" w:val="left"/>
        </w:tabs>
        <w:numPr>
          <w:ilvl w:val="0"/>
          <w:numId w:val="171"/>
        </w:numPr>
        <w:rPr>
          <w:rFonts w:ascii="Arial" w:cs="Arial" w:eastAsia="Arial" w:hAnsi="Arial"/>
          <w:sz w:val="20"/>
          <w:szCs w:val="20"/>
          <w:color w:val="2A2A2A"/>
        </w:rPr>
      </w:pPr>
      <w:r>
        <w:rPr>
          <w:rFonts w:ascii="Arial" w:cs="Arial" w:eastAsia="Arial" w:hAnsi="Arial"/>
          <w:sz w:val="20"/>
          <w:szCs w:val="20"/>
          <w:color w:val="2A2A2A"/>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w:t>
      </w:r>
    </w:p>
    <w:p>
      <w:pPr>
        <w:sectPr>
          <w:pgSz w:w="12240" w:h="15840" w:orient="portrait"/>
          <w:cols w:equalWidth="0" w:num="1">
            <w:col w:w="10280"/>
          </w:cols>
          <w:pgMar w:left="980" w:top="664" w:right="980" w:bottom="33"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80</w:t>
      </w:r>
    </w:p>
    <w:p>
      <w:pPr>
        <w:sectPr>
          <w:pgSz w:w="12240" w:h="15840" w:orient="portrait"/>
          <w:cols w:equalWidth="0" w:num="1">
            <w:col w:w="10280"/>
          </w:cols>
          <w:pgMar w:left="980" w:top="664" w:right="980" w:bottom="33" w:gutter="0" w:footer="0" w:header="0"/>
          <w:type w:val="continuous"/>
        </w:sectPr>
      </w:pPr>
    </w:p>
    <w:bookmarkStart w:id="152" w:name="page153"/>
    <w:bookmarkEnd w:id="152"/>
    <w:p>
      <w:pPr>
        <w:ind w:right="180"/>
        <w:spacing w:after="0" w:line="257" w:lineRule="auto"/>
        <w:rPr>
          <w:sz w:val="20"/>
          <w:szCs w:val="20"/>
          <w:color w:val="auto"/>
        </w:rPr>
      </w:pPr>
      <w:r>
        <w:rPr>
          <w:rFonts w:ascii="Arial" w:cs="Arial" w:eastAsia="Arial" w:hAnsi="Arial"/>
          <w:sz w:val="20"/>
          <w:szCs w:val="20"/>
          <w:color w:val="2A2A2A"/>
        </w:rPr>
        <w:t>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82" w:lineRule="exact"/>
        <w:rPr>
          <w:sz w:val="20"/>
          <w:szCs w:val="20"/>
          <w:color w:val="auto"/>
        </w:rPr>
      </w:pPr>
    </w:p>
    <w:p>
      <w:pPr>
        <w:ind w:right="100" w:firstLine="359"/>
        <w:spacing w:after="0" w:line="257" w:lineRule="auto"/>
        <w:tabs>
          <w:tab w:leader="none" w:pos="704" w:val="left"/>
        </w:tabs>
        <w:numPr>
          <w:ilvl w:val="0"/>
          <w:numId w:val="172"/>
        </w:numPr>
        <w:rPr>
          <w:rFonts w:ascii="Arial" w:cs="Arial" w:eastAsia="Arial" w:hAnsi="Arial"/>
          <w:sz w:val="20"/>
          <w:szCs w:val="20"/>
          <w:color w:val="2A2A2A"/>
        </w:rPr>
      </w:pPr>
      <w:r>
        <w:rPr>
          <w:rFonts w:ascii="Arial" w:cs="Arial" w:eastAsia="Arial" w:hAnsi="Arial"/>
          <w:sz w:val="20"/>
          <w:szCs w:val="20"/>
          <w:color w:val="2A2A2A"/>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82" w:lineRule="exact"/>
        <w:rPr>
          <w:rFonts w:ascii="Arial" w:cs="Arial" w:eastAsia="Arial" w:hAnsi="Arial"/>
          <w:sz w:val="20"/>
          <w:szCs w:val="20"/>
          <w:color w:val="2A2A2A"/>
        </w:rPr>
      </w:pPr>
    </w:p>
    <w:p>
      <w:pPr>
        <w:ind w:right="20" w:firstLine="359"/>
        <w:spacing w:after="0" w:line="252" w:lineRule="auto"/>
        <w:tabs>
          <w:tab w:leader="none" w:pos="660" w:val="left"/>
        </w:tabs>
        <w:numPr>
          <w:ilvl w:val="0"/>
          <w:numId w:val="172"/>
        </w:numPr>
        <w:rPr>
          <w:rFonts w:ascii="Arial" w:cs="Arial" w:eastAsia="Arial" w:hAnsi="Arial"/>
          <w:sz w:val="20"/>
          <w:szCs w:val="20"/>
          <w:color w:val="2A2A2A"/>
        </w:rPr>
      </w:pPr>
      <w:r>
        <w:rPr>
          <w:rFonts w:ascii="Arial" w:cs="Arial" w:eastAsia="Arial" w:hAnsi="Arial"/>
          <w:sz w:val="20"/>
          <w:szCs w:val="20"/>
          <w:color w:val="2A2A2A"/>
        </w:rPr>
        <w:t>Unless the Committee expressly determines otherwise in the Award Agreement, any Award of an Option, SAR, or Restricted Stock is intended to qualify as a stock right exempt under Section 409A, and the Plan and each Award Agreement will be interpreted and administered in a manner consistent with such intention. In the event that any provision of the Plan or an Award Agreement is determined by the Committee to not comply with the applicable requirement of Section 409A, the Committee will have the authority to take such actions and make such changes to the Plan or Award Agreement deemed necessary to comply with Section 409A. Each payment made under an Award will be treated as a separate payment for purposes of Section 409A. Unless the Committee expressly determines otherwise in the Award Agreement, with respect to any other Award that would constitute deferred compensation within the meaning of Section 409A, the Award Agreement shall set forth the time and form of payment and the election rights, if any, of the holder in a manner that is intended to avoid the imposition of additional taxes and penalties under Section 409A. Notwithstanding any provision of the Plan or any Award Agreement, if at the time of termination of a Participant’s employment or service with the Company the Participant is a Specified Employee and any payments upon such termination under the Plan or such Award Agreement would constitute deferred compensation within the meaning of Section 409A, the Participant will not be entitled to such payments until the earlier of (a) the date that is six months after such termination or (b) any earlier date that does not result in any additional tax or interest to such Participant under Section 409A. Any delayed payment to a Specified Employee will be made without interest. The Company makes no representation or covenant that any Award granted under the Plan will comply with Section 409A. In no event will the Company be liable for any additional tax, interest or penalties that may be imposed on a Participant by Section 409A or any damages due to a failure to comply with Section 409A.</w:t>
      </w:r>
    </w:p>
    <w:p>
      <w:pPr>
        <w:spacing w:after="0" w:line="90" w:lineRule="exact"/>
        <w:rPr>
          <w:rFonts w:ascii="Arial" w:cs="Arial" w:eastAsia="Arial" w:hAnsi="Arial"/>
          <w:sz w:val="20"/>
          <w:szCs w:val="20"/>
          <w:color w:val="2A2A2A"/>
        </w:rPr>
      </w:pPr>
    </w:p>
    <w:p>
      <w:pPr>
        <w:ind w:right="380" w:firstLine="359"/>
        <w:spacing w:after="0" w:line="287" w:lineRule="auto"/>
        <w:tabs>
          <w:tab w:leader="none" w:pos="712" w:val="left"/>
        </w:tabs>
        <w:numPr>
          <w:ilvl w:val="0"/>
          <w:numId w:val="172"/>
        </w:numPr>
        <w:rPr>
          <w:rFonts w:ascii="Arial" w:cs="Arial" w:eastAsia="Arial" w:hAnsi="Arial"/>
          <w:sz w:val="20"/>
          <w:szCs w:val="20"/>
          <w:color w:val="2A2A2A"/>
        </w:rPr>
      </w:pPr>
      <w:r>
        <w:rPr>
          <w:rFonts w:ascii="Arial" w:cs="Arial" w:eastAsia="Arial" w:hAnsi="Arial"/>
          <w:sz w:val="20"/>
          <w:szCs w:val="20"/>
          <w:color w:val="2A2A2A"/>
        </w:rPr>
        <w:t>The Committee shall not have the authority to provide in any Award granted hereunder for the automatic award of an Option upon the exercise or settlement of such Award.</w:t>
      </w:r>
    </w:p>
    <w:p>
      <w:pPr>
        <w:spacing w:after="0" w:line="49" w:lineRule="exact"/>
        <w:rPr>
          <w:rFonts w:ascii="Arial" w:cs="Arial" w:eastAsia="Arial" w:hAnsi="Arial"/>
          <w:sz w:val="20"/>
          <w:szCs w:val="20"/>
          <w:color w:val="2A2A2A"/>
        </w:rPr>
      </w:pPr>
    </w:p>
    <w:p>
      <w:pPr>
        <w:ind w:left="720" w:hanging="361"/>
        <w:spacing w:after="0"/>
        <w:tabs>
          <w:tab w:leader="none" w:pos="720" w:val="left"/>
        </w:tabs>
        <w:numPr>
          <w:ilvl w:val="0"/>
          <w:numId w:val="172"/>
        </w:numPr>
        <w:rPr>
          <w:rFonts w:ascii="Arial" w:cs="Arial" w:eastAsia="Arial" w:hAnsi="Arial"/>
          <w:sz w:val="20"/>
          <w:szCs w:val="20"/>
          <w:color w:val="2A2A2A"/>
        </w:rPr>
      </w:pPr>
      <w:r>
        <w:rPr>
          <w:rFonts w:ascii="Arial" w:cs="Arial" w:eastAsia="Arial" w:hAnsi="Arial"/>
          <w:sz w:val="20"/>
          <w:szCs w:val="20"/>
          <w:color w:val="2A2A2A"/>
        </w:rPr>
        <w:t>If a Participant experiences an Involuntary Termination within 24 months after a Change in Control, then,</w:t>
      </w:r>
    </w:p>
    <w:p>
      <w:pPr>
        <w:spacing w:after="0" w:line="130" w:lineRule="exact"/>
        <w:rPr>
          <w:rFonts w:ascii="Arial" w:cs="Arial" w:eastAsia="Arial" w:hAnsi="Arial"/>
          <w:sz w:val="20"/>
          <w:szCs w:val="20"/>
          <w:color w:val="2A2A2A"/>
        </w:rPr>
      </w:pPr>
    </w:p>
    <w:p>
      <w:pPr>
        <w:ind w:right="500" w:firstLine="729"/>
        <w:spacing w:after="0" w:line="262" w:lineRule="auto"/>
        <w:tabs>
          <w:tab w:leader="none" w:pos="1018" w:val="left"/>
        </w:tabs>
        <w:numPr>
          <w:ilvl w:val="1"/>
          <w:numId w:val="172"/>
        </w:numPr>
        <w:rPr>
          <w:rFonts w:ascii="Arial" w:cs="Arial" w:eastAsia="Arial" w:hAnsi="Arial"/>
          <w:sz w:val="20"/>
          <w:szCs w:val="20"/>
          <w:color w:val="2A2A2A"/>
        </w:rPr>
      </w:pPr>
      <w:r>
        <w:rPr>
          <w:rFonts w:ascii="Arial" w:cs="Arial" w:eastAsia="Arial" w:hAnsi="Arial"/>
          <w:sz w:val="20"/>
          <w:szCs w:val="20"/>
          <w:color w:val="2A2A2A"/>
        </w:rPr>
        <w:t>(A) in the case of an Option or SAR, the Option or SAR shall immediately become fully vested and exercisable, and (B) in the case of Restricted Stock, Restricted Stock Units, Performance Units or Other Stock-Based awards, any restrictions applicable to the Award shall lapse and the applicable Award shall immediately become fully vested , in each case upon the effective date of such termination;</w:t>
      </w:r>
    </w:p>
    <w:p>
      <w:pPr>
        <w:spacing w:after="0" w:line="15" w:lineRule="exact"/>
        <w:rPr>
          <w:rFonts w:ascii="Arial" w:cs="Arial" w:eastAsia="Arial" w:hAnsi="Arial"/>
          <w:sz w:val="20"/>
          <w:szCs w:val="20"/>
          <w:color w:val="2A2A2A"/>
        </w:rPr>
      </w:pPr>
    </w:p>
    <w:p>
      <w:pPr>
        <w:ind w:right="20" w:firstLine="729"/>
        <w:spacing w:after="0" w:line="257" w:lineRule="auto"/>
        <w:tabs>
          <w:tab w:leader="none" w:pos="1007" w:val="left"/>
        </w:tabs>
        <w:numPr>
          <w:ilvl w:val="1"/>
          <w:numId w:val="172"/>
        </w:numPr>
        <w:rPr>
          <w:rFonts w:ascii="Arial" w:cs="Arial" w:eastAsia="Arial" w:hAnsi="Arial"/>
          <w:sz w:val="20"/>
          <w:szCs w:val="20"/>
          <w:color w:val="2A2A2A"/>
        </w:rPr>
      </w:pPr>
      <w:r>
        <w:rPr>
          <w:rFonts w:ascii="Arial" w:cs="Arial" w:eastAsia="Arial" w:hAnsi="Arial"/>
          <w:sz w:val="20"/>
          <w:szCs w:val="20"/>
          <w:color w:val="2A2A2A"/>
        </w:rPr>
        <w:t xml:space="preserve">to the extent permitted without additional tax or penalty by Section 409A, the shares underlying Restricted Stock Units, Performance Units or Other Stock-Based Awards held by the Participant will be issued on, or as soon as practicable (but no later than 60 days) after, the Participant’s Involuntary Termination; </w:t>
      </w:r>
      <w:r>
        <w:rPr>
          <w:rFonts w:ascii="Arial" w:cs="Arial" w:eastAsia="Arial" w:hAnsi="Arial"/>
          <w:sz w:val="20"/>
          <w:szCs w:val="20"/>
          <w:i w:val="1"/>
          <w:iCs w:val="1"/>
          <w:color w:val="2A2A2A"/>
        </w:rPr>
        <w:t>provided, however</w:t>
      </w:r>
      <w:r>
        <w:rPr>
          <w:rFonts w:ascii="Arial" w:cs="Arial" w:eastAsia="Arial" w:hAnsi="Arial"/>
          <w:sz w:val="20"/>
          <w:szCs w:val="20"/>
          <w:color w:val="2A2A2A"/>
        </w:rPr>
        <w:t>, that if the Participant is a Specified Employee upon such termination, the shares will be issued on, or as soon as practicable (but no more than 10 days) after, the first day of the seventh month following such Involuntary Termination; and</w:t>
      </w:r>
    </w:p>
    <w:p>
      <w:pPr>
        <w:spacing w:after="0" w:line="22" w:lineRule="exact"/>
        <w:rPr>
          <w:rFonts w:ascii="Arial" w:cs="Arial" w:eastAsia="Arial" w:hAnsi="Arial"/>
          <w:sz w:val="20"/>
          <w:szCs w:val="20"/>
          <w:color w:val="2A2A2A"/>
        </w:rPr>
      </w:pPr>
    </w:p>
    <w:p>
      <w:pPr>
        <w:ind w:firstLine="729"/>
        <w:spacing w:after="0" w:line="262" w:lineRule="auto"/>
        <w:tabs>
          <w:tab w:leader="none" w:pos="1052" w:val="left"/>
        </w:tabs>
        <w:numPr>
          <w:ilvl w:val="1"/>
          <w:numId w:val="172"/>
        </w:numPr>
        <w:rPr>
          <w:rFonts w:ascii="Arial" w:cs="Arial" w:eastAsia="Arial" w:hAnsi="Arial"/>
          <w:sz w:val="20"/>
          <w:szCs w:val="20"/>
          <w:color w:val="2A2A2A"/>
        </w:rPr>
      </w:pPr>
      <w:r>
        <w:rPr>
          <w:rFonts w:ascii="Arial" w:cs="Arial" w:eastAsia="Arial" w:hAnsi="Arial"/>
          <w:sz w:val="20"/>
          <w:szCs w:val="20"/>
          <w:color w:val="2A2A2A"/>
        </w:rPr>
        <w:t>to the extent that the issuance of shares as specified in (ii) above is not permitted without additional tax or penalty by Section 409A, the Award will continue to full term and the shares will be issued at the issuance date specified in the Award Agreement as if the Participant were still an employee of the Company or any Affiliate on such 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12. </w:t>
      </w:r>
      <w:r>
        <w:rPr>
          <w:rFonts w:ascii="Arial" w:cs="Arial" w:eastAsia="Arial" w:hAnsi="Arial"/>
          <w:sz w:val="20"/>
          <w:szCs w:val="20"/>
          <w:b w:val="1"/>
          <w:bCs w:val="1"/>
          <w:i w:val="1"/>
          <w:iCs w:val="1"/>
          <w:color w:val="2A2A2A"/>
        </w:rPr>
        <w:t>Cancellation or Clawback of Awards</w:t>
      </w:r>
      <w:r>
        <w:rPr>
          <w:rFonts w:ascii="Arial" w:cs="Arial" w:eastAsia="Arial" w:hAnsi="Arial"/>
          <w:sz w:val="20"/>
          <w:szCs w:val="20"/>
          <w:b w:val="1"/>
          <w:bCs w:val="1"/>
          <w:color w:val="2A2A2A"/>
        </w:rPr>
        <w:t>.</w:t>
      </w:r>
    </w:p>
    <w:p>
      <w:pPr>
        <w:spacing w:after="0" w:line="250" w:lineRule="exact"/>
        <w:rPr>
          <w:sz w:val="20"/>
          <w:szCs w:val="20"/>
          <w:color w:val="auto"/>
        </w:rPr>
      </w:pPr>
    </w:p>
    <w:p>
      <w:pPr>
        <w:ind w:right="200" w:firstLine="359"/>
        <w:spacing w:after="0" w:line="262" w:lineRule="auto"/>
        <w:tabs>
          <w:tab w:leader="none" w:pos="711" w:val="left"/>
        </w:tabs>
        <w:numPr>
          <w:ilvl w:val="0"/>
          <w:numId w:val="173"/>
        </w:numPr>
        <w:rPr>
          <w:rFonts w:ascii="Arial" w:cs="Arial" w:eastAsia="Arial" w:hAnsi="Arial"/>
          <w:sz w:val="20"/>
          <w:szCs w:val="20"/>
          <w:color w:val="2A2A2A"/>
        </w:rPr>
      </w:pPr>
      <w:r>
        <w:rPr>
          <w:rFonts w:ascii="Arial" w:cs="Arial" w:eastAsia="Arial" w:hAnsi="Arial"/>
          <w:sz w:val="20"/>
          <w:szCs w:val="20"/>
          <w:color w:val="2A2A2A"/>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are not limited to, termination with or without Cause, violation of Company policies,</w:t>
      </w:r>
    </w:p>
    <w:p>
      <w:pPr>
        <w:sectPr>
          <w:pgSz w:w="12240" w:h="15840" w:orient="portrait"/>
          <w:cols w:equalWidth="0" w:num="1">
            <w:col w:w="10280"/>
          </w:cols>
          <w:pgMar w:left="980" w:top="664" w:right="980" w:bottom="33"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2024 PROXY STATEMENT • PAGE 81</w:t>
      </w:r>
    </w:p>
    <w:p>
      <w:pPr>
        <w:sectPr>
          <w:pgSz w:w="12240" w:h="15840" w:orient="portrait"/>
          <w:cols w:equalWidth="0" w:num="1">
            <w:col w:w="10280"/>
          </w:cols>
          <w:pgMar w:left="980" w:top="664" w:right="980" w:bottom="33" w:gutter="0" w:footer="0" w:header="0"/>
          <w:type w:val="continuous"/>
        </w:sectPr>
      </w:pPr>
    </w:p>
    <w:bookmarkStart w:id="153" w:name="page154"/>
    <w:bookmarkEnd w:id="153"/>
    <w:p>
      <w:pPr>
        <w:jc w:val="both"/>
        <w:ind w:right="140"/>
        <w:spacing w:after="0" w:line="268" w:lineRule="auto"/>
        <w:rPr>
          <w:sz w:val="20"/>
          <w:szCs w:val="20"/>
          <w:color w:val="auto"/>
        </w:rPr>
      </w:pPr>
      <w:r>
        <w:rPr>
          <w:rFonts w:ascii="Arial" w:cs="Arial" w:eastAsia="Arial" w:hAnsi="Arial"/>
          <w:sz w:val="20"/>
          <w:szCs w:val="20"/>
          <w:color w:val="2A2A2A"/>
        </w:rPr>
        <w:t>breach of non-competition, non-solicitation, confidentiality or other restrictive covenants, or requirements to comply with minimum stock ownership requirements, that may apply to the Participant, or other conduct by the Participant that is detrimental to the business or reputation of the Company and/or its Affiliates.</w:t>
      </w:r>
    </w:p>
    <w:p>
      <w:pPr>
        <w:spacing w:after="0" w:line="70" w:lineRule="exact"/>
        <w:rPr>
          <w:sz w:val="20"/>
          <w:szCs w:val="20"/>
          <w:color w:val="auto"/>
        </w:rPr>
      </w:pPr>
    </w:p>
    <w:p>
      <w:pPr>
        <w:ind w:right="80" w:firstLine="359"/>
        <w:spacing w:after="0" w:line="254" w:lineRule="auto"/>
        <w:tabs>
          <w:tab w:leader="none" w:pos="656" w:val="left"/>
        </w:tabs>
        <w:numPr>
          <w:ilvl w:val="0"/>
          <w:numId w:val="174"/>
        </w:numPr>
        <w:rPr>
          <w:rFonts w:ascii="Arial" w:cs="Arial" w:eastAsia="Arial" w:hAnsi="Arial"/>
          <w:sz w:val="20"/>
          <w:szCs w:val="20"/>
          <w:color w:val="2A2A2A"/>
        </w:rPr>
      </w:pPr>
      <w:r>
        <w:rPr>
          <w:rFonts w:ascii="Arial" w:cs="Arial" w:eastAsia="Arial" w:hAnsi="Arial"/>
          <w:sz w:val="20"/>
          <w:szCs w:val="20"/>
          <w:color w:val="2A2A2A"/>
        </w:rPr>
        <w:t>The Committee shall have full authority to implement any policies and procedures necessary to comply with any reduction, cancellation, forfeiture or recoupment requirement imposed under any applicable laws, rules, regulations or stock exchange listing standards or under any associated Company recoupment policy, including, without limitation, Section 954 of the Dodd-Frank Wall Street Reform and Consumer Protection Act, Section 10D of the Exchange Act and any rules promulgated thereunder and any other regulatory regimes, including Rule 10D-1 of the Exchange Act and Section 5608 of the Nasdaq Listing Rules. For the avoidance of doubt and notwithstanding anything to the contrary contained herein or otherwise, any Award shall be subject to any such policy or procedure, and the Committee may, to the extent permitted by applicable law and stock exchange rules or by any applicable Company policy or arrangement, and shall, to the extent required, cancel or require reimbursement of any Award or any Shares issued or cash received upon vesting, exercise or settlement of any such Award or sale of Shares underlying such Award.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13. </w:t>
      </w:r>
      <w:r>
        <w:rPr>
          <w:rFonts w:ascii="Arial" w:cs="Arial" w:eastAsia="Arial" w:hAnsi="Arial"/>
          <w:sz w:val="20"/>
          <w:szCs w:val="20"/>
          <w:b w:val="1"/>
          <w:bCs w:val="1"/>
          <w:i w:val="1"/>
          <w:iCs w:val="1"/>
          <w:color w:val="2A2A2A"/>
        </w:rPr>
        <w:t>Amendment and Termination</w:t>
      </w:r>
      <w:r>
        <w:rPr>
          <w:rFonts w:ascii="Arial" w:cs="Arial" w:eastAsia="Arial" w:hAnsi="Arial"/>
          <w:sz w:val="20"/>
          <w:szCs w:val="20"/>
          <w:b w:val="1"/>
          <w:bCs w:val="1"/>
          <w:color w:val="2A2A2A"/>
        </w:rPr>
        <w:t>.</w:t>
      </w:r>
    </w:p>
    <w:p>
      <w:pPr>
        <w:spacing w:after="0" w:line="250" w:lineRule="exact"/>
        <w:rPr>
          <w:sz w:val="20"/>
          <w:szCs w:val="20"/>
          <w:color w:val="auto"/>
        </w:rPr>
      </w:pPr>
    </w:p>
    <w:p>
      <w:pPr>
        <w:ind w:right="20" w:firstLine="359"/>
        <w:spacing w:after="0" w:line="255" w:lineRule="auto"/>
        <w:tabs>
          <w:tab w:leader="none" w:pos="715" w:val="left"/>
        </w:tabs>
        <w:numPr>
          <w:ilvl w:val="0"/>
          <w:numId w:val="175"/>
        </w:numPr>
        <w:rPr>
          <w:rFonts w:ascii="Arial" w:cs="Arial" w:eastAsia="Arial" w:hAnsi="Arial"/>
          <w:sz w:val="20"/>
          <w:szCs w:val="20"/>
          <w:color w:val="2A2A2A"/>
        </w:rPr>
      </w:pPr>
      <w:r>
        <w:rPr>
          <w:rFonts w:ascii="Arial" w:cs="Arial" w:eastAsia="Arial" w:hAnsi="Arial"/>
          <w:sz w:val="20"/>
          <w:szCs w:val="20"/>
          <w:color w:val="2A2A2A"/>
        </w:rPr>
        <w:t xml:space="preserve">Unless otherwise expressly provided in an Award Agreement or in the Plan, the Board may amend, alter, suspend, discontinue, or terminate the Plan or any portion thereof at any time;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materially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85" w:lineRule="exact"/>
        <w:rPr>
          <w:rFonts w:ascii="Arial" w:cs="Arial" w:eastAsia="Arial" w:hAnsi="Arial"/>
          <w:sz w:val="20"/>
          <w:szCs w:val="20"/>
          <w:color w:val="2A2A2A"/>
        </w:rPr>
      </w:pPr>
    </w:p>
    <w:p>
      <w:pPr>
        <w:ind w:firstLine="359"/>
        <w:spacing w:after="0" w:line="266" w:lineRule="auto"/>
        <w:tabs>
          <w:tab w:leader="none" w:pos="712" w:val="left"/>
        </w:tabs>
        <w:numPr>
          <w:ilvl w:val="0"/>
          <w:numId w:val="175"/>
        </w:numPr>
        <w:rPr>
          <w:rFonts w:ascii="Arial" w:cs="Arial" w:eastAsia="Arial" w:hAnsi="Arial"/>
          <w:sz w:val="19"/>
          <w:szCs w:val="19"/>
          <w:color w:val="2A2A2A"/>
        </w:rPr>
      </w:pPr>
      <w:r>
        <w:rPr>
          <w:rFonts w:ascii="Arial" w:cs="Arial" w:eastAsia="Arial" w:hAnsi="Arial"/>
          <w:sz w:val="19"/>
          <w:szCs w:val="19"/>
          <w:color w:val="2A2A2A"/>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9"/>
          <w:szCs w:val="19"/>
          <w:i w:val="1"/>
          <w:iCs w:val="1"/>
          <w:color w:val="2A2A2A"/>
        </w:rPr>
        <w:t>provided</w:t>
      </w:r>
      <w:r>
        <w:rPr>
          <w:rFonts w:ascii="Arial" w:cs="Arial" w:eastAsia="Arial" w:hAnsi="Arial"/>
          <w:sz w:val="19"/>
          <w:szCs w:val="19"/>
          <w:color w:val="2A2A2A"/>
        </w:rPr>
        <w:t xml:space="preserve">, </w:t>
      </w:r>
      <w:r>
        <w:rPr>
          <w:rFonts w:ascii="Arial" w:cs="Arial" w:eastAsia="Arial" w:hAnsi="Arial"/>
          <w:sz w:val="19"/>
          <w:szCs w:val="19"/>
          <w:i w:val="1"/>
          <w:iCs w:val="1"/>
          <w:color w:val="2A2A2A"/>
        </w:rPr>
        <w:t>however</w:t>
      </w:r>
      <w:r>
        <w:rPr>
          <w:rFonts w:ascii="Arial" w:cs="Arial" w:eastAsia="Arial" w:hAnsi="Arial"/>
          <w:sz w:val="19"/>
          <w:szCs w:val="19"/>
          <w:color w:val="2A2A2A"/>
        </w:rPr>
        <w:t>, that (i) no such action shall materially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w:t>
      </w:r>
      <w:r>
        <w:rPr>
          <w:rFonts w:ascii="Arial" w:cs="Arial" w:eastAsia="Arial" w:hAnsi="Arial"/>
          <w:sz w:val="19"/>
          <w:szCs w:val="19"/>
          <w:i w:val="1"/>
          <w:iCs w:val="1"/>
          <w:color w:val="2A2A2A"/>
        </w:rPr>
        <w:t>Award Value</w:t>
      </w:r>
      <w:r>
        <w:rPr>
          <w:rFonts w:ascii="Arial" w:cs="Arial" w:eastAsia="Arial" w:hAnsi="Arial"/>
          <w:sz w:val="19"/>
          <w:szCs w:val="19"/>
          <w:color w:val="2A2A2A"/>
        </w:rPr>
        <w:t>”),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13(b) will comply with Section 409A.</w:t>
      </w:r>
    </w:p>
    <w:p>
      <w:pPr>
        <w:spacing w:after="0" w:line="316" w:lineRule="exact"/>
        <w:rPr>
          <w:rFonts w:ascii="Arial" w:cs="Arial" w:eastAsia="Arial" w:hAnsi="Arial"/>
          <w:sz w:val="19"/>
          <w:szCs w:val="19"/>
          <w:color w:val="2A2A2A"/>
        </w:rPr>
      </w:pPr>
    </w:p>
    <w:p>
      <w:pPr>
        <w:ind w:firstLine="359"/>
        <w:spacing w:after="0" w:line="255" w:lineRule="auto"/>
        <w:tabs>
          <w:tab w:leader="none" w:pos="700" w:val="left"/>
        </w:tabs>
        <w:numPr>
          <w:ilvl w:val="0"/>
          <w:numId w:val="175"/>
        </w:numPr>
        <w:rPr>
          <w:rFonts w:ascii="Arial" w:cs="Arial" w:eastAsia="Arial" w:hAnsi="Arial"/>
          <w:sz w:val="20"/>
          <w:szCs w:val="20"/>
          <w:color w:val="2A2A2A"/>
        </w:rPr>
      </w:pPr>
      <w:r>
        <w:rPr>
          <w:rFonts w:ascii="Arial" w:cs="Arial" w:eastAsia="Arial" w:hAnsi="Arial"/>
          <w:sz w:val="20"/>
          <w:szCs w:val="20"/>
          <w:color w:val="2A2A2A"/>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85" w:lineRule="exact"/>
        <w:rPr>
          <w:rFonts w:ascii="Arial" w:cs="Arial" w:eastAsia="Arial" w:hAnsi="Arial"/>
          <w:sz w:val="20"/>
          <w:szCs w:val="20"/>
          <w:color w:val="2A2A2A"/>
        </w:rPr>
      </w:pPr>
    </w:p>
    <w:p>
      <w:pPr>
        <w:ind w:right="240" w:firstLine="359"/>
        <w:spacing w:after="0" w:line="287" w:lineRule="auto"/>
        <w:tabs>
          <w:tab w:leader="none" w:pos="656" w:val="left"/>
        </w:tabs>
        <w:numPr>
          <w:ilvl w:val="0"/>
          <w:numId w:val="175"/>
        </w:numPr>
        <w:rPr>
          <w:rFonts w:ascii="Arial" w:cs="Arial" w:eastAsia="Arial" w:hAnsi="Arial"/>
          <w:sz w:val="20"/>
          <w:szCs w:val="20"/>
          <w:color w:val="2A2A2A"/>
        </w:rPr>
      </w:pPr>
      <w:r>
        <w:rPr>
          <w:rFonts w:ascii="Arial" w:cs="Arial" w:eastAsia="Arial" w:hAnsi="Arial"/>
          <w:sz w:val="20"/>
          <w:szCs w:val="20"/>
          <w:color w:val="2A2A2A"/>
        </w:rPr>
        <w:t>The Committee may correct any defect, supply any omission, or reconcile any inconsistency in the Plan or any Award in the manner and to the extent it shall deem desirable to carry the Plan into effect.</w:t>
      </w:r>
    </w:p>
    <w:p>
      <w:pPr>
        <w:sectPr>
          <w:pgSz w:w="12240" w:h="15840" w:orient="portrait"/>
          <w:cols w:equalWidth="0" w:num="1">
            <w:col w:w="10260"/>
          </w:cols>
          <w:pgMar w:left="980" w:top="664" w:right="1000" w:bottom="33"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383838"/>
        </w:rPr>
        <w:t>2024 PROXY STATEMENT • PAGE 82</w:t>
      </w:r>
    </w:p>
    <w:p>
      <w:pPr>
        <w:sectPr>
          <w:pgSz w:w="12240" w:h="15840" w:orient="portrait"/>
          <w:cols w:equalWidth="0" w:num="1">
            <w:col w:w="10260"/>
          </w:cols>
          <w:pgMar w:left="980" w:top="664" w:right="1000" w:bottom="33"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b w:val="1"/>
          <w:bCs w:val="1"/>
          <w:color w:val="2A2A2A"/>
        </w:rPr>
        <w:t xml:space="preserve">SECTION 14. </w:t>
      </w:r>
      <w:r>
        <w:rPr>
          <w:rFonts w:ascii="Arial" w:cs="Arial" w:eastAsia="Arial" w:hAnsi="Arial"/>
          <w:sz w:val="20"/>
          <w:szCs w:val="20"/>
          <w:b w:val="1"/>
          <w:bCs w:val="1"/>
          <w:i w:val="1"/>
          <w:iCs w:val="1"/>
          <w:color w:val="2A2A2A"/>
        </w:rPr>
        <w:t>Miscellaneous</w:t>
      </w:r>
      <w:r>
        <w:rPr>
          <w:rFonts w:ascii="Arial" w:cs="Arial" w:eastAsia="Arial" w:hAnsi="Arial"/>
          <w:sz w:val="20"/>
          <w:szCs w:val="20"/>
          <w:b w:val="1"/>
          <w:bCs w:val="1"/>
          <w:color w:val="2A2A2A"/>
        </w:rPr>
        <w:t>.</w:t>
      </w:r>
    </w:p>
    <w:p>
      <w:pPr>
        <w:spacing w:after="0" w:line="250" w:lineRule="exact"/>
        <w:rPr>
          <w:sz w:val="20"/>
          <w:szCs w:val="20"/>
          <w:color w:val="auto"/>
        </w:rPr>
      </w:pPr>
    </w:p>
    <w:p>
      <w:pPr>
        <w:ind w:right="80" w:firstLine="359"/>
        <w:spacing w:after="0" w:line="262" w:lineRule="auto"/>
        <w:tabs>
          <w:tab w:leader="none" w:pos="715"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75" w:lineRule="exact"/>
        <w:rPr>
          <w:rFonts w:ascii="Arial" w:cs="Arial" w:eastAsia="Arial" w:hAnsi="Arial"/>
          <w:sz w:val="20"/>
          <w:szCs w:val="20"/>
          <w:color w:val="2A2A2A"/>
        </w:rPr>
      </w:pPr>
    </w:p>
    <w:p>
      <w:pPr>
        <w:ind w:right="120" w:firstLine="359"/>
        <w:spacing w:after="0" w:line="256" w:lineRule="auto"/>
        <w:tabs>
          <w:tab w:leader="none" w:pos="712"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20"/>
          <w:szCs w:val="20"/>
          <w:i w:val="1"/>
          <w:iCs w:val="1"/>
          <w:color w:val="2A2A2A"/>
        </w:rPr>
        <w:t>provided</w:t>
      </w:r>
      <w:r>
        <w:rPr>
          <w:rFonts w:ascii="Arial" w:cs="Arial" w:eastAsia="Arial" w:hAnsi="Arial"/>
          <w:sz w:val="20"/>
          <w:szCs w:val="20"/>
          <w:color w:val="2A2A2A"/>
        </w:rPr>
        <w:t xml:space="preserve">, </w:t>
      </w:r>
      <w:r>
        <w:rPr>
          <w:rFonts w:ascii="Arial" w:cs="Arial" w:eastAsia="Arial" w:hAnsi="Arial"/>
          <w:sz w:val="20"/>
          <w:szCs w:val="20"/>
          <w:i w:val="1"/>
          <w:iCs w:val="1"/>
          <w:color w:val="2A2A2A"/>
        </w:rPr>
        <w:t>however</w:t>
      </w:r>
      <w:r>
        <w:rPr>
          <w:rFonts w:ascii="Arial" w:cs="Arial" w:eastAsia="Arial" w:hAnsi="Arial"/>
          <w:sz w:val="20"/>
          <w:szCs w:val="20"/>
          <w:color w:val="2A2A2A"/>
        </w:rPr>
        <w:t>, that any such delegation to management shall conform with the requirements of the General Corporation Law of Delaware, as in effect from time to time.</w:t>
      </w:r>
    </w:p>
    <w:p>
      <w:pPr>
        <w:spacing w:after="0" w:line="82" w:lineRule="exact"/>
        <w:rPr>
          <w:rFonts w:ascii="Arial" w:cs="Arial" w:eastAsia="Arial" w:hAnsi="Arial"/>
          <w:sz w:val="20"/>
          <w:szCs w:val="20"/>
          <w:color w:val="2A2A2A"/>
        </w:rPr>
      </w:pPr>
    </w:p>
    <w:p>
      <w:pPr>
        <w:ind w:firstLine="359"/>
        <w:spacing w:after="0" w:line="255" w:lineRule="auto"/>
        <w:tabs>
          <w:tab w:leader="none" w:pos="700"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85" w:lineRule="exact"/>
        <w:rPr>
          <w:rFonts w:ascii="Arial" w:cs="Arial" w:eastAsia="Arial" w:hAnsi="Arial"/>
          <w:sz w:val="20"/>
          <w:szCs w:val="20"/>
          <w:color w:val="2A2A2A"/>
        </w:rPr>
      </w:pPr>
    </w:p>
    <w:p>
      <w:pPr>
        <w:ind w:right="280" w:firstLine="359"/>
        <w:spacing w:after="0" w:line="268" w:lineRule="auto"/>
        <w:tabs>
          <w:tab w:leader="none" w:pos="660"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69" w:lineRule="exact"/>
        <w:rPr>
          <w:rFonts w:ascii="Arial" w:cs="Arial" w:eastAsia="Arial" w:hAnsi="Arial"/>
          <w:sz w:val="20"/>
          <w:szCs w:val="20"/>
          <w:color w:val="2A2A2A"/>
        </w:rPr>
      </w:pPr>
    </w:p>
    <w:p>
      <w:pPr>
        <w:ind w:firstLine="359"/>
        <w:spacing w:after="0" w:line="259" w:lineRule="auto"/>
        <w:tabs>
          <w:tab w:leader="none" w:pos="712"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79" w:lineRule="exact"/>
        <w:rPr>
          <w:rFonts w:ascii="Arial" w:cs="Arial" w:eastAsia="Arial" w:hAnsi="Arial"/>
          <w:sz w:val="20"/>
          <w:szCs w:val="20"/>
          <w:color w:val="2A2A2A"/>
        </w:rPr>
      </w:pPr>
    </w:p>
    <w:p>
      <w:pPr>
        <w:ind w:right="40" w:firstLine="359"/>
        <w:spacing w:after="0" w:line="257" w:lineRule="auto"/>
        <w:tabs>
          <w:tab w:leader="none" w:pos="660"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82" w:lineRule="exact"/>
        <w:rPr>
          <w:rFonts w:ascii="Arial" w:cs="Arial" w:eastAsia="Arial" w:hAnsi="Arial"/>
          <w:sz w:val="20"/>
          <w:szCs w:val="20"/>
          <w:color w:val="2A2A2A"/>
        </w:rPr>
      </w:pPr>
    </w:p>
    <w:p>
      <w:pPr>
        <w:ind w:right="20" w:firstLine="359"/>
        <w:spacing w:after="0" w:line="262" w:lineRule="auto"/>
        <w:tabs>
          <w:tab w:leader="none" w:pos="715"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75" w:lineRule="exact"/>
        <w:rPr>
          <w:rFonts w:ascii="Arial" w:cs="Arial" w:eastAsia="Arial" w:hAnsi="Arial"/>
          <w:sz w:val="20"/>
          <w:szCs w:val="20"/>
          <w:color w:val="2A2A2A"/>
        </w:rPr>
      </w:pPr>
    </w:p>
    <w:p>
      <w:pPr>
        <w:ind w:right="140" w:firstLine="359"/>
        <w:spacing w:after="0" w:line="262" w:lineRule="auto"/>
        <w:tabs>
          <w:tab w:leader="none" w:pos="715" w:val="left"/>
        </w:tabs>
        <w:numPr>
          <w:ilvl w:val="0"/>
          <w:numId w:val="176"/>
        </w:numPr>
        <w:rPr>
          <w:rFonts w:ascii="Arial" w:cs="Arial" w:eastAsia="Arial" w:hAnsi="Arial"/>
          <w:sz w:val="20"/>
          <w:szCs w:val="20"/>
          <w:color w:val="2A2A2A"/>
        </w:rPr>
      </w:pPr>
      <w:r>
        <w:rPr>
          <w:rFonts w:ascii="Arial" w:cs="Arial" w:eastAsia="Arial" w:hAnsi="Arial"/>
          <w:sz w:val="20"/>
          <w:szCs w:val="20"/>
          <w:color w:val="2A2A2A"/>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15. </w:t>
      </w:r>
      <w:r>
        <w:rPr>
          <w:rFonts w:ascii="Arial" w:cs="Arial" w:eastAsia="Arial" w:hAnsi="Arial"/>
          <w:sz w:val="20"/>
          <w:szCs w:val="20"/>
          <w:b w:val="1"/>
          <w:bCs w:val="1"/>
          <w:i w:val="1"/>
          <w:iCs w:val="1"/>
          <w:color w:val="2A2A2A"/>
        </w:rPr>
        <w:t>Effective Date of the Plan</w:t>
      </w:r>
      <w:r>
        <w:rPr>
          <w:rFonts w:ascii="Arial" w:cs="Arial" w:eastAsia="Arial" w:hAnsi="Arial"/>
          <w:sz w:val="20"/>
          <w:szCs w:val="20"/>
          <w:b w:val="1"/>
          <w:bCs w:val="1"/>
          <w:color w:val="2A2A2A"/>
        </w:rPr>
        <w: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A2A2A"/>
        </w:rPr>
        <w:t>The Plan shall be effective as of the date of its approval by the stockholders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A2A2A"/>
        </w:rPr>
        <w:t xml:space="preserve">SECTION 16. </w:t>
      </w:r>
      <w:r>
        <w:rPr>
          <w:rFonts w:ascii="Arial" w:cs="Arial" w:eastAsia="Arial" w:hAnsi="Arial"/>
          <w:sz w:val="20"/>
          <w:szCs w:val="20"/>
          <w:b w:val="1"/>
          <w:bCs w:val="1"/>
          <w:i w:val="1"/>
          <w:iCs w:val="1"/>
          <w:color w:val="2A2A2A"/>
        </w:rPr>
        <w:t>Term of the Plan</w:t>
      </w:r>
      <w:r>
        <w:rPr>
          <w:rFonts w:ascii="Arial" w:cs="Arial" w:eastAsia="Arial" w:hAnsi="Arial"/>
          <w:sz w:val="20"/>
          <w:szCs w:val="20"/>
          <w:b w:val="1"/>
          <w:bCs w:val="1"/>
          <w:color w:val="2A2A2A"/>
        </w:rPr>
        <w:t>.</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A2A2A"/>
        </w:rPr>
        <w:t>No Award shall be granted under the Plan after April 25, 2034. However, unless otherwise expressly provided in the Plan or in an applicable Award Agreement, any Award theretofore granted may extend beyond such date, and the authority of the Committee and the Board under Section 13 to amend, alter, adjust, suspend, discontinue, or terminate any such Award, or to waive any conditions or rights under any such Award, and to amend the Plan, shall extend beyond such date.</w:t>
      </w:r>
    </w:p>
    <w:p>
      <w:pPr>
        <w:sectPr>
          <w:pgSz w:w="12240" w:h="15840" w:orient="portrait"/>
          <w:cols w:equalWidth="0" w:num="1">
            <w:col w:w="10220"/>
          </w:cols>
          <w:pgMar w:left="980" w:top="664" w:right="1040" w:bottom="33" w:gutter="0" w:footer="0" w:header="0"/>
        </w:sect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383838"/>
        </w:rPr>
        <w:t>2024 PROXY STATEMENT • PAGE 83</w:t>
      </w:r>
    </w:p>
    <w:p>
      <w:pPr>
        <w:sectPr>
          <w:pgSz w:w="12240" w:h="15840" w:orient="portrait"/>
          <w:cols w:equalWidth="0" w:num="1">
            <w:col w:w="10220"/>
          </w:cols>
          <w:pgMar w:left="980" w:top="664" w:right="1040" w:bottom="33"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b w:val="1"/>
          <w:bCs w:val="1"/>
          <w:color w:val="2A2A2A"/>
        </w:rPr>
        <w:t xml:space="preserve">SECTION 17. </w:t>
      </w:r>
      <w:r>
        <w:rPr>
          <w:rFonts w:ascii="Arial" w:cs="Arial" w:eastAsia="Arial" w:hAnsi="Arial"/>
          <w:sz w:val="20"/>
          <w:szCs w:val="20"/>
          <w:b w:val="1"/>
          <w:bCs w:val="1"/>
          <w:i w:val="1"/>
          <w:iCs w:val="1"/>
          <w:color w:val="2A2A2A"/>
        </w:rPr>
        <w:t>Governing Law</w:t>
      </w:r>
      <w:r>
        <w:rPr>
          <w:rFonts w:ascii="Arial" w:cs="Arial" w:eastAsia="Arial" w:hAnsi="Arial"/>
          <w:sz w:val="20"/>
          <w:szCs w:val="20"/>
          <w:b w:val="1"/>
          <w:bCs w:val="1"/>
          <w:color w:val="2A2A2A"/>
        </w:rPr>
        <w:t>.</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20"/>
          <w:szCs w:val="20"/>
          <w:color w:val="2A2A2A"/>
        </w:rPr>
        <w:t>The Plan shall be construed in accordance with and governed by the laws of the State of Texas without giving effect to the principles of conflict of laws thereof.</w:t>
      </w:r>
    </w:p>
    <w:p>
      <w:pPr>
        <w:sectPr>
          <w:pgSz w:w="12240" w:h="15840" w:orient="portrait"/>
          <w:cols w:equalWidth="0" w:num="1">
            <w:col w:w="10200"/>
          </w:cols>
          <w:pgMar w:left="980" w:top="664" w:right="106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383838"/>
        </w:rPr>
        <w:t>2024 PROXY STATEMENT • PAGE 84</w:t>
      </w:r>
    </w:p>
    <w:p>
      <w:pPr>
        <w:sectPr>
          <w:pgSz w:w="12240" w:h="15840" w:orient="portrait"/>
          <w:cols w:equalWidth="0" w:num="1">
            <w:col w:w="10200"/>
          </w:cols>
          <w:pgMar w:left="980" w:top="664" w:right="1060" w:bottom="33" w:gutter="0" w:footer="0" w:header="0"/>
          <w:type w:val="continuous"/>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(This page intentionally left blank.)</w:t>
      </w:r>
    </w:p>
    <w:p>
      <w:pPr>
        <w:sectPr>
          <w:pgSz w:w="12240" w:h="15840" w:orient="portrait"/>
          <w:cols w:equalWidth="0" w:num="1">
            <w:col w:w="9360"/>
          </w:cols>
          <w:pgMar w:left="1440" w:top="1440" w:right="1440" w:bottom="1440" w:gutter="0" w:footer="0" w:header="0"/>
        </w:sectPr>
      </w:pPr>
    </w:p>
    <w:bookmarkStart w:id="157" w:name="page158"/>
    <w:bookmarkEnd w:id="157"/>
    <w:p>
      <w:pPr>
        <w:spacing w:after="0"/>
        <w:rPr>
          <w:sz w:val="20"/>
          <w:szCs w:val="20"/>
          <w:color w:val="auto"/>
        </w:rPr>
      </w:pPr>
      <w:r>
        <w:rPr>
          <w:rFonts w:ascii="Arial" w:cs="Arial" w:eastAsia="Arial" w:hAnsi="Arial"/>
          <w:sz w:val="24"/>
          <w:szCs w:val="24"/>
          <w:b w:val="1"/>
          <w:bCs w:val="1"/>
          <w:color w:val="2A2A2A"/>
        </w:rPr>
        <w:t>OTHER INFORMATION</w:t>
      </w:r>
    </w:p>
    <w:p>
      <w:pPr>
        <w:spacing w:after="0" w:line="372"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Comparison of total shareholder return</w:t>
      </w:r>
    </w:p>
    <w:p>
      <w:pPr>
        <w:spacing w:after="0" w:line="263"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2A2A2A"/>
        </w:rPr>
        <w:t>This graph compares TI’s total shareholder return with the S&amp;P 500 Index and the S&amp;P Information Technology Index over a five-year period, beginning December 31, 2018, and ending December 31, 2023.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197485</wp:posOffset>
            </wp:positionV>
            <wp:extent cx="5943600" cy="30022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43600" cy="300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Borders>
              <w:bottom w:val="single" w:sz="8" w:color="2A2A2A"/>
            </w:tcBorders>
          </w:tcPr>
          <w:p>
            <w:pPr>
              <w:spacing w:after="0"/>
              <w:rPr>
                <w:sz w:val="18"/>
                <w:szCs w:val="18"/>
                <w:color w:val="auto"/>
              </w:rPr>
            </w:pPr>
          </w:p>
        </w:tc>
        <w:tc>
          <w:tcPr>
            <w:tcW w:w="10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Dec. 2018</w:t>
            </w:r>
          </w:p>
        </w:tc>
        <w:tc>
          <w:tcPr>
            <w:tcW w:w="10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Dec. 2019</w:t>
            </w:r>
          </w:p>
        </w:tc>
        <w:tc>
          <w:tcPr>
            <w:tcW w:w="10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Dec. 2020</w:t>
            </w:r>
          </w:p>
        </w:tc>
        <w:tc>
          <w:tcPr>
            <w:tcW w:w="108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Dec. 2021</w:t>
            </w:r>
          </w:p>
        </w:tc>
        <w:tc>
          <w:tcPr>
            <w:tcW w:w="10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rPr>
              <w:t>Dec. 2022</w:t>
            </w:r>
          </w:p>
        </w:tc>
        <w:tc>
          <w:tcPr>
            <w:tcW w:w="1060" w:type="dxa"/>
            <w:vAlign w:val="bottom"/>
            <w:tcBorders>
              <w:bottom w:val="single" w:sz="8" w:color="2A2A2A"/>
            </w:tcBorders>
          </w:tcPr>
          <w:p>
            <w:pPr>
              <w:jc w:val="center"/>
              <w:spacing w:after="0"/>
              <w:rPr>
                <w:sz w:val="20"/>
                <w:szCs w:val="20"/>
                <w:color w:val="auto"/>
              </w:rPr>
            </w:pPr>
            <w:r>
              <w:rPr>
                <w:rFonts w:ascii="Arial" w:cs="Arial" w:eastAsia="Arial" w:hAnsi="Arial"/>
                <w:sz w:val="16"/>
                <w:szCs w:val="16"/>
                <w:b w:val="1"/>
                <w:bCs w:val="1"/>
                <w:color w:val="2A2A2A"/>
                <w:w w:val="97"/>
              </w:rPr>
              <w:t>Dec. 2023</w:t>
            </w:r>
          </w:p>
        </w:tc>
      </w:tr>
      <w:tr>
        <w:trPr>
          <w:trHeight w:val="275"/>
        </w:trPr>
        <w:tc>
          <w:tcPr>
            <w:tcW w:w="3900" w:type="dxa"/>
            <w:vAlign w:val="bottom"/>
            <w:tcBorders>
              <w:right w:val="single" w:sz="8" w:color="D7D7D7"/>
            </w:tcBorders>
          </w:tcPr>
          <w:p>
            <w:pPr>
              <w:ind w:left="60"/>
              <w:spacing w:after="0"/>
              <w:rPr>
                <w:sz w:val="20"/>
                <w:szCs w:val="20"/>
                <w:color w:val="auto"/>
              </w:rPr>
            </w:pPr>
            <w:r>
              <w:rPr>
                <w:rFonts w:ascii="Arial" w:cs="Arial" w:eastAsia="Arial" w:hAnsi="Arial"/>
                <w:sz w:val="20"/>
                <w:szCs w:val="20"/>
                <w:b w:val="1"/>
                <w:bCs w:val="1"/>
                <w:color w:val="2A2A2A"/>
              </w:rPr>
              <w:t>Texas Instruments Incorporated</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8"/>
              </w:rPr>
              <w:t>100.00</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139.56</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rPr>
              <w:t>183.85</w:t>
            </w:r>
          </w:p>
        </w:tc>
        <w:tc>
          <w:tcPr>
            <w:tcW w:w="108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rPr>
              <w:t>216.10</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8"/>
              </w:rPr>
              <w:t>194.70</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8"/>
              </w:rPr>
              <w:t>207.14</w:t>
            </w:r>
          </w:p>
        </w:tc>
      </w:tr>
      <w:tr>
        <w:trPr>
          <w:trHeight w:val="285"/>
        </w:trPr>
        <w:tc>
          <w:tcPr>
            <w:tcW w:w="3900" w:type="dxa"/>
            <w:vAlign w:val="bottom"/>
          </w:tcPr>
          <w:p>
            <w:pPr>
              <w:ind w:left="60"/>
              <w:spacing w:after="0"/>
              <w:rPr>
                <w:sz w:val="20"/>
                <w:szCs w:val="20"/>
                <w:color w:val="auto"/>
              </w:rPr>
            </w:pPr>
            <w:r>
              <w:rPr>
                <w:rFonts w:ascii="Arial" w:cs="Arial" w:eastAsia="Arial" w:hAnsi="Arial"/>
                <w:sz w:val="20"/>
                <w:szCs w:val="20"/>
                <w:b w:val="1"/>
                <w:bCs w:val="1"/>
                <w:color w:val="2A2A2A"/>
              </w:rPr>
              <w:t>S&amp;P 500</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100.00</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131.49</w:t>
            </w:r>
          </w:p>
        </w:tc>
        <w:tc>
          <w:tcPr>
            <w:tcW w:w="1060" w:type="dxa"/>
            <w:vAlign w:val="bottom"/>
          </w:tcPr>
          <w:p>
            <w:pPr>
              <w:jc w:val="center"/>
              <w:spacing w:after="0"/>
              <w:rPr>
                <w:sz w:val="20"/>
                <w:szCs w:val="20"/>
                <w:color w:val="auto"/>
              </w:rPr>
            </w:pPr>
            <w:r>
              <w:rPr>
                <w:rFonts w:ascii="Arial" w:cs="Arial" w:eastAsia="Arial" w:hAnsi="Arial"/>
                <w:sz w:val="20"/>
                <w:szCs w:val="20"/>
                <w:color w:val="2A2A2A"/>
              </w:rPr>
              <w:t>155.68</w:t>
            </w:r>
          </w:p>
        </w:tc>
        <w:tc>
          <w:tcPr>
            <w:tcW w:w="1080" w:type="dxa"/>
            <w:vAlign w:val="bottom"/>
          </w:tcPr>
          <w:p>
            <w:pPr>
              <w:jc w:val="center"/>
              <w:spacing w:after="0"/>
              <w:rPr>
                <w:sz w:val="20"/>
                <w:szCs w:val="20"/>
                <w:color w:val="auto"/>
              </w:rPr>
            </w:pPr>
            <w:r>
              <w:rPr>
                <w:rFonts w:ascii="Arial" w:cs="Arial" w:eastAsia="Arial" w:hAnsi="Arial"/>
                <w:sz w:val="20"/>
                <w:szCs w:val="20"/>
                <w:color w:val="2A2A2A"/>
              </w:rPr>
              <w:t>200.37</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164.08</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207.21</w:t>
            </w:r>
          </w:p>
        </w:tc>
      </w:tr>
      <w:tr>
        <w:trPr>
          <w:trHeight w:val="285"/>
        </w:trPr>
        <w:tc>
          <w:tcPr>
            <w:tcW w:w="3900" w:type="dxa"/>
            <w:vAlign w:val="bottom"/>
            <w:tcBorders>
              <w:right w:val="single" w:sz="8" w:color="D7D7D7"/>
            </w:tcBorders>
          </w:tcPr>
          <w:p>
            <w:pPr>
              <w:ind w:left="60"/>
              <w:spacing w:after="0"/>
              <w:rPr>
                <w:sz w:val="20"/>
                <w:szCs w:val="20"/>
                <w:color w:val="auto"/>
              </w:rPr>
            </w:pPr>
            <w:r>
              <w:rPr>
                <w:rFonts w:ascii="Arial" w:cs="Arial" w:eastAsia="Arial" w:hAnsi="Arial"/>
                <w:sz w:val="20"/>
                <w:szCs w:val="20"/>
                <w:b w:val="1"/>
                <w:bCs w:val="1"/>
                <w:color w:val="2A2A2A"/>
              </w:rPr>
              <w:t>S&amp;P Information Technology</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8"/>
              </w:rPr>
              <w:t>100.00</w:t>
            </w:r>
          </w:p>
        </w:tc>
        <w:tc>
          <w:tcPr>
            <w:tcW w:w="1060" w:type="dxa"/>
            <w:vAlign w:val="bottom"/>
          </w:tcPr>
          <w:p>
            <w:pPr>
              <w:jc w:val="center"/>
              <w:spacing w:after="0"/>
              <w:rPr>
                <w:sz w:val="20"/>
                <w:szCs w:val="20"/>
                <w:color w:val="auto"/>
              </w:rPr>
            </w:pPr>
            <w:r>
              <w:rPr>
                <w:rFonts w:ascii="Arial" w:cs="Arial" w:eastAsia="Arial" w:hAnsi="Arial"/>
                <w:sz w:val="20"/>
                <w:szCs w:val="20"/>
                <w:color w:val="2A2A2A"/>
                <w:w w:val="98"/>
              </w:rPr>
              <w:t>150.29</w:t>
            </w:r>
          </w:p>
        </w:tc>
        <w:tc>
          <w:tcPr>
            <w:tcW w:w="1060" w:type="dxa"/>
            <w:vAlign w:val="bottom"/>
          </w:tcPr>
          <w:p>
            <w:pPr>
              <w:jc w:val="center"/>
              <w:spacing w:after="0"/>
              <w:rPr>
                <w:sz w:val="20"/>
                <w:szCs w:val="20"/>
                <w:color w:val="auto"/>
              </w:rPr>
            </w:pPr>
            <w:r>
              <w:rPr>
                <w:rFonts w:ascii="Arial" w:cs="Arial" w:eastAsia="Arial" w:hAnsi="Arial"/>
                <w:sz w:val="20"/>
                <w:szCs w:val="20"/>
                <w:color w:val="2A2A2A"/>
              </w:rPr>
              <w:t>216.25</w:t>
            </w:r>
          </w:p>
        </w:tc>
        <w:tc>
          <w:tcPr>
            <w:tcW w:w="108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rPr>
              <w:t>290.92</w:t>
            </w:r>
          </w:p>
        </w:tc>
        <w:tc>
          <w:tcPr>
            <w:tcW w:w="1060" w:type="dxa"/>
            <w:vAlign w:val="bottom"/>
            <w:tcBorders>
              <w:right w:val="single" w:sz="8" w:color="D7D7D7"/>
            </w:tcBorders>
            <w:shd w:val="clear" w:color="auto" w:fill="D7D7D7"/>
          </w:tcPr>
          <w:p>
            <w:pPr>
              <w:jc w:val="center"/>
              <w:spacing w:after="0"/>
              <w:rPr>
                <w:sz w:val="20"/>
                <w:szCs w:val="20"/>
                <w:color w:val="auto"/>
              </w:rPr>
            </w:pPr>
            <w:r>
              <w:rPr>
                <w:rFonts w:ascii="Arial" w:cs="Arial" w:eastAsia="Arial" w:hAnsi="Arial"/>
                <w:sz w:val="20"/>
                <w:szCs w:val="20"/>
                <w:color w:val="2A2A2A"/>
                <w:w w:val="98"/>
              </w:rPr>
              <w:t>208.90</w:t>
            </w:r>
          </w:p>
        </w:tc>
        <w:tc>
          <w:tcPr>
            <w:tcW w:w="1060" w:type="dxa"/>
            <w:vAlign w:val="bottom"/>
            <w:tcBorders>
              <w:right w:val="single" w:sz="8" w:color="D7D7D7"/>
            </w:tcBorders>
          </w:tcPr>
          <w:p>
            <w:pPr>
              <w:jc w:val="center"/>
              <w:spacing w:after="0"/>
              <w:rPr>
                <w:sz w:val="20"/>
                <w:szCs w:val="20"/>
                <w:color w:val="auto"/>
              </w:rPr>
            </w:pPr>
            <w:r>
              <w:rPr>
                <w:rFonts w:ascii="Arial" w:cs="Arial" w:eastAsia="Arial" w:hAnsi="Arial"/>
                <w:sz w:val="20"/>
                <w:szCs w:val="20"/>
                <w:color w:val="2A2A2A"/>
                <w:w w:val="98"/>
              </w:rPr>
              <w:t>329.73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-554990</wp:posOffset>
            </wp:positionV>
            <wp:extent cx="6550025" cy="5683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50025" cy="56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Notice regarding forward-looking statements</w:t>
      </w:r>
    </w:p>
    <w:p>
      <w:pPr>
        <w:spacing w:after="0" w:line="26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A2A2A"/>
        </w:rPr>
        <w:t>This annual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to differ materially from those in forward-looking statements. For a more detailed discussion of these factors, see the risk factors discussion that begins on page 9 of this report. Forward-looking statements in this report are made only as of the date of this report, and we undertake no obligation to update them to reflect subsequent events or circumstances.</w:t>
      </w:r>
    </w:p>
    <w:p>
      <w:pPr>
        <w:sectPr>
          <w:pgSz w:w="12240" w:h="15840" w:orient="portrait"/>
          <w:cols w:equalWidth="0" w:num="1">
            <w:col w:w="10280"/>
          </w:cols>
          <w:pgMar w:left="980" w:top="653" w:right="98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383838"/>
        </w:rPr>
        <w:t>PAGE 1</w:t>
      </w:r>
    </w:p>
    <w:p>
      <w:pPr>
        <w:sectPr>
          <w:pgSz w:w="12240" w:h="15840" w:orient="portrait"/>
          <w:cols w:equalWidth="0" w:num="1">
            <w:col w:w="10280"/>
          </w:cols>
          <w:pgMar w:left="980" w:top="653" w:right="980" w:bottom="33" w:gutter="0" w:footer="0" w:header="0"/>
          <w:type w:val="continuous"/>
        </w:sectPr>
      </w:pPr>
    </w:p>
    <w:bookmarkStart w:id="158" w:name="page159"/>
    <w:bookmarkEnd w:id="158"/>
    <w:p>
      <w:pPr>
        <w:spacing w:after="0"/>
        <w:rPr>
          <w:sz w:val="20"/>
          <w:szCs w:val="20"/>
          <w:color w:val="auto"/>
        </w:rPr>
      </w:pPr>
      <w:r>
        <w:rPr>
          <w:rFonts w:ascii="Arial" w:cs="Arial" w:eastAsia="Arial" w:hAnsi="Arial"/>
          <w:sz w:val="24"/>
          <w:szCs w:val="24"/>
          <w:b w:val="1"/>
          <w:bCs w:val="1"/>
          <w:color w:val="2A2A2A"/>
        </w:rPr>
        <w:t>BOARD OF DIRECTORS, LEADERSHIP</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740" w:type="dxa"/>
            <w:vAlign w:val="bottom"/>
            <w:tcBorders>
              <w:bottom w:val="single" w:sz="8" w:color="2A2A2A"/>
            </w:tcBorders>
          </w:tcPr>
          <w:p>
            <w:pPr>
              <w:ind w:left="60"/>
              <w:spacing w:after="0"/>
              <w:rPr>
                <w:sz w:val="20"/>
                <w:szCs w:val="20"/>
                <w:color w:val="auto"/>
              </w:rPr>
            </w:pPr>
            <w:r>
              <w:rPr>
                <w:rFonts w:ascii="Arial" w:cs="Arial" w:eastAsia="Arial" w:hAnsi="Arial"/>
                <w:sz w:val="22"/>
                <w:szCs w:val="22"/>
                <w:b w:val="1"/>
                <w:bCs w:val="1"/>
                <w:color w:val="2A2A2A"/>
              </w:rPr>
              <w:t>Directors</w:t>
            </w:r>
          </w:p>
        </w:tc>
        <w:tc>
          <w:tcPr>
            <w:tcW w:w="20" w:type="dxa"/>
            <w:vAlign w:val="bottom"/>
            <w:tcBorders>
              <w:bottom w:val="single" w:sz="8" w:color="2A2A2A"/>
            </w:tcBorders>
          </w:tcPr>
          <w:p>
            <w:pPr>
              <w:spacing w:after="0"/>
              <w:rPr>
                <w:sz w:val="24"/>
                <w:szCs w:val="24"/>
                <w:color w:val="auto"/>
              </w:rPr>
            </w:pPr>
          </w:p>
        </w:tc>
        <w:tc>
          <w:tcPr>
            <w:tcW w:w="2820" w:type="dxa"/>
            <w:vAlign w:val="bottom"/>
            <w:tcBorders>
              <w:bottom w:val="single" w:sz="8" w:color="2A2A2A"/>
            </w:tcBorders>
          </w:tcPr>
          <w:p>
            <w:pPr>
              <w:spacing w:after="0"/>
              <w:rPr>
                <w:sz w:val="24"/>
                <w:szCs w:val="24"/>
                <w:color w:val="auto"/>
              </w:rPr>
            </w:pPr>
          </w:p>
        </w:tc>
        <w:tc>
          <w:tcPr>
            <w:tcW w:w="20" w:type="dxa"/>
            <w:vAlign w:val="bottom"/>
            <w:tcBorders>
              <w:bottom w:val="single" w:sz="8" w:color="2A2A2A"/>
            </w:tcBorders>
          </w:tcPr>
          <w:p>
            <w:pPr>
              <w:spacing w:after="0"/>
              <w:rPr>
                <w:sz w:val="24"/>
                <w:szCs w:val="24"/>
                <w:color w:val="auto"/>
              </w:rPr>
            </w:pPr>
          </w:p>
        </w:tc>
        <w:tc>
          <w:tcPr>
            <w:tcW w:w="2480" w:type="dxa"/>
            <w:vAlign w:val="bottom"/>
            <w:tcBorders>
              <w:bottom w:val="single" w:sz="8" w:color="2A2A2A"/>
            </w:tcBorders>
          </w:tcPr>
          <w:p>
            <w:pPr>
              <w:ind w:left="180"/>
              <w:spacing w:after="0"/>
              <w:rPr>
                <w:sz w:val="20"/>
                <w:szCs w:val="20"/>
                <w:color w:val="auto"/>
              </w:rPr>
            </w:pPr>
            <w:r>
              <w:rPr>
                <w:rFonts w:ascii="Arial" w:cs="Arial" w:eastAsia="Arial" w:hAnsi="Arial"/>
                <w:sz w:val="22"/>
                <w:szCs w:val="22"/>
                <w:b w:val="1"/>
                <w:bCs w:val="1"/>
                <w:color w:val="2A2A2A"/>
              </w:rPr>
              <w:t>Leadership</w:t>
            </w:r>
          </w:p>
        </w:tc>
        <w:tc>
          <w:tcPr>
            <w:tcW w:w="20" w:type="dxa"/>
            <w:vAlign w:val="bottom"/>
            <w:tcBorders>
              <w:bottom w:val="single" w:sz="8" w:color="2A2A2A"/>
            </w:tcBorders>
          </w:tcPr>
          <w:p>
            <w:pPr>
              <w:spacing w:after="0"/>
              <w:rPr>
                <w:sz w:val="24"/>
                <w:szCs w:val="24"/>
                <w:color w:val="auto"/>
              </w:rPr>
            </w:pPr>
          </w:p>
        </w:tc>
        <w:tc>
          <w:tcPr>
            <w:tcW w:w="2060" w:type="dxa"/>
            <w:vAlign w:val="bottom"/>
            <w:tcBorders>
              <w:bottom w:val="single" w:sz="8" w:color="2A2A2A"/>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740" w:type="dxa"/>
            <w:vAlign w:val="bottom"/>
            <w:vMerge w:val="restart"/>
          </w:tcPr>
          <w:p>
            <w:pPr>
              <w:ind w:left="60"/>
              <w:spacing w:after="0"/>
              <w:rPr>
                <w:sz w:val="20"/>
                <w:szCs w:val="20"/>
                <w:color w:val="auto"/>
              </w:rPr>
            </w:pPr>
            <w:r>
              <w:rPr>
                <w:rFonts w:ascii="Arial" w:cs="Arial" w:eastAsia="Arial" w:hAnsi="Arial"/>
                <w:sz w:val="18"/>
                <w:szCs w:val="18"/>
                <w:b w:val="1"/>
                <w:bCs w:val="1"/>
                <w:color w:val="2A2A2A"/>
              </w:rPr>
              <w:t>Richard K. Templeton</w:t>
            </w:r>
          </w:p>
        </w:tc>
        <w:tc>
          <w:tcPr>
            <w:tcW w:w="20" w:type="dxa"/>
            <w:vAlign w:val="bottom"/>
          </w:tcPr>
          <w:p>
            <w:pPr>
              <w:spacing w:after="0"/>
              <w:rPr>
                <w:sz w:val="8"/>
                <w:szCs w:val="8"/>
                <w:color w:val="auto"/>
              </w:rPr>
            </w:pPr>
          </w:p>
        </w:tc>
        <w:tc>
          <w:tcPr>
            <w:tcW w:w="2820" w:type="dxa"/>
            <w:vAlign w:val="bottom"/>
            <w:vMerge w:val="restart"/>
          </w:tcPr>
          <w:p>
            <w:pPr>
              <w:ind w:left="140"/>
              <w:spacing w:after="0"/>
              <w:rPr>
                <w:sz w:val="20"/>
                <w:szCs w:val="20"/>
                <w:color w:val="auto"/>
              </w:rPr>
            </w:pPr>
            <w:r>
              <w:rPr>
                <w:rFonts w:ascii="Arial" w:cs="Arial" w:eastAsia="Arial" w:hAnsi="Arial"/>
                <w:sz w:val="18"/>
                <w:szCs w:val="18"/>
                <w:b w:val="1"/>
                <w:bCs w:val="1"/>
                <w:color w:val="2A2A2A"/>
              </w:rPr>
              <w:t>Curtis C. Farmer</w:t>
            </w:r>
          </w:p>
        </w:tc>
        <w:tc>
          <w:tcPr>
            <w:tcW w:w="20" w:type="dxa"/>
            <w:vAlign w:val="bottom"/>
          </w:tcPr>
          <w:p>
            <w:pPr>
              <w:spacing w:after="0"/>
              <w:rPr>
                <w:sz w:val="8"/>
                <w:szCs w:val="8"/>
                <w:color w:val="auto"/>
              </w:rPr>
            </w:pPr>
          </w:p>
        </w:tc>
        <w:tc>
          <w:tcPr>
            <w:tcW w:w="2480" w:type="dxa"/>
            <w:vAlign w:val="bottom"/>
            <w:vMerge w:val="restart"/>
          </w:tcPr>
          <w:p>
            <w:pPr>
              <w:ind w:left="180"/>
              <w:spacing w:after="0"/>
              <w:rPr>
                <w:sz w:val="20"/>
                <w:szCs w:val="20"/>
                <w:color w:val="auto"/>
              </w:rPr>
            </w:pPr>
            <w:r>
              <w:rPr>
                <w:rFonts w:ascii="Arial" w:cs="Arial" w:eastAsia="Arial" w:hAnsi="Arial"/>
                <w:sz w:val="18"/>
                <w:szCs w:val="18"/>
                <w:b w:val="1"/>
                <w:bCs w:val="1"/>
                <w:color w:val="2A2A2A"/>
              </w:rPr>
              <w:t>Haviv Ilan</w:t>
            </w:r>
          </w:p>
        </w:tc>
        <w:tc>
          <w:tcPr>
            <w:tcW w:w="20" w:type="dxa"/>
            <w:vAlign w:val="bottom"/>
          </w:tcPr>
          <w:p>
            <w:pPr>
              <w:spacing w:after="0"/>
              <w:rPr>
                <w:sz w:val="8"/>
                <w:szCs w:val="8"/>
                <w:color w:val="auto"/>
              </w:rPr>
            </w:pPr>
          </w:p>
        </w:tc>
        <w:tc>
          <w:tcPr>
            <w:tcW w:w="2060" w:type="dxa"/>
            <w:vAlign w:val="bottom"/>
            <w:vMerge w:val="restart"/>
          </w:tcPr>
          <w:p>
            <w:pPr>
              <w:ind w:left="160"/>
              <w:spacing w:after="0"/>
              <w:rPr>
                <w:sz w:val="20"/>
                <w:szCs w:val="20"/>
                <w:color w:val="auto"/>
              </w:rPr>
            </w:pPr>
            <w:r>
              <w:rPr>
                <w:rFonts w:ascii="Arial" w:cs="Arial" w:eastAsia="Arial" w:hAnsi="Arial"/>
                <w:sz w:val="18"/>
                <w:szCs w:val="18"/>
                <w:b w:val="1"/>
                <w:bCs w:val="1"/>
                <w:color w:val="2A2A2A"/>
              </w:rPr>
              <w:t>Mark T. Roberts</w:t>
            </w:r>
          </w:p>
        </w:tc>
        <w:tc>
          <w:tcPr>
            <w:tcW w:w="0" w:type="dxa"/>
            <w:vAlign w:val="bottom"/>
          </w:tcPr>
          <w:p>
            <w:pPr>
              <w:spacing w:after="0"/>
              <w:rPr>
                <w:sz w:val="1"/>
                <w:szCs w:val="1"/>
                <w:color w:val="auto"/>
              </w:rPr>
            </w:pPr>
          </w:p>
        </w:tc>
      </w:tr>
      <w:tr>
        <w:trPr>
          <w:trHeight w:val="226"/>
        </w:trPr>
        <w:tc>
          <w:tcPr>
            <w:tcW w:w="2740" w:type="dxa"/>
            <w:vAlign w:val="bottom"/>
            <w:vMerge w:val="continue"/>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vMerge w:val="continue"/>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vMerge w:val="continue"/>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Chairman of the Board,</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Chairman of the Board,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President and</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Senior Vice President</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Texas Instruments Incorporated</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President and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Chief Executive Officer</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Chief Executive Officer,</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b w:val="1"/>
                <w:bCs w:val="1"/>
                <w:color w:val="2A2A2A"/>
              </w:rPr>
              <w:t>Amichai Ron</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Mark A. Blinn</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Comerica Incorporated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Ahmad S. Bahai</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Senior Vice President</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Retired Chief Executive Officer,</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 and</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Flowserve Corporation</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b w:val="1"/>
                <w:bCs w:val="1"/>
                <w:color w:val="2A2A2A"/>
              </w:rPr>
              <w:t>Jean M. Hobby</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Chief Technology Officer</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b w:val="1"/>
                <w:bCs w:val="1"/>
                <w:color w:val="2A2A2A"/>
              </w:rPr>
              <w:t>Cynthia Hoff Trochu</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Retired Partner,</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Senior Vice President,</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Todd M. Bluedorn</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PricewaterhouseCoopers LLP</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Kyle M. Flessner</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Secretary and</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Retired Chairman of the Board</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General Counsel</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and Chief Executive Officer,</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b w:val="1"/>
                <w:bCs w:val="1"/>
                <w:color w:val="2A2A2A"/>
              </w:rPr>
              <w:t>Haviv Ilan</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Lennox International Inc.</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President and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Mark S. Gary</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b w:val="1"/>
                <w:bCs w:val="1"/>
                <w:color w:val="2A2A2A"/>
              </w:rPr>
              <w:t>Christine A. Witzsche</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Chief Executive Officer,</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Senior Vice President</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Janet F. Clark</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Texas Instruments Incorporated</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Retired Chief Financial Officer,</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Hagop H. Kozanian</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b w:val="1"/>
                <w:bCs w:val="1"/>
                <w:color w:val="2A2A2A"/>
              </w:rPr>
              <w:t>Mohammad Yunus</w:t>
            </w: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Marathon Oil Corporation</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b w:val="1"/>
                <w:bCs w:val="1"/>
                <w:color w:val="2A2A2A"/>
              </w:rPr>
              <w:t>Ronald Kirk</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w:t>
            </w:r>
          </w:p>
        </w:tc>
        <w:tc>
          <w:tcPr>
            <w:tcW w:w="20" w:type="dxa"/>
            <w:vAlign w:val="bottom"/>
            <w:shd w:val="clear" w:color="auto" w:fill="B1B1B1"/>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2A2A2A"/>
              </w:rPr>
              <w:t>Senior Vice President</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Senior Of Counsel,</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Carrie S. Cox</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Gibson, Dunn &amp; Crutcher LLP</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Shanon J. Leonard</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Retired Chairman of the Board</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and Chief Executive Officer,</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b w:val="1"/>
                <w:bCs w:val="1"/>
                <w:color w:val="2A2A2A"/>
              </w:rPr>
              <w:t>Pamela H. Patsley</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Humacyte, Inc.</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Retired Chairman of the Board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Rafael R. Lizardi</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and Chief Executive Officer,</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 and</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Martin S. Craighead</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MoneyGram International, Inc.</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Chief Financial Officer</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Retired Chairman of the Board</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and Chief Executive Officer,</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b w:val="1"/>
                <w:bCs w:val="1"/>
                <w:color w:val="2A2A2A"/>
              </w:rPr>
              <w:t>Robert E. Sanchez</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Keith C. Ogboenyiya</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Baker Hughes Inc.</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Chairman of the Board and</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Chief Executive Officer,</w:t>
            </w:r>
          </w:p>
        </w:tc>
        <w:tc>
          <w:tcPr>
            <w:tcW w:w="20" w:type="dxa"/>
            <w:vAlign w:val="bottom"/>
            <w:shd w:val="clear" w:color="auto" w:fill="8F8F8F"/>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b w:val="1"/>
                <w:bCs w:val="1"/>
                <w:color w:val="2A2A2A"/>
              </w:rPr>
              <w:t>Reginald DesRoches</w:t>
            </w:r>
          </w:p>
        </w:tc>
        <w:tc>
          <w:tcPr>
            <w:tcW w:w="20" w:type="dxa"/>
            <w:vAlign w:val="bottom"/>
            <w:shd w:val="clear" w:color="auto" w:fill="B1B1B1"/>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2A2A2A"/>
              </w:rPr>
              <w:t>Ryder System, Inc.</w:t>
            </w: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b w:val="1"/>
                <w:bCs w:val="1"/>
                <w:color w:val="2A2A2A"/>
              </w:rPr>
              <w:t>Krunali Patel</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8"/>
                <w:szCs w:val="18"/>
                <w:color w:val="2A2A2A"/>
              </w:rPr>
              <w:t>President,</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Senior Vice President and</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60"/>
              <w:spacing w:after="0"/>
              <w:rPr>
                <w:sz w:val="20"/>
                <w:szCs w:val="20"/>
                <w:color w:val="auto"/>
              </w:rPr>
            </w:pPr>
            <w:r>
              <w:rPr>
                <w:rFonts w:ascii="Arial" w:cs="Arial" w:eastAsia="Arial" w:hAnsi="Arial"/>
                <w:sz w:val="18"/>
                <w:szCs w:val="18"/>
                <w:color w:val="2A2A2A"/>
              </w:rPr>
              <w:t>Rice University</w:t>
            </w:r>
          </w:p>
        </w:tc>
        <w:tc>
          <w:tcPr>
            <w:tcW w:w="20" w:type="dxa"/>
            <w:vAlign w:val="bottom"/>
            <w:shd w:val="clear" w:color="auto" w:fill="B1B1B1"/>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shd w:val="clear" w:color="auto" w:fill="8F8F8F"/>
          </w:tcPr>
          <w:p>
            <w:pPr>
              <w:spacing w:after="0"/>
              <w:rPr>
                <w:sz w:val="19"/>
                <w:szCs w:val="19"/>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2A2A2A"/>
              </w:rPr>
              <w:t>Chief Information Officer</w:t>
            </w:r>
          </w:p>
        </w:tc>
        <w:tc>
          <w:tcPr>
            <w:tcW w:w="20" w:type="dxa"/>
            <w:vAlign w:val="bottom"/>
            <w:shd w:val="clear" w:color="auto" w:fill="B1B1B1"/>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2A2A2A"/>
        </w:rPr>
        <w:t>TI Fellows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-3810</wp:posOffset>
            </wp:positionV>
            <wp:extent cx="476567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65675" cy="50800"/>
                    </a:xfrm>
                    <a:prstGeom prst="rect">
                      <a:avLst/>
                    </a:prstGeom>
                    <a:noFill/>
                  </pic:spPr>
                </pic:pic>
              </a:graphicData>
            </a:graphic>
          </wp:anchor>
        </w:drawing>
      </w:r>
    </w:p>
    <w:p>
      <w:pPr>
        <w:spacing w:after="0" w:line="128" w:lineRule="exact"/>
        <w:rPr>
          <w:sz w:val="20"/>
          <w:szCs w:val="20"/>
          <w:color w:val="auto"/>
        </w:rPr>
      </w:pPr>
    </w:p>
    <w:p>
      <w:pPr>
        <w:ind w:left="60" w:right="560"/>
        <w:spacing w:after="0" w:line="268" w:lineRule="auto"/>
        <w:rPr>
          <w:sz w:val="20"/>
          <w:szCs w:val="20"/>
          <w:color w:val="auto"/>
        </w:rPr>
      </w:pPr>
      <w:r>
        <w:rPr>
          <w:rFonts w:ascii="Arial" w:cs="Arial" w:eastAsia="Arial" w:hAnsi="Arial"/>
          <w:sz w:val="18"/>
          <w:szCs w:val="18"/>
          <w:color w:val="2A2A2A"/>
        </w:rPr>
        <w:t>TI Fellows are engineers, scientists or technologists who are recognized by peers and TI management for outstanding performance. Fellows are elected or reelected based on their exceptional technical leadership in driving deeper levels of innovation that make TI stronger.</w:t>
      </w:r>
    </w:p>
    <w:p>
      <w:pPr>
        <w:spacing w:after="0" w:line="75" w:lineRule="exact"/>
        <w:rPr>
          <w:sz w:val="20"/>
          <w:szCs w:val="20"/>
          <w:color w:val="auto"/>
        </w:rPr>
      </w:pPr>
    </w:p>
    <w:p>
      <w:pPr>
        <w:ind w:left="60" w:right="300"/>
        <w:spacing w:after="0" w:line="287" w:lineRule="auto"/>
        <w:rPr>
          <w:sz w:val="20"/>
          <w:szCs w:val="20"/>
          <w:color w:val="auto"/>
        </w:rPr>
      </w:pPr>
      <w:r>
        <w:rPr>
          <w:rFonts w:ascii="Arial" w:cs="Arial" w:eastAsia="Arial" w:hAnsi="Arial"/>
          <w:sz w:val="18"/>
          <w:szCs w:val="18"/>
          <w:color w:val="2A2A2A"/>
        </w:rPr>
        <w:t>Announced in 2023: Baher Haroun named Senior Fellow; Hal Edwards, Tad Grider, Visvesvaraya Pentakota, Viola Schäffer and Richard Stair named Fellows.</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2A2A2A"/>
        </w:rPr>
        <w:t>Stockholder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2540</wp:posOffset>
            </wp:positionV>
            <wp:extent cx="4765675" cy="50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65675" cy="50800"/>
                    </a:xfrm>
                    <a:prstGeom prst="rect">
                      <a:avLst/>
                    </a:prstGeom>
                    <a:noFill/>
                  </pic:spPr>
                </pic:pic>
              </a:graphicData>
            </a:graphic>
          </wp:anchor>
        </w:drawing>
      </w:r>
    </w:p>
    <w:p>
      <w:pPr>
        <w:sectPr>
          <w:pgSz w:w="12240" w:h="15840" w:orient="portrait"/>
          <w:cols w:equalWidth="0" w:num="1">
            <w:col w:w="10160"/>
          </w:cols>
          <w:pgMar w:left="980" w:top="653" w:right="1100" w:bottom="766" w:gutter="0" w:footer="0" w:header="0"/>
        </w:sectPr>
      </w:pP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A2A2A"/>
        </w:rPr>
        <w:t>Stockholder records information</w:t>
      </w:r>
    </w:p>
    <w:p>
      <w:pPr>
        <w:spacing w:after="0" w:line="177" w:lineRule="exact"/>
        <w:rPr>
          <w:sz w:val="20"/>
          <w:szCs w:val="20"/>
          <w:color w:val="auto"/>
        </w:rPr>
      </w:pPr>
    </w:p>
    <w:p>
      <w:pPr>
        <w:ind w:left="60"/>
        <w:spacing w:after="0"/>
        <w:tabs>
          <w:tab w:leader="none" w:pos="2880" w:val="left"/>
        </w:tabs>
        <w:rPr>
          <w:sz w:val="20"/>
          <w:szCs w:val="20"/>
          <w:color w:val="auto"/>
        </w:rPr>
      </w:pPr>
      <w:r>
        <w:rPr>
          <w:rFonts w:ascii="Arial" w:cs="Arial" w:eastAsia="Arial" w:hAnsi="Arial"/>
          <w:sz w:val="18"/>
          <w:szCs w:val="18"/>
          <w:color w:val="2A2A2A"/>
        </w:rPr>
        <w:t>Stockholder correspondence:</w:t>
      </w:r>
      <w:r>
        <w:rPr>
          <w:sz w:val="20"/>
          <w:szCs w:val="20"/>
          <w:color w:val="auto"/>
        </w:rPr>
        <w:tab/>
      </w:r>
      <w:r>
        <w:rPr>
          <w:rFonts w:ascii="Arial" w:cs="Arial" w:eastAsia="Arial" w:hAnsi="Arial"/>
          <w:sz w:val="18"/>
          <w:szCs w:val="18"/>
          <w:color w:val="2A2A2A"/>
        </w:rPr>
        <w:t>Overnight correspondence:</w:t>
      </w:r>
    </w:p>
    <w:p>
      <w:pPr>
        <w:spacing w:after="0" w:line="114" w:lineRule="exact"/>
        <w:rPr>
          <w:sz w:val="20"/>
          <w:szCs w:val="20"/>
          <w:color w:val="auto"/>
        </w:rPr>
      </w:pPr>
    </w:p>
    <w:p>
      <w:pPr>
        <w:ind w:left="60"/>
        <w:spacing w:after="0"/>
        <w:tabs>
          <w:tab w:leader="none" w:pos="2880" w:val="left"/>
        </w:tabs>
        <w:rPr>
          <w:sz w:val="20"/>
          <w:szCs w:val="20"/>
          <w:color w:val="auto"/>
        </w:rPr>
      </w:pPr>
      <w:r>
        <w:rPr>
          <w:rFonts w:ascii="Arial" w:cs="Arial" w:eastAsia="Arial" w:hAnsi="Arial"/>
          <w:sz w:val="18"/>
          <w:szCs w:val="18"/>
          <w:color w:val="2A2A2A"/>
        </w:rPr>
        <w:t>Computershare</w:t>
      </w:r>
      <w:r>
        <w:rPr>
          <w:sz w:val="20"/>
          <w:szCs w:val="20"/>
          <w:color w:val="auto"/>
        </w:rPr>
        <w:tab/>
      </w:r>
      <w:r>
        <w:rPr>
          <w:rFonts w:ascii="Arial" w:cs="Arial" w:eastAsia="Arial" w:hAnsi="Arial"/>
          <w:sz w:val="18"/>
          <w:szCs w:val="18"/>
          <w:color w:val="2A2A2A"/>
        </w:rPr>
        <w:t>Computershare</w:t>
      </w:r>
    </w:p>
    <w:p>
      <w:pPr>
        <w:spacing w:after="0" w:line="32" w:lineRule="exact"/>
        <w:rPr>
          <w:sz w:val="20"/>
          <w:szCs w:val="20"/>
          <w:color w:val="auto"/>
        </w:rPr>
      </w:pPr>
    </w:p>
    <w:p>
      <w:pPr>
        <w:ind w:left="60"/>
        <w:spacing w:after="0"/>
        <w:tabs>
          <w:tab w:leader="none" w:pos="2880" w:val="left"/>
        </w:tabs>
        <w:rPr>
          <w:sz w:val="20"/>
          <w:szCs w:val="20"/>
          <w:color w:val="auto"/>
        </w:rPr>
      </w:pPr>
      <w:r>
        <w:rPr>
          <w:rFonts w:ascii="Arial" w:cs="Arial" w:eastAsia="Arial" w:hAnsi="Arial"/>
          <w:sz w:val="18"/>
          <w:szCs w:val="18"/>
          <w:color w:val="2A2A2A"/>
        </w:rPr>
        <w:t>P.O. Box 43006</w:t>
      </w:r>
      <w:r>
        <w:rPr>
          <w:sz w:val="20"/>
          <w:szCs w:val="20"/>
          <w:color w:val="auto"/>
        </w:rPr>
        <w:tab/>
      </w:r>
      <w:r>
        <w:rPr>
          <w:rFonts w:ascii="Arial" w:cs="Arial" w:eastAsia="Arial" w:hAnsi="Arial"/>
          <w:sz w:val="17"/>
          <w:szCs w:val="17"/>
          <w:color w:val="2A2A2A"/>
        </w:rPr>
        <w:t>150 Royall Street</w:t>
      </w:r>
    </w:p>
    <w:p>
      <w:pPr>
        <w:spacing w:after="0" w:line="18" w:lineRule="exact"/>
        <w:rPr>
          <w:sz w:val="20"/>
          <w:szCs w:val="20"/>
          <w:color w:val="auto"/>
        </w:rPr>
      </w:pPr>
    </w:p>
    <w:p>
      <w:pPr>
        <w:ind w:left="60"/>
        <w:spacing w:after="0"/>
        <w:tabs>
          <w:tab w:leader="none" w:pos="2880" w:val="left"/>
        </w:tabs>
        <w:rPr>
          <w:sz w:val="20"/>
          <w:szCs w:val="20"/>
          <w:color w:val="auto"/>
        </w:rPr>
      </w:pPr>
      <w:r>
        <w:rPr>
          <w:rFonts w:ascii="Arial" w:cs="Arial" w:eastAsia="Arial" w:hAnsi="Arial"/>
          <w:sz w:val="18"/>
          <w:szCs w:val="18"/>
          <w:color w:val="2A2A2A"/>
        </w:rPr>
        <w:t>Providence, RI 02940-3006</w:t>
      </w:r>
      <w:r>
        <w:rPr>
          <w:sz w:val="20"/>
          <w:szCs w:val="20"/>
          <w:color w:val="auto"/>
        </w:rPr>
        <w:tab/>
      </w:r>
      <w:r>
        <w:rPr>
          <w:rFonts w:ascii="Arial" w:cs="Arial" w:eastAsia="Arial" w:hAnsi="Arial"/>
          <w:sz w:val="17"/>
          <w:szCs w:val="17"/>
          <w:color w:val="2A2A2A"/>
        </w:rPr>
        <w:t>Canton, MA 02021</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Toll-free: 800-981-8676</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Phone: 312-360-5151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Website: www.computershare.com/investor</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2A2A2A"/>
        </w:rPr>
        <w:t>Online inquiries: www-us.computershare.com/investor/contact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A2A2A"/>
        </w:rPr>
        <w:t>SEC Form 10-K</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2A2A2A"/>
        </w:rPr>
        <w:t>A copy of the company’s annual report to the Securities and Exchange Commission (SEC) on Form 10-K is available on the Investor Relations website at www.ti.com/ir and on the SEC website at www.sec.gov.</w:t>
      </w:r>
    </w:p>
    <w:p>
      <w:pPr>
        <w:spacing w:after="0" w:line="8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2A2A2A"/>
        </w:rPr>
        <w:t>Copies of the Form 10-K, including a list of exhibits and any exhibit specifically requested, are available without charge by writing to:</w:t>
      </w:r>
    </w:p>
    <w:p>
      <w:pPr>
        <w:spacing w:after="0" w:line="75" w:lineRule="exact"/>
        <w:rPr>
          <w:sz w:val="20"/>
          <w:szCs w:val="20"/>
          <w:color w:val="auto"/>
        </w:rPr>
      </w:pPr>
    </w:p>
    <w:p>
      <w:pPr>
        <w:ind w:right="1420"/>
        <w:spacing w:after="0" w:line="268" w:lineRule="auto"/>
        <w:rPr>
          <w:sz w:val="20"/>
          <w:szCs w:val="20"/>
          <w:color w:val="auto"/>
        </w:rPr>
      </w:pPr>
      <w:r>
        <w:rPr>
          <w:rFonts w:ascii="Arial" w:cs="Arial" w:eastAsia="Arial" w:hAnsi="Arial"/>
          <w:sz w:val="18"/>
          <w:szCs w:val="18"/>
          <w:color w:val="2A2A2A"/>
        </w:rPr>
        <w:t>Texas Instruments Investor Relations P.O. Box 660199, MS 8657 Dallas, TX 75266-0199</w:t>
      </w:r>
    </w:p>
    <w:p>
      <w:pPr>
        <w:sectPr>
          <w:pgSz w:w="12240" w:h="15840" w:orient="portrait"/>
          <w:cols w:equalWidth="0" w:num="2">
            <w:col w:w="5080" w:space="700"/>
            <w:col w:w="4380"/>
          </w:cols>
          <w:pgMar w:left="980" w:top="653" w:right="1100" w:bottom="766"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9340" w:val="left"/>
        </w:tabs>
        <w:rPr>
          <w:sz w:val="20"/>
          <w:szCs w:val="20"/>
          <w:color w:val="auto"/>
        </w:rPr>
      </w:pPr>
      <w:r>
        <w:rPr>
          <w:rFonts w:ascii="Arial" w:cs="Arial" w:eastAsia="Arial" w:hAnsi="Arial"/>
          <w:sz w:val="20"/>
          <w:szCs w:val="20"/>
          <w:color w:val="2A2A2A"/>
        </w:rPr>
        <w:t>© 2024 Texas Instruments Incorporated</w:t>
      </w:r>
      <w:r>
        <w:rPr>
          <w:sz w:val="20"/>
          <w:szCs w:val="20"/>
          <w:color w:val="auto"/>
        </w:rPr>
        <w:tab/>
      </w:r>
      <w:r>
        <w:rPr>
          <w:rFonts w:ascii="Arial" w:cs="Arial" w:eastAsia="Arial" w:hAnsi="Arial"/>
          <w:sz w:val="19"/>
          <w:szCs w:val="19"/>
          <w:color w:val="2A2A2A"/>
        </w:rPr>
        <w:t>SZZO099</w:t>
      </w:r>
    </w:p>
    <w:sectPr>
      <w:pgSz w:w="12240" w:h="15840" w:orient="portrait"/>
      <w:cols w:equalWidth="0" w:num="1">
        <w:col w:w="10220"/>
      </w:cols>
      <w:pgMar w:left="980" w:top="1440" w:right="1040" w:bottom="4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1)"/>
      <w:numFmt w:val="lowerRoman"/>
      <w:start w:val="3"/>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1)"/>
      <w:numFmt w:val="lowerLetter"/>
      <w:start w:val="1"/>
    </w:lvl>
  </w:abstractNum>
  <w:abstractNum w:abstractNumId="8">
    <w:nsid w:val="57FC4FBB"/>
    <w:multiLevelType w:val="hybridMultilevel"/>
    <w:lvl w:ilvl="0">
      <w:lvlJc w:val="left"/>
      <w:lvlText w:val="%1."/>
      <w:numFmt w:val="decimal"/>
      <w:start w:val="1"/>
    </w:lvl>
    <w:lvl w:ilvl="1">
      <w:lvlJc w:val="left"/>
      <w:lvlText w:val="(%2)"/>
      <w:numFmt w:val="lowerLetter"/>
      <w:start w:val="1"/>
    </w:lvl>
  </w:abstractNum>
  <w:abstractNum w:abstractNumId="9">
    <w:nsid w:val="CC1016F"/>
    <w:multiLevelType w:val="hybridMultilevel"/>
    <w:lvl w:ilvl="0">
      <w:lvlJc w:val="left"/>
      <w:lvlText w:val="%1."/>
      <w:numFmt w:val="decimal"/>
      <w:start w:val="2"/>
    </w:lvl>
  </w:abstractNum>
  <w:abstractNum w:abstractNumId="10">
    <w:nsid w:val="43F18422"/>
    <w:multiLevelType w:val="hybridMultilevel"/>
    <w:lvl w:ilvl="0">
      <w:lvlJc w:val="left"/>
      <w:lvlText w:val="•"/>
      <w:numFmt w:val="bullet"/>
      <w:start w:val="1"/>
    </w:lvl>
    <w:lvl w:ilvl="1">
      <w:lvlJc w:val="left"/>
      <w:lvlText w:val="◦"/>
      <w:numFmt w:val="bullet"/>
      <w:start w:val="1"/>
    </w:lvl>
  </w:abstractNum>
  <w:abstractNum w:abstractNumId="11">
    <w:nsid w:val="60EF0119"/>
    <w:multiLevelType w:val="hybridMultilevel"/>
    <w:lvl w:ilvl="0">
      <w:lvlJc w:val="left"/>
      <w:lvlText w:val="•"/>
      <w:numFmt w:val="bullet"/>
      <w:start w:val="1"/>
    </w:lvl>
    <w:lvl w:ilvl="1">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1."/>
      <w:numFmt w:val="decimal"/>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1)"/>
      <w:numFmt w:val="lowerLetter"/>
      <w:start w:val="1"/>
    </w:lvl>
  </w:abstractNum>
  <w:abstractNum w:abstractNumId="18">
    <w:nsid w:val="488AC1A"/>
    <w:multiLevelType w:val="hybridMultilevel"/>
    <w:lvl w:ilvl="0">
      <w:lvlJc w:val="left"/>
      <w:lvlText w:val="%1."/>
      <w:numFmt w:val="decimal"/>
      <w:start w:val="2"/>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1."/>
      <w:numFmt w:val="decimal"/>
      <w:start w:val="3"/>
    </w:lvl>
  </w:abstractNum>
  <w:abstractNum w:abstractNumId="21">
    <w:nsid w:val="7672BD23"/>
    <w:multiLevelType w:val="hybridMultilevel"/>
    <w:lvl w:ilvl="0">
      <w:lvlJc w:val="left"/>
      <w:lvlText w:val="(%1)"/>
      <w:numFmt w:val="lowerLetter"/>
      <w:start w:val="1"/>
    </w:lvl>
  </w:abstractNum>
  <w:abstractNum w:abstractNumId="22">
    <w:nsid w:val="6FC75AF8"/>
    <w:multiLevelType w:val="hybridMultilevel"/>
    <w:lvl w:ilvl="0">
      <w:lvlJc w:val="left"/>
      <w:lvlText w:val="(%1)"/>
      <w:numFmt w:val="lowerLetter"/>
      <w:start w:val="1"/>
    </w:lvl>
  </w:abstractNum>
  <w:abstractNum w:abstractNumId="23">
    <w:nsid w:val="6A5F7029"/>
    <w:multiLevelType w:val="hybridMultilevel"/>
    <w:lvl w:ilvl="0">
      <w:lvlJc w:val="left"/>
      <w:lvlText w:val="%1."/>
      <w:numFmt w:val="decimal"/>
      <w:start w:val="5"/>
    </w:lvl>
  </w:abstractNum>
  <w:abstractNum w:abstractNumId="24">
    <w:nsid w:val="7D5E18F8"/>
    <w:multiLevelType w:val="hybridMultilevel"/>
    <w:lvl w:ilvl="0">
      <w:lvlJc w:val="left"/>
      <w:lvlText w:val="%1."/>
      <w:numFmt w:val="decimal"/>
      <w:start w:val="6"/>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1."/>
      <w:numFmt w:val="decimal"/>
      <w:start w:val="7"/>
    </w:lvl>
  </w:abstractNum>
  <w:abstractNum w:abstractNumId="27">
    <w:nsid w:val="7DE67713"/>
    <w:multiLevelType w:val="hybridMultilevel"/>
    <w:lvl w:ilvl="0">
      <w:lvlJc w:val="left"/>
      <w:lvlText w:val="(%1)"/>
      <w:numFmt w:val="lowerLetter"/>
      <w:start w:val="1"/>
    </w:lvl>
  </w:abstractNum>
  <w:abstractNum w:abstractNumId="28">
    <w:nsid w:val="555C55B5"/>
    <w:multiLevelType w:val="hybridMultilevel"/>
    <w:lvl w:ilvl="0">
      <w:lvlJc w:val="left"/>
      <w:lvlText w:val="(%1)"/>
      <w:numFmt w:val="lowerLetter"/>
      <w:start w:val="1"/>
    </w:lvl>
  </w:abstractNum>
  <w:abstractNum w:abstractNumId="29">
    <w:nsid w:val="3FA62ACA"/>
    <w:multiLevelType w:val="hybridMultilevel"/>
    <w:lvl w:ilvl="0">
      <w:lvlJc w:val="left"/>
      <w:lvlText w:val="%1."/>
      <w:numFmt w:val="decimal"/>
      <w:start w:val="8"/>
    </w:lvl>
  </w:abstractNum>
  <w:abstractNum w:abstractNumId="30">
    <w:nsid w:val="14FCE74E"/>
    <w:multiLevelType w:val="hybridMultilevel"/>
    <w:lvl w:ilvl="0">
      <w:lvlJc w:val="left"/>
      <w:lvlText w:val="%1."/>
      <w:numFmt w:val="decimal"/>
      <w:start w:val="9"/>
    </w:lvl>
  </w:abstractNum>
  <w:abstractNum w:abstractNumId="31">
    <w:nsid w:val="6A3DD3E8"/>
    <w:multiLevelType w:val="hybridMultilevel"/>
    <w:lvl w:ilvl="0">
      <w:lvlJc w:val="left"/>
      <w:lvlText w:val="%1."/>
      <w:numFmt w:val="decimal"/>
      <w:start w:val="10"/>
    </w:lvl>
  </w:abstractNum>
  <w:abstractNum w:abstractNumId="32">
    <w:nsid w:val="71C91298"/>
    <w:multiLevelType w:val="hybridMultilevel"/>
    <w:lvl w:ilvl="0">
      <w:lvlJc w:val="left"/>
      <w:lvlText w:val="%1."/>
      <w:numFmt w:val="decimal"/>
      <w:start w:val="11"/>
    </w:lvl>
  </w:abstractNum>
  <w:abstractNum w:abstractNumId="33">
    <w:nsid w:val="9DAF632"/>
    <w:multiLevelType w:val="hybridMultilevel"/>
    <w:lvl w:ilvl="0">
      <w:lvlJc w:val="left"/>
      <w:lvlText w:val="(%1)"/>
      <w:numFmt w:val="lowerLetter"/>
      <w:start w:val="1"/>
    </w:lvl>
  </w:abstractNum>
  <w:abstractNum w:abstractNumId="34">
    <w:nsid w:val="53299938"/>
    <w:multiLevelType w:val="hybridMultilevel"/>
    <w:lvl w:ilvl="0">
      <w:lvlJc w:val="left"/>
      <w:lvlText w:val="(%1)"/>
      <w:numFmt w:val="lowerLetter"/>
      <w:start w:val="1"/>
    </w:lvl>
  </w:abstractNum>
  <w:abstractNum w:abstractNumId="35">
    <w:nsid w:val="1FBFE8E0"/>
    <w:multiLevelType w:val="hybridMultilevel"/>
    <w:lvl w:ilvl="0">
      <w:lvlJc w:val="left"/>
      <w:lvlText w:val="(%1)"/>
      <w:numFmt w:val="lowerLetter"/>
      <w:start w:val="1"/>
    </w:lvl>
  </w:abstractNum>
  <w:abstractNum w:abstractNumId="36">
    <w:nsid w:val="5092CA79"/>
    <w:multiLevelType w:val="hybridMultilevel"/>
    <w:lvl w:ilvl="0">
      <w:lvlJc w:val="left"/>
      <w:lvlText w:val="%1"/>
      <w:numFmt w:val="decimal"/>
      <w:start w:val="23"/>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
      <w:numFmt w:val="bullet"/>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
      <w:numFmt w:val="bullet"/>
      <w:start w:val="1"/>
    </w:lvl>
  </w:abstractNum>
  <w:abstractNum w:abstractNumId="69">
    <w:nsid w:val="175DFCF0"/>
    <w:multiLevelType w:val="hybridMultilevel"/>
    <w:lvl w:ilvl="0">
      <w:lvlJc w:val="left"/>
      <w:lvlText w:val="•"/>
      <w:numFmt w:val="bullet"/>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
      <w:numFmt w:val="bullet"/>
      <w:start w:val="1"/>
    </w:lvl>
  </w:abstractNum>
  <w:abstractNum w:abstractNumId="78">
    <w:nsid w:val="4DF72E4E"/>
    <w:multiLevelType w:val="hybridMultilevel"/>
    <w:lvl w:ilvl="0">
      <w:lvlJc w:val="left"/>
      <w:lvlText w:val="•"/>
      <w:numFmt w:val="bullet"/>
      <w:start w:val="1"/>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
      <w:numFmt w:val="bullet"/>
      <w:start w:val="1"/>
    </w:lvl>
  </w:abstractNum>
  <w:abstractNum w:abstractNumId="82">
    <w:nsid w:val="5EC6AFD4"/>
    <w:multiLevelType w:val="hybridMultilevel"/>
    <w:lvl w:ilvl="0">
      <w:lvlJc w:val="left"/>
      <w:lvlText w:val="•"/>
      <w:numFmt w:val="bullet"/>
      <w:start w:val="1"/>
    </w:lvl>
  </w:abstractNum>
  <w:abstractNum w:abstractNumId="83">
    <w:nsid w:val="19E21BB2"/>
    <w:multiLevelType w:val="hybridMultilevel"/>
    <w:lvl w:ilvl="0">
      <w:lvlJc w:val="left"/>
      <w:lvlText w:val="%1."/>
      <w:numFmt w:val="upperLetter"/>
      <w:start w:val="1"/>
    </w:lvl>
    <w:lvl w:ilvl="1">
      <w:lvlJc w:val="left"/>
      <w:lvlText w:val="%2."/>
      <w:numFmt w:val="decimal"/>
      <w:start w:val="1"/>
    </w:lvl>
  </w:abstractNum>
  <w:abstractNum w:abstractNumId="84">
    <w:nsid w:val="75E0858A"/>
    <w:multiLevelType w:val="hybridMultilevel"/>
    <w:lvl w:ilvl="0">
      <w:lvlJc w:val="left"/>
      <w:lvlText w:val="%1"/>
      <w:numFmt w:val="upperLetter"/>
      <w:start w:val="1"/>
    </w:lvl>
    <w:lvl w:ilvl="1">
      <w:lvlJc w:val="left"/>
      <w:lvlText w:val="%2."/>
      <w:numFmt w:val="decimal"/>
      <w:start w:val="6"/>
    </w:lvl>
  </w:abstractNum>
  <w:abstractNum w:abstractNumId="85">
    <w:nsid w:val="57A61A29"/>
    <w:multiLevelType w:val="hybridMultilevel"/>
    <w:lvl w:ilvl="0">
      <w:lvlJc w:val="left"/>
      <w:lvlText w:val="%1."/>
      <w:numFmt w:val="upperLetter"/>
      <w:start w:val="3"/>
    </w:lvl>
    <w:lvl w:ilvl="1">
      <w:lvlJc w:val="left"/>
      <w:lvlText w:val="%2."/>
      <w:numFmt w:val="decimal"/>
      <w:start w:val="1"/>
    </w:lvl>
  </w:abstractNum>
  <w:abstractNum w:abstractNumId="86">
    <w:nsid w:val="5399C654"/>
    <w:multiLevelType w:val="hybridMultilevel"/>
    <w:lvl w:ilvl="0">
      <w:lvlJc w:val="left"/>
      <w:lvlText w:val="*"/>
      <w:numFmt w:val="bullet"/>
      <w:start w:val="1"/>
    </w:lvl>
  </w:abstractNum>
  <w:abstractNum w:abstractNumId="87">
    <w:nsid w:val="20EE1348"/>
    <w:multiLevelType w:val="hybridMultilevel"/>
    <w:lvl w:ilvl="0">
      <w:lvlJc w:val="left"/>
      <w:lvlText w:val="**"/>
      <w:numFmt w:val="bullet"/>
      <w:start w:val="1"/>
    </w:lvl>
  </w:abstractNum>
  <w:abstractNum w:abstractNumId="88">
    <w:nsid w:val="4427069A"/>
    <w:multiLevelType w:val="hybridMultilevel"/>
    <w:lvl w:ilvl="0">
      <w:lvlJc w:val="left"/>
      <w:lvlText w:val="•"/>
      <w:numFmt w:val="bullet"/>
      <w:start w:val="1"/>
    </w:lvl>
    <w:lvl w:ilvl="1">
      <w:lvlJc w:val="left"/>
      <w:lvlText w:val="◦"/>
      <w:numFmt w:val="bullet"/>
      <w:start w:val="1"/>
    </w:lvl>
  </w:abstractNum>
  <w:abstractNum w:abstractNumId="89">
    <w:nsid w:val="B37E80A"/>
    <w:multiLevelType w:val="hybridMultilevel"/>
    <w:lvl w:ilvl="0">
      <w:lvlJc w:val="left"/>
      <w:lvlText w:val="•"/>
      <w:numFmt w:val="bullet"/>
      <w:start w:val="1"/>
    </w:lvl>
    <w:lvl w:ilvl="1">
      <w:lvlJc w:val="left"/>
      <w:lvlText w:val="◦"/>
      <w:numFmt w:val="bullet"/>
      <w:start w:val="1"/>
    </w:lvl>
  </w:abstractNum>
  <w:abstractNum w:abstractNumId="90">
    <w:nsid w:val="2157F6BC"/>
    <w:multiLevelType w:val="hybridMultilevel"/>
    <w:lvl w:ilvl="0">
      <w:lvlJc w:val="left"/>
      <w:lvlText w:val="•"/>
      <w:numFmt w:val="bullet"/>
      <w:start w:val="1"/>
    </w:lvl>
    <w:lvl w:ilvl="1">
      <w:lvlJc w:val="left"/>
      <w:lvlText w:val="◦"/>
      <w:numFmt w:val="bullet"/>
      <w:start w:val="1"/>
    </w:lvl>
  </w:abstractNum>
  <w:abstractNum w:abstractNumId="91">
    <w:nsid w:val="704E1DD5"/>
    <w:multiLevelType w:val="hybridMultilevel"/>
    <w:lvl w:ilvl="0">
      <w:lvlJc w:val="left"/>
      <w:lvlText w:val="•"/>
      <w:numFmt w:val="bullet"/>
      <w:start w:val="1"/>
    </w:lvl>
    <w:lvl w:ilvl="1">
      <w:lvlJc w:val="left"/>
      <w:lvlText w:val="◦"/>
      <w:numFmt w:val="bullet"/>
      <w:start w:val="1"/>
    </w:lvl>
  </w:abstractNum>
  <w:abstractNum w:abstractNumId="92">
    <w:nsid w:val="57D2F10E"/>
    <w:multiLevelType w:val="hybridMultilevel"/>
    <w:lvl w:ilvl="0">
      <w:lvlJc w:val="left"/>
      <w:lvlText w:val="•"/>
      <w:numFmt w:val="bullet"/>
      <w:start w:val="1"/>
    </w:lvl>
    <w:lvl w:ilvl="1">
      <w:lvlJc w:val="left"/>
      <w:lvlText w:val="◦"/>
      <w:numFmt w:val="bullet"/>
      <w:start w:val="1"/>
    </w:lvl>
  </w:abstractNum>
  <w:abstractNum w:abstractNumId="93">
    <w:nsid w:val="BFFAE18"/>
    <w:multiLevelType w:val="hybridMultilevel"/>
    <w:lvl w:ilvl="0">
      <w:lvlJc w:val="left"/>
      <w:lvlText w:val="•"/>
      <w:numFmt w:val="bullet"/>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1)"/>
      <w:numFmt w:val="decimal"/>
      <w:start w:val="1"/>
    </w:lvl>
  </w:abstractNum>
  <w:abstractNum w:abstractNumId="96">
    <w:nsid w:val="49D0FEAC"/>
    <w:multiLevelType w:val="hybridMultilevel"/>
    <w:lvl w:ilvl="0">
      <w:lvlJc w:val="left"/>
      <w:lvlText w:val="(%1)"/>
      <w:numFmt w:val="decimal"/>
      <w:start w:val="1"/>
    </w:lvl>
  </w:abstractNum>
  <w:abstractNum w:abstractNumId="97">
    <w:nsid w:val="4BEE5A5B"/>
    <w:multiLevelType w:val="hybridMultilevel"/>
    <w:lvl w:ilvl="0">
      <w:lvlJc w:val="left"/>
      <w:lvlText w:val="(%1)"/>
      <w:numFmt w:val="decimal"/>
      <w:start w:val="1"/>
    </w:lvl>
  </w:abstractNum>
  <w:abstractNum w:abstractNumId="98">
    <w:nsid w:val="5551B9F3"/>
    <w:multiLevelType w:val="hybridMultilevel"/>
    <w:lvl w:ilvl="0">
      <w:lvlJc w:val="left"/>
      <w:lvlText w:val="(%1)"/>
      <w:numFmt w:val="lowerRoman"/>
      <w:start w:val="3"/>
    </w:lvl>
    <w:lvl w:ilvl="1">
      <w:lvlJc w:val="left"/>
      <w:lvlText w:val="•"/>
      <w:numFmt w:val="bullet"/>
      <w:start w:val="1"/>
    </w:lvl>
  </w:abstractNum>
  <w:abstractNum w:abstractNumId="99">
    <w:nsid w:val="24F6AB8E"/>
    <w:multiLevelType w:val="hybridMultilevel"/>
    <w:lvl w:ilvl="0">
      <w:lvlJc w:val="left"/>
      <w:lvlText w:val="•"/>
      <w:numFmt w:val="bullet"/>
      <w:start w:val="1"/>
    </w:lvl>
  </w:abstractNum>
  <w:abstractNum w:abstractNumId="100">
    <w:nsid w:val="634C574C"/>
    <w:multiLevelType w:val="hybridMultilevel"/>
    <w:lvl w:ilvl="0">
      <w:lvlJc w:val="left"/>
      <w:lvlText w:val="•"/>
      <w:numFmt w:val="bullet"/>
      <w:start w:val="1"/>
    </w:lvl>
  </w:abstractNum>
  <w:abstractNum w:abstractNumId="101">
    <w:nsid w:val="24E99DD7"/>
    <w:multiLevelType w:val="hybridMultilevel"/>
    <w:lvl w:ilvl="0">
      <w:lvlJc w:val="left"/>
      <w:lvlText w:val="•"/>
      <w:numFmt w:val="bullet"/>
      <w:start w:val="1"/>
    </w:lvl>
  </w:abstractNum>
  <w:abstractNum w:abstractNumId="102">
    <w:nsid w:val="2A31B62D"/>
    <w:multiLevelType w:val="hybridMultilevel"/>
    <w:lvl w:ilvl="0">
      <w:lvlJc w:val="left"/>
      <w:lvlText w:val="(%1)"/>
      <w:numFmt w:val="decimal"/>
      <w:start w:val="1"/>
    </w:lvl>
  </w:abstractNum>
  <w:abstractNum w:abstractNumId="103">
    <w:nsid w:val="1849C29B"/>
    <w:multiLevelType w:val="hybridMultilevel"/>
    <w:lvl w:ilvl="0">
      <w:lvlJc w:val="left"/>
      <w:lvlText w:val="(%1)"/>
      <w:numFmt w:val="decimal"/>
      <w:start w:val="6"/>
    </w:lvl>
  </w:abstractNum>
  <w:abstractNum w:abstractNumId="104">
    <w:nsid w:val="7DFF9D09"/>
    <w:multiLevelType w:val="hybridMultilevel"/>
    <w:lvl w:ilvl="0">
      <w:lvlJc w:val="left"/>
      <w:lvlText w:val="(%1)"/>
      <w:numFmt w:val="decimal"/>
      <w:start w:val="7"/>
    </w:lvl>
  </w:abstractNum>
  <w:abstractNum w:abstractNumId="105">
    <w:nsid w:val="754342"/>
    <w:multiLevelType w:val="hybridMultilevel"/>
    <w:lvl w:ilvl="0">
      <w:lvlJc w:val="left"/>
      <w:lvlText w:val="•"/>
      <w:numFmt w:val="bullet"/>
      <w:start w:val="1"/>
    </w:lvl>
  </w:abstractNum>
  <w:abstractNum w:abstractNumId="106">
    <w:nsid w:val="69E7F3E5"/>
    <w:multiLevelType w:val="hybridMultilevel"/>
    <w:lvl w:ilvl="0">
      <w:lvlJc w:val="left"/>
      <w:lvlText w:val="•"/>
      <w:numFmt w:val="bullet"/>
      <w:start w:val="1"/>
    </w:lvl>
  </w:abstractNum>
  <w:abstractNum w:abstractNumId="107">
    <w:nsid w:val="2A6DE806"/>
    <w:multiLevelType w:val="hybridMultilevel"/>
    <w:lvl w:ilvl="0">
      <w:lvlJc w:val="left"/>
      <w:lvlText w:val="•"/>
      <w:numFmt w:val="bullet"/>
      <w:start w:val="1"/>
    </w:lvl>
  </w:abstractNum>
  <w:abstractNum w:abstractNumId="108">
    <w:nsid w:val="1816F8C4"/>
    <w:multiLevelType w:val="hybridMultilevel"/>
    <w:lvl w:ilvl="0">
      <w:lvlJc w:val="left"/>
      <w:lvlText w:val="•"/>
      <w:numFmt w:val="bullet"/>
      <w:start w:val="1"/>
    </w:lvl>
    <w:lvl w:ilvl="1">
      <w:lvlJc w:val="left"/>
      <w:lvlText w:val="*"/>
      <w:numFmt w:val="bullet"/>
      <w:start w:val="1"/>
    </w:lvl>
  </w:abstractNum>
  <w:abstractNum w:abstractNumId="109">
    <w:nsid w:val="37DF2233"/>
    <w:multiLevelType w:val="hybridMultilevel"/>
    <w:lvl w:ilvl="0">
      <w:lvlJc w:val="left"/>
      <w:lvlText w:val="%1"/>
      <w:numFmt w:val="decimal"/>
      <w:start w:val="1"/>
    </w:lvl>
  </w:abstractNum>
  <w:abstractNum w:abstractNumId="110">
    <w:nsid w:val="7AB49DAF"/>
    <w:multiLevelType w:val="hybridMultilevel"/>
    <w:lvl w:ilvl="0">
      <w:lvlJc w:val="left"/>
      <w:lvlText w:val="•"/>
      <w:numFmt w:val="bullet"/>
      <w:start w:val="1"/>
    </w:lvl>
  </w:abstractNum>
  <w:abstractNum w:abstractNumId="111">
    <w:nsid w:val="759F82CD"/>
    <w:multiLevelType w:val="hybridMultilevel"/>
    <w:lvl w:ilvl="0">
      <w:lvlJc w:val="left"/>
      <w:lvlText w:val="(%1)"/>
      <w:numFmt w:val="lowerRoman"/>
      <w:start w:val="1"/>
    </w:lvl>
  </w:abstractNum>
  <w:abstractNum w:abstractNumId="112">
    <w:nsid w:val="61E74EA3"/>
    <w:multiLevelType w:val="hybridMultilevel"/>
    <w:lvl w:ilvl="0">
      <w:lvlJc w:val="left"/>
      <w:lvlText w:val="*"/>
      <w:numFmt w:val="bullet"/>
      <w:start w:val="1"/>
    </w:lvl>
  </w:abstractNum>
  <w:abstractNum w:abstractNumId="113">
    <w:nsid w:val="597B4D84"/>
    <w:multiLevelType w:val="hybridMultilevel"/>
    <w:lvl w:ilvl="0">
      <w:lvlJc w:val="left"/>
      <w:lvlText w:val="(%1)"/>
      <w:numFmt w:val="decimal"/>
      <w:start w:val="1"/>
    </w:lvl>
  </w:abstractNum>
  <w:abstractNum w:abstractNumId="114">
    <w:nsid w:val="F819E7F"/>
    <w:multiLevelType w:val="hybridMultilevel"/>
    <w:lvl w:ilvl="0">
      <w:lvlJc w:val="left"/>
      <w:lvlText w:val="*"/>
      <w:numFmt w:val="bullet"/>
      <w:start w:val="1"/>
    </w:lvl>
  </w:abstractNum>
  <w:abstractNum w:abstractNumId="115">
    <w:nsid w:val="57C7D42D"/>
    <w:multiLevelType w:val="hybridMultilevel"/>
    <w:lvl w:ilvl="0">
      <w:lvlJc w:val="left"/>
      <w:lvlText w:val="•"/>
      <w:numFmt w:val="bullet"/>
      <w:start w:val="1"/>
    </w:lvl>
    <w:lvl w:ilvl="1">
      <w:lvlJc w:val="left"/>
      <w:lvlText w:val="◦"/>
      <w:numFmt w:val="bullet"/>
      <w:start w:val="1"/>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
      <w:numFmt w:val="bullet"/>
      <w:start w:val="1"/>
    </w:lvl>
    <w:lvl w:ilvl="1">
      <w:lvlJc w:val="left"/>
      <w:lvlText w:val="◦"/>
      <w:numFmt w:val="bullet"/>
      <w:start w:val="1"/>
    </w:lvl>
  </w:abstractNum>
  <w:abstractNum w:abstractNumId="118">
    <w:nsid w:val="78B5E776"/>
    <w:multiLevelType w:val="hybridMultilevel"/>
    <w:lvl w:ilvl="0">
      <w:lvlJc w:val="left"/>
      <w:lvlText w:val="•"/>
      <w:numFmt w:val="bullet"/>
      <w:start w:val="1"/>
    </w:lvl>
  </w:abstractNum>
  <w:abstractNum w:abstractNumId="119">
    <w:nsid w:val="75486E47"/>
    <w:multiLevelType w:val="hybridMultilevel"/>
    <w:lvl w:ilvl="0">
      <w:lvlJc w:val="left"/>
      <w:lvlText w:val="•"/>
      <w:numFmt w:val="bullet"/>
      <w:start w:val="1"/>
    </w:lvl>
    <w:lvl w:ilvl="1">
      <w:lvlJc w:val="left"/>
      <w:lvlText w:val="◦"/>
      <w:numFmt w:val="bullet"/>
      <w:start w:val="1"/>
    </w:lvl>
  </w:abstractNum>
  <w:abstractNum w:abstractNumId="120">
    <w:nsid w:val="6E534CDE"/>
    <w:multiLevelType w:val="hybridMultilevel"/>
    <w:lvl w:ilvl="0">
      <w:lvlJc w:val="left"/>
      <w:lvlText w:val="•"/>
      <w:numFmt w:val="bullet"/>
      <w:start w:val="1"/>
    </w:lvl>
  </w:abstractNum>
  <w:abstractNum w:abstractNumId="121">
    <w:nsid w:val="1A0DDE32"/>
    <w:multiLevelType w:val="hybridMultilevel"/>
    <w:lvl w:ilvl="0">
      <w:lvlJc w:val="left"/>
      <w:lvlText w:val="*"/>
      <w:numFmt w:val="bullet"/>
      <w:start w:val="1"/>
    </w:lvl>
  </w:abstractNum>
  <w:abstractNum w:abstractNumId="122">
    <w:nsid w:val="65968C1C"/>
    <w:multiLevelType w:val="hybridMultilevel"/>
    <w:lvl w:ilvl="0">
      <w:lvlJc w:val="left"/>
      <w:lvlText w:val="**"/>
      <w:numFmt w:val="bullet"/>
      <w:start w:val="1"/>
    </w:lvl>
  </w:abstractNum>
  <w:abstractNum w:abstractNumId="123">
    <w:nsid w:val="46263DEC"/>
    <w:multiLevelType w:val="hybridMultilevel"/>
    <w:lvl w:ilvl="0">
      <w:lvlJc w:val="left"/>
      <w:lvlText w:val="(%1)"/>
      <w:numFmt w:val="decimal"/>
      <w:start w:val="1"/>
    </w:lvl>
  </w:abstractNum>
  <w:abstractNum w:abstractNumId="124">
    <w:nsid w:val="260D8C4A"/>
    <w:multiLevelType w:val="hybridMultilevel"/>
    <w:lvl w:ilvl="0">
      <w:lvlJc w:val="left"/>
      <w:lvlText w:val="*"/>
      <w:numFmt w:val="bullet"/>
      <w:start w:val="1"/>
    </w:lvl>
  </w:abstractNum>
  <w:abstractNum w:abstractNumId="125">
    <w:nsid w:val="73D4D3C4"/>
    <w:multiLevelType w:val="hybridMultilevel"/>
    <w:lvl w:ilvl="0">
      <w:lvlJc w:val="left"/>
      <w:lvlText w:val="*"/>
      <w:numFmt w:val="bullet"/>
      <w:start w:val="1"/>
    </w:lvl>
  </w:abstractNum>
  <w:abstractNum w:abstractNumId="126">
    <w:nsid w:val="746F2E30"/>
    <w:multiLevelType w:val="hybridMultilevel"/>
    <w:lvl w:ilvl="0">
      <w:lvlJc w:val="left"/>
      <w:lvlText w:val="**"/>
      <w:numFmt w:val="bullet"/>
      <w:start w:val="1"/>
    </w:lvl>
  </w:abstractNum>
  <w:abstractNum w:abstractNumId="127">
    <w:nsid w:val="6FDE8AF6"/>
    <w:multiLevelType w:val="hybridMultilevel"/>
    <w:lvl w:ilvl="0">
      <w:lvlJc w:val="left"/>
      <w:lvlText w:val="(%1)"/>
      <w:numFmt w:val="decimal"/>
      <w:start w:val="1"/>
    </w:lvl>
  </w:abstractNum>
  <w:abstractNum w:abstractNumId="128">
    <w:nsid w:val="3FC32E20"/>
    <w:multiLevelType w:val="hybridMultilevel"/>
    <w:lvl w:ilvl="0">
      <w:lvlJc w:val="left"/>
      <w:lvlText w:val="(%1)"/>
      <w:numFmt w:val="decimal"/>
      <w:start w:val="4"/>
    </w:lvl>
  </w:abstractNum>
  <w:abstractNum w:abstractNumId="129">
    <w:nsid w:val="49C0E823"/>
    <w:multiLevelType w:val="hybridMultilevel"/>
    <w:lvl w:ilvl="0">
      <w:lvlJc w:val="left"/>
      <w:lvlText w:val="(%1)"/>
      <w:numFmt w:val="lowerLetter"/>
      <w:start w:val="1"/>
    </w:lvl>
  </w:abstractNum>
  <w:abstractNum w:abstractNumId="130">
    <w:nsid w:val="14D53685"/>
    <w:multiLevelType w:val="hybridMultilevel"/>
    <w:lvl w:ilvl="0">
      <w:lvlJc w:val="left"/>
      <w:lvlText w:val="(%1)"/>
      <w:numFmt w:val="decimal"/>
      <w:start w:val="1"/>
    </w:lvl>
  </w:abstractNum>
  <w:abstractNum w:abstractNumId="131">
    <w:nsid w:val="230F856C"/>
    <w:multiLevelType w:val="hybridMultilevel"/>
    <w:lvl w:ilvl="0">
      <w:lvlJc w:val="left"/>
      <w:lvlText w:val="(%1)"/>
      <w:numFmt w:val="decimal"/>
      <w:start w:val="1"/>
    </w:lvl>
  </w:abstractNum>
  <w:abstractNum w:abstractNumId="132">
    <w:nsid w:val="6EAA85FB"/>
    <w:multiLevelType w:val="hybridMultilevel"/>
    <w:lvl w:ilvl="0">
      <w:lvlJc w:val="left"/>
      <w:lvlText w:val="*"/>
      <w:numFmt w:val="bullet"/>
      <w:start w:val="1"/>
    </w:lvl>
  </w:abstractNum>
  <w:abstractNum w:abstractNumId="133">
    <w:nsid w:val="3F06ECB2"/>
    <w:multiLevelType w:val="hybridMultilevel"/>
    <w:lvl w:ilvl="0">
      <w:lvlJc w:val="left"/>
      <w:lvlText w:val="(%1)"/>
      <w:numFmt w:val="decimal"/>
      <w:start w:val="1"/>
    </w:lvl>
  </w:abstractNum>
  <w:abstractNum w:abstractNumId="134">
    <w:nsid w:val="3B594807"/>
    <w:multiLevelType w:val="hybridMultilevel"/>
    <w:lvl w:ilvl="0">
      <w:lvlJc w:val="left"/>
      <w:lvlText w:val="(%1)"/>
      <w:numFmt w:val="decimal"/>
      <w:start w:val="1"/>
    </w:lvl>
  </w:abstractNum>
  <w:abstractNum w:abstractNumId="135">
    <w:nsid w:val="6CAA2304"/>
    <w:multiLevelType w:val="hybridMultilevel"/>
    <w:lvl w:ilvl="0">
      <w:lvlJc w:val="left"/>
      <w:lvlText w:val="(%1)"/>
      <w:numFmt w:val="decimal"/>
      <w:start w:val="6"/>
    </w:lvl>
  </w:abstractNum>
  <w:abstractNum w:abstractNumId="136">
    <w:nsid w:val="3F7C2FF4"/>
    <w:multiLevelType w:val="hybridMultilevel"/>
    <w:lvl w:ilvl="0">
      <w:lvlJc w:val="left"/>
      <w:lvlText w:val="(%1)"/>
      <w:numFmt w:val="decimal"/>
      <w:start w:val="1"/>
    </w:lvl>
  </w:abstractNum>
  <w:abstractNum w:abstractNumId="137">
    <w:nsid w:val="25413BEC"/>
    <w:multiLevelType w:val="hybridMultilevel"/>
    <w:lvl w:ilvl="0">
      <w:lvlJc w:val="left"/>
      <w:lvlText w:val="(%1)"/>
      <w:numFmt w:val="decimal"/>
      <w:start w:val="4"/>
    </w:lvl>
  </w:abstractNum>
  <w:abstractNum w:abstractNumId="138">
    <w:nsid w:val="17180B0B"/>
    <w:multiLevelType w:val="hybridMultilevel"/>
    <w:lvl w:ilvl="0">
      <w:lvlJc w:val="left"/>
      <w:lvlText w:val="•"/>
      <w:numFmt w:val="bullet"/>
      <w:start w:val="1"/>
    </w:lvl>
  </w:abstractNum>
  <w:abstractNum w:abstractNumId="139">
    <w:nsid w:val="579328B9"/>
    <w:multiLevelType w:val="hybridMultilevel"/>
    <w:lvl w:ilvl="0">
      <w:lvlJc w:val="left"/>
      <w:lvlText w:val="(%1)"/>
      <w:numFmt w:val="decimal"/>
      <w:start w:val="1"/>
    </w:lvl>
  </w:abstractNum>
  <w:abstractNum w:abstractNumId="140">
    <w:nsid w:val="5D205E20"/>
    <w:multiLevelType w:val="hybridMultilevel"/>
    <w:lvl w:ilvl="0">
      <w:lvlJc w:val="left"/>
      <w:lvlText w:val="(%1)"/>
      <w:numFmt w:val="decimal"/>
      <w:start w:val="5"/>
    </w:lvl>
  </w:abstractNum>
  <w:abstractNum w:abstractNumId="141">
    <w:nsid w:val="11CCA8BA"/>
    <w:multiLevelType w:val="hybridMultilevel"/>
    <w:lvl w:ilvl="0">
      <w:lvlJc w:val="left"/>
      <w:lvlText w:val="(%1)"/>
      <w:numFmt w:val="lowerRoman"/>
      <w:start w:val="1"/>
    </w:lvl>
  </w:abstractNum>
  <w:abstractNum w:abstractNumId="142">
    <w:nsid w:val="4D32AB86"/>
    <w:multiLevelType w:val="hybridMultilevel"/>
    <w:lvl w:ilvl="0">
      <w:lvlJc w:val="left"/>
      <w:lvlText w:val="•"/>
      <w:numFmt w:val="bullet"/>
      <w:start w:val="1"/>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
      <w:numFmt w:val="bullet"/>
      <w:start w:val="1"/>
    </w:lvl>
  </w:abstractNum>
  <w:abstractNum w:abstractNumId="145">
    <w:nsid w:val="5CB44A05"/>
    <w:multiLevelType w:val="hybridMultilevel"/>
    <w:lvl w:ilvl="0">
      <w:lvlJc w:val="left"/>
      <w:lvlText w:val="%1"/>
      <w:numFmt w:val="decimal"/>
      <w:start w:val="1"/>
    </w:lvl>
  </w:abstractNum>
  <w:abstractNum w:abstractNumId="146">
    <w:nsid w:val="16CF80F1"/>
    <w:multiLevelType w:val="hybridMultilevel"/>
    <w:lvl w:ilvl="0">
      <w:lvlJc w:val="left"/>
      <w:lvlText w:val="(%1)"/>
      <w:numFmt w:val="decimal"/>
      <w:start w:val="1"/>
    </w:lvl>
  </w:abstractNum>
  <w:abstractNum w:abstractNumId="147">
    <w:nsid w:val="1C695DEC"/>
    <w:multiLevelType w:val="hybridMultilevel"/>
    <w:lvl w:ilvl="0">
      <w:lvlJc w:val="left"/>
      <w:lvlText w:val="(%1)"/>
      <w:numFmt w:val="decimal"/>
      <w:start w:val="2"/>
    </w:lvl>
  </w:abstractNum>
  <w:abstractNum w:abstractNumId="148">
    <w:nsid w:val="3FCFAED9"/>
    <w:multiLevelType w:val="hybridMultilevel"/>
    <w:lvl w:ilvl="0">
      <w:lvlJc w:val="left"/>
      <w:lvlText w:val="*"/>
      <w:numFmt w:val="bullet"/>
      <w:start w:val="1"/>
    </w:lvl>
  </w:abstractNum>
  <w:abstractNum w:abstractNumId="149">
    <w:nsid w:val="F856867"/>
    <w:multiLevelType w:val="hybridMultilevel"/>
    <w:lvl w:ilvl="0">
      <w:lvlJc w:val="left"/>
      <w:lvlText w:val="**"/>
      <w:numFmt w:val="bullet"/>
      <w:start w:val="1"/>
    </w:lvl>
  </w:abstractNum>
  <w:abstractNum w:abstractNumId="150">
    <w:nsid w:val="11B1CC33"/>
    <w:multiLevelType w:val="hybridMultilevel"/>
    <w:lvl w:ilvl="0">
      <w:lvlJc w:val="left"/>
      <w:lvlText w:val="(%1)"/>
      <w:numFmt w:val="decimal"/>
      <w:start w:val="1"/>
    </w:lvl>
  </w:abstractNum>
  <w:abstractNum w:abstractNumId="151">
    <w:nsid w:val="2E22FBB7"/>
    <w:multiLevelType w:val="hybridMultilevel"/>
    <w:lvl w:ilvl="0">
      <w:lvlJc w:val="left"/>
      <w:lvlText w:val="%1"/>
      <w:numFmt w:val="decimal"/>
      <w:start w:val="1"/>
    </w:lvl>
    <w:lvl w:ilvl="1">
      <w:lvlJc w:val="left"/>
      <w:lvlText w:val="(%2)"/>
      <w:numFmt w:val="lowerLetter"/>
      <w:start w:val="1"/>
    </w:lvl>
  </w:abstractNum>
  <w:abstractNum w:abstractNumId="152">
    <w:nsid w:val="29934699"/>
    <w:multiLevelType w:val="hybridMultilevel"/>
    <w:lvl w:ilvl="0">
      <w:lvlJc w:val="left"/>
      <w:lvlText w:val="(%1)"/>
      <w:numFmt w:val="decimal"/>
      <w:start w:val="2"/>
    </w:lvl>
    <w:lvl w:ilvl="1">
      <w:lvlJc w:val="left"/>
      <w:lvlText w:val="%2"/>
      <w:numFmt w:val="lowerLetter"/>
      <w:start w:val="1"/>
    </w:lvl>
  </w:abstractNum>
  <w:abstractNum w:abstractNumId="153">
    <w:nsid w:val="77485850"/>
    <w:multiLevelType w:val="hybridMultilevel"/>
    <w:lvl w:ilvl="0">
      <w:lvlJc w:val="left"/>
      <w:lvlText w:val="(%1)"/>
      <w:numFmt w:val="decimal"/>
      <w:start w:val="5"/>
    </w:lvl>
    <w:lvl w:ilvl="1">
      <w:lvlJc w:val="left"/>
      <w:lvlText w:val="(%2)"/>
      <w:numFmt w:val="lowerLetter"/>
      <w:start w:val="1"/>
    </w:lvl>
  </w:abstractNum>
  <w:abstractNum w:abstractNumId="154">
    <w:nsid w:val="744939A3"/>
    <w:multiLevelType w:val="hybridMultilevel"/>
    <w:lvl w:ilvl="0">
      <w:lvlJc w:val="left"/>
      <w:lvlText w:val="%1."/>
      <w:numFmt w:val="decimal"/>
      <w:start w:val="1"/>
    </w:lvl>
    <w:lvl w:ilvl="1">
      <w:lvlJc w:val="left"/>
      <w:lvlText w:val="(%2)"/>
      <w:numFmt w:val="lowerLetter"/>
      <w:start w:val="1"/>
    </w:lvl>
  </w:abstractNum>
  <w:abstractNum w:abstractNumId="155">
    <w:nsid w:val="4FA0D2E3"/>
    <w:multiLevelType w:val="hybridMultilevel"/>
    <w:lvl w:ilvl="0">
      <w:lvlJc w:val="left"/>
      <w:lvlText w:val="(%1)"/>
      <w:numFmt w:val="lowerRoman"/>
      <w:start w:val="2"/>
    </w:lvl>
  </w:abstractNum>
  <w:abstractNum w:abstractNumId="156">
    <w:nsid w:val="6B1D2C14"/>
    <w:multiLevelType w:val="hybridMultilevel"/>
    <w:lvl w:ilvl="0">
      <w:lvlJc w:val="left"/>
      <w:lvlText w:val="•"/>
      <w:numFmt w:val="bullet"/>
      <w:start w:val="1"/>
    </w:lvl>
    <w:lvl w:ilvl="1">
      <w:lvlJc w:val="left"/>
      <w:lvlText w:val="◦"/>
      <w:numFmt w:val="bullet"/>
      <w:start w:val="1"/>
    </w:lvl>
  </w:abstractNum>
  <w:abstractNum w:abstractNumId="157">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3F7F5DD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59">
    <w:nsid w:val="2AE05A3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160">
    <w:nsid w:val="32794FF7"/>
    <w:multiLevelType w:val="hybridMultilevel"/>
    <w:lvl w:ilvl="0">
      <w:lvlJc w:val="left"/>
      <w:lvlText w:val="§"/>
      <w:numFmt w:val="bullet"/>
      <w:start w:val="1"/>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161">
    <w:nsid w:val="5454945E"/>
    <w:multiLevelType w:val="hybridMultilevel"/>
    <w:lvl w:ilvl="0">
      <w:lvlJc w:val="left"/>
      <w:lvlText w:val="§"/>
      <w:numFmt w:val="bullet"/>
      <w:start w:val="1"/>
    </w:lvl>
    <w:lvl w:ilvl="1">
      <w:lvlJc w:val="left"/>
      <w:lvlText w:val="(%2)"/>
      <w:numFmt w:val="lowerLetter"/>
      <w:start w:val="24"/>
    </w:lvl>
    <w:lvl w:ilvl="2">
      <w:lvlJc w:val="left"/>
      <w:lvlText w:val="%3"/>
      <w:numFmt w:val="lowerLetter"/>
      <w:start w:val="1"/>
    </w:lvl>
    <w:lvl w:ilvl="3">
      <w:lvlJc w:val="left"/>
      <w:lvlText w:val="%4"/>
      <w:numFmt w:val="upperLetter"/>
      <w:start w:val="1"/>
    </w:lvl>
  </w:abstractNum>
  <w:abstractNum w:abstractNumId="162">
    <w:nsid w:val="4DEFDFA0"/>
    <w:multiLevelType w:val="hybridMultilevel"/>
    <w:lvl w:ilvl="0">
      <w:lvlJc w:val="left"/>
      <w:lvlText w:val="(%1)"/>
      <w:numFmt w:val="lowerLetter"/>
      <w:start w:val="1"/>
    </w:lvl>
  </w:abstractNum>
  <w:abstractNum w:abstractNumId="163">
    <w:nsid w:val="2123D5F2"/>
    <w:multiLevelType w:val="hybridMultilevel"/>
    <w:lvl w:ilvl="0">
      <w:lvlJc w:val="left"/>
      <w:lvlText w:val="(%1)"/>
      <w:numFmt w:val="lowerLetter"/>
      <w:start w:val="1"/>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Roman"/>
      <w:start w:val="4"/>
    </w:lvl>
  </w:abstractNum>
  <w:abstractNum w:abstractNumId="166">
    <w:nsid w:val="DCDF8F6"/>
    <w:multiLevelType w:val="hybridMultilevel"/>
    <w:lvl w:ilvl="0">
      <w:lvlJc w:val="left"/>
      <w:lvlText w:val="(%1)"/>
      <w:numFmt w:val="lowerLetter"/>
      <w:start w:val="1"/>
    </w:lvl>
  </w:abstractNum>
  <w:abstractNum w:abstractNumId="167">
    <w:nsid w:val="52D7B105"/>
    <w:multiLevelType w:val="hybridMultilevel"/>
    <w:lvl w:ilvl="0">
      <w:lvlJc w:val="left"/>
      <w:lvlText w:val="(%1)"/>
      <w:numFmt w:val="lowerLetter"/>
      <w:start w:val="1"/>
    </w:lvl>
  </w:abstractNum>
  <w:abstractNum w:abstractNumId="168">
    <w:nsid w:val="2E8A6394"/>
    <w:multiLevelType w:val="hybridMultilevel"/>
    <w:lvl w:ilvl="0">
      <w:lvlJc w:val="left"/>
      <w:lvlText w:val="(%1)"/>
      <w:numFmt w:val="lowerLetter"/>
      <w:start w:val="1"/>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lowerLetter"/>
      <w:start w:val="5"/>
    </w:lvl>
    <w:lvl w:ilvl="1">
      <w:lvlJc w:val="left"/>
      <w:lvlText w:val="(%2)"/>
      <w:numFmt w:val="lowerRoman"/>
      <w:start w:val="1"/>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lowerLetter"/>
      <w:start w:val="2"/>
    </w:lvl>
  </w:abstractNum>
  <w:abstractNum w:abstractNumId="174">
    <w:nsid w:val="4AB26E78"/>
    <w:multiLevelType w:val="hybridMultilevel"/>
    <w:lvl w:ilvl="0">
      <w:lvlJc w:val="left"/>
      <w:lvlText w:val="(%1)"/>
      <w:numFmt w:val="lowerLetter"/>
      <w:start w:val="1"/>
    </w:lvl>
  </w:abstractNum>
  <w:abstractNum w:abstractNumId="175">
    <w:nsid w:val="21FAA2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2024-03-12T10:12:57Z</dcterms:created>
  <dcterms:modified xsi:type="dcterms:W3CDTF">2024-03-12T10:12:57Z</dcterms:modified>
</cp:coreProperties>
</file>