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365125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320"/>
        <w:spacing w:after="0"/>
        <w:rPr>
          <w:sz w:val="20"/>
          <w:szCs w:val="20"/>
          <w:color w:val="auto"/>
        </w:rPr>
      </w:pPr>
      <w:r>
        <w:rPr>
          <w:rFonts w:ascii="Arial" w:cs="Arial" w:eastAsia="Arial" w:hAnsi="Arial"/>
          <w:sz w:val="17"/>
          <w:szCs w:val="17"/>
          <w:b w:val="1"/>
          <w:bCs w:val="1"/>
          <w:color w:val="auto"/>
        </w:rPr>
        <w:t>DATE OF REPORT (DATE OF EARLIEST EVENT REPORTED): September 11,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401955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463"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463"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463"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(972) 995-3773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463"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Registrant’s news release dated September 11, 2012, regarding the Registrant’s outlook for the third quarter of 2012 attached hereto as Exhibit 99 is incorporated by reference herein.</w:t>
      </w:r>
    </w:p>
    <w:p>
      <w:pPr>
        <w:sectPr>
          <w:pgSz w:w="11900" w:h="16838" w:orient="portrait"/>
          <w:cols w:equalWidth="0" w:num="1">
            <w:col w:w="11380"/>
          </w:cols>
          <w:pgMar w:left="240" w:top="611" w:right="27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ITEM 9.01.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Exhibits</w:t>
      </w:r>
    </w:p>
    <w:p>
      <w:pPr>
        <w:spacing w:after="0" w:line="200" w:lineRule="exact"/>
        <w:rPr>
          <w:sz w:val="20"/>
          <w:szCs w:val="20"/>
          <w:color w:val="auto"/>
        </w:rPr>
      </w:pPr>
    </w:p>
    <w:p>
      <w:pPr>
        <w:sectPr>
          <w:pgSz w:w="11900" w:h="16838" w:orient="portrait"/>
          <w:cols w:equalWidth="0" w:num="2">
            <w:col w:w="860" w:space="440"/>
            <w:col w:w="10080"/>
          </w:cols>
          <w:pgMar w:left="240" w:top="611" w:right="279" w:bottom="0" w:gutter="0" w:footer="0" w:header="0"/>
          <w:type w:val="continuous"/>
        </w:sectPr>
      </w:pPr>
    </w:p>
    <w:p>
      <w:pPr>
        <w:spacing w:after="0" w:line="37" w:lineRule="exact"/>
        <w:rPr>
          <w:sz w:val="20"/>
          <w:szCs w:val="20"/>
          <w:color w:val="auto"/>
        </w:rPr>
      </w:pPr>
    </w:p>
    <w:p>
      <w:pPr>
        <w:spacing w:after="0" w:line="387" w:lineRule="auto"/>
        <w:rPr>
          <w:sz w:val="20"/>
          <w:szCs w:val="20"/>
          <w:color w:val="auto"/>
        </w:rPr>
      </w:pPr>
      <w:r>
        <w:rPr>
          <w:rFonts w:ascii="Arial" w:cs="Arial" w:eastAsia="Arial" w:hAnsi="Arial"/>
          <w:sz w:val="16"/>
          <w:szCs w:val="16"/>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575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65601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880" w:space="200"/>
            <w:col w:w="10300"/>
          </w:cols>
          <w:pgMar w:left="240" w:top="611" w:right="279" w:bottom="0" w:gutter="0" w:footer="0" w:header="0"/>
          <w:type w:val="continuous"/>
        </w:sectPr>
      </w:pPr>
    </w:p>
    <w:p>
      <w:pPr>
        <w:ind w:left="1080" w:hanging="107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color w:val="auto"/>
        </w:rPr>
        <w:t>Dated September 11, 2012 (furnished pursuant to Item 7.01)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1000" w:hanging="425"/>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1000" w:right="60" w:hanging="425"/>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1000" w:right="220" w:hanging="425"/>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32" w:lineRule="exact"/>
        <w:rPr>
          <w:rFonts w:ascii="Arial" w:cs="Arial" w:eastAsia="Arial" w:hAnsi="Arial"/>
          <w:sz w:val="16"/>
          <w:szCs w:val="16"/>
          <w:color w:val="auto"/>
        </w:rPr>
      </w:pPr>
    </w:p>
    <w:p>
      <w:pPr>
        <w:ind w:left="1000" w:right="300" w:hanging="425"/>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1000" w:right="20" w:hanging="425"/>
        <w:spacing w:after="0" w:line="281"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1000" w:hanging="425"/>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32" w:lineRule="exact"/>
        <w:rPr>
          <w:rFonts w:ascii="Arial" w:cs="Arial" w:eastAsia="Arial" w:hAnsi="Arial"/>
          <w:sz w:val="16"/>
          <w:szCs w:val="16"/>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1000" w:hanging="425"/>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32" w:lineRule="exact"/>
        <w:rPr>
          <w:rFonts w:ascii="Arial" w:cs="Arial" w:eastAsia="Arial" w:hAnsi="Arial"/>
          <w:sz w:val="16"/>
          <w:szCs w:val="16"/>
          <w:color w:val="auto"/>
        </w:rPr>
      </w:pP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1000" w:hanging="425"/>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1000" w:right="500" w:hanging="425"/>
        <w:spacing w:after="0" w:line="250"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1000" w:hanging="425"/>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report on Form 8-K are made only as of the date of this report and TI undertakes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300" w:val="left"/>
          <w:tab w:leader="none" w:pos="6480" w:val="left"/>
        </w:tabs>
        <w:rPr>
          <w:sz w:val="20"/>
          <w:szCs w:val="20"/>
          <w:color w:val="auto"/>
        </w:rPr>
      </w:pPr>
      <w:r>
        <w:rPr>
          <w:rFonts w:ascii="Arial" w:cs="Arial" w:eastAsia="Arial" w:hAnsi="Arial"/>
          <w:sz w:val="18"/>
          <w:szCs w:val="18"/>
          <w:color w:val="auto"/>
        </w:rPr>
        <w:t>Date: September 11,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14605</wp:posOffset>
            </wp:positionV>
            <wp:extent cx="31216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17145"/>
                    </a:xfrm>
                    <a:prstGeom prst="rect">
                      <a:avLst/>
                    </a:prstGeom>
                    <a:noFill/>
                  </pic:spPr>
                </pic:pic>
              </a:graphicData>
            </a:graphic>
          </wp:anchor>
        </w:drawing>
      </w:r>
    </w:p>
    <w:p>
      <w:pPr>
        <w:sectPr>
          <w:pgSz w:w="11900" w:h="16838" w:orient="portrait"/>
          <w:cols w:equalWidth="0" w:num="1">
            <w:col w:w="11380"/>
          </w:cols>
          <w:pgMar w:left="240" w:top="611" w:right="279" w:bottom="0" w:gutter="0" w:footer="0" w:header="0"/>
          <w:type w:val="continuous"/>
        </w:sectPr>
      </w:pPr>
    </w:p>
    <w:bookmarkStart w:id="2" w:name="page3"/>
    <w:bookmarkEnd w:id="2"/>
    <w:p>
      <w:pPr>
        <w:ind w:left="53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Senior Vice President and</w:t>
      </w:r>
    </w:p>
    <w:p>
      <w:pPr>
        <w:spacing w:after="0" w:line="32"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019"/>
          </w:cols>
          <w:pgMar w:left="1440" w:top="125"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99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updates third-quarter 2012 business outlook</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DALLAS (Sept. 11, 2012) – In a scheduled update to its business outlook for the third quarter of 2012, Texas Instruments Incorporated (TI) (NASDAQ:</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$3.27 – 3.41 billion compared with the prior range of $3.21 – 3.47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$0.38 – 0.42 compared with the prior range of $0.34 – 0.42.</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will hold a conference call at 4 p.m. Central time today to discuss this update. This conference call will be available live at www.ti.com/ir. TI’s original third-quarter outlook was published in the company’s second-quarter 2012 earnings release on July 23, available at www.ti.com/ir. TI’s third quarter ends on September 30.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Market demand for semiconductors, particularly in key markets such as communications, computing, industrial and consumer electronics;</w:t>
      </w:r>
    </w:p>
    <w:p>
      <w:pPr>
        <w:spacing w:after="0" w:line="34"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TI’s ability to successfully integrate National Semiconductor’s operations, product lines and technologies, and to realize opportunities for growth and cost savings from the acquisition; and</w:t>
      </w: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10-Q for the quarter ended March 31, 2012.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ectPr>
          <w:pgSz w:w="11900" w:h="16838" w:orient="portrait"/>
          <w:cols w:equalWidth="0" w:num="1">
            <w:col w:w="11420"/>
          </w:cols>
          <w:pgMar w:left="240" w:top="368" w:right="239" w:bottom="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7"/>
          <w:szCs w:val="17"/>
          <w:color w:val="auto"/>
        </w:rPr>
        <w:t>Texas Instruments semiconductor innovations help 90,000 customers unlock the possibilities of the world as it could be – smarter, safer, greener, healthier and more fun. Our commitment to building a better future is ingrained in everything we do – from the responsible manufacturing of our semiconductors, to caring for our employees, to giving back inside our communities. This is just the beginning of our story. Learn more at www.ti.com.</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2019-12-09T08:54:31Z</dcterms:created>
  <dcterms:modified xsi:type="dcterms:W3CDTF">2019-12-09T08:54:31Z</dcterms:modified>
</cp:coreProperties>
</file>