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01/23/2014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60"/>
              <w:spacing w:after="0"/>
              <w:rPr>
                <w:sz w:val="20"/>
                <w:szCs w:val="20"/>
                <w:color w:val="auto"/>
              </w:rPr>
            </w:pPr>
            <w:r>
              <w:rPr>
                <w:rFonts w:ascii="Arial" w:cs="Arial" w:eastAsia="Arial" w:hAnsi="Arial"/>
                <w:sz w:val="17"/>
                <w:szCs w:val="17"/>
                <w:color w:val="0000FF"/>
              </w:rPr>
              <w:t>01/23/2014</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111,137</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1,374,470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296.57</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12,214.77</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44.09</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01/23/2014</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602,692</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01/23/2024</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602,692</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602,692</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12-31-13. (Interests in this account are denominated in units. Consequently, share amount shown is an estimate.) This statement does not include changes in beneficial ownership of shares held in such account occurring after 12-31-13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23, 2015.</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01/27/2014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2019-12-17T01:27:15Z</dcterms:created>
  <dcterms:modified xsi:type="dcterms:W3CDTF">2019-12-17T01:27:15Z</dcterms:modified>
</cp:coreProperties>
</file>