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36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36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jc w:val="center"/>
              <w:ind w:left="63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30.43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275,630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30.69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270,630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265,630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260,630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3,300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257,330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255,630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2,900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252,730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2,100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30.871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250,630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248,630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2,800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30.921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245,830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30.935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245,630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244,730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3,300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241,430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5,300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236,130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235,630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31.06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230,630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3"/>
              </w:rPr>
              <w:t>992</w:t>
            </w:r>
            <w:r>
              <w:rPr>
                <w:rFonts w:ascii="Arial" w:cs="Arial" w:eastAsia="Arial" w:hAnsi="Arial"/>
                <w:sz w:val="22"/>
                <w:szCs w:val="22"/>
                <w:color w:val="008000"/>
                <w:w w:val="83"/>
                <w:vertAlign w:val="superscript"/>
              </w:rPr>
              <w:t>(2)</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265.59</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6,753.58</w:t>
            </w:r>
            <w:r>
              <w:rPr>
                <w:rFonts w:ascii="Arial" w:cs="Arial" w:eastAsia="Arial" w:hAnsi="Arial"/>
                <w:sz w:val="22"/>
                <w:szCs w:val="22"/>
                <w:color w:val="008000"/>
                <w:w w:val="84"/>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5"/>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420"/>
          </w:cols>
          <w:pgMar w:left="240" w:top="226" w:right="239" w:bottom="36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319655"/>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4Code.  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6Exercisable.DateExercisableDate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7Title.Title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60" w:type="dxa"/>
            <w:vAlign w:val="bottom"/>
          </w:tcPr>
          <w:p>
            <w:pPr>
              <w:ind w:left="40"/>
              <w:spacing w:after="0" w:line="68" w:lineRule="exact"/>
              <w:rPr>
                <w:sz w:val="20"/>
                <w:szCs w:val="20"/>
                <w:color w:val="auto"/>
              </w:rPr>
            </w:pPr>
            <w:r>
              <w:rPr>
                <w:rFonts w:ascii="Arial" w:cs="Arial" w:eastAsia="Arial" w:hAnsi="Arial"/>
                <w:sz w:val="7"/>
                <w:szCs w:val="7"/>
                <w:color w:val="008000"/>
              </w:rPr>
              <w:t>1.</w:t>
            </w:r>
          </w:p>
        </w:tc>
        <w:tc>
          <w:tcPr>
            <w:tcW w:w="6860" w:type="dxa"/>
            <w:vAlign w:val="bottom"/>
            <w:gridSpan w:val="7"/>
          </w:tcPr>
          <w:p>
            <w:pPr>
              <w:ind w:left="20"/>
              <w:spacing w:after="0" w:line="68" w:lineRule="exact"/>
              <w:rPr>
                <w:sz w:val="20"/>
                <w:szCs w:val="20"/>
                <w:color w:val="auto"/>
              </w:rPr>
            </w:pPr>
            <w:r>
              <w:rPr>
                <w:rFonts w:ascii="Arial" w:cs="Arial" w:eastAsia="Arial" w:hAnsi="Arial"/>
                <w:sz w:val="7"/>
                <w:szCs w:val="7"/>
                <w:color w:val="008000"/>
              </w:rPr>
              <w:t>Sales effected pursuant to a Rule 10b5-1 trading plan entered into by the reporting person on October 25, 2007.</w:t>
            </w:r>
          </w:p>
        </w:tc>
        <w:tc>
          <w:tcPr>
            <w:tcW w:w="11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5"/>
                <w:szCs w:val="5"/>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0"/>
        </w:trPr>
        <w:tc>
          <w:tcPr>
            <w:tcW w:w="160" w:type="dxa"/>
            <w:vAlign w:val="bottom"/>
            <w:vMerge w:val="restart"/>
          </w:tcPr>
          <w:p>
            <w:pPr>
              <w:ind w:left="40"/>
              <w:spacing w:after="0"/>
              <w:rPr>
                <w:sz w:val="20"/>
                <w:szCs w:val="20"/>
                <w:color w:val="auto"/>
              </w:rPr>
            </w:pPr>
            <w:r>
              <w:rPr>
                <w:rFonts w:ascii="Arial" w:cs="Arial" w:eastAsia="Arial" w:hAnsi="Arial"/>
                <w:sz w:val="14"/>
                <w:szCs w:val="14"/>
                <w:color w:val="008000"/>
                <w:w w:val="85"/>
              </w:rPr>
              <w:t>2.</w:t>
            </w:r>
          </w:p>
        </w:tc>
        <w:tc>
          <w:tcPr>
            <w:tcW w:w="660" w:type="dxa"/>
            <w:vAlign w:val="bottom"/>
          </w:tcPr>
          <w:p>
            <w:pPr>
              <w:spacing w:after="0"/>
              <w:rPr>
                <w:sz w:val="6"/>
                <w:szCs w:val="6"/>
                <w:color w:val="auto"/>
              </w:rPr>
            </w:pPr>
          </w:p>
        </w:tc>
        <w:tc>
          <w:tcPr>
            <w:tcW w:w="760" w:type="dxa"/>
            <w:vAlign w:val="bottom"/>
          </w:tcPr>
          <w:p>
            <w:pPr>
              <w:ind w:left="20"/>
              <w:spacing w:after="0" w:line="71" w:lineRule="exact"/>
              <w:rPr>
                <w:sz w:val="20"/>
                <w:szCs w:val="20"/>
                <w:color w:val="auto"/>
              </w:rPr>
            </w:pPr>
            <w:r>
              <w:rPr>
                <w:rFonts w:ascii="Arial" w:cs="Arial" w:eastAsia="Arial" w:hAnsi="Arial"/>
                <w:sz w:val="8"/>
                <w:szCs w:val="8"/>
                <w:b w:val="1"/>
                <w:bCs w:val="1"/>
                <w:color w:val="auto"/>
              </w:rPr>
              <w:t>Derivative</w:t>
            </w: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ind w:left="80"/>
              <w:spacing w:after="0" w:line="71" w:lineRule="exact"/>
              <w:rPr>
                <w:sz w:val="20"/>
                <w:szCs w:val="20"/>
                <w:color w:val="auto"/>
              </w:rPr>
            </w:pPr>
            <w:r>
              <w:rPr>
                <w:rFonts w:ascii="Arial" w:cs="Arial" w:eastAsia="Arial" w:hAnsi="Arial"/>
                <w:sz w:val="8"/>
                <w:szCs w:val="8"/>
                <w:b w:val="1"/>
                <w:bCs w:val="1"/>
                <w:color w:val="auto"/>
              </w:rPr>
              <w:t>Acquired</w:t>
            </w:r>
          </w:p>
        </w:tc>
        <w:tc>
          <w:tcPr>
            <w:tcW w:w="15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60" w:type="dxa"/>
            <w:vAlign w:val="bottom"/>
            <w:vMerge w:val="continue"/>
          </w:tcPr>
          <w:p>
            <w:pPr>
              <w:spacing w:after="0"/>
              <w:rPr>
                <w:sz w:val="12"/>
                <w:szCs w:val="12"/>
                <w:color w:val="auto"/>
              </w:rPr>
            </w:pPr>
          </w:p>
        </w:tc>
        <w:tc>
          <w:tcPr>
            <w:tcW w:w="3700" w:type="dxa"/>
            <w:vAlign w:val="bottom"/>
            <w:gridSpan w:val="4"/>
          </w:tcPr>
          <w:p>
            <w:pPr>
              <w:ind w:left="20"/>
              <w:spacing w:after="0" w:line="143" w:lineRule="exact"/>
              <w:rPr>
                <w:sz w:val="20"/>
                <w:szCs w:val="20"/>
                <w:color w:val="auto"/>
              </w:rPr>
            </w:pPr>
            <w:r>
              <w:rPr>
                <w:rFonts w:ascii="Arial" w:cs="Arial" w:eastAsia="Arial" w:hAnsi="Arial"/>
                <w:sz w:val="14"/>
                <w:szCs w:val="14"/>
                <w:color w:val="008000"/>
                <w:w w:val="97"/>
              </w:rPr>
              <w:t>Beneficial ownership</w:t>
            </w:r>
            <w:r>
              <w:rPr>
                <w:rFonts w:ascii="Arial" w:cs="Arial" w:eastAsia="Arial" w:hAnsi="Arial"/>
                <w:sz w:val="12"/>
                <w:szCs w:val="12"/>
                <w:b w:val="1"/>
                <w:bCs w:val="1"/>
                <w:color w:val="000000"/>
                <w:w w:val="97"/>
              </w:rPr>
              <w:t>Security</w:t>
            </w:r>
            <w:r>
              <w:rPr>
                <w:rFonts w:ascii="Arial" w:cs="Arial" w:eastAsia="Arial" w:hAnsi="Arial"/>
                <w:sz w:val="14"/>
                <w:szCs w:val="14"/>
                <w:color w:val="008000"/>
                <w:w w:val="97"/>
              </w:rPr>
              <w:t xml:space="preserve"> by reporting person disclaimed.</w:t>
            </w: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0" w:type="dxa"/>
            <w:vAlign w:val="bottom"/>
            <w:vMerge w:val="restart"/>
          </w:tcPr>
          <w:p>
            <w:pPr>
              <w:ind w:left="40"/>
              <w:spacing w:after="0"/>
              <w:rPr>
                <w:sz w:val="20"/>
                <w:szCs w:val="20"/>
                <w:color w:val="auto"/>
              </w:rPr>
            </w:pPr>
            <w:r>
              <w:rPr>
                <w:rFonts w:ascii="Arial" w:cs="Arial" w:eastAsia="Arial" w:hAnsi="Arial"/>
                <w:sz w:val="14"/>
                <w:szCs w:val="14"/>
                <w:color w:val="008000"/>
                <w:w w:val="85"/>
              </w:rPr>
              <w:t>3.</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11260" w:type="dxa"/>
            <w:vAlign w:val="bottom"/>
            <w:gridSpan w:val="12"/>
          </w:tcPr>
          <w:p>
            <w:pPr>
              <w:ind w:left="20"/>
              <w:spacing w:after="0" w:line="68" w:lineRule="exact"/>
              <w:rPr>
                <w:sz w:val="20"/>
                <w:szCs w:val="20"/>
                <w:color w:val="auto"/>
              </w:rPr>
            </w:pPr>
            <w:r>
              <w:rPr>
                <w:rFonts w:ascii="Arial" w:cs="Arial" w:eastAsia="Arial" w:hAnsi="Arial"/>
                <w:sz w:val="7"/>
                <w:szCs w:val="7"/>
                <w:color w:val="008000"/>
              </w:rPr>
              <w:t>Estimated shares attributable to TI 401(k) Account as of 12-31-07. (Interests in this account are denominated in units. Consequently, share amount shown is an estimate.) This statement does not include</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of (D)</w:t>
            </w:r>
          </w:p>
        </w:tc>
        <w:tc>
          <w:tcPr>
            <w:tcW w:w="1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Transaction(s)</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140" w:type="dxa"/>
            <w:vAlign w:val="bottom"/>
            <w:gridSpan w:val="9"/>
          </w:tcPr>
          <w:p>
            <w:pPr>
              <w:ind w:left="40"/>
              <w:spacing w:after="0" w:line="81" w:lineRule="exact"/>
              <w:rPr>
                <w:sz w:val="20"/>
                <w:szCs w:val="20"/>
                <w:color w:val="auto"/>
              </w:rPr>
            </w:pPr>
            <w:r>
              <w:rPr>
                <w:rFonts w:ascii="Arial" w:cs="Arial" w:eastAsia="Arial" w:hAnsi="Arial"/>
                <w:sz w:val="9"/>
                <w:szCs w:val="9"/>
                <w:color w:val="008000"/>
              </w:rPr>
              <w:t>changes in beneficial ownership of shares held in this account occurring after 12-31-07 that are eligible for deferred reporting on Form 5.</w:t>
            </w:r>
          </w:p>
        </w:tc>
        <w:tc>
          <w:tcPr>
            <w:tcW w:w="740" w:type="dxa"/>
            <w:vAlign w:val="bottom"/>
          </w:tcPr>
          <w:p>
            <w:pPr>
              <w:spacing w:after="0"/>
              <w:rPr>
                <w:sz w:val="7"/>
                <w:szCs w:val="7"/>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(Instr. 3, 4</w:t>
            </w: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right="300" w:firstLine="9"/>
        <w:spacing w:after="0" w:line="302"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w:t>
      </w:r>
      <w:r>
        <w:rPr>
          <w:rFonts w:ascii="Arial" w:cs="Arial" w:eastAsia="Arial" w:hAnsi="Arial"/>
          <w:sz w:val="11"/>
          <w:szCs w:val="11"/>
          <w:b w:val="1"/>
          <w:bCs w:val="1"/>
          <w:color w:val="000000"/>
        </w:rPr>
        <w:t>ad5)</w:t>
      </w:r>
      <w:r>
        <w:rPr>
          <w:rFonts w:ascii="Arial" w:cs="Arial" w:eastAsia="Arial" w:hAnsi="Arial"/>
          <w:sz w:val="12"/>
          <w:szCs w:val="12"/>
          <w:color w:val="008000"/>
        </w:rPr>
        <w:t xml:space="preserve"> in this account are denominated in units. Consequently, share amount shown is an estimate.) This statement does not include changes in beneficial ownership of shares held in such account occurring after 12-31-07 that are eligible for deferred reporting on Form 5.</w:t>
      </w:r>
    </w:p>
    <w:p>
      <w:pPr>
        <w:sectPr>
          <w:pgSz w:w="11900" w:h="16838" w:orient="portrait"/>
          <w:cols w:equalWidth="0" w:num="1">
            <w:col w:w="11420"/>
          </w:cols>
          <w:pgMar w:left="240" w:top="64" w:right="239" w:bottom="1440" w:gutter="0" w:footer="0" w:header="0"/>
        </w:sectPr>
      </w:pP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highlight w:val="white"/>
                <w:w w:val="95"/>
              </w:rPr>
              <w:t>CYNTHIA H. HAYNES,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60" w:type="dxa"/>
            <w:vAlign w:val="bottom"/>
            <w:gridSpan w:val="4"/>
          </w:tcPr>
          <w:p>
            <w:pPr>
              <w:spacing w:after="0" w:line="196" w:lineRule="exact"/>
              <w:rPr>
                <w:sz w:val="20"/>
                <w:szCs w:val="20"/>
                <w:color w:val="auto"/>
              </w:rPr>
            </w:pPr>
            <w:r>
              <w:rPr>
                <w:rFonts w:ascii="Arial" w:cs="Arial" w:eastAsia="Arial" w:hAnsi="Arial"/>
                <w:sz w:val="18"/>
                <w:szCs w:val="18"/>
                <w:color w:val="0000FF"/>
                <w:highlight w:val="white"/>
              </w:rPr>
              <w:t>ATTORNEY IN FACT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4"/>
                <w:szCs w:val="14"/>
                <w:color w:val="auto"/>
                <w:w w:val="95"/>
              </w:rPr>
              <w:t>** Signature of Reporting Person</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0" w:type="dxa"/>
            <w:vAlign w:val="bottom"/>
            <w:gridSpan w:val="2"/>
            <w:shd w:val="clear" w:color="auto" w:fill="2C2C2C"/>
          </w:tcPr>
          <w:p>
            <w:pPr>
              <w:spacing w:after="0" w:line="20" w:lineRule="exact"/>
              <w:rPr>
                <w:sz w:val="1"/>
                <w:szCs w:val="1"/>
                <w:color w:val="auto"/>
              </w:rPr>
            </w:pPr>
          </w:p>
        </w:tc>
        <w:tc>
          <w:tcPr>
            <w:tcW w:w="1300" w:type="dxa"/>
            <w:vAlign w:val="bottom"/>
            <w:shd w:val="clear" w:color="auto" w:fill="2C2C2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2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960" w:type="dxa"/>
            <w:vAlign w:val="bottom"/>
            <w:gridSpan w:val="4"/>
          </w:tcPr>
          <w:p>
            <w:pPr>
              <w:ind w:left="72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33"/>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2100" w:type="dxa"/>
            <w:vAlign w:val="bottom"/>
          </w:tcPr>
          <w:p>
            <w:pPr>
              <w:spacing w:after="0"/>
              <w:rPr>
                <w:sz w:val="11"/>
                <w:szCs w:val="11"/>
                <w:color w:val="auto"/>
              </w:rPr>
            </w:pPr>
          </w:p>
        </w:tc>
        <w:tc>
          <w:tcPr>
            <w:tcW w:w="196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10"/>
        </w:trPr>
        <w:tc>
          <w:tcPr>
            <w:tcW w:w="4720" w:type="dxa"/>
            <w:vAlign w:val="bottom"/>
            <w:gridSpan w:val="2"/>
            <w:vMerge w:val="continue"/>
          </w:tcPr>
          <w:p>
            <w:pPr>
              <w:spacing w:after="0"/>
              <w:rPr>
                <w:sz w:val="9"/>
                <w:szCs w:val="9"/>
                <w:color w:val="auto"/>
              </w:rPr>
            </w:pPr>
          </w:p>
        </w:tc>
        <w:tc>
          <w:tcPr>
            <w:tcW w:w="2100" w:type="dxa"/>
            <w:vAlign w:val="bottom"/>
          </w:tcPr>
          <w:p>
            <w:pPr>
              <w:spacing w:after="0"/>
              <w:rPr>
                <w:sz w:val="9"/>
                <w:szCs w:val="9"/>
                <w:color w:val="auto"/>
              </w:rPr>
            </w:pPr>
          </w:p>
        </w:tc>
        <w:tc>
          <w:tcPr>
            <w:tcW w:w="1960" w:type="dxa"/>
            <w:vAlign w:val="bottom"/>
            <w:gridSpan w:val="4"/>
            <w:vMerge w:val="restart"/>
          </w:tcPr>
          <w:p>
            <w:pPr>
              <w:ind w:left="720"/>
              <w:spacing w:after="0" w:line="135"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8780" w:type="dxa"/>
            <w:vAlign w:val="bottom"/>
            <w:gridSpan w:val="7"/>
          </w:tcPr>
          <w:p>
            <w:pPr>
              <w:spacing w:after="0" w:line="137" w:lineRule="exact"/>
              <w:rPr>
                <w:sz w:val="20"/>
                <w:szCs w:val="20"/>
                <w:color w:val="auto"/>
              </w:rPr>
            </w:pPr>
            <w:r>
              <w:rPr>
                <w:rFonts w:ascii="Arial" w:cs="Arial" w:eastAsia="Arial" w:hAnsi="Arial"/>
                <w:sz w:val="14"/>
                <w:szCs w:val="14"/>
                <w:color w:val="auto"/>
                <w:w w:val="98"/>
              </w:rPr>
              <w:t xml:space="preserve">** Intentional misstatements or omissions of facts constitute Federal Criminal Violations </w:t>
            </w:r>
            <w:r>
              <w:rPr>
                <w:rFonts w:ascii="Arial" w:cs="Arial" w:eastAsia="Arial" w:hAnsi="Arial"/>
                <w:sz w:val="14"/>
                <w:szCs w:val="14"/>
                <w:i w:val="1"/>
                <w:iCs w:val="1"/>
                <w:color w:val="auto"/>
                <w:w w:val="98"/>
              </w:rPr>
              <w:t>See</w:t>
            </w:r>
            <w:r>
              <w:rPr>
                <w:rFonts w:ascii="Arial" w:cs="Arial" w:eastAsia="Arial" w:hAnsi="Arial"/>
                <w:sz w:val="14"/>
                <w:szCs w:val="14"/>
                <w:color w:val="auto"/>
                <w:w w:val="98"/>
              </w:rPr>
              <w:t xml:space="preserve"> </w:t>
            </w:r>
            <w:r>
              <w:rPr>
                <w:rFonts w:ascii="Arial" w:cs="Arial" w:eastAsia="Arial" w:hAnsi="Arial"/>
                <w:sz w:val="12"/>
                <w:szCs w:val="12"/>
                <w:b w:val="1"/>
                <w:bCs w:val="1"/>
                <w:color w:val="auto"/>
                <w:w w:val="98"/>
              </w:rPr>
              <w:t>Date</w:t>
            </w:r>
            <w:r>
              <w:rPr>
                <w:rFonts w:ascii="Arial" w:cs="Arial" w:eastAsia="Arial" w:hAnsi="Arial"/>
                <w:sz w:val="14"/>
                <w:szCs w:val="14"/>
                <w:color w:val="auto"/>
                <w:w w:val="98"/>
              </w:rPr>
              <w:t>18U.S.C. 1001</w:t>
            </w:r>
            <w:r>
              <w:rPr>
                <w:rFonts w:ascii="Arial" w:cs="Arial" w:eastAsia="Arial" w:hAnsi="Arial"/>
                <w:sz w:val="12"/>
                <w:szCs w:val="12"/>
                <w:b w:val="1"/>
                <w:bCs w:val="1"/>
                <w:color w:val="auto"/>
                <w:w w:val="98"/>
              </w:rPr>
              <w:t>Expiration</w:t>
            </w:r>
            <w:r>
              <w:rPr>
                <w:rFonts w:ascii="Arial" w:cs="Arial" w:eastAsia="Arial" w:hAnsi="Arial"/>
                <w:sz w:val="14"/>
                <w:szCs w:val="14"/>
                <w:color w:val="auto"/>
                <w:w w:val="98"/>
              </w:rPr>
              <w:t>and15 U.S.C. 78ff(a)</w:t>
            </w:r>
            <w:r>
              <w:rPr>
                <w:rFonts w:ascii="Arial" w:cs="Arial" w:eastAsia="Arial" w:hAnsi="Arial"/>
                <w:sz w:val="12"/>
                <w:szCs w:val="12"/>
                <w:b w:val="1"/>
                <w:bCs w:val="1"/>
                <w:color w:val="auto"/>
                <w:w w:val="98"/>
              </w:rPr>
              <w:t>of</w:t>
            </w: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9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Code  V</w:t>
            </w:r>
          </w:p>
        </w:tc>
        <w:tc>
          <w:tcPr>
            <w:tcW w:w="210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(A)   (D)   Exercisable  Date</w:t>
            </w:r>
          </w:p>
        </w:tc>
        <w:tc>
          <w:tcPr>
            <w:tcW w:w="1960" w:type="dxa"/>
            <w:vAlign w:val="bottom"/>
            <w:gridSpan w:val="4"/>
          </w:tcPr>
          <w:p>
            <w:pPr>
              <w:ind w:left="260"/>
              <w:spacing w:after="0" w:line="81" w:lineRule="exact"/>
              <w:rPr>
                <w:sz w:val="20"/>
                <w:szCs w:val="20"/>
                <w:color w:val="auto"/>
              </w:rPr>
            </w:pPr>
            <w:r>
              <w:rPr>
                <w:rFonts w:ascii="Arial" w:cs="Arial" w:eastAsia="Arial" w:hAnsi="Arial"/>
                <w:sz w:val="9"/>
                <w:szCs w:val="9"/>
                <w:b w:val="1"/>
                <w:bCs w:val="1"/>
                <w:color w:val="auto"/>
              </w:rPr>
              <w:t>Title   Shares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0000FF"/>
          <w:highlight w:val="white"/>
        </w:rPr>
        <w:t>02/01/2008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820" w:space="340"/>
            <w:col w:w="2260"/>
          </w:cols>
          <w:pgMar w:left="240" w:top="64"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2019-12-16T02:54:07Z</dcterms:created>
  <dcterms:modified xsi:type="dcterms:W3CDTF">2019-12-16T02:54:07Z</dcterms:modified>
</cp:coreProperties>
</file>