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133350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161290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520" w:right="400" w:hanging="512"/>
        <w:spacing w:after="0" w:line="256"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162"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18"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163195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560" w:type="dxa"/>
        <w:tblCellMar>
          <w:top w:w="0" w:type="dxa"/>
          <w:left w:w="0" w:type="dxa"/>
          <w:bottom w:w="0" w:type="dxa"/>
          <w:right w:w="0" w:type="dxa"/>
        </w:tblCellMar>
      </w:tblPr>
      <w:tr>
        <w:trPr>
          <w:trHeight w:val="212"/>
        </w:trPr>
        <w:tc>
          <w:tcPr>
            <w:tcW w:w="4280" w:type="dxa"/>
            <w:vAlign w:val="bottom"/>
          </w:tcPr>
          <w:p>
            <w:pPr>
              <w:jc w:val="center"/>
              <w:ind w:right="1599"/>
              <w:spacing w:after="0"/>
              <w:rPr>
                <w:sz w:val="20"/>
                <w:szCs w:val="20"/>
                <w:color w:val="auto"/>
              </w:rPr>
            </w:pPr>
            <w:r>
              <w:rPr>
                <w:rFonts w:ascii="Arial" w:cs="Arial" w:eastAsia="Arial" w:hAnsi="Arial"/>
                <w:sz w:val="18"/>
                <w:szCs w:val="18"/>
                <w:b w:val="1"/>
                <w:bCs w:val="1"/>
                <w:color w:val="auto"/>
                <w:w w:val="91"/>
              </w:rPr>
              <w:t>Delaware</w:t>
            </w:r>
          </w:p>
        </w:tc>
        <w:tc>
          <w:tcPr>
            <w:tcW w:w="3840" w:type="dxa"/>
            <w:vAlign w:val="bottom"/>
          </w:tcPr>
          <w:p>
            <w:pPr>
              <w:jc w:val="right"/>
              <w:ind w:right="579"/>
              <w:spacing w:after="0"/>
              <w:rPr>
                <w:sz w:val="20"/>
                <w:szCs w:val="20"/>
                <w:color w:val="auto"/>
              </w:rPr>
            </w:pPr>
            <w:r>
              <w:rPr>
                <w:rFonts w:ascii="Arial" w:cs="Arial" w:eastAsia="Arial" w:hAnsi="Arial"/>
                <w:sz w:val="18"/>
                <w:szCs w:val="18"/>
                <w:b w:val="1"/>
                <w:bCs w:val="1"/>
                <w:color w:val="auto"/>
              </w:rPr>
              <w:t>75-0289970</w:t>
            </w:r>
          </w:p>
        </w:tc>
      </w:tr>
      <w:tr>
        <w:trPr>
          <w:trHeight w:val="186"/>
        </w:trPr>
        <w:tc>
          <w:tcPr>
            <w:tcW w:w="4280" w:type="dxa"/>
            <w:vAlign w:val="bottom"/>
          </w:tcPr>
          <w:p>
            <w:pPr>
              <w:jc w:val="center"/>
              <w:ind w:right="1579"/>
              <w:spacing w:after="0"/>
              <w:rPr>
                <w:sz w:val="20"/>
                <w:szCs w:val="20"/>
                <w:color w:val="auto"/>
              </w:rPr>
            </w:pPr>
            <w:r>
              <w:rPr>
                <w:rFonts w:ascii="Arial" w:cs="Arial" w:eastAsia="Arial" w:hAnsi="Arial"/>
                <w:sz w:val="14"/>
                <w:szCs w:val="14"/>
                <w:b w:val="1"/>
                <w:bCs w:val="1"/>
                <w:color w:val="auto"/>
                <w:w w:val="94"/>
              </w:rPr>
              <w:t>(State of Incorporation)</w:t>
            </w:r>
          </w:p>
        </w:tc>
        <w:tc>
          <w:tcPr>
            <w:tcW w:w="3840" w:type="dxa"/>
            <w:vAlign w:val="bottom"/>
          </w:tcPr>
          <w:p>
            <w:pPr>
              <w:jc w:val="center"/>
              <w:ind w:left="155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81"/>
        </w:trPr>
        <w:tc>
          <w:tcPr>
            <w:tcW w:w="4280" w:type="dxa"/>
            <w:vAlign w:val="bottom"/>
          </w:tcPr>
          <w:p>
            <w:pPr>
              <w:jc w:val="center"/>
              <w:ind w:right="1579"/>
              <w:spacing w:after="0"/>
              <w:rPr>
                <w:sz w:val="20"/>
                <w:szCs w:val="20"/>
                <w:color w:val="auto"/>
              </w:rPr>
            </w:pPr>
            <w:r>
              <w:rPr>
                <w:rFonts w:ascii="Arial" w:cs="Arial" w:eastAsia="Arial" w:hAnsi="Arial"/>
                <w:sz w:val="18"/>
                <w:szCs w:val="18"/>
                <w:b w:val="1"/>
                <w:bCs w:val="1"/>
                <w:color w:val="auto"/>
                <w:w w:val="90"/>
              </w:rPr>
              <w:t>12500 TI Boulevard, Dallas, Texas</w:t>
            </w:r>
          </w:p>
        </w:tc>
        <w:tc>
          <w:tcPr>
            <w:tcW w:w="3840" w:type="dxa"/>
            <w:vAlign w:val="bottom"/>
          </w:tcPr>
          <w:p>
            <w:pPr>
              <w:jc w:val="right"/>
              <w:ind w:right="799"/>
              <w:spacing w:after="0"/>
              <w:rPr>
                <w:sz w:val="20"/>
                <w:szCs w:val="20"/>
                <w:color w:val="auto"/>
              </w:rPr>
            </w:pPr>
            <w:r>
              <w:rPr>
                <w:rFonts w:ascii="Arial" w:cs="Arial" w:eastAsia="Arial" w:hAnsi="Arial"/>
                <w:sz w:val="18"/>
                <w:szCs w:val="18"/>
                <w:b w:val="1"/>
                <w:bCs w:val="1"/>
                <w:color w:val="auto"/>
              </w:rPr>
              <w:t>75243</w:t>
            </w:r>
          </w:p>
        </w:tc>
      </w:tr>
      <w:tr>
        <w:trPr>
          <w:trHeight w:val="186"/>
        </w:trPr>
        <w:tc>
          <w:tcPr>
            <w:tcW w:w="4280" w:type="dxa"/>
            <w:vAlign w:val="bottom"/>
          </w:tcPr>
          <w:p>
            <w:pPr>
              <w:jc w:val="center"/>
              <w:ind w:right="15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840" w:type="dxa"/>
            <w:vAlign w:val="bottom"/>
          </w:tcPr>
          <w:p>
            <w:pPr>
              <w:jc w:val="center"/>
              <w:ind w:left="1579"/>
              <w:spacing w:after="0"/>
              <w:rPr>
                <w:sz w:val="20"/>
                <w:szCs w:val="20"/>
                <w:color w:val="auto"/>
              </w:rPr>
            </w:pPr>
            <w:r>
              <w:rPr>
                <w:rFonts w:ascii="Arial" w:cs="Arial" w:eastAsia="Arial" w:hAnsi="Arial"/>
                <w:sz w:val="14"/>
                <w:szCs w:val="14"/>
                <w:b w:val="1"/>
                <w:bCs w:val="1"/>
                <w:color w:val="auto"/>
                <w:w w:val="95"/>
              </w:rPr>
              <w:t>(Zip Code)</w:t>
            </w:r>
          </w:p>
        </w:tc>
      </w:tr>
    </w:tbl>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 214-479-3773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143510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8" w:lineRule="exact"/>
        <w:rPr>
          <w:sz w:val="24"/>
          <w:szCs w:val="24"/>
          <w:color w:val="auto"/>
        </w:rPr>
      </w:pPr>
    </w:p>
    <w:p>
      <w:pPr>
        <w:ind w:right="42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6"/>
          <w:szCs w:val="16"/>
          <w:color w:val="auto"/>
        </w:rPr>
        <w:t>Yes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138"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Arial" w:cs="Arial" w:eastAsia="Arial" w:hAnsi="Arial"/>
          <w:sz w:val="16"/>
          <w:szCs w:val="16"/>
          <w:color w:val="auto"/>
        </w:rPr>
        <w:t>Yes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138"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449" w:right="239" w:bottom="1440" w:gutter="0" w:footer="0" w:header="0"/>
        </w:sectPr>
      </w:pPr>
    </w:p>
    <w:p>
      <w:pPr>
        <w:spacing w:after="0" w:line="133" w:lineRule="exact"/>
        <w:rPr>
          <w:sz w:val="24"/>
          <w:szCs w:val="24"/>
          <w:color w:val="auto"/>
        </w:rPr>
      </w:pPr>
    </w:p>
    <w:p>
      <w:pPr>
        <w:ind w:right="14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spacing w:after="0" w:line="184"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13" w:lineRule="exact"/>
        <w:rPr>
          <w:sz w:val="24"/>
          <w:szCs w:val="24"/>
          <w:color w:val="auto"/>
        </w:rPr>
      </w:pPr>
    </w:p>
    <w:p>
      <w:pPr>
        <w:sectPr>
          <w:pgSz w:w="11900" w:h="16838" w:orient="portrait"/>
          <w:cols w:equalWidth="0" w:num="4">
            <w:col w:w="1760" w:space="720"/>
            <w:col w:w="4440" w:space="720"/>
            <w:col w:w="2920" w:space="720"/>
            <w:col w:w="140"/>
          </w:cols>
          <w:pgMar w:left="240" w:top="449" w:right="239" w:bottom="1440" w:gutter="0" w:footer="0" w:header="0"/>
          <w:type w:val="continuous"/>
        </w:sectPr>
      </w:pPr>
    </w:p>
    <w:p>
      <w:pPr>
        <w:spacing w:after="0" w:line="196" w:lineRule="exact"/>
        <w:tabs>
          <w:tab w:leader="none" w:pos="8360" w:val="left"/>
          <w:tab w:leader="none" w:pos="89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95"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1,014,412,071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October 28,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842010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252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For Three Months Ended</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5"/>
          </w:tcPr>
          <w:p>
            <w:pPr>
              <w:jc w:val="right"/>
              <w:ind w:right="800"/>
              <w:spacing w:after="0"/>
              <w:rPr>
                <w:sz w:val="20"/>
                <w:szCs w:val="20"/>
                <w:color w:val="auto"/>
              </w:rPr>
            </w:pPr>
            <w:r>
              <w:rPr>
                <w:rFonts w:ascii="Arial" w:cs="Arial" w:eastAsia="Arial" w:hAnsi="Arial"/>
                <w:sz w:val="16"/>
                <w:szCs w:val="16"/>
                <w:b w:val="1"/>
                <w:bCs w:val="1"/>
                <w:color w:val="auto"/>
              </w:rPr>
              <w:t>For Nine Months Ended</w:t>
            </w:r>
          </w:p>
        </w:tc>
      </w:tr>
      <w:tr>
        <w:trPr>
          <w:trHeight w:val="219"/>
        </w:trPr>
        <w:tc>
          <w:tcPr>
            <w:tcW w:w="49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6"/>
                <w:szCs w:val="16"/>
                <w:b w:val="1"/>
                <w:bCs w:val="1"/>
                <w:color w:val="auto"/>
                <w:w w:val="98"/>
              </w:rPr>
              <w:t>September 30,</w:t>
            </w:r>
          </w:p>
        </w:tc>
        <w:tc>
          <w:tcPr>
            <w:tcW w:w="4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49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44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44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3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8"/>
                <w:szCs w:val="18"/>
                <w:color w:val="auto"/>
              </w:rPr>
            </w:pPr>
          </w:p>
        </w:tc>
      </w:tr>
      <w:tr>
        <w:trPr>
          <w:trHeight w:val="212"/>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b w:val="1"/>
                <w:bCs w:val="1"/>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3,429</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3,501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9,811</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9,776</w:t>
            </w:r>
          </w:p>
        </w:tc>
        <w:tc>
          <w:tcPr>
            <w:tcW w:w="120" w:type="dxa"/>
            <w:vAlign w:val="bottom"/>
            <w:shd w:val="clear" w:color="auto" w:fill="CCEEFF"/>
          </w:tcPr>
          <w:p>
            <w:pPr>
              <w:spacing w:after="0"/>
              <w:rPr>
                <w:sz w:val="18"/>
                <w:szCs w:val="18"/>
                <w:color w:val="auto"/>
              </w:rPr>
            </w:pPr>
          </w:p>
        </w:tc>
      </w:tr>
      <w:tr>
        <w:trPr>
          <w:trHeight w:val="213"/>
        </w:trPr>
        <w:tc>
          <w:tcPr>
            <w:tcW w:w="49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Cost of revenue (COR)</w:t>
            </w:r>
          </w:p>
        </w:tc>
        <w:tc>
          <w:tcPr>
            <w:tcW w:w="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1,432</w:t>
            </w: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1,457</w:t>
            </w:r>
          </w:p>
        </w:tc>
        <w:tc>
          <w:tcPr>
            <w:tcW w:w="3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4,117</w:t>
            </w:r>
          </w:p>
        </w:tc>
        <w:tc>
          <w:tcPr>
            <w:tcW w:w="3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4,244</w:t>
            </w:r>
          </w:p>
        </w:tc>
        <w:tc>
          <w:tcPr>
            <w:tcW w:w="120" w:type="dxa"/>
            <w:vAlign w:val="bottom"/>
            <w:tcBorders>
              <w:bottom w:val="single" w:sz="8" w:color="CCEEFF"/>
            </w:tcBorders>
          </w:tcPr>
          <w:p>
            <w:pPr>
              <w:spacing w:after="0"/>
              <w:rPr>
                <w:sz w:val="18"/>
                <w:szCs w:val="18"/>
                <w:color w:val="auto"/>
              </w:rPr>
            </w:pPr>
          </w:p>
        </w:tc>
      </w:tr>
      <w:tr>
        <w:trPr>
          <w:trHeight w:val="212"/>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1,997</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2,044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5,694</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5,532</w:t>
            </w:r>
          </w:p>
        </w:tc>
        <w:tc>
          <w:tcPr>
            <w:tcW w:w="120" w:type="dxa"/>
            <w:vAlign w:val="bottom"/>
            <w:shd w:val="clear" w:color="auto" w:fill="CCEEFF"/>
          </w:tcPr>
          <w:p>
            <w:pPr>
              <w:spacing w:after="0"/>
              <w:rPr>
                <w:sz w:val="18"/>
                <w:szCs w:val="18"/>
                <w:color w:val="auto"/>
              </w:rPr>
            </w:pPr>
          </w:p>
        </w:tc>
      </w:tr>
      <w:tr>
        <w:trPr>
          <w:trHeight w:val="213"/>
        </w:trPr>
        <w:tc>
          <w:tcPr>
            <w:tcW w:w="4980" w:type="dxa"/>
            <w:vAlign w:val="bottom"/>
          </w:tcPr>
          <w:p>
            <w:pPr>
              <w:spacing w:after="0"/>
              <w:rPr>
                <w:sz w:val="20"/>
                <w:szCs w:val="20"/>
                <w:color w:val="auto"/>
              </w:rPr>
            </w:pPr>
            <w:r>
              <w:rPr>
                <w:rFonts w:ascii="Arial" w:cs="Arial" w:eastAsia="Arial" w:hAnsi="Arial"/>
                <w:sz w:val="16"/>
                <w:szCs w:val="16"/>
                <w:color w:val="auto"/>
              </w:rPr>
              <w:t>Research and development (R&amp;D)</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316</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332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974</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1,047</w:t>
            </w:r>
          </w:p>
        </w:tc>
        <w:tc>
          <w:tcPr>
            <w:tcW w:w="120" w:type="dxa"/>
            <w:vAlign w:val="bottom"/>
          </w:tcPr>
          <w:p>
            <w:pPr>
              <w:spacing w:after="0"/>
              <w:rPr>
                <w:sz w:val="18"/>
                <w:szCs w:val="18"/>
                <w:color w:val="auto"/>
              </w:rPr>
            </w:pPr>
          </w:p>
        </w:tc>
      </w:tr>
      <w:tr>
        <w:trPr>
          <w:trHeight w:val="219"/>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 (SG&amp;A)</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434</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1,343</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w:t>
            </w:r>
          </w:p>
        </w:tc>
        <w:tc>
          <w:tcPr>
            <w:tcW w:w="120" w:type="dxa"/>
            <w:vAlign w:val="bottom"/>
            <w:shd w:val="clear" w:color="auto" w:fill="CCEEFF"/>
          </w:tcPr>
          <w:p>
            <w:pPr>
              <w:spacing w:after="0"/>
              <w:rPr>
                <w:sz w:val="19"/>
                <w:szCs w:val="19"/>
                <w:color w:val="auto"/>
              </w:rPr>
            </w:pPr>
          </w:p>
        </w:tc>
      </w:tr>
      <w:tr>
        <w:trPr>
          <w:trHeight w:val="213"/>
        </w:trPr>
        <w:tc>
          <w:tcPr>
            <w:tcW w:w="4980" w:type="dxa"/>
            <w:vAlign w:val="bottom"/>
          </w:tcPr>
          <w:p>
            <w:pPr>
              <w:spacing w:after="0"/>
              <w:rPr>
                <w:sz w:val="20"/>
                <w:szCs w:val="20"/>
                <w:color w:val="auto"/>
              </w:rPr>
            </w:pPr>
            <w:r>
              <w:rPr>
                <w:rFonts w:ascii="Arial" w:cs="Arial" w:eastAsia="Arial" w:hAnsi="Arial"/>
                <w:sz w:val="16"/>
                <w:szCs w:val="16"/>
                <w:color w:val="auto"/>
              </w:rPr>
              <w:t>Acquisition charges</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83</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248</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18"/>
                <w:szCs w:val="18"/>
                <w:color w:val="auto"/>
              </w:rPr>
            </w:pPr>
          </w:p>
        </w:tc>
      </w:tr>
      <w:tr>
        <w:trPr>
          <w:trHeight w:val="219"/>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Restructuring charges/other</w:t>
            </w:r>
          </w:p>
        </w:tc>
        <w:tc>
          <w:tcPr>
            <w:tcW w:w="8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(3)</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w:t>
            </w:r>
          </w:p>
        </w:tc>
      </w:tr>
      <w:tr>
        <w:trPr>
          <w:trHeight w:val="207"/>
        </w:trPr>
        <w:tc>
          <w:tcPr>
            <w:tcW w:w="4980" w:type="dxa"/>
            <w:vAlign w:val="bottom"/>
          </w:tcPr>
          <w:p>
            <w:pPr>
              <w:spacing w:after="0"/>
              <w:rPr>
                <w:sz w:val="20"/>
                <w:szCs w:val="20"/>
                <w:color w:val="auto"/>
              </w:rPr>
            </w:pPr>
            <w:r>
              <w:rPr>
                <w:rFonts w:ascii="Arial" w:cs="Arial" w:eastAsia="Arial" w:hAnsi="Arial"/>
                <w:sz w:val="16"/>
                <w:szCs w:val="16"/>
                <w:color w:val="auto"/>
              </w:rPr>
              <w:t>Operating profit</w:t>
            </w:r>
          </w:p>
        </w:tc>
        <w:tc>
          <w:tcPr>
            <w:tcW w:w="8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1,164</w:t>
            </w:r>
          </w:p>
        </w:tc>
        <w:tc>
          <w:tcPr>
            <w:tcW w:w="34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1,175</w:t>
            </w:r>
          </w:p>
        </w:tc>
        <w:tc>
          <w:tcPr>
            <w:tcW w:w="3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3,132</w:t>
            </w:r>
          </w:p>
        </w:tc>
        <w:tc>
          <w:tcPr>
            <w:tcW w:w="34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2,847</w:t>
            </w:r>
          </w:p>
        </w:tc>
        <w:tc>
          <w:tcPr>
            <w:tcW w:w="120" w:type="dxa"/>
            <w:vAlign w:val="bottom"/>
          </w:tcPr>
          <w:p>
            <w:pPr>
              <w:spacing w:after="0"/>
              <w:rPr>
                <w:sz w:val="17"/>
                <w:szCs w:val="17"/>
                <w:color w:val="auto"/>
              </w:rPr>
            </w:pPr>
          </w:p>
        </w:tc>
      </w:tr>
      <w:tr>
        <w:trPr>
          <w:trHeight w:val="219"/>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 net (OI&amp;E)</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9"/>
                <w:szCs w:val="19"/>
                <w:color w:val="auto"/>
              </w:rPr>
            </w:pPr>
          </w:p>
        </w:tc>
      </w:tr>
      <w:tr>
        <w:trPr>
          <w:trHeight w:val="213"/>
        </w:trPr>
        <w:tc>
          <w:tcPr>
            <w:tcW w:w="49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Interest and debt expense</w:t>
            </w:r>
          </w:p>
        </w:tc>
        <w:tc>
          <w:tcPr>
            <w:tcW w:w="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w:t>
            </w: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3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w:t>
            </w:r>
          </w:p>
        </w:tc>
        <w:tc>
          <w:tcPr>
            <w:tcW w:w="3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tcPr>
          <w:p>
            <w:pPr>
              <w:spacing w:after="0"/>
              <w:rPr>
                <w:sz w:val="18"/>
                <w:szCs w:val="18"/>
                <w:color w:val="auto"/>
              </w:rPr>
            </w:pPr>
          </w:p>
        </w:tc>
      </w:tr>
      <w:tr>
        <w:trPr>
          <w:trHeight w:val="212"/>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1,148</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1,155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3,077</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2,787</w:t>
            </w:r>
          </w:p>
        </w:tc>
        <w:tc>
          <w:tcPr>
            <w:tcW w:w="120" w:type="dxa"/>
            <w:vAlign w:val="bottom"/>
            <w:shd w:val="clear" w:color="auto" w:fill="CCEEFF"/>
          </w:tcPr>
          <w:p>
            <w:pPr>
              <w:spacing w:after="0"/>
              <w:rPr>
                <w:sz w:val="18"/>
                <w:szCs w:val="18"/>
                <w:color w:val="auto"/>
              </w:rPr>
            </w:pPr>
          </w:p>
        </w:tc>
      </w:tr>
      <w:tr>
        <w:trPr>
          <w:trHeight w:val="213"/>
        </w:trPr>
        <w:tc>
          <w:tcPr>
            <w:tcW w:w="49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Provision for income taxes</w:t>
            </w:r>
          </w:p>
        </w:tc>
        <w:tc>
          <w:tcPr>
            <w:tcW w:w="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350</w:t>
            </w: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3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927</w:t>
            </w:r>
          </w:p>
        </w:tc>
        <w:tc>
          <w:tcPr>
            <w:tcW w:w="3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w:t>
            </w:r>
          </w:p>
        </w:tc>
        <w:tc>
          <w:tcPr>
            <w:tcW w:w="120" w:type="dxa"/>
            <w:vAlign w:val="bottom"/>
            <w:tcBorders>
              <w:bottom w:val="single" w:sz="8" w:color="CCEEFF"/>
            </w:tcBorders>
          </w:tcPr>
          <w:p>
            <w:pPr>
              <w:spacing w:after="0"/>
              <w:rPr>
                <w:sz w:val="18"/>
                <w:szCs w:val="18"/>
                <w:color w:val="auto"/>
              </w:rPr>
            </w:pPr>
          </w:p>
        </w:tc>
      </w:tr>
      <w:tr>
        <w:trPr>
          <w:trHeight w:val="210"/>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798</w:t>
            </w: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3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2,150</w:t>
            </w:r>
          </w:p>
        </w:tc>
        <w:tc>
          <w:tcPr>
            <w:tcW w:w="3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1,996</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4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Earnings per common share (EPS):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3"/>
        </w:trPr>
        <w:tc>
          <w:tcPr>
            <w:tcW w:w="49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Basic</w:t>
            </w: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w:t>
            </w:r>
          </w:p>
        </w:tc>
        <w:tc>
          <w:tcPr>
            <w:tcW w:w="3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3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2.05</w:t>
            </w:r>
          </w:p>
        </w:tc>
        <w:tc>
          <w:tcPr>
            <w:tcW w:w="3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tcPr>
          <w:p>
            <w:pPr>
              <w:spacing w:after="0"/>
              <w:rPr>
                <w:sz w:val="22"/>
                <w:szCs w:val="22"/>
                <w:color w:val="auto"/>
              </w:rPr>
            </w:pPr>
          </w:p>
        </w:tc>
      </w:tr>
      <w:tr>
        <w:trPr>
          <w:trHeight w:val="197"/>
        </w:trPr>
        <w:tc>
          <w:tcPr>
            <w:tcW w:w="4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.76</w:t>
            </w:r>
          </w:p>
        </w:tc>
        <w:tc>
          <w:tcPr>
            <w:tcW w:w="3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3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w:t>
            </w:r>
          </w:p>
        </w:tc>
        <w:tc>
          <w:tcPr>
            <w:tcW w:w="3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4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4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Average shares outstanding (millions):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3"/>
        </w:trPr>
        <w:tc>
          <w:tcPr>
            <w:tcW w:w="49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Basic</w:t>
            </w:r>
          </w:p>
        </w:tc>
        <w:tc>
          <w:tcPr>
            <w:tcW w:w="8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1,023</w:t>
            </w:r>
          </w:p>
        </w:tc>
        <w:tc>
          <w:tcPr>
            <w:tcW w:w="3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1,060</w:t>
            </w:r>
          </w:p>
        </w:tc>
        <w:tc>
          <w:tcPr>
            <w:tcW w:w="3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1,036</w:t>
            </w:r>
          </w:p>
        </w:tc>
        <w:tc>
          <w:tcPr>
            <w:tcW w:w="3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1,070</w:t>
            </w:r>
          </w:p>
        </w:tc>
        <w:tc>
          <w:tcPr>
            <w:tcW w:w="120" w:type="dxa"/>
            <w:vAlign w:val="bottom"/>
            <w:tcBorders>
              <w:bottom w:val="single" w:sz="8" w:color="CCEEFF"/>
            </w:tcBorders>
          </w:tcPr>
          <w:p>
            <w:pPr>
              <w:spacing w:after="0"/>
              <w:rPr>
                <w:sz w:val="22"/>
                <w:szCs w:val="22"/>
                <w:color w:val="auto"/>
              </w:rPr>
            </w:pPr>
          </w:p>
        </w:tc>
      </w:tr>
      <w:tr>
        <w:trPr>
          <w:trHeight w:val="197"/>
        </w:trPr>
        <w:tc>
          <w:tcPr>
            <w:tcW w:w="4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8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1,035</w:t>
            </w:r>
          </w:p>
        </w:tc>
        <w:tc>
          <w:tcPr>
            <w:tcW w:w="3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1,074</w:t>
            </w:r>
          </w:p>
        </w:tc>
        <w:tc>
          <w:tcPr>
            <w:tcW w:w="3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1,049</w:t>
            </w:r>
          </w:p>
        </w:tc>
        <w:tc>
          <w:tcPr>
            <w:tcW w:w="3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1,085</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4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4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dividends declared per common share</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w:t>
            </w: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3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w:t>
            </w:r>
          </w:p>
        </w:tc>
        <w:tc>
          <w:tcPr>
            <w:tcW w:w="3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0" w:lineRule="exact"/>
        <w:rPr>
          <w:sz w:val="20"/>
          <w:szCs w:val="20"/>
          <w:color w:val="auto"/>
        </w:rPr>
      </w:pPr>
    </w:p>
    <w:p>
      <w:pPr>
        <w:ind w:right="800"/>
        <w:spacing w:after="0" w:line="293" w:lineRule="auto"/>
        <w:rPr>
          <w:sz w:val="20"/>
          <w:szCs w:val="20"/>
          <w:color w:val="auto"/>
        </w:rPr>
      </w:pPr>
      <w:r>
        <w:rPr>
          <w:rFonts w:ascii="Arial" w:cs="Arial" w:eastAsia="Arial" w:hAnsi="Arial"/>
          <w:sz w:val="16"/>
          <w:szCs w:val="16"/>
          <w:color w:val="auto"/>
        </w:rPr>
        <w:t>As a result of accounting rule ASC 260, which requires a portion of Net income to be allocated to unvested restricted stock units (RSUs) on which we pay dividend equivalents, diluted EPS is calculated using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b w:val="1"/>
                <w:bCs w:val="1"/>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798</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4"/>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2,150</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w:t>
            </w:r>
          </w:p>
        </w:tc>
        <w:tc>
          <w:tcPr>
            <w:tcW w:w="120" w:type="dxa"/>
            <w:vAlign w:val="bottom"/>
            <w:shd w:val="clear" w:color="auto" w:fill="CCEEFF"/>
          </w:tcPr>
          <w:p>
            <w:pPr>
              <w:spacing w:after="0"/>
              <w:rPr>
                <w:sz w:val="18"/>
                <w:szCs w:val="18"/>
                <w:color w:val="auto"/>
              </w:rPr>
            </w:pPr>
          </w:p>
        </w:tc>
      </w:tr>
      <w:tr>
        <w:trPr>
          <w:trHeight w:val="213"/>
        </w:trPr>
        <w:tc>
          <w:tcPr>
            <w:tcW w:w="4980" w:type="dxa"/>
            <w:vAlign w:val="bottom"/>
          </w:tcPr>
          <w:p>
            <w:pPr>
              <w:spacing w:after="0"/>
              <w:rPr>
                <w:sz w:val="20"/>
                <w:szCs w:val="20"/>
                <w:color w:val="auto"/>
              </w:rPr>
            </w:pPr>
            <w:r>
              <w:rPr>
                <w:rFonts w:ascii="Arial" w:cs="Arial" w:eastAsia="Arial" w:hAnsi="Arial"/>
                <w:sz w:val="16"/>
                <w:szCs w:val="16"/>
                <w:color w:val="auto"/>
              </w:rPr>
              <w:t>Income allocated to RSUs</w:t>
            </w:r>
          </w:p>
        </w:tc>
        <w:tc>
          <w:tcPr>
            <w:tcW w:w="5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(11)</w:t>
            </w:r>
          </w:p>
        </w:tc>
        <w:tc>
          <w:tcPr>
            <w:tcW w:w="5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(13)</w:t>
            </w:r>
          </w:p>
        </w:tc>
        <w:tc>
          <w:tcPr>
            <w:tcW w:w="5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(30)</w:t>
            </w:r>
          </w:p>
        </w:tc>
        <w:tc>
          <w:tcPr>
            <w:tcW w:w="5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(31)</w:t>
            </w:r>
          </w:p>
        </w:tc>
      </w:tr>
      <w:tr>
        <w:trPr>
          <w:trHeight w:val="210"/>
        </w:trPr>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allocated to common stock for diluted EPS</w:t>
            </w:r>
          </w:p>
        </w:tc>
        <w:tc>
          <w:tcPr>
            <w:tcW w:w="58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787</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4"/>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2,120</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8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 of dollars)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5"/>
          </w:tcPr>
          <w:p>
            <w:pPr>
              <w:jc w:val="right"/>
              <w:ind w:right="540"/>
              <w:spacing w:after="0"/>
              <w:rPr>
                <w:sz w:val="20"/>
                <w:szCs w:val="20"/>
                <w:color w:val="auto"/>
              </w:rPr>
            </w:pPr>
            <w:r>
              <w:rPr>
                <w:rFonts w:ascii="Arial" w:cs="Arial" w:eastAsia="Arial" w:hAnsi="Arial"/>
                <w:sz w:val="16"/>
                <w:szCs w:val="16"/>
                <w:b w:val="1"/>
                <w:bCs w:val="1"/>
                <w:color w:val="auto"/>
                <w:w w:val="92"/>
              </w:rPr>
              <w:t>For Three Months Ended</w:t>
            </w:r>
          </w:p>
        </w:tc>
        <w:tc>
          <w:tcPr>
            <w:tcW w:w="120" w:type="dxa"/>
            <w:vAlign w:val="bottom"/>
          </w:tcPr>
          <w:p>
            <w:pPr>
              <w:spacing w:after="0"/>
              <w:rPr>
                <w:sz w:val="18"/>
                <w:szCs w:val="18"/>
                <w:color w:val="auto"/>
              </w:rPr>
            </w:pPr>
          </w:p>
        </w:tc>
        <w:tc>
          <w:tcPr>
            <w:tcW w:w="20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3"/>
              </w:rPr>
              <w:t>For Nine Months Ended</w:t>
            </w:r>
          </w:p>
        </w:tc>
      </w:tr>
      <w:tr>
        <w:trPr>
          <w:trHeight w:val="219"/>
        </w:trPr>
        <w:tc>
          <w:tcPr>
            <w:tcW w:w="6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jc w:val="right"/>
              <w:ind w:right="92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9"/>
                <w:szCs w:val="19"/>
                <w:color w:val="auto"/>
              </w:rPr>
            </w:pPr>
          </w:p>
        </w:tc>
        <w:tc>
          <w:tcPr>
            <w:tcW w:w="20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r>
      <w:tr>
        <w:trPr>
          <w:trHeight w:val="210"/>
        </w:trPr>
        <w:tc>
          <w:tcPr>
            <w:tcW w:w="68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2015</w:t>
            </w:r>
          </w:p>
        </w:tc>
        <w:tc>
          <w:tcPr>
            <w:tcW w:w="34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2014</w:t>
            </w:r>
          </w:p>
        </w:tc>
        <w:tc>
          <w:tcPr>
            <w:tcW w:w="4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2015</w:t>
            </w:r>
          </w:p>
        </w:tc>
        <w:tc>
          <w:tcPr>
            <w:tcW w:w="34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8"/>
                <w:szCs w:val="18"/>
                <w:color w:val="auto"/>
              </w:rPr>
            </w:pPr>
          </w:p>
        </w:tc>
      </w:tr>
      <w:tr>
        <w:trPr>
          <w:trHeight w:val="212"/>
        </w:trPr>
        <w:tc>
          <w:tcPr>
            <w:tcW w:w="68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2,150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w:t>
            </w:r>
          </w:p>
        </w:tc>
        <w:tc>
          <w:tcPr>
            <w:tcW w:w="120" w:type="dxa"/>
            <w:vAlign w:val="bottom"/>
            <w:shd w:val="clear" w:color="auto" w:fill="CCEEFF"/>
          </w:tcPr>
          <w:p>
            <w:pPr>
              <w:spacing w:after="0"/>
              <w:rPr>
                <w:sz w:val="18"/>
                <w:szCs w:val="18"/>
                <w:color w:val="auto"/>
              </w:rPr>
            </w:pPr>
          </w:p>
        </w:tc>
      </w:tr>
      <w:tr>
        <w:trPr>
          <w:trHeight w:val="213"/>
        </w:trPr>
        <w:tc>
          <w:tcPr>
            <w:tcW w:w="6860" w:type="dxa"/>
            <w:vAlign w:val="bottom"/>
          </w:tcPr>
          <w:p>
            <w:pPr>
              <w:spacing w:after="0"/>
              <w:rPr>
                <w:sz w:val="20"/>
                <w:szCs w:val="20"/>
                <w:color w:val="auto"/>
              </w:rPr>
            </w:pPr>
            <w:r>
              <w:rPr>
                <w:rFonts w:ascii="Arial" w:cs="Arial" w:eastAsia="Arial" w:hAnsi="Arial"/>
                <w:sz w:val="16"/>
                <w:szCs w:val="16"/>
                <w:color w:val="auto"/>
              </w:rPr>
              <w:t>Other comprehensive income (loss), net of taxes: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6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actuarial gains (losses) of defined benefit plans:</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13"/>
        </w:trPr>
        <w:tc>
          <w:tcPr>
            <w:tcW w:w="6860" w:type="dxa"/>
            <w:vAlign w:val="bottom"/>
          </w:tcPr>
          <w:p>
            <w:pPr>
              <w:ind w:left="260"/>
              <w:spacing w:after="0"/>
              <w:rPr>
                <w:sz w:val="20"/>
                <w:szCs w:val="20"/>
                <w:color w:val="auto"/>
              </w:rPr>
            </w:pPr>
            <w:r>
              <w:rPr>
                <w:rFonts w:ascii="Arial" w:cs="Arial" w:eastAsia="Arial" w:hAnsi="Arial"/>
                <w:sz w:val="16"/>
                <w:szCs w:val="16"/>
                <w:color w:val="auto"/>
              </w:rPr>
              <w:t>Adjustments</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(33)</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(43)</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r>
      <w:tr>
        <w:trPr>
          <w:trHeight w:val="219"/>
        </w:trPr>
        <w:tc>
          <w:tcPr>
            <w:tcW w:w="68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Recognized within Net income</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9"/>
                <w:szCs w:val="19"/>
                <w:color w:val="auto"/>
              </w:rPr>
            </w:pPr>
          </w:p>
        </w:tc>
      </w:tr>
      <w:tr>
        <w:trPr>
          <w:trHeight w:val="213"/>
        </w:trPr>
        <w:tc>
          <w:tcPr>
            <w:tcW w:w="6860" w:type="dxa"/>
            <w:vAlign w:val="bottom"/>
          </w:tcPr>
          <w:p>
            <w:pPr>
              <w:ind w:left="140"/>
              <w:spacing w:after="0"/>
              <w:rPr>
                <w:sz w:val="20"/>
                <w:szCs w:val="20"/>
                <w:color w:val="auto"/>
              </w:rPr>
            </w:pPr>
            <w:r>
              <w:rPr>
                <w:rFonts w:ascii="Arial" w:cs="Arial" w:eastAsia="Arial" w:hAnsi="Arial"/>
                <w:sz w:val="16"/>
                <w:szCs w:val="16"/>
                <w:color w:val="auto"/>
              </w:rPr>
              <w:t>Prior service cost of defined benefit plans: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68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Adjustments</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13"/>
        </w:trPr>
        <w:tc>
          <w:tcPr>
            <w:tcW w:w="6860" w:type="dxa"/>
            <w:vAlign w:val="bottom"/>
          </w:tcPr>
          <w:p>
            <w:pPr>
              <w:ind w:left="260"/>
              <w:spacing w:after="0"/>
              <w:rPr>
                <w:sz w:val="20"/>
                <w:szCs w:val="20"/>
                <w:color w:val="auto"/>
              </w:rPr>
            </w:pPr>
            <w:r>
              <w:rPr>
                <w:rFonts w:ascii="Arial" w:cs="Arial" w:eastAsia="Arial" w:hAnsi="Arial"/>
                <w:sz w:val="16"/>
                <w:szCs w:val="16"/>
                <w:color w:val="auto"/>
              </w:rPr>
              <w:t>Recognized within Net income</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19"/>
        </w:trPr>
        <w:tc>
          <w:tcPr>
            <w:tcW w:w="6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13"/>
        </w:trPr>
        <w:tc>
          <w:tcPr>
            <w:tcW w:w="6860" w:type="dxa"/>
            <w:vAlign w:val="bottom"/>
          </w:tcPr>
          <w:p>
            <w:pPr>
              <w:ind w:left="260"/>
              <w:spacing w:after="0"/>
              <w:rPr>
                <w:sz w:val="20"/>
                <w:szCs w:val="20"/>
                <w:color w:val="auto"/>
              </w:rPr>
            </w:pPr>
            <w:r>
              <w:rPr>
                <w:rFonts w:ascii="Arial" w:cs="Arial" w:eastAsia="Arial" w:hAnsi="Arial"/>
                <w:sz w:val="16"/>
                <w:szCs w:val="16"/>
                <w:color w:val="auto"/>
              </w:rPr>
              <w:t>Recognized within Net income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r>
      <w:tr>
        <w:trPr>
          <w:trHeight w:val="212"/>
        </w:trPr>
        <w:tc>
          <w:tcPr>
            <w:tcW w:w="68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comprehensive income (loss)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top w:val="single" w:sz="8" w:color="CCEEFF"/>
            </w:tcBorders>
            <w:shd w:val="clear" w:color="auto" w:fill="CCEEFF"/>
          </w:tcPr>
          <w:p>
            <w:pPr>
              <w:spacing w:after="0"/>
              <w:rPr>
                <w:sz w:val="18"/>
                <w:szCs w:val="18"/>
                <w:color w:val="auto"/>
              </w:rPr>
            </w:pPr>
          </w:p>
        </w:tc>
      </w:tr>
      <w:tr>
        <w:trPr>
          <w:trHeight w:val="207"/>
        </w:trPr>
        <w:tc>
          <w:tcPr>
            <w:tcW w:w="6860" w:type="dxa"/>
            <w:vAlign w:val="bottom"/>
          </w:tcPr>
          <w:p>
            <w:pPr>
              <w:spacing w:after="0"/>
              <w:rPr>
                <w:sz w:val="20"/>
                <w:szCs w:val="20"/>
                <w:color w:val="auto"/>
              </w:rPr>
            </w:pPr>
            <w:r>
              <w:rPr>
                <w:rFonts w:ascii="Arial" w:cs="Arial" w:eastAsia="Arial" w:hAnsi="Arial"/>
                <w:sz w:val="16"/>
                <w:szCs w:val="16"/>
                <w:color w:val="auto"/>
              </w:rPr>
              <w:t>Total comprehensive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799</w:t>
            </w:r>
          </w:p>
        </w:tc>
        <w:tc>
          <w:tcPr>
            <w:tcW w:w="34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w:t>
            </w:r>
          </w:p>
        </w:tc>
        <w:tc>
          <w:tcPr>
            <w:tcW w:w="4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2,169</w:t>
            </w:r>
          </w:p>
        </w:tc>
        <w:tc>
          <w:tcPr>
            <w:tcW w:w="34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w:t>
            </w:r>
          </w:p>
        </w:tc>
        <w:tc>
          <w:tcPr>
            <w:tcW w:w="120" w:type="dxa"/>
            <w:vAlign w:val="bottom"/>
          </w:tcPr>
          <w:p>
            <w:pPr>
              <w:spacing w:after="0"/>
              <w:rPr>
                <w:sz w:val="17"/>
                <w:szCs w:val="17"/>
                <w:color w:val="auto"/>
              </w:rPr>
            </w:pPr>
          </w:p>
        </w:tc>
      </w:tr>
      <w:tr>
        <w:trPr>
          <w:trHeight w:val="20"/>
        </w:trPr>
        <w:tc>
          <w:tcPr>
            <w:tcW w:w="6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w w:val="98"/>
              </w:rPr>
              <w:t>September 30,</w:t>
            </w:r>
          </w:p>
        </w:tc>
        <w:tc>
          <w:tcPr>
            <w:tcW w:w="220" w:type="dxa"/>
            <w:vAlign w:val="bottom"/>
          </w:tcPr>
          <w:p>
            <w:pPr>
              <w:spacing w:after="0"/>
              <w:rPr>
                <w:sz w:val="18"/>
                <w:szCs w:val="18"/>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0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1,133</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1,602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receivable, net of allowances of ($16) and ($12)</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1,481</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240"/>
              <w:spacing w:after="0"/>
              <w:rPr>
                <w:sz w:val="20"/>
                <w:szCs w:val="20"/>
                <w:color w:val="auto"/>
              </w:rPr>
            </w:pPr>
            <w:r>
              <w:rPr>
                <w:rFonts w:ascii="Arial" w:cs="Arial" w:eastAsia="Arial" w:hAnsi="Arial"/>
                <w:sz w:val="16"/>
                <w:szCs w:val="16"/>
                <w:color w:val="auto"/>
              </w:rPr>
              <w:t>Raw materials</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108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Work in process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913</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Finished goods</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750</w:t>
            </w:r>
          </w:p>
        </w:tc>
        <w:tc>
          <w:tcPr>
            <w:tcW w:w="3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Inventories</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1,771</w:t>
            </w: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357</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945</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6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7,289</w:t>
            </w:r>
          </w:p>
        </w:tc>
        <w:tc>
          <w:tcPr>
            <w:tcW w:w="3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7,768</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at cost</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5,742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Accumulated depreciation</w:t>
            </w:r>
          </w:p>
        </w:tc>
        <w:tc>
          <w:tcPr>
            <w:tcW w:w="20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(3,113)</w:t>
            </w:r>
          </w:p>
        </w:tc>
        <w:tc>
          <w:tcPr>
            <w:tcW w:w="22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6"/>
                <w:szCs w:val="16"/>
                <w:color w:val="auto"/>
              </w:rPr>
              <w:t>(3,426)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2,629</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00" w:type="dxa"/>
            <w:vAlign w:val="bottom"/>
            <w:gridSpan w:val="2"/>
          </w:tcPr>
          <w:p>
            <w:pPr>
              <w:spacing w:after="0"/>
              <w:rPr>
                <w:sz w:val="20"/>
                <w:szCs w:val="20"/>
                <w:color w:val="auto"/>
              </w:rPr>
            </w:pPr>
            <w:r>
              <w:rPr>
                <w:rFonts w:ascii="Arial" w:cs="Arial" w:eastAsia="Arial" w:hAnsi="Arial"/>
                <w:sz w:val="16"/>
                <w:szCs w:val="16"/>
                <w:color w:val="auto"/>
              </w:rPr>
              <w:t>Long-term investments</w:t>
            </w: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216</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color w:val="auto"/>
              </w:rPr>
              <w:t>Goodwill, net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4,362</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00" w:type="dxa"/>
            <w:vAlign w:val="bottom"/>
            <w:gridSpan w:val="2"/>
          </w:tcPr>
          <w:p>
            <w:pPr>
              <w:spacing w:after="0"/>
              <w:rPr>
                <w:sz w:val="20"/>
                <w:szCs w:val="20"/>
                <w:color w:val="auto"/>
              </w:rPr>
            </w:pPr>
            <w:r>
              <w:rPr>
                <w:rFonts w:ascii="Arial" w:cs="Arial" w:eastAsia="Arial" w:hAnsi="Arial"/>
                <w:sz w:val="16"/>
                <w:szCs w:val="16"/>
                <w:color w:val="auto"/>
              </w:rPr>
              <w:t>Acquisition-related intangibles, net</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1,662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160</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00" w:type="dxa"/>
            <w:vAlign w:val="bottom"/>
            <w:gridSpan w:val="2"/>
          </w:tcPr>
          <w:p>
            <w:pPr>
              <w:spacing w:after="0"/>
              <w:rPr>
                <w:sz w:val="20"/>
                <w:szCs w:val="20"/>
                <w:color w:val="auto"/>
              </w:rPr>
            </w:pPr>
            <w:r>
              <w:rPr>
                <w:rFonts w:ascii="Arial" w:cs="Arial" w:eastAsia="Arial" w:hAnsi="Arial"/>
                <w:sz w:val="16"/>
                <w:szCs w:val="16"/>
                <w:color w:val="auto"/>
              </w:rPr>
              <w:t>Capitalized software licenses, net</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54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color w:val="auto"/>
              </w:rPr>
              <w:t>Overfunded retirement plans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76</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00" w:type="dxa"/>
            <w:vAlign w:val="bottom"/>
            <w:gridSpan w:val="2"/>
          </w:tcPr>
          <w:p>
            <w:pPr>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92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assets</w:t>
            </w: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16,540</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17,722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7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0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Current portion of long-term debt</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1,000</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367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compensation</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615</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Income taxes payable</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84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income taxes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Accrued expenses and other liabilities</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431</w:t>
            </w:r>
          </w:p>
        </w:tc>
        <w:tc>
          <w:tcPr>
            <w:tcW w:w="3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2,500</w:t>
            </w: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00" w:type="dxa"/>
            <w:vAlign w:val="bottom"/>
            <w:gridSpan w:val="2"/>
          </w:tcPr>
          <w:p>
            <w:pPr>
              <w:spacing w:after="0"/>
              <w:rPr>
                <w:sz w:val="20"/>
                <w:szCs w:val="20"/>
                <w:color w:val="auto"/>
              </w:rPr>
            </w:pPr>
            <w:r>
              <w:rPr>
                <w:rFonts w:ascii="Arial" w:cs="Arial" w:eastAsia="Arial" w:hAnsi="Arial"/>
                <w:sz w:val="16"/>
                <w:szCs w:val="16"/>
                <w:color w:val="auto"/>
              </w:rPr>
              <w:t>Long-term debt</w:t>
            </w: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3,132</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3,641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color w:val="auto"/>
              </w:rPr>
              <w:t>Underfunded retirement plans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247</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00" w:type="dxa"/>
            <w:vAlign w:val="bottom"/>
            <w:gridSpan w:val="2"/>
          </w:tcPr>
          <w:p>
            <w:pPr>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308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color w:val="auto"/>
              </w:rPr>
              <w:t>Deferred credits and 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383</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700" w:type="dxa"/>
            <w:vAlign w:val="bottom"/>
            <w:gridSpan w:val="2"/>
          </w:tcPr>
          <w:p>
            <w:pPr>
              <w:spacing w:after="0"/>
              <w:rPr>
                <w:sz w:val="20"/>
                <w:szCs w:val="20"/>
                <w:color w:val="auto"/>
              </w:rPr>
            </w:pPr>
            <w:r>
              <w:rPr>
                <w:rFonts w:ascii="Arial" w:cs="Arial" w:eastAsia="Arial" w:hAnsi="Arial"/>
                <w:sz w:val="16"/>
                <w:szCs w:val="16"/>
                <w:color w:val="auto"/>
              </w:rPr>
              <w:t>Total liabilities</w:t>
            </w: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6,570</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7,332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Preferred stock, $25 par value. Authorized – 10,000,000 shares</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Participating cumulative preferred. None issued.</w:t>
            </w: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Common stock, $1 par value. Authorized – 2,400,000,000 shares</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Shares issued – 1,740,815,939</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1,741</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Paid-in capital</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1,562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30,731</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29,653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Treasury common stock at cost</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Shares: September 30, 2015 – 721,186,352; December 31, 2014 – 694,189,127</w:t>
            </w: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(23,551)</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(21,840)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Accumulated other comprehensive income (loss), net of taxes (AOCI)</w:t>
            </w:r>
          </w:p>
        </w:tc>
        <w:tc>
          <w:tcPr>
            <w:tcW w:w="20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(513)</w:t>
            </w:r>
          </w:p>
        </w:tc>
        <w:tc>
          <w:tcPr>
            <w:tcW w:w="22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9,970</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00" w:type="dxa"/>
            <w:vAlign w:val="bottom"/>
            <w:gridSpan w:val="2"/>
          </w:tcPr>
          <w:p>
            <w:pPr>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16,540</w:t>
            </w:r>
          </w:p>
        </w:tc>
        <w:tc>
          <w:tcPr>
            <w:tcW w:w="340" w:type="dxa"/>
            <w:vAlign w:val="bottom"/>
          </w:tcPr>
          <w:p>
            <w:pPr>
              <w:spacing w:after="0"/>
              <w:rPr>
                <w:sz w:val="17"/>
                <w:szCs w:val="17"/>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See accompanying notes.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 of dollars)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3040" w:type="dxa"/>
            <w:vAlign w:val="bottom"/>
            <w:gridSpan w:val="4"/>
          </w:tcPr>
          <w:p>
            <w:pPr>
              <w:jc w:val="right"/>
              <w:ind w:right="342"/>
              <w:spacing w:after="0"/>
              <w:rPr>
                <w:sz w:val="20"/>
                <w:szCs w:val="20"/>
                <w:color w:val="auto"/>
              </w:rPr>
            </w:pPr>
            <w:r>
              <w:rPr>
                <w:rFonts w:ascii="Arial" w:cs="Arial" w:eastAsia="Arial" w:hAnsi="Arial"/>
                <w:sz w:val="16"/>
                <w:szCs w:val="16"/>
                <w:b w:val="1"/>
                <w:bCs w:val="1"/>
                <w:color w:val="auto"/>
              </w:rPr>
              <w:t>For Nine Months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682"/>
              <w:spacing w:after="0"/>
              <w:rPr>
                <w:sz w:val="20"/>
                <w:szCs w:val="20"/>
                <w:color w:val="auto"/>
              </w:rPr>
            </w:pPr>
            <w:r>
              <w:rPr>
                <w:rFonts w:ascii="Arial" w:cs="Arial" w:eastAsia="Arial" w:hAnsi="Arial"/>
                <w:sz w:val="16"/>
                <w:szCs w:val="16"/>
                <w:b w:val="1"/>
                <w:bCs w:val="1"/>
                <w:color w:val="auto"/>
              </w:rPr>
              <w:t>September 30,</w:t>
            </w: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2015</w:t>
            </w:r>
          </w:p>
        </w:tc>
        <w:tc>
          <w:tcPr>
            <w:tcW w:w="54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2014</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080" w:type="dxa"/>
            <w:vAlign w:val="bottom"/>
          </w:tcPr>
          <w:p>
            <w:pPr>
              <w:jc w:val="right"/>
              <w:ind w:right="922"/>
              <w:spacing w:after="0"/>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2,150</w:t>
            </w:r>
          </w:p>
        </w:tc>
        <w:tc>
          <w:tcPr>
            <w:tcW w:w="340" w:type="dxa"/>
            <w:vAlign w:val="bottom"/>
          </w:tcPr>
          <w:p>
            <w:pPr>
              <w:spacing w:after="0"/>
              <w:rPr>
                <w:sz w:val="18"/>
                <w:szCs w:val="18"/>
                <w:color w:val="auto"/>
              </w:rPr>
            </w:pPr>
          </w:p>
        </w:tc>
        <w:tc>
          <w:tcPr>
            <w:tcW w:w="1080" w:type="dxa"/>
            <w:vAlign w:val="bottom"/>
          </w:tcPr>
          <w:p>
            <w:pPr>
              <w:jc w:val="right"/>
              <w:ind w:right="922"/>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1,996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Net income:</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240"/>
              <w:spacing w:after="0"/>
              <w:rPr>
                <w:sz w:val="20"/>
                <w:szCs w:val="20"/>
                <w:color w:val="auto"/>
              </w:rPr>
            </w:pPr>
            <w:r>
              <w:rPr>
                <w:rFonts w:ascii="Arial" w:cs="Arial" w:eastAsia="Arial" w:hAnsi="Arial"/>
                <w:sz w:val="16"/>
                <w:szCs w:val="16"/>
                <w:color w:val="auto"/>
              </w:rPr>
              <w:t>Depreciation</w:t>
            </w: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594</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acquisition-related intangibles</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240</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240"/>
              <w:spacing w:after="0"/>
              <w:rPr>
                <w:sz w:val="20"/>
                <w:szCs w:val="20"/>
                <w:color w:val="auto"/>
              </w:rPr>
            </w:pPr>
            <w:r>
              <w:rPr>
                <w:rFonts w:ascii="Arial" w:cs="Arial" w:eastAsia="Arial" w:hAnsi="Arial"/>
                <w:sz w:val="16"/>
                <w:szCs w:val="16"/>
                <w:color w:val="auto"/>
              </w:rPr>
              <w:t>Amortization of capitalized software</w:t>
            </w: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38</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228</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240"/>
              <w:spacing w:after="0"/>
              <w:rPr>
                <w:sz w:val="20"/>
                <w:szCs w:val="20"/>
                <w:color w:val="auto"/>
              </w:rPr>
            </w:pPr>
            <w:r>
              <w:rPr>
                <w:rFonts w:ascii="Arial" w:cs="Arial" w:eastAsia="Arial" w:hAnsi="Arial"/>
                <w:sz w:val="16"/>
                <w:szCs w:val="16"/>
                <w:color w:val="auto"/>
              </w:rPr>
              <w:t>Gains on sales of assets</w:t>
            </w:r>
          </w:p>
        </w:tc>
        <w:tc>
          <w:tcPr>
            <w:tcW w:w="10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(3)</w:t>
            </w:r>
          </w:p>
        </w:tc>
        <w:tc>
          <w:tcPr>
            <w:tcW w:w="10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income taxes</w:t>
            </w:r>
          </w:p>
        </w:tc>
        <w:tc>
          <w:tcPr>
            <w:tcW w:w="10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(106)</w:t>
            </w:r>
          </w:p>
        </w:tc>
        <w:tc>
          <w:tcPr>
            <w:tcW w:w="10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Increase (decrease) from changes in:</w:t>
            </w: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receivable</w:t>
            </w:r>
          </w:p>
        </w:tc>
        <w:tc>
          <w:tcPr>
            <w:tcW w:w="10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(241)</w:t>
            </w:r>
          </w:p>
        </w:tc>
        <w:tc>
          <w:tcPr>
            <w:tcW w:w="10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240"/>
              <w:spacing w:after="0"/>
              <w:rPr>
                <w:sz w:val="20"/>
                <w:szCs w:val="20"/>
                <w:color w:val="auto"/>
              </w:rPr>
            </w:pPr>
            <w:r>
              <w:rPr>
                <w:rFonts w:ascii="Arial" w:cs="Arial" w:eastAsia="Arial" w:hAnsi="Arial"/>
                <w:sz w:val="16"/>
                <w:szCs w:val="16"/>
                <w:color w:val="auto"/>
              </w:rPr>
              <w:t>Inventories</w:t>
            </w: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240"/>
              <w:spacing w:after="0"/>
              <w:rPr>
                <w:sz w:val="20"/>
                <w:szCs w:val="20"/>
                <w:color w:val="auto"/>
              </w:rPr>
            </w:pPr>
            <w:r>
              <w:rPr>
                <w:rFonts w:ascii="Arial" w:cs="Arial" w:eastAsia="Arial" w:hAnsi="Arial"/>
                <w:sz w:val="16"/>
                <w:szCs w:val="16"/>
                <w:color w:val="auto"/>
              </w:rPr>
              <w:t>Accounts payable and accrued expenses</w:t>
            </w:r>
          </w:p>
        </w:tc>
        <w:tc>
          <w:tcPr>
            <w:tcW w:w="10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(190)</w:t>
            </w:r>
          </w:p>
        </w:tc>
        <w:tc>
          <w:tcPr>
            <w:tcW w:w="10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compensation</w:t>
            </w:r>
          </w:p>
        </w:tc>
        <w:tc>
          <w:tcPr>
            <w:tcW w:w="10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(37)</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240"/>
              <w:spacing w:after="0"/>
              <w:rPr>
                <w:sz w:val="20"/>
                <w:szCs w:val="20"/>
                <w:color w:val="auto"/>
              </w:rPr>
            </w:pPr>
            <w:r>
              <w:rPr>
                <w:rFonts w:ascii="Arial" w:cs="Arial" w:eastAsia="Arial" w:hAnsi="Arial"/>
                <w:sz w:val="16"/>
                <w:szCs w:val="16"/>
                <w:color w:val="auto"/>
              </w:rPr>
              <w:t>Income taxes payable</w:t>
            </w: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funded status of retirement plans</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Other</w:t>
            </w:r>
          </w:p>
        </w:tc>
        <w:tc>
          <w:tcPr>
            <w:tcW w:w="10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(23)</w:t>
            </w: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2,838</w:t>
            </w:r>
          </w:p>
        </w:tc>
        <w:tc>
          <w:tcPr>
            <w:tcW w:w="3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10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(387)</w:t>
            </w:r>
          </w:p>
        </w:tc>
        <w:tc>
          <w:tcPr>
            <w:tcW w:w="10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asset sales</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Purchases of short-term investments</w:t>
            </w:r>
          </w:p>
        </w:tc>
        <w:tc>
          <w:tcPr>
            <w:tcW w:w="10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(1,713)</w:t>
            </w:r>
          </w:p>
        </w:tc>
        <w:tc>
          <w:tcPr>
            <w:tcW w:w="10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(2,170)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short-term investments</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2,455</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w:t>
            </w: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3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373</w:t>
            </w:r>
          </w:p>
        </w:tc>
        <w:tc>
          <w:tcPr>
            <w:tcW w:w="3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Proceeds from issuance of long-term debt</w:t>
            </w: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498</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 of debt</w:t>
            </w:r>
          </w:p>
        </w:tc>
        <w:tc>
          <w:tcPr>
            <w:tcW w:w="10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(1,000)</w:t>
            </w:r>
          </w:p>
        </w:tc>
        <w:tc>
          <w:tcPr>
            <w:tcW w:w="10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Dividends paid</w:t>
            </w:r>
          </w:p>
        </w:tc>
        <w:tc>
          <w:tcPr>
            <w:tcW w:w="10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(1,058)</w:t>
            </w:r>
          </w:p>
        </w:tc>
        <w:tc>
          <w:tcPr>
            <w:tcW w:w="10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(967)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 repurchases</w:t>
            </w:r>
          </w:p>
        </w:tc>
        <w:tc>
          <w:tcPr>
            <w:tcW w:w="10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(2,114)</w:t>
            </w:r>
          </w:p>
        </w:tc>
        <w:tc>
          <w:tcPr>
            <w:tcW w:w="10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(2,133)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Proceeds from common stock transactions</w:t>
            </w: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332</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Excess tax benefit from share-based payments</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Other</w:t>
            </w:r>
          </w:p>
        </w:tc>
        <w:tc>
          <w:tcPr>
            <w:tcW w:w="10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(3)</w:t>
            </w:r>
          </w:p>
        </w:tc>
        <w:tc>
          <w:tcPr>
            <w:tcW w:w="10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10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vMerge w:val="continue"/>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(3,277)</w:t>
            </w:r>
          </w:p>
        </w:tc>
        <w:tc>
          <w:tcPr>
            <w:tcW w:w="340" w:type="dxa"/>
            <w:vAlign w:val="bottom"/>
            <w:vMerge w:val="continue"/>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color w:val="auto"/>
              </w:rPr>
              <w:t>Net change in Cash and cash equivalents</w:t>
            </w:r>
          </w:p>
        </w:tc>
        <w:tc>
          <w:tcPr>
            <w:tcW w:w="10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(66)</w:t>
            </w:r>
          </w:p>
        </w:tc>
        <w:tc>
          <w:tcPr>
            <w:tcW w:w="10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13"/>
        </w:trPr>
        <w:tc>
          <w:tcPr>
            <w:tcW w:w="7700" w:type="dxa"/>
            <w:vAlign w:val="bottom"/>
            <w:gridSpan w:val="2"/>
          </w:tcPr>
          <w:p>
            <w:pPr>
              <w:spacing w:after="0"/>
              <w:rPr>
                <w:sz w:val="20"/>
                <w:szCs w:val="20"/>
                <w:color w:val="auto"/>
              </w:rPr>
            </w:pPr>
            <w:r>
              <w:rPr>
                <w:rFonts w:ascii="Arial" w:cs="Arial" w:eastAsia="Arial" w:hAnsi="Arial"/>
                <w:sz w:val="16"/>
                <w:szCs w:val="16"/>
                <w:color w:val="auto"/>
              </w:rPr>
              <w:t>Cash and cash equivalents at beginning of period</w:t>
            </w: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1,199</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1080" w:type="dxa"/>
            <w:vAlign w:val="bottom"/>
            <w:tcBorders>
              <w:top w:val="single" w:sz="8" w:color="auto"/>
              <w:bottom w:val="single" w:sz="8" w:color="auto"/>
            </w:tcBorders>
            <w:shd w:val="clear" w:color="auto" w:fill="CCEEFF"/>
          </w:tcPr>
          <w:p>
            <w:pPr>
              <w:jc w:val="right"/>
              <w:ind w:right="922"/>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1,133</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922"/>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including segment information</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We have two reportable segments, which are established along major categories of products as follows:</w:t>
      </w:r>
    </w:p>
    <w:p>
      <w:pPr>
        <w:spacing w:after="0" w:line="62" w:lineRule="exact"/>
        <w:rPr>
          <w:sz w:val="20"/>
          <w:szCs w:val="20"/>
          <w:color w:val="auto"/>
        </w:rPr>
      </w:pPr>
    </w:p>
    <w:p>
      <w:pPr>
        <w:ind w:left="1040" w:right="120" w:hanging="519"/>
        <w:spacing w:after="0" w:line="264"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Analog </w:t>
      </w:r>
      <w:r>
        <w:rPr>
          <w:rFonts w:ascii="Arial" w:cs="Arial" w:eastAsia="Arial" w:hAnsi="Arial"/>
          <w:sz w:val="18"/>
          <w:szCs w:val="18"/>
          <w:color w:val="auto"/>
        </w:rPr>
        <w:t>– consists of the following product lines: High Volume Analog &amp; Logic; Power Management; High Performance Analog; and Silicon</w:t>
      </w:r>
      <w:r>
        <w:rPr>
          <w:rFonts w:ascii="Arial" w:cs="Arial" w:eastAsia="Arial" w:hAnsi="Arial"/>
          <w:sz w:val="18"/>
          <w:szCs w:val="18"/>
          <w:i w:val="1"/>
          <w:iCs w:val="1"/>
          <w:color w:val="auto"/>
        </w:rPr>
        <w:t xml:space="preserve"> </w:t>
      </w:r>
      <w:r>
        <w:rPr>
          <w:rFonts w:ascii="Arial" w:cs="Arial" w:eastAsia="Arial" w:hAnsi="Arial"/>
          <w:sz w:val="18"/>
          <w:szCs w:val="18"/>
          <w:color w:val="auto"/>
        </w:rPr>
        <w:t>Valley Analog, which consists primarily of products that we acquired through our purchase of National Semiconductor Corporation (National) in 2011.</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Embedded Processing </w:t>
      </w:r>
      <w:r>
        <w:rPr>
          <w:rFonts w:ascii="Arial" w:cs="Arial" w:eastAsia="Arial" w:hAnsi="Arial"/>
          <w:sz w:val="18"/>
          <w:szCs w:val="18"/>
          <w:color w:val="auto"/>
        </w:rPr>
        <w:t>– consists of the following product lines: Processors, Microcontrollers and Connectivity.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report the results of our remaining business activities in Other.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information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5"/>
          </w:tcPr>
          <w:p>
            <w:pPr>
              <w:ind w:left="100"/>
              <w:spacing w:after="0"/>
              <w:rPr>
                <w:sz w:val="20"/>
                <w:szCs w:val="20"/>
                <w:color w:val="auto"/>
              </w:rPr>
            </w:pPr>
            <w:r>
              <w:rPr>
                <w:rFonts w:ascii="Arial" w:cs="Arial" w:eastAsia="Arial" w:hAnsi="Arial"/>
                <w:sz w:val="16"/>
                <w:szCs w:val="16"/>
                <w:b w:val="1"/>
                <w:bCs w:val="1"/>
                <w:color w:val="auto"/>
              </w:rPr>
              <w:t>For Three Months Ended</w:t>
            </w:r>
          </w:p>
        </w:tc>
        <w:tc>
          <w:tcPr>
            <w:tcW w:w="200" w:type="dxa"/>
            <w:vAlign w:val="bottom"/>
          </w:tcPr>
          <w:p>
            <w:pPr>
              <w:spacing w:after="0"/>
              <w:rPr>
                <w:sz w:val="18"/>
                <w:szCs w:val="18"/>
                <w:color w:val="auto"/>
              </w:rPr>
            </w:pPr>
          </w:p>
        </w:tc>
        <w:tc>
          <w:tcPr>
            <w:tcW w:w="2340" w:type="dxa"/>
            <w:vAlign w:val="bottom"/>
            <w:gridSpan w:val="5"/>
          </w:tcPr>
          <w:p>
            <w:pPr>
              <w:ind w:left="160"/>
              <w:spacing w:after="0"/>
              <w:rPr>
                <w:sz w:val="20"/>
                <w:szCs w:val="20"/>
                <w:color w:val="auto"/>
              </w:rPr>
            </w:pPr>
            <w:r>
              <w:rPr>
                <w:rFonts w:ascii="Arial" w:cs="Arial" w:eastAsia="Arial" w:hAnsi="Arial"/>
                <w:sz w:val="16"/>
                <w:szCs w:val="16"/>
                <w:b w:val="1"/>
                <w:bCs w:val="1"/>
                <w:color w:val="auto"/>
              </w:rPr>
              <w:t>For Nine Months Ended</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66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2015</w:t>
            </w:r>
          </w:p>
        </w:tc>
        <w:tc>
          <w:tcPr>
            <w:tcW w:w="4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5"/>
              </w:rPr>
              <w:t>2014</w:t>
            </w:r>
          </w:p>
        </w:tc>
        <w:tc>
          <w:tcPr>
            <w:tcW w:w="4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2015</w:t>
            </w:r>
          </w:p>
        </w:tc>
        <w:tc>
          <w:tcPr>
            <w:tcW w:w="4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95"/>
              </w:rPr>
              <w:t>2014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20" w:type="dxa"/>
            <w:vAlign w:val="bottom"/>
            <w:gridSpan w:val="2"/>
          </w:tcPr>
          <w:p>
            <w:pPr>
              <w:spacing w:after="0"/>
              <w:rPr>
                <w:sz w:val="20"/>
                <w:szCs w:val="20"/>
                <w:color w:val="auto"/>
              </w:rPr>
            </w:pPr>
            <w:r>
              <w:rPr>
                <w:rFonts w:ascii="Arial" w:cs="Arial" w:eastAsia="Arial" w:hAnsi="Arial"/>
                <w:sz w:val="16"/>
                <w:szCs w:val="16"/>
                <w:b w:val="1"/>
                <w:bCs w:val="1"/>
                <w:color w:val="auto"/>
              </w:rPr>
              <w:t>Revenue:</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Analog</w:t>
            </w:r>
          </w:p>
        </w:tc>
        <w:tc>
          <w:tcPr>
            <w:tcW w:w="244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2,182</w:t>
            </w: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2,149</w:t>
            </w: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6,266</w:t>
            </w: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6"/>
                <w:szCs w:val="16"/>
                <w:color w:val="auto"/>
              </w:rPr>
              <w:t>Embedded Processing</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725</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711</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2,087</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522</w:t>
            </w:r>
          </w:p>
        </w:tc>
        <w:tc>
          <w:tcPr>
            <w:tcW w:w="4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4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1,458</w:t>
            </w:r>
          </w:p>
        </w:tc>
        <w:tc>
          <w:tcPr>
            <w:tcW w:w="4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820" w:type="dxa"/>
            <w:vAlign w:val="bottom"/>
            <w:gridSpan w:val="2"/>
          </w:tcPr>
          <w:p>
            <w:pPr>
              <w:spacing w:after="0"/>
              <w:rPr>
                <w:sz w:val="20"/>
                <w:szCs w:val="20"/>
                <w:color w:val="auto"/>
              </w:rPr>
            </w:pPr>
            <w:r>
              <w:rPr>
                <w:rFonts w:ascii="Arial" w:cs="Arial" w:eastAsia="Arial" w:hAnsi="Arial"/>
                <w:sz w:val="16"/>
                <w:szCs w:val="16"/>
                <w:color w:val="auto"/>
              </w:rPr>
              <w:t>Total revenue</w:t>
            </w:r>
          </w:p>
        </w:tc>
        <w:tc>
          <w:tcPr>
            <w:tcW w:w="2260" w:type="dxa"/>
            <w:vAlign w:val="bottom"/>
          </w:tcPr>
          <w:p>
            <w:pPr>
              <w:spacing w:after="0"/>
              <w:rPr>
                <w:sz w:val="21"/>
                <w:szCs w:val="21"/>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3,429</w:t>
            </w:r>
          </w:p>
        </w:tc>
        <w:tc>
          <w:tcPr>
            <w:tcW w:w="460" w:type="dxa"/>
            <w:vAlign w:val="bottom"/>
          </w:tcPr>
          <w:p>
            <w:pPr>
              <w:spacing w:after="0"/>
              <w:rPr>
                <w:sz w:val="21"/>
                <w:szCs w:val="21"/>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3,501</w:t>
            </w:r>
          </w:p>
        </w:tc>
        <w:tc>
          <w:tcPr>
            <w:tcW w:w="480" w:type="dxa"/>
            <w:vAlign w:val="bottom"/>
          </w:tcPr>
          <w:p>
            <w:pPr>
              <w:spacing w:after="0"/>
              <w:rPr>
                <w:sz w:val="21"/>
                <w:szCs w:val="21"/>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9,811</w:t>
            </w:r>
          </w:p>
        </w:tc>
        <w:tc>
          <w:tcPr>
            <w:tcW w:w="480" w:type="dxa"/>
            <w:vAlign w:val="bottom"/>
          </w:tcPr>
          <w:p>
            <w:pPr>
              <w:spacing w:after="0"/>
              <w:rPr>
                <w:sz w:val="21"/>
                <w:szCs w:val="21"/>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80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6"/>
                <w:szCs w:val="16"/>
                <w:b w:val="1"/>
                <w:bCs w:val="1"/>
                <w:color w:val="auto"/>
              </w:rPr>
              <w:t>Operating profit:</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Analog</w:t>
            </w:r>
          </w:p>
        </w:tc>
        <w:tc>
          <w:tcPr>
            <w:tcW w:w="244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812</w:t>
            </w: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w:t>
            </w: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2,261</w:t>
            </w: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6"/>
                <w:szCs w:val="16"/>
                <w:color w:val="auto"/>
              </w:rPr>
              <w:t>Embedded Processing</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174</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114</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432</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178</w:t>
            </w:r>
          </w:p>
        </w:tc>
        <w:tc>
          <w:tcPr>
            <w:tcW w:w="4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4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439</w:t>
            </w:r>
          </w:p>
        </w:tc>
        <w:tc>
          <w:tcPr>
            <w:tcW w:w="4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820" w:type="dxa"/>
            <w:vAlign w:val="bottom"/>
            <w:gridSpan w:val="2"/>
          </w:tcPr>
          <w:p>
            <w:pPr>
              <w:spacing w:after="0"/>
              <w:rPr>
                <w:sz w:val="20"/>
                <w:szCs w:val="20"/>
                <w:color w:val="auto"/>
              </w:rPr>
            </w:pPr>
            <w:r>
              <w:rPr>
                <w:rFonts w:ascii="Arial" w:cs="Arial" w:eastAsia="Arial" w:hAnsi="Arial"/>
                <w:sz w:val="16"/>
                <w:szCs w:val="16"/>
                <w:color w:val="auto"/>
              </w:rPr>
              <w:t>Total operating profit</w:t>
            </w:r>
          </w:p>
        </w:tc>
        <w:tc>
          <w:tcPr>
            <w:tcW w:w="226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1,164</w:t>
            </w:r>
          </w:p>
        </w:tc>
        <w:tc>
          <w:tcPr>
            <w:tcW w:w="460" w:type="dxa"/>
            <w:vAlign w:val="bottom"/>
          </w:tcPr>
          <w:p>
            <w:pPr>
              <w:spacing w:after="0"/>
              <w:rPr>
                <w:sz w:val="17"/>
                <w:szCs w:val="17"/>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1,175</w:t>
            </w:r>
          </w:p>
        </w:tc>
        <w:tc>
          <w:tcPr>
            <w:tcW w:w="48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3,132</w:t>
            </w:r>
          </w:p>
        </w:tc>
        <w:tc>
          <w:tcPr>
            <w:tcW w:w="480" w:type="dxa"/>
            <w:vAlign w:val="bottom"/>
          </w:tcPr>
          <w:p>
            <w:pPr>
              <w:spacing w:after="0"/>
              <w:rPr>
                <w:sz w:val="17"/>
                <w:szCs w:val="17"/>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use centralized manufacturing and support organizations, such as facilities, procurement and logistics, to provide support to our operating segments.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significant accounting policies and practices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consolidated financial statements have been prepared in accordance with accounting principles generally accepted in the U.S. (GAAP) and on the same basis as the audited financial statements included in our annual report on Form 10-K for the year ended December 31, 2014. The Consolidated Statements of Income, Comprehensive Income and Cash Flows for the periods ended September 30, 2015 and 2014, and the Consolidated Balance Sheet as of September 30, 2015, are not audited but reflect all adjustments that are of a normal recurring nature and are necessary for a fair statement of the results of the periods shown.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GAAP for a complete set of financial statements, they should be read in conjunction with the audited consolidated financial statements and notes included in our annual report on Form 10-K for the year ended December 31, 2014. The results for the three- and nine-month periods are not necessarily indicative of a full year’s results.</w:t>
      </w:r>
    </w:p>
    <w:p>
      <w:pPr>
        <w:spacing w:after="0" w:line="18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amounts in the financial statements and tables in these notes, except per-share amounts, are stated in millions of U.S. dollars unless otherwise indicated.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Significant accounting policies and practices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 (EPS)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Unvested share-based payment awards that contain non-forfeitable rights to receive dividends or dividend equivalents, such as our restricted stock units (RSUs), are considered to be participating securities and the two-class method is used for purposes of calculating EPS. Under the two-class method, a portion of Net income is allocated to these participating securities and, therefore, is excluded from the calculation of EPS allocated to common stock, as shown in the table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 (shares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w w:val="95"/>
              </w:rPr>
              <w:t>For Three Months Ended September 30,</w:t>
            </w: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2014</w:t>
            </w: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2"/>
              </w:rPr>
              <w:t>Net</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Net</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2"/>
              </w:rPr>
              <w:t>Income</w:t>
            </w:r>
          </w:p>
        </w:tc>
        <w:tc>
          <w:tcPr>
            <w:tcW w:w="9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EPS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Income</w:t>
            </w: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Shares</w:t>
            </w:r>
          </w:p>
        </w:tc>
        <w:tc>
          <w:tcPr>
            <w:tcW w:w="260" w:type="dxa"/>
            <w:vAlign w:val="bottom"/>
          </w:tcPr>
          <w:p>
            <w:pPr>
              <w:spacing w:after="0"/>
              <w:rPr>
                <w:sz w:val="19"/>
                <w:szCs w:val="19"/>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EPS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Basic EPS:</w:t>
            </w:r>
          </w:p>
        </w:tc>
        <w:tc>
          <w:tcPr>
            <w:tcW w:w="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900" w:type="dxa"/>
            <w:vAlign w:val="bottom"/>
            <w:gridSpan w:val="3"/>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798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826</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w:t>
            </w: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92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for basic EPS calculation</w:t>
            </w:r>
          </w:p>
        </w:tc>
        <w:tc>
          <w:tcPr>
            <w:tcW w:w="900" w:type="dxa"/>
            <w:vAlign w:val="bottom"/>
            <w:gridSpan w:val="3"/>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787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1,023</w:t>
            </w:r>
          </w:p>
        </w:tc>
        <w:tc>
          <w:tcPr>
            <w:tcW w:w="420" w:type="dxa"/>
            <w:vAlign w:val="bottom"/>
            <w:gridSpan w:val="3"/>
          </w:tcPr>
          <w:p>
            <w:pPr>
              <w:jc w:val="right"/>
              <w:ind w:right="64"/>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.77</w:t>
            </w: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813</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1,060</w:t>
            </w:r>
          </w:p>
        </w:tc>
        <w:tc>
          <w:tcPr>
            <w:tcW w:w="240" w:type="dxa"/>
            <w:vAlign w:val="bottom"/>
          </w:tcPr>
          <w:p>
            <w:pPr>
              <w:spacing w:after="0"/>
              <w:rPr>
                <w:sz w:val="22"/>
                <w:szCs w:val="22"/>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20" w:type="dxa"/>
            <w:vAlign w:val="bottom"/>
            <w:gridSpan w:val="2"/>
          </w:tcPr>
          <w:p>
            <w:pPr>
              <w:spacing w:after="0"/>
              <w:rPr>
                <w:sz w:val="20"/>
                <w:szCs w:val="20"/>
                <w:color w:val="auto"/>
              </w:rPr>
            </w:pPr>
            <w:r>
              <w:rPr>
                <w:rFonts w:ascii="Arial" w:cs="Arial" w:eastAsia="Arial" w:hAnsi="Arial"/>
                <w:sz w:val="16"/>
                <w:szCs w:val="16"/>
                <w:color w:val="auto"/>
              </w:rPr>
              <w:t>Adjustment for dilutive shares: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plans</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12</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EPS: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900" w:type="dxa"/>
            <w:vAlign w:val="bottom"/>
            <w:gridSpan w:val="3"/>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798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826</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w:t>
            </w: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92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for diluted EPS calculation</w:t>
            </w:r>
          </w:p>
        </w:tc>
        <w:tc>
          <w:tcPr>
            <w:tcW w:w="80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787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1,035</w:t>
            </w:r>
          </w:p>
        </w:tc>
        <w:tc>
          <w:tcPr>
            <w:tcW w:w="200" w:type="dxa"/>
            <w:vAlign w:val="bottom"/>
            <w:gridSpan w:val="2"/>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.76</w:t>
            </w: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813</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1,074</w:t>
            </w:r>
          </w:p>
        </w:tc>
        <w:tc>
          <w:tcPr>
            <w:tcW w:w="240" w:type="dxa"/>
            <w:vAlign w:val="bottom"/>
          </w:tcPr>
          <w:p>
            <w:pPr>
              <w:spacing w:after="0"/>
              <w:rPr>
                <w:sz w:val="19"/>
                <w:szCs w:val="19"/>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9"/>
          </w:tcPr>
          <w:p>
            <w:pPr>
              <w:jc w:val="right"/>
              <w:ind w:right="120"/>
              <w:spacing w:after="0"/>
              <w:rPr>
                <w:sz w:val="20"/>
                <w:szCs w:val="20"/>
                <w:color w:val="auto"/>
              </w:rPr>
            </w:pPr>
            <w:r>
              <w:rPr>
                <w:rFonts w:ascii="Arial" w:cs="Arial" w:eastAsia="Arial" w:hAnsi="Arial"/>
                <w:sz w:val="16"/>
                <w:szCs w:val="16"/>
                <w:b w:val="1"/>
                <w:bCs w:val="1"/>
                <w:color w:val="auto"/>
                <w:w w:val="94"/>
              </w:rPr>
              <w:t>For Nine Months Ended September 30,</w:t>
            </w: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2014</w:t>
            </w: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4"/>
          </w:tcPr>
          <w:p>
            <w:pPr>
              <w:jc w:val="center"/>
              <w:ind w:right="640"/>
              <w:spacing w:after="0"/>
              <w:rPr>
                <w:sz w:val="20"/>
                <w:szCs w:val="20"/>
                <w:color w:val="auto"/>
              </w:rPr>
            </w:pPr>
            <w:r>
              <w:rPr>
                <w:rFonts w:ascii="Arial" w:cs="Arial" w:eastAsia="Arial" w:hAnsi="Arial"/>
                <w:sz w:val="16"/>
                <w:szCs w:val="16"/>
                <w:b w:val="1"/>
                <w:bCs w:val="1"/>
                <w:color w:val="auto"/>
                <w:w w:val="92"/>
              </w:rPr>
              <w:t>Net</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Net</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center"/>
              <w:ind w:right="660"/>
              <w:spacing w:after="0"/>
              <w:rPr>
                <w:sz w:val="20"/>
                <w:szCs w:val="20"/>
                <w:color w:val="auto"/>
              </w:rPr>
            </w:pPr>
            <w:r>
              <w:rPr>
                <w:rFonts w:ascii="Arial" w:cs="Arial" w:eastAsia="Arial" w:hAnsi="Arial"/>
                <w:sz w:val="16"/>
                <w:szCs w:val="16"/>
                <w:b w:val="1"/>
                <w:bCs w:val="1"/>
                <w:color w:val="auto"/>
                <w:w w:val="89"/>
              </w:rPr>
              <w:t>Income</w:t>
            </w:r>
          </w:p>
        </w:tc>
        <w:tc>
          <w:tcPr>
            <w:tcW w:w="9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EPS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Income</w:t>
            </w: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Shares</w:t>
            </w:r>
          </w:p>
        </w:tc>
        <w:tc>
          <w:tcPr>
            <w:tcW w:w="260" w:type="dxa"/>
            <w:vAlign w:val="bottom"/>
          </w:tcPr>
          <w:p>
            <w:pPr>
              <w:spacing w:after="0"/>
              <w:rPr>
                <w:sz w:val="19"/>
                <w:szCs w:val="19"/>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EPS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Basic EPS:</w:t>
            </w:r>
          </w:p>
        </w:tc>
        <w:tc>
          <w:tcPr>
            <w:tcW w:w="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2,150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1,996</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(31)</w:t>
            </w: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92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6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for basic EPS calculation</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2,119</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1,036</w:t>
            </w:r>
          </w:p>
        </w:tc>
        <w:tc>
          <w:tcPr>
            <w:tcW w:w="100" w:type="dxa"/>
            <w:vAlign w:val="bottom"/>
          </w:tcPr>
          <w:p>
            <w:pPr>
              <w:spacing w:after="0"/>
              <w:rPr>
                <w:sz w:val="22"/>
                <w:szCs w:val="22"/>
                <w:color w:val="auto"/>
              </w:rPr>
            </w:pPr>
          </w:p>
        </w:tc>
        <w:tc>
          <w:tcPr>
            <w:tcW w:w="420" w:type="dxa"/>
            <w:vAlign w:val="bottom"/>
            <w:gridSpan w:val="3"/>
          </w:tcPr>
          <w:p>
            <w:pPr>
              <w:jc w:val="right"/>
              <w:ind w:right="104"/>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2.05</w:t>
            </w:r>
          </w:p>
        </w:tc>
        <w:tc>
          <w:tcPr>
            <w:tcW w:w="20" w:type="dxa"/>
            <w:vAlign w:val="bottom"/>
          </w:tcPr>
          <w:p>
            <w:pPr>
              <w:spacing w:after="0"/>
              <w:rPr>
                <w:sz w:val="22"/>
                <w:szCs w:val="2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1,965</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1,070</w:t>
            </w:r>
          </w:p>
        </w:tc>
        <w:tc>
          <w:tcPr>
            <w:tcW w:w="240" w:type="dxa"/>
            <w:vAlign w:val="bottom"/>
          </w:tcPr>
          <w:p>
            <w:pPr>
              <w:spacing w:after="0"/>
              <w:rPr>
                <w:sz w:val="22"/>
                <w:szCs w:val="22"/>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20" w:type="dxa"/>
            <w:vAlign w:val="bottom"/>
            <w:gridSpan w:val="2"/>
          </w:tcPr>
          <w:p>
            <w:pPr>
              <w:spacing w:after="0"/>
              <w:rPr>
                <w:sz w:val="20"/>
                <w:szCs w:val="20"/>
                <w:color w:val="auto"/>
              </w:rPr>
            </w:pPr>
            <w:r>
              <w:rPr>
                <w:rFonts w:ascii="Arial" w:cs="Arial" w:eastAsia="Arial" w:hAnsi="Arial"/>
                <w:sz w:val="16"/>
                <w:szCs w:val="16"/>
                <w:color w:val="auto"/>
              </w:rPr>
              <w:t>Adjustment for dilutive shares: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plans</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EPS: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2,150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1,996</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(31)</w:t>
            </w: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92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6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for diluted EPS calculation</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2,120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1,049</w:t>
            </w:r>
          </w:p>
        </w:tc>
        <w:tc>
          <w:tcPr>
            <w:tcW w:w="100" w:type="dxa"/>
            <w:vAlign w:val="bottom"/>
          </w:tcPr>
          <w:p>
            <w:pPr>
              <w:spacing w:after="0"/>
              <w:rPr>
                <w:sz w:val="19"/>
                <w:szCs w:val="19"/>
                <w:color w:val="auto"/>
              </w:rPr>
            </w:pPr>
          </w:p>
        </w:tc>
        <w:tc>
          <w:tcPr>
            <w:tcW w:w="420" w:type="dxa"/>
            <w:vAlign w:val="bottom"/>
            <w:gridSpan w:val="3"/>
          </w:tcPr>
          <w:p>
            <w:pPr>
              <w:jc w:val="right"/>
              <w:ind w:right="104"/>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2.02</w:t>
            </w:r>
          </w:p>
        </w:tc>
        <w:tc>
          <w:tcPr>
            <w:tcW w:w="2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1,965</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1,085</w:t>
            </w:r>
          </w:p>
        </w:tc>
        <w:tc>
          <w:tcPr>
            <w:tcW w:w="240" w:type="dxa"/>
            <w:vAlign w:val="bottom"/>
          </w:tcPr>
          <w:p>
            <w:pPr>
              <w:spacing w:after="0"/>
              <w:rPr>
                <w:sz w:val="19"/>
                <w:szCs w:val="19"/>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Potentially dilutive securities representing 14 million and 11 million shares of common stock that were outstanding during the third quarters of 2015 and 2014, respectively, and 12 million and 11 million shares outstanding during the first nine months of 2015 and 2014, respectively, were excluded from the computation of diluted earnings per common share for these periods because their effect would have been anti-dilutive.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and hedging</w:t>
      </w:r>
    </w:p>
    <w:p>
      <w:pPr>
        <w:spacing w:after="0" w:line="117"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We use derivative financial instruments to manage exposure to foreign currency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4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forward foreign currency exchange contracts are credited or charged to OI&amp;E. We do not apply hedge accounting to our foreign currency derivative instruments.</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connection with the issuance of long-term debt, we use financial derivatives such as treasury rate lock agreements that are recognized in AOCI and amortized over the life of the related debt. The results of these derivative transactions have not been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values of financial instruments</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fair values of our derivative financial instruments were not significant as of September 30, 2015. Our investments in cash equivalents, short-term investments and certain long-term investments, as well as our deferred compensation liabilities, are carried at fair value and are discussed in Note 6. The carrying values for other current financial assets and liabilities, such as accounts receivable and accounts payable, approximate fair value due to the short maturity of such instruments. The carrying value of our long-term debt approximates its fair value as measured using broker-dealer quotes, which are based on Level 2 inputs. See Note 6 for the definition of Level 2 inputs.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standards</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No.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 (Topic 606)</w:t>
      </w:r>
      <w:r>
        <w:rPr>
          <w:rFonts w:ascii="Arial" w:cs="Arial" w:eastAsia="Arial" w:hAnsi="Arial"/>
          <w:sz w:val="17"/>
          <w:szCs w:val="17"/>
          <w:color w:val="auto"/>
        </w:rPr>
        <w:t>. This standard provides a single set of guidelines for revenue recognition to be used across all industries and requires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disclosures. In July 2015, the FASB deferred the effective date by one year to December 15, 2017, for annual and interim reporting periods beginning after that date. This standard also permits early adoption, but not before the original effective date of December 15, 2016. We are currently evaluating the potential impact of this standard on our financial position and results of operations.</w:t>
      </w:r>
    </w:p>
    <w:p>
      <w:pPr>
        <w:spacing w:after="0" w:line="173"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 xml:space="preserve">In February 2015, the FASB issued ASU No. 2015-02, </w:t>
      </w:r>
      <w:r>
        <w:rPr>
          <w:rFonts w:ascii="Arial" w:cs="Arial" w:eastAsia="Arial" w:hAnsi="Arial"/>
          <w:sz w:val="18"/>
          <w:szCs w:val="18"/>
          <w:i w:val="1"/>
          <w:iCs w:val="1"/>
          <w:color w:val="auto"/>
        </w:rPr>
        <w:t>Consolidation (Topic 810) – Amendments to the Consolidation Analysis</w:t>
      </w:r>
      <w:r>
        <w:rPr>
          <w:rFonts w:ascii="Arial" w:cs="Arial" w:eastAsia="Arial" w:hAnsi="Arial"/>
          <w:sz w:val="18"/>
          <w:szCs w:val="18"/>
          <w:color w:val="auto"/>
        </w:rPr>
        <w:t>, which changes the way reporting entities evaluate certain investment holdings for possible consolidation and also includes possible changes in disclosures resulting from that evaluation. This standard is effective for annual and interim reporting periods beginning January 1, 2016. We expect this standard will have no material impact on our financial position and results of operations.</w:t>
      </w:r>
    </w:p>
    <w:p>
      <w:pPr>
        <w:spacing w:after="0" w:line="18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In April and August 2015, respectively, the FASB issued ASU No. 2015-03, </w:t>
      </w:r>
      <w:r>
        <w:rPr>
          <w:rFonts w:ascii="Arial" w:cs="Arial" w:eastAsia="Arial" w:hAnsi="Arial"/>
          <w:sz w:val="16"/>
          <w:szCs w:val="16"/>
          <w:i w:val="1"/>
          <w:iCs w:val="1"/>
          <w:color w:val="auto"/>
        </w:rPr>
        <w:t>Interest – Imputation of Interest (Subtopic 835-30): Simplifying the Presentation</w:t>
      </w:r>
      <w:r>
        <w:rPr>
          <w:rFonts w:ascii="Arial" w:cs="Arial" w:eastAsia="Arial" w:hAnsi="Arial"/>
          <w:sz w:val="16"/>
          <w:szCs w:val="16"/>
          <w:color w:val="auto"/>
        </w:rPr>
        <w:t xml:space="preserve"> </w:t>
      </w:r>
      <w:r>
        <w:rPr>
          <w:rFonts w:ascii="Arial" w:cs="Arial" w:eastAsia="Arial" w:hAnsi="Arial"/>
          <w:sz w:val="16"/>
          <w:szCs w:val="16"/>
          <w:i w:val="1"/>
          <w:iCs w:val="1"/>
          <w:color w:val="auto"/>
        </w:rPr>
        <w:t>of Debt Issuance Costs</w:t>
      </w:r>
      <w:r>
        <w:rPr>
          <w:rFonts w:ascii="Arial" w:cs="Arial" w:eastAsia="Arial" w:hAnsi="Arial"/>
          <w:sz w:val="16"/>
          <w:szCs w:val="16"/>
          <w:color w:val="auto"/>
        </w:rPr>
        <w:t>, and ASU 2015-15,</w:t>
      </w:r>
      <w:r>
        <w:rPr>
          <w:rFonts w:ascii="Arial" w:cs="Arial" w:eastAsia="Arial" w:hAnsi="Arial"/>
          <w:sz w:val="16"/>
          <w:szCs w:val="16"/>
          <w:i w:val="1"/>
          <w:iCs w:val="1"/>
          <w:color w:val="auto"/>
        </w:rPr>
        <w:t xml:space="preserve"> Presentation and Subsequent Measurement of Debt Issuance Costs Associated with Line-of-Credit Arrangements</w:t>
      </w:r>
    </w:p>
    <w:p>
      <w:pPr>
        <w:spacing w:after="0" w:line="288" w:lineRule="auto"/>
        <w:rPr>
          <w:sz w:val="20"/>
          <w:szCs w:val="20"/>
          <w:color w:val="auto"/>
        </w:rPr>
      </w:pPr>
      <w:r>
        <w:rPr>
          <w:rFonts w:ascii="Arial" w:cs="Arial" w:eastAsia="Arial" w:hAnsi="Arial"/>
          <w:sz w:val="16"/>
          <w:szCs w:val="16"/>
          <w:i w:val="1"/>
          <w:iCs w:val="1"/>
          <w:color w:val="auto"/>
        </w:rPr>
        <w:t>– Amendments to SEC Paragraphs Pursuant to Staff Announcement at June 18, 2015 EITF Meeting</w:t>
      </w:r>
      <w:r>
        <w:rPr>
          <w:rFonts w:ascii="Arial" w:cs="Arial" w:eastAsia="Arial" w:hAnsi="Arial"/>
          <w:sz w:val="16"/>
          <w:szCs w:val="16"/>
          <w:color w:val="auto"/>
        </w:rPr>
        <w:t>. These standards require that costs associated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issuance of debt, except for costs associated with line-of-credit arrangements, be reported as a direct reduction of the related debt balance. Previously, such costs were recorded as deferred assets and amortized over the term of the debt issued. Costs associated with line-of-credit arrangements may continue to be recorded as deferred assets and amortized over the term of the arrangement. ASU No. 2015-03 is effective for interim and annual periods beginning January 1, 2016, but early adoption is permitted. We plan to adopt this standard for the year ended December 31, 2015. Upon adoption, this standard will be applied retrospectively to all prior periods presented. ASU No. 2015-15 is effective immediately. These standards will have no impact on the Consolidated Statements of Income and will have an immaterial impact from the reclassifications on our Consolidated Balance Sheets.</w:t>
      </w:r>
    </w:p>
    <w:p>
      <w:pPr>
        <w:spacing w:after="0" w:line="16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Also in April 2015, the FASB issued ASU No. 2015-05, </w:t>
      </w:r>
      <w:r>
        <w:rPr>
          <w:rFonts w:ascii="Arial" w:cs="Arial" w:eastAsia="Arial" w:hAnsi="Arial"/>
          <w:sz w:val="17"/>
          <w:szCs w:val="17"/>
          <w:i w:val="1"/>
          <w:iCs w:val="1"/>
          <w:color w:val="auto"/>
        </w:rPr>
        <w:t>Intangibles – Goodwill and Other – 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Fees Paid in a Cloud Computing Arrangement</w:t>
      </w:r>
      <w:r>
        <w:rPr>
          <w:rFonts w:ascii="Arial" w:cs="Arial" w:eastAsia="Arial" w:hAnsi="Arial"/>
          <w:sz w:val="17"/>
          <w:szCs w:val="17"/>
          <w:color w:val="auto"/>
        </w:rPr>
        <w:t>, which provides guidance on whether a cloud-computing arrangement contains a software</w:t>
      </w:r>
      <w:r>
        <w:rPr>
          <w:rFonts w:ascii="Arial" w:cs="Arial" w:eastAsia="Arial" w:hAnsi="Arial"/>
          <w:sz w:val="17"/>
          <w:szCs w:val="17"/>
          <w:i w:val="1"/>
          <w:iCs w:val="1"/>
          <w:color w:val="auto"/>
        </w:rPr>
        <w:t xml:space="preserve"> </w:t>
      </w:r>
      <w:r>
        <w:rPr>
          <w:rFonts w:ascii="Arial" w:cs="Arial" w:eastAsia="Arial" w:hAnsi="Arial"/>
          <w:sz w:val="17"/>
          <w:szCs w:val="17"/>
          <w:color w:val="auto"/>
        </w:rPr>
        <w:t>license, and whether that license should be accounted for separately as an asset or solely as a service contract. This standard also aligns the accounting for licenses of internal-use software with the accounting for licenses of other acquired intangible assets. This standard is effective for interim and annual periods beginning January 1, 2016, but early adoption is permitted. It may be adopted either prospectively to all arrangements entered into or materially modified after the effective date, or retrospectively. We are currently evaluating the potential impact of this standard on our financial position and results of operations and determining which adoption method to use.</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which requires that inventory be measured at the lower of cost or net realizable value rather than the lower of cost or market. This standard must be applied on a prospective basis, and is effective for annual and interim reporting periods beginning January 1, 2017. Since early adoption is permitted, we plan to implement this standard effective January 1, 2016, and expect no material impact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 charges</w:t>
      </w:r>
    </w:p>
    <w:p>
      <w:pPr>
        <w:spacing w:after="0" w:line="121" w:lineRule="exact"/>
        <w:rPr>
          <w:sz w:val="20"/>
          <w:szCs w:val="20"/>
          <w:color w:val="auto"/>
        </w:rPr>
      </w:pPr>
    </w:p>
    <w:p>
      <w:pPr>
        <w:jc w:val="both"/>
        <w:ind w:right="540"/>
        <w:spacing w:after="0" w:line="312" w:lineRule="auto"/>
        <w:rPr>
          <w:sz w:val="20"/>
          <w:szCs w:val="20"/>
          <w:color w:val="auto"/>
        </w:rPr>
      </w:pPr>
      <w:r>
        <w:rPr>
          <w:rFonts w:ascii="Arial" w:cs="Arial" w:eastAsia="Arial" w:hAnsi="Arial"/>
          <w:sz w:val="16"/>
          <w:szCs w:val="16"/>
          <w:color w:val="auto"/>
        </w:rPr>
        <w:t>We incurred various costs as a result of the 2011 acquisition of National that are included in Other for segment reporting purposes, consistent with how management measures the performance of its segments. For the three and nine months ended September 30, 2015 and 2014, Acquisition charges were primarily from the ongoing amortization of intangible assets resulting from the National acquisition. See Note 7 for more information.</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 charges/other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is recognized in Other for segment reporting purposes and consists of:</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100" w:type="dxa"/>
            <w:vAlign w:val="bottom"/>
            <w:gridSpan w:val="4"/>
          </w:tcPr>
          <w:p>
            <w:pPr>
              <w:jc w:val="right"/>
              <w:spacing w:after="0"/>
              <w:rPr>
                <w:sz w:val="20"/>
                <w:szCs w:val="20"/>
                <w:color w:val="auto"/>
              </w:rPr>
            </w:pPr>
            <w:r>
              <w:rPr>
                <w:rFonts w:ascii="Arial" w:cs="Arial" w:eastAsia="Arial" w:hAnsi="Arial"/>
                <w:sz w:val="16"/>
                <w:szCs w:val="16"/>
                <w:b w:val="1"/>
                <w:bCs w:val="1"/>
                <w:color w:val="auto"/>
              </w:rPr>
              <w:t>For Three Months Ended</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ind w:left="140"/>
              <w:spacing w:after="0"/>
              <w:rPr>
                <w:sz w:val="20"/>
                <w:szCs w:val="20"/>
                <w:color w:val="auto"/>
              </w:rPr>
            </w:pPr>
            <w:r>
              <w:rPr>
                <w:rFonts w:ascii="Arial" w:cs="Arial" w:eastAsia="Arial" w:hAnsi="Arial"/>
                <w:sz w:val="16"/>
                <w:szCs w:val="16"/>
                <w:b w:val="1"/>
                <w:bCs w:val="1"/>
                <w:color w:val="auto"/>
              </w:rPr>
              <w:t>For Nine Months Ended</w:t>
            </w:r>
          </w:p>
        </w:tc>
        <w:tc>
          <w:tcPr>
            <w:tcW w:w="0" w:type="dxa"/>
            <w:vAlign w:val="bottom"/>
          </w:tcPr>
          <w:p>
            <w:pPr>
              <w:spacing w:after="0"/>
              <w:rPr>
                <w:sz w:val="1"/>
                <w:szCs w:val="1"/>
                <w:color w:val="auto"/>
              </w:rPr>
            </w:pPr>
          </w:p>
        </w:tc>
      </w:tr>
      <w:tr>
        <w:trPr>
          <w:trHeight w:val="233"/>
        </w:trPr>
        <w:tc>
          <w:tcPr>
            <w:tcW w:w="4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100" w:type="dxa"/>
            <w:vAlign w:val="bottom"/>
            <w:tcBorders>
              <w:bottom w:val="single" w:sz="8" w:color="auto"/>
            </w:tcBorders>
            <w:gridSpan w:val="4"/>
          </w:tcPr>
          <w:p>
            <w:pPr>
              <w:jc w:val="right"/>
              <w:ind w:right="362"/>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278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rPr>
              <w:t>2015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b w:val="1"/>
                <w:bCs w:val="1"/>
                <w:color w:val="auto"/>
              </w:rPr>
              <w:t>2014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ind w:left="140"/>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Restructuring charges by action:</w:t>
            </w:r>
          </w:p>
        </w:tc>
        <w:tc>
          <w:tcPr>
            <w:tcW w:w="20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300" w:type="dxa"/>
            <w:vAlign w:val="bottom"/>
          </w:tcPr>
          <w:p>
            <w:pPr>
              <w:ind w:left="140"/>
              <w:spacing w:after="0"/>
              <w:rPr>
                <w:sz w:val="20"/>
                <w:szCs w:val="20"/>
                <w:color w:val="auto"/>
              </w:rPr>
            </w:pPr>
            <w:r>
              <w:rPr>
                <w:rFonts w:ascii="Arial" w:cs="Arial" w:eastAsia="Arial" w:hAnsi="Arial"/>
                <w:sz w:val="16"/>
                <w:szCs w:val="16"/>
                <w:color w:val="auto"/>
              </w:rPr>
              <w:t>2013 actions (a)</w:t>
            </w:r>
          </w:p>
        </w:tc>
        <w:tc>
          <w:tcPr>
            <w:tcW w:w="2000" w:type="dxa"/>
            <w:vAlign w:val="bottom"/>
          </w:tcPr>
          <w:p>
            <w:pPr>
              <w:spacing w:after="0"/>
              <w:rPr>
                <w:sz w:val="17"/>
                <w:szCs w:val="17"/>
                <w:color w:val="auto"/>
              </w:rPr>
            </w:pPr>
          </w:p>
        </w:tc>
        <w:tc>
          <w:tcPr>
            <w:tcW w:w="780" w:type="dxa"/>
            <w:vAlign w:val="bottom"/>
          </w:tcPr>
          <w:p>
            <w:pPr>
              <w:jc w:val="right"/>
              <w:ind w:right="622"/>
              <w:spacing w:after="0"/>
              <w:rPr>
                <w:sz w:val="20"/>
                <w:szCs w:val="20"/>
                <w:color w:val="auto"/>
              </w:rPr>
            </w:pPr>
            <w:r>
              <w:rPr>
                <w:rFonts w:ascii="Arial" w:cs="Arial" w:eastAsia="Arial" w:hAnsi="Arial"/>
                <w:sz w:val="15"/>
                <w:szCs w:val="15"/>
                <w:b w:val="1"/>
                <w:bCs w:val="1"/>
                <w:color w:val="auto"/>
                <w:w w:val="71"/>
              </w:rPr>
              <w:t>$</w:t>
            </w:r>
          </w:p>
        </w:tc>
        <w:tc>
          <w:tcPr>
            <w:tcW w:w="280" w:type="dxa"/>
            <w:vAlign w:val="bottom"/>
          </w:tcPr>
          <w:p>
            <w:pPr>
              <w:ind w:left="100"/>
              <w:spacing w:after="0"/>
              <w:rPr>
                <w:sz w:val="20"/>
                <w:szCs w:val="20"/>
                <w:color w:val="auto"/>
              </w:rPr>
            </w:pPr>
            <w:r>
              <w:rPr>
                <w:rFonts w:ascii="Arial" w:cs="Arial" w:eastAsia="Arial" w:hAnsi="Arial"/>
                <w:sz w:val="16"/>
                <w:szCs w:val="16"/>
                <w:b w:val="1"/>
                <w:bCs w:val="1"/>
                <w:color w:val="auto"/>
                <w:w w:val="99"/>
              </w:rPr>
              <w:t>—</w:t>
            </w:r>
          </w:p>
        </w:tc>
        <w:tc>
          <w:tcPr>
            <w:tcW w:w="220" w:type="dxa"/>
            <w:vAlign w:val="bottom"/>
          </w:tcPr>
          <w:p>
            <w:pPr>
              <w:spacing w:after="0"/>
              <w:rPr>
                <w:sz w:val="17"/>
                <w:szCs w:val="17"/>
                <w:color w:val="auto"/>
              </w:rPr>
            </w:pPr>
          </w:p>
        </w:tc>
        <w:tc>
          <w:tcPr>
            <w:tcW w:w="820" w:type="dxa"/>
            <w:vAlign w:val="bottom"/>
          </w:tcPr>
          <w:p>
            <w:pPr>
              <w:jc w:val="right"/>
              <w:ind w:right="662"/>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Prior actions (a)</w:t>
            </w:r>
          </w:p>
        </w:tc>
        <w:tc>
          <w:tcPr>
            <w:tcW w:w="20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w w:val="99"/>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6"/>
                <w:szCs w:val="16"/>
                <w:color w:val="auto"/>
              </w:rPr>
              <w:t>Total restructuring charges</w:t>
            </w:r>
          </w:p>
        </w:tc>
        <w:tc>
          <w:tcPr>
            <w:tcW w:w="20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0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ind w:left="100"/>
              <w:spacing w:after="0"/>
              <w:rPr>
                <w:sz w:val="20"/>
                <w:szCs w:val="20"/>
                <w:color w:val="auto"/>
              </w:rPr>
            </w:pPr>
            <w:r>
              <w:rPr>
                <w:rFonts w:ascii="Arial" w:cs="Arial" w:eastAsia="Arial" w:hAnsi="Arial"/>
                <w:sz w:val="16"/>
                <w:szCs w:val="16"/>
                <w:b w:val="1"/>
                <w:bCs w:val="1"/>
                <w:color w:val="auto"/>
                <w:w w:val="99"/>
              </w:rPr>
              <w:t>—</w:t>
            </w:r>
          </w:p>
        </w:tc>
        <w:tc>
          <w:tcPr>
            <w:tcW w:w="22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w:t>
            </w:r>
          </w:p>
        </w:tc>
        <w:tc>
          <w:tcPr>
            <w:tcW w:w="20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00" w:type="dxa"/>
            <w:vAlign w:val="bottom"/>
          </w:tcPr>
          <w:p>
            <w:pPr>
              <w:ind w:left="140"/>
              <w:spacing w:after="0"/>
              <w:rPr>
                <w:sz w:val="20"/>
                <w:szCs w:val="20"/>
                <w:color w:val="auto"/>
              </w:rPr>
            </w:pPr>
            <w:r>
              <w:rPr>
                <w:rFonts w:ascii="Arial" w:cs="Arial" w:eastAsia="Arial" w:hAnsi="Arial"/>
                <w:sz w:val="16"/>
                <w:szCs w:val="16"/>
                <w:color w:val="auto"/>
              </w:rPr>
              <w:t>Gains on sales of assets</w:t>
            </w:r>
          </w:p>
        </w:tc>
        <w:tc>
          <w:tcPr>
            <w:tcW w:w="2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0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w w:val="99"/>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6"/>
                <w:szCs w:val="16"/>
                <w:color w:val="auto"/>
              </w:rPr>
              <w:t>Restructuring charges/other</w:t>
            </w:r>
          </w:p>
        </w:tc>
        <w:tc>
          <w:tcPr>
            <w:tcW w:w="20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300" w:type="dxa"/>
            <w:vAlign w:val="bottom"/>
            <w:vMerge w:val="continue"/>
          </w:tcPr>
          <w:p>
            <w:pPr>
              <w:spacing w:after="0"/>
              <w:rPr>
                <w:sz w:val="17"/>
                <w:szCs w:val="17"/>
                <w:color w:val="auto"/>
              </w:rPr>
            </w:pPr>
          </w:p>
        </w:tc>
        <w:tc>
          <w:tcPr>
            <w:tcW w:w="2000" w:type="dxa"/>
            <w:vAlign w:val="bottom"/>
            <w:vMerge w:val="continue"/>
          </w:tcPr>
          <w:p>
            <w:pPr>
              <w:spacing w:after="0"/>
              <w:rPr>
                <w:sz w:val="17"/>
                <w:szCs w:val="17"/>
                <w:color w:val="auto"/>
              </w:rPr>
            </w:pPr>
          </w:p>
        </w:tc>
        <w:tc>
          <w:tcPr>
            <w:tcW w:w="780" w:type="dxa"/>
            <w:vAlign w:val="bottom"/>
          </w:tcPr>
          <w:p>
            <w:pPr>
              <w:jc w:val="right"/>
              <w:ind w:right="622"/>
              <w:spacing w:after="0"/>
              <w:rPr>
                <w:sz w:val="20"/>
                <w:szCs w:val="20"/>
                <w:color w:val="auto"/>
              </w:rPr>
            </w:pPr>
            <w:r>
              <w:rPr>
                <w:rFonts w:ascii="Arial" w:cs="Arial" w:eastAsia="Arial" w:hAnsi="Arial"/>
                <w:sz w:val="15"/>
                <w:szCs w:val="15"/>
                <w:b w:val="1"/>
                <w:bCs w:val="1"/>
                <w:color w:val="auto"/>
                <w:w w:val="71"/>
              </w:rPr>
              <w:t>$</w:t>
            </w:r>
          </w:p>
        </w:tc>
        <w:tc>
          <w:tcPr>
            <w:tcW w:w="280" w:type="dxa"/>
            <w:vAlign w:val="bottom"/>
          </w:tcPr>
          <w:p>
            <w:pPr>
              <w:ind w:left="100"/>
              <w:spacing w:after="0"/>
              <w:rPr>
                <w:sz w:val="20"/>
                <w:szCs w:val="20"/>
                <w:color w:val="auto"/>
              </w:rPr>
            </w:pPr>
            <w:r>
              <w:rPr>
                <w:rFonts w:ascii="Arial" w:cs="Arial" w:eastAsia="Arial" w:hAnsi="Arial"/>
                <w:sz w:val="16"/>
                <w:szCs w:val="16"/>
                <w:b w:val="1"/>
                <w:bCs w:val="1"/>
                <w:color w:val="auto"/>
                <w:w w:val="99"/>
              </w:rPr>
              <w:t>—</w:t>
            </w:r>
          </w:p>
        </w:tc>
        <w:tc>
          <w:tcPr>
            <w:tcW w:w="220" w:type="dxa"/>
            <w:vAlign w:val="bottom"/>
            <w:vMerge w:val="continue"/>
          </w:tcPr>
          <w:p>
            <w:pPr>
              <w:spacing w:after="0"/>
              <w:rPr>
                <w:sz w:val="17"/>
                <w:szCs w:val="17"/>
                <w:color w:val="auto"/>
              </w:rPr>
            </w:pPr>
          </w:p>
        </w:tc>
        <w:tc>
          <w:tcPr>
            <w:tcW w:w="820" w:type="dxa"/>
            <w:vAlign w:val="bottom"/>
          </w:tcPr>
          <w:p>
            <w:pPr>
              <w:jc w:val="right"/>
              <w:ind w:right="662"/>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(9)</w:t>
            </w:r>
          </w:p>
        </w:tc>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(3)</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changes in estimates.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2013 actions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announced in January 2014 cost-saving actions in Embedded Processing and in Japan to reduce expenses and focus our investments on markets with greater potential for sustainable growth and strong long-term returns. These actions are now complete.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 actions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Prior to 2013, we announced a restructuring of our former Wireless business and the closures of manufacturing facilities in Houston, Texas, and Hiji, Japan.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actions were completed in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reflects the changes in accrued restructuring balances associated with these actions: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00" w:type="dxa"/>
            <w:vAlign w:val="bottom"/>
          </w:tcPr>
          <w:p>
            <w:pPr>
              <w:spacing w:after="0"/>
              <w:rPr>
                <w:sz w:val="18"/>
                <w:szCs w:val="18"/>
                <w:color w:val="auto"/>
              </w:rPr>
            </w:pPr>
          </w:p>
        </w:tc>
        <w:tc>
          <w:tcPr>
            <w:tcW w:w="2440" w:type="dxa"/>
            <w:vAlign w:val="bottom"/>
            <w:gridSpan w:val="5"/>
          </w:tcPr>
          <w:p>
            <w:pPr>
              <w:jc w:val="right"/>
              <w:ind w:right="561"/>
              <w:spacing w:after="0"/>
              <w:rPr>
                <w:sz w:val="20"/>
                <w:szCs w:val="20"/>
                <w:color w:val="auto"/>
              </w:rPr>
            </w:pPr>
            <w:r>
              <w:rPr>
                <w:rFonts w:ascii="Arial" w:cs="Arial" w:eastAsia="Arial" w:hAnsi="Arial"/>
                <w:sz w:val="16"/>
                <w:szCs w:val="16"/>
                <w:b w:val="1"/>
                <w:bCs w:val="1"/>
                <w:color w:val="auto"/>
              </w:rPr>
              <w:t>2013 Actions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Prior Actions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590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Severance</w:t>
            </w: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Other</w:t>
            </w:r>
          </w:p>
        </w:tc>
        <w:tc>
          <w:tcPr>
            <w:tcW w:w="2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7"/>
              </w:rPr>
              <w:t>Severance</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9"/>
        </w:trPr>
        <w:tc>
          <w:tcPr>
            <w:tcW w:w="59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and Benefits</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Charges</w:t>
            </w: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and Benefits</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19"/>
                <w:szCs w:val="19"/>
                <w:color w:val="auto"/>
              </w:rPr>
            </w:pPr>
          </w:p>
        </w:tc>
      </w:tr>
      <w:tr>
        <w:trPr>
          <w:trHeight w:val="213"/>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Accrual as of December 31, 2014</w:t>
            </w:r>
          </w:p>
        </w:tc>
        <w:tc>
          <w:tcPr>
            <w:tcW w:w="940" w:type="dxa"/>
            <w:vAlign w:val="bottom"/>
            <w:shd w:val="clear" w:color="auto" w:fill="CCEEFF"/>
          </w:tcPr>
          <w:p>
            <w:pPr>
              <w:jc w:val="right"/>
              <w:ind w:right="781"/>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81"/>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8"/>
                <w:szCs w:val="18"/>
                <w:color w:val="auto"/>
              </w:rPr>
            </w:pPr>
          </w:p>
        </w:tc>
      </w:tr>
      <w:tr>
        <w:trPr>
          <w:trHeight w:val="210"/>
        </w:trPr>
        <w:tc>
          <w:tcPr>
            <w:tcW w:w="5900" w:type="dxa"/>
            <w:vAlign w:val="bottom"/>
          </w:tcPr>
          <w:p>
            <w:pPr>
              <w:spacing w:after="0"/>
              <w:rPr>
                <w:sz w:val="20"/>
                <w:szCs w:val="20"/>
                <w:color w:val="auto"/>
              </w:rPr>
            </w:pPr>
            <w:r>
              <w:rPr>
                <w:rFonts w:ascii="Arial" w:cs="Arial" w:eastAsia="Arial" w:hAnsi="Arial"/>
                <w:sz w:val="16"/>
                <w:szCs w:val="16"/>
                <w:b w:val="1"/>
                <w:bCs w:val="1"/>
                <w:color w:val="auto"/>
              </w:rPr>
              <w:t>Restructuring charges (a)</w:t>
            </w:r>
          </w:p>
        </w:tc>
        <w:tc>
          <w:tcPr>
            <w:tcW w:w="94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w:t>
            </w:r>
          </w:p>
        </w:tc>
      </w:tr>
      <w:tr>
        <w:trPr>
          <w:trHeight w:val="222"/>
        </w:trPr>
        <w:tc>
          <w:tcPr>
            <w:tcW w:w="5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Payments</w:t>
            </w:r>
          </w:p>
        </w:tc>
        <w:tc>
          <w:tcPr>
            <w:tcW w:w="9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98"/>
              </w:rPr>
              <w:t>(11)</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(18)</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(33)</w:t>
            </w:r>
          </w:p>
        </w:tc>
      </w:tr>
      <w:tr>
        <w:trPr>
          <w:trHeight w:val="207"/>
        </w:trPr>
        <w:tc>
          <w:tcPr>
            <w:tcW w:w="5900" w:type="dxa"/>
            <w:vAlign w:val="bottom"/>
          </w:tcPr>
          <w:p>
            <w:pPr>
              <w:spacing w:after="0"/>
              <w:rPr>
                <w:sz w:val="20"/>
                <w:szCs w:val="20"/>
                <w:color w:val="auto"/>
              </w:rPr>
            </w:pPr>
            <w:r>
              <w:rPr>
                <w:rFonts w:ascii="Arial" w:cs="Arial" w:eastAsia="Arial" w:hAnsi="Arial"/>
                <w:sz w:val="16"/>
                <w:szCs w:val="16"/>
                <w:b w:val="1"/>
                <w:bCs w:val="1"/>
                <w:color w:val="auto"/>
              </w:rPr>
              <w:t>Remaining accrual as of September 30, 2015</w:t>
            </w:r>
          </w:p>
        </w:tc>
        <w:tc>
          <w:tcPr>
            <w:tcW w:w="940" w:type="dxa"/>
            <w:vAlign w:val="bottom"/>
            <w:tcBorders>
              <w:top w:val="single" w:sz="8" w:color="auto"/>
              <w:bottom w:val="single" w:sz="8" w:color="auto"/>
            </w:tcBorders>
          </w:tcPr>
          <w:p>
            <w:pPr>
              <w:jc w:val="right"/>
              <w:ind w:right="781"/>
              <w:spacing w:after="0"/>
              <w:rPr>
                <w:sz w:val="20"/>
                <w:szCs w:val="20"/>
                <w:color w:val="auto"/>
              </w:rPr>
            </w:pPr>
            <w:r>
              <w:rPr>
                <w:rFonts w:ascii="Arial" w:cs="Arial" w:eastAsia="Arial" w:hAnsi="Arial"/>
                <w:sz w:val="15"/>
                <w:szCs w:val="15"/>
                <w:b w:val="1"/>
                <w:bCs w:val="1"/>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881"/>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w:t>
            </w:r>
          </w:p>
        </w:tc>
        <w:tc>
          <w:tcPr>
            <w:tcW w:w="120" w:type="dxa"/>
            <w:vAlign w:val="bottom"/>
          </w:tcPr>
          <w:p>
            <w:pPr>
              <w:spacing w:after="0"/>
              <w:rPr>
                <w:sz w:val="17"/>
                <w:szCs w:val="17"/>
                <w:color w:val="auto"/>
              </w:rPr>
            </w:pPr>
          </w:p>
        </w:tc>
      </w:tr>
      <w:tr>
        <w:trPr>
          <w:trHeight w:val="20"/>
        </w:trPr>
        <w:tc>
          <w:tcPr>
            <w:tcW w:w="5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changes in estimates.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accrual balances above are primarily reported as a component of either Accrued expenses and other liabilities or Deferred credits and other liabilities on our Consolidated Balance Sheets, depending on the expected timing of payment.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Gains on sales of assets</w:t>
      </w:r>
    </w:p>
    <w:p>
      <w:pPr>
        <w:spacing w:after="0" w:line="11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During the first nine months of 2014, we recognized $47 million of gains on sales of assets. This consisted of $30 million associated with the sale of our site in Nice, France, and $17 million of asset sales associated primarily with the closure of our Houston, Texas, and Hiji, Japan, manufacturing facilities.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12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Federal income taxes for the interim periods presented have been included in the accompanying financial statements on the basis of an estimated annual effective tax rate. The rate is based on current tax law and for 2015 does not assume reinstatement of the federal research tax credit, which expired at the end of 2014. As of September 30, 2015, the estimated annual effective tax rate for 2015 is about 30 percent, which differs from the 35 percent statutory corporate tax rate due to lower statutory tax rates applicable to our operations in many of the jurisdictions in which we operate and from U.S. tax benefits.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Valuation of debt and equity investments and certain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and equity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classify our investments as available for sale, trading, equity method or cost method. Most of our investments are classified as available for sale.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Available-for-sale and trading securities are stated at fair value, which is generally based on market prices or broker quotes. See fair-value discussion</w:t>
      </w:r>
    </w:p>
    <w:p>
      <w:pPr>
        <w:spacing w:after="0" w:line="35"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below. Unrealized gains and losses on available-for-sale securities are recorded as an increase or decrease, net of taxes, in AOCI on our Consolidated Balance Sheets. We record other-than-temporary impairments on available-for-sale securities in OI&amp;E in our Consolidated Statements of Income.</w:t>
      </w:r>
    </w:p>
    <w:p>
      <w:pPr>
        <w:spacing w:after="0" w:line="16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classify certain mutual funds as trading securities. These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8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Our other investments are not measured at fair value but are accounted for using either the equity method or cost method. These investments consist of interests in venture capital funds and other non-marketable equity securities. Gains and losses from equity-method investments are reflected in OI&amp;E based on our ownership share of the investee’s financial results. Gains and losses on cost-method investments are recorded in OI&amp;E when realized or when an impairment of the investment’s value is warranted based on our assessment of the recoverability of each investment.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investments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5"/>
          </w:tcPr>
          <w:p>
            <w:pPr>
              <w:ind w:left="1120"/>
              <w:spacing w:after="0"/>
              <w:rPr>
                <w:sz w:val="20"/>
                <w:szCs w:val="20"/>
                <w:color w:val="auto"/>
              </w:rPr>
            </w:pPr>
            <w:r>
              <w:rPr>
                <w:rFonts w:ascii="Arial" w:cs="Arial" w:eastAsia="Arial" w:hAnsi="Arial"/>
                <w:sz w:val="16"/>
                <w:szCs w:val="16"/>
                <w:b w:val="1"/>
                <w:bCs w:val="1"/>
                <w:color w:val="auto"/>
              </w:rPr>
              <w:t>September 30, 2015</w:t>
            </w: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ind w:left="1180"/>
              <w:spacing w:after="0"/>
              <w:rPr>
                <w:sz w:val="20"/>
                <w:szCs w:val="20"/>
                <w:color w:val="auto"/>
              </w:rPr>
            </w:pPr>
            <w:r>
              <w:rPr>
                <w:rFonts w:ascii="Arial" w:cs="Arial" w:eastAsia="Arial" w:hAnsi="Arial"/>
                <w:sz w:val="16"/>
                <w:szCs w:val="16"/>
                <w:b w:val="1"/>
                <w:bCs w:val="1"/>
                <w:color w:val="auto"/>
              </w:rPr>
              <w:t>December 31, 2014</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Cash and Cash</w:t>
            </w:r>
          </w:p>
        </w:tc>
        <w:tc>
          <w:tcPr>
            <w:tcW w:w="8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Arial" w:cs="Arial" w:eastAsia="Arial" w:hAnsi="Arial"/>
                <w:sz w:val="16"/>
                <w:szCs w:val="16"/>
                <w:b w:val="1"/>
                <w:bCs w:val="1"/>
                <w:color w:val="auto"/>
              </w:rPr>
              <w:t>Short-Term</w:t>
            </w:r>
          </w:p>
        </w:tc>
        <w:tc>
          <w:tcPr>
            <w:tcW w:w="80" w:type="dxa"/>
            <w:vAlign w:val="bottom"/>
          </w:tcPr>
          <w:p>
            <w:pPr>
              <w:spacing w:after="0"/>
              <w:rPr>
                <w:sz w:val="17"/>
                <w:szCs w:val="17"/>
                <w:color w:val="auto"/>
              </w:rPr>
            </w:pPr>
          </w:p>
        </w:tc>
        <w:tc>
          <w:tcPr>
            <w:tcW w:w="920" w:type="dxa"/>
            <w:vAlign w:val="bottom"/>
          </w:tcPr>
          <w:p>
            <w:pPr>
              <w:ind w:left="20"/>
              <w:spacing w:after="0"/>
              <w:rPr>
                <w:sz w:val="20"/>
                <w:szCs w:val="20"/>
                <w:color w:val="auto"/>
              </w:rPr>
            </w:pPr>
            <w:r>
              <w:rPr>
                <w:rFonts w:ascii="Arial" w:cs="Arial" w:eastAsia="Arial" w:hAnsi="Arial"/>
                <w:sz w:val="16"/>
                <w:szCs w:val="16"/>
                <w:b w:val="1"/>
                <w:bCs w:val="1"/>
                <w:color w:val="auto"/>
              </w:rPr>
              <w:t>Long-Term</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Cash and Cash</w:t>
            </w:r>
          </w:p>
        </w:tc>
        <w:tc>
          <w:tcPr>
            <w:tcW w:w="1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6"/>
                <w:szCs w:val="16"/>
                <w:b w:val="1"/>
                <w:bCs w:val="1"/>
                <w:color w:val="auto"/>
              </w:rPr>
              <w:t>Short-Term</w:t>
            </w:r>
          </w:p>
        </w:tc>
        <w:tc>
          <w:tcPr>
            <w:tcW w:w="10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Long-Term</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Equivalents</w:t>
            </w:r>
          </w:p>
        </w:tc>
        <w:tc>
          <w:tcPr>
            <w:tcW w:w="8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6"/>
                <w:szCs w:val="16"/>
                <w:b w:val="1"/>
                <w:bCs w:val="1"/>
                <w:color w:val="auto"/>
              </w:rPr>
              <w:t>Investments</w:t>
            </w:r>
          </w:p>
        </w:tc>
        <w:tc>
          <w:tcPr>
            <w:tcW w:w="8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Investments</w:t>
            </w:r>
          </w:p>
        </w:tc>
        <w:tc>
          <w:tcPr>
            <w:tcW w:w="100" w:type="dxa"/>
            <w:vAlign w:val="bottom"/>
          </w:tcPr>
          <w:p>
            <w:pPr>
              <w:spacing w:after="0"/>
              <w:rPr>
                <w:sz w:val="19"/>
                <w:szCs w:val="19"/>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Equivalents</w:t>
            </w: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6"/>
                <w:szCs w:val="16"/>
                <w:b w:val="1"/>
                <w:bCs w:val="1"/>
                <w:color w:val="auto"/>
              </w:rPr>
              <w:t>Investments</w:t>
            </w:r>
          </w:p>
        </w:tc>
        <w:tc>
          <w:tcPr>
            <w:tcW w:w="10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Investments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Measured at fair value:</w:t>
            </w: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80" w:type="dxa"/>
            <w:vAlign w:val="bottom"/>
            <w:gridSpan w:val="2"/>
          </w:tcPr>
          <w:p>
            <w:pPr>
              <w:spacing w:after="0"/>
              <w:rPr>
                <w:sz w:val="20"/>
                <w:szCs w:val="20"/>
                <w:color w:val="auto"/>
              </w:rPr>
            </w:pPr>
            <w:r>
              <w:rPr>
                <w:rFonts w:ascii="Arial" w:cs="Arial" w:eastAsia="Arial" w:hAnsi="Arial"/>
                <w:sz w:val="16"/>
                <w:szCs w:val="16"/>
                <w:color w:val="auto"/>
              </w:rPr>
              <w:t>Available-for-sale securities:</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Money market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618</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Corporate obligations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101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240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1"/>
              </w:rPr>
              <w:t>U.S. Government agency and Treasury securities</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165</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1,362</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1,952</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380" w:type="dxa"/>
            <w:vAlign w:val="bottom"/>
            <w:gridSpan w:val="2"/>
          </w:tcPr>
          <w:p>
            <w:pPr>
              <w:spacing w:after="0"/>
              <w:rPr>
                <w:sz w:val="20"/>
                <w:szCs w:val="20"/>
                <w:color w:val="auto"/>
              </w:rPr>
            </w:pPr>
            <w:r>
              <w:rPr>
                <w:rFonts w:ascii="Arial" w:cs="Arial" w:eastAsia="Arial" w:hAnsi="Arial"/>
                <w:sz w:val="16"/>
                <w:szCs w:val="16"/>
                <w:color w:val="auto"/>
              </w:rPr>
              <w:t>Trading securities:</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180</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380" w:type="dxa"/>
            <w:vAlign w:val="bottom"/>
            <w:gridSpan w:val="2"/>
          </w:tcPr>
          <w:p>
            <w:pPr>
              <w:spacing w:after="0"/>
              <w:rPr>
                <w:sz w:val="20"/>
                <w:szCs w:val="20"/>
                <w:color w:val="auto"/>
              </w:rPr>
            </w:pPr>
            <w:r>
              <w:rPr>
                <w:rFonts w:ascii="Arial" w:cs="Arial" w:eastAsia="Arial" w:hAnsi="Arial"/>
                <w:sz w:val="16"/>
                <w:szCs w:val="16"/>
                <w:color w:val="auto"/>
              </w:rPr>
              <w:t>Total</w:t>
            </w: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884</w:t>
            </w: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1,602</w:t>
            </w: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180</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984</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2,342</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3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6"/>
                <w:szCs w:val="16"/>
                <w:b w:val="1"/>
                <w:bCs w:val="1"/>
                <w:color w:val="auto"/>
              </w:rPr>
              <w:t>Other measurement basis:</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Equity-method investments</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Cost-method investments</w:t>
            </w:r>
          </w:p>
        </w:tc>
        <w:tc>
          <w:tcPr>
            <w:tcW w:w="1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on hand</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249</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380" w:type="dxa"/>
            <w:vAlign w:val="bottom"/>
            <w:gridSpan w:val="2"/>
          </w:tcPr>
          <w:p>
            <w:pPr>
              <w:spacing w:after="0"/>
              <w:rPr>
                <w:sz w:val="20"/>
                <w:szCs w:val="20"/>
                <w:color w:val="auto"/>
              </w:rPr>
            </w:pPr>
            <w:r>
              <w:rPr>
                <w:rFonts w:ascii="Arial" w:cs="Arial" w:eastAsia="Arial" w:hAnsi="Arial"/>
                <w:sz w:val="16"/>
                <w:szCs w:val="16"/>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1,133</w:t>
            </w:r>
          </w:p>
        </w:tc>
        <w:tc>
          <w:tcPr>
            <w:tcW w:w="2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1,602</w:t>
            </w:r>
          </w:p>
        </w:tc>
        <w:tc>
          <w:tcPr>
            <w:tcW w:w="2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216</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1,199</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2,342</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As of September 30, 2015, and December 31, 2014, unrealized gains and losses associated with our available-for-sale investments were not significant. We did not recognize any credit losses related to available-for-sale investments for the nine months ended September 30, 2015 and 2014.</w:t>
      </w:r>
    </w:p>
    <w:p>
      <w:pPr>
        <w:spacing w:after="0" w:line="1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the nine months ended September 30, 2015 and 2014, the proceeds from sales, redemptions and maturities of short-term available-for-sale investments were $2.46 billion and $2.49 billion, respectively. Gross realized gains and losses from these sales were not significant.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aggregate maturities of investments in debt securities classified as available for sale as of September 30, 2015:</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Due</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8"/>
                <w:szCs w:val="18"/>
                <w:color w:val="auto"/>
              </w:rPr>
            </w:pPr>
          </w:p>
        </w:tc>
      </w:tr>
      <w:tr>
        <w:trPr>
          <w:trHeight w:val="210"/>
        </w:trPr>
        <w:tc>
          <w:tcPr>
            <w:tcW w:w="9700" w:type="dxa"/>
            <w:vAlign w:val="bottom"/>
            <w:gridSpan w:val="2"/>
          </w:tcPr>
          <w:p>
            <w:pPr>
              <w:spacing w:after="0"/>
              <w:rPr>
                <w:sz w:val="20"/>
                <w:szCs w:val="20"/>
                <w:color w:val="auto"/>
              </w:rPr>
            </w:pPr>
            <w:r>
              <w:rPr>
                <w:rFonts w:ascii="Arial" w:cs="Arial" w:eastAsia="Arial" w:hAnsi="Arial"/>
                <w:sz w:val="16"/>
                <w:szCs w:val="16"/>
                <w:color w:val="auto"/>
              </w:rPr>
              <w:t>One year or less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2,451</w:t>
            </w:r>
          </w:p>
        </w:tc>
        <w:tc>
          <w:tcPr>
            <w:tcW w:w="120" w:type="dxa"/>
            <w:vAlign w:val="bottom"/>
          </w:tcPr>
          <w:p>
            <w:pPr>
              <w:spacing w:after="0"/>
              <w:rPr>
                <w:sz w:val="18"/>
                <w:szCs w:val="18"/>
                <w:color w:val="auto"/>
              </w:rPr>
            </w:pPr>
          </w:p>
        </w:tc>
      </w:tr>
      <w:tr>
        <w:trPr>
          <w:trHeight w:val="219"/>
        </w:trPr>
        <w:tc>
          <w:tcPr>
            <w:tcW w:w="9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One to two years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Gross realized gains and losses from sales of long-term investments and other-than-temporary declines and impairments in values of these investments were not material for the nine months ended September 30, 2015 and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Fair-value considerations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fair-value measurements.</w:t>
      </w:r>
    </w:p>
    <w:p>
      <w:pPr>
        <w:spacing w:after="0" w:line="117"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1 – Uses unadjusted quoted prices that are available in active markets for identical assets or liabilities as of the reporting date.</w:t>
      </w:r>
    </w:p>
    <w:p>
      <w:pPr>
        <w:spacing w:after="0" w:line="128" w:lineRule="exact"/>
        <w:rPr>
          <w:rFonts w:ascii="Arial" w:cs="Arial" w:eastAsia="Arial" w:hAnsi="Arial"/>
          <w:sz w:val="17"/>
          <w:szCs w:val="17"/>
          <w:color w:val="auto"/>
        </w:rPr>
      </w:pPr>
    </w:p>
    <w:p>
      <w:pPr>
        <w:ind w:left="1040" w:right="20" w:hanging="519"/>
        <w:spacing w:after="0" w:line="273"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2 – Uses inputs other than Level 1 that are either directly or indirectly observable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70" w:lineRule="exact"/>
        <w:rPr>
          <w:rFonts w:ascii="Arial" w:cs="Arial" w:eastAsia="Arial" w:hAnsi="Arial"/>
          <w:sz w:val="17"/>
          <w:szCs w:val="17"/>
          <w:color w:val="auto"/>
        </w:rPr>
      </w:pPr>
    </w:p>
    <w:p>
      <w:pPr>
        <w:ind w:left="1040" w:right="100" w:hanging="519"/>
        <w:spacing w:after="0" w:line="312"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Level 3 – Uses inputs that are unobservable, supported by little or no market activity and reflect the use of significant management judgment. These values are generally determined using pricing models that utilize management estimates of market participant assumptions. As of September 30, 2015, and December 31, 2014, we had no Level 3 assets or liabilities, other than certain assets held by our postretirement plans.</w:t>
      </w:r>
    </w:p>
    <w:p>
      <w:pPr>
        <w:spacing w:after="0" w:line="14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as of September 30, 2015, and December 31, 2014. These tables do not include cash on hand, assets held by our postretirement plans, or assets and liabilities that are measured at historical cost or any basis other than fair value.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6"/>
              </w:rPr>
              <w:t>Fair Value</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9"/>
              </w:rPr>
              <w:t>September 30,</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2015</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60" w:type="dxa"/>
            <w:vAlign w:val="bottom"/>
          </w:tcPr>
          <w:p>
            <w:pPr>
              <w:ind w:left="120"/>
              <w:spacing w:after="0"/>
              <w:rPr>
                <w:sz w:val="20"/>
                <w:szCs w:val="20"/>
                <w:color w:val="auto"/>
              </w:rPr>
            </w:pPr>
            <w:r>
              <w:rPr>
                <w:rFonts w:ascii="Arial" w:cs="Arial" w:eastAsia="Arial" w:hAnsi="Arial"/>
                <w:sz w:val="16"/>
                <w:szCs w:val="16"/>
                <w:color w:val="auto"/>
              </w:rPr>
              <w:t>Money market funds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618</w:t>
            </w:r>
          </w:p>
        </w:tc>
        <w:tc>
          <w:tcPr>
            <w:tcW w:w="34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618</w:t>
            </w:r>
          </w:p>
        </w:tc>
        <w:tc>
          <w:tcPr>
            <w:tcW w:w="360" w:type="dxa"/>
            <w:vAlign w:val="bottom"/>
          </w:tcPr>
          <w:p>
            <w:pPr>
              <w:spacing w:after="0"/>
              <w:rPr>
                <w:sz w:val="18"/>
                <w:szCs w:val="18"/>
                <w:color w:val="auto"/>
              </w:rPr>
            </w:pPr>
          </w:p>
        </w:tc>
        <w:tc>
          <w:tcPr>
            <w:tcW w:w="260" w:type="dxa"/>
            <w:vAlign w:val="bottom"/>
            <w:gridSpan w:val="2"/>
          </w:tcPr>
          <w:p>
            <w:pPr>
              <w:jc w:val="right"/>
              <w:ind w:right="129"/>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Corporate obligations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341</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60" w:type="dxa"/>
            <w:vAlign w:val="bottom"/>
          </w:tcPr>
          <w:p>
            <w:pPr>
              <w:ind w:left="120"/>
              <w:spacing w:after="0"/>
              <w:rPr>
                <w:sz w:val="20"/>
                <w:szCs w:val="20"/>
                <w:color w:val="auto"/>
              </w:rPr>
            </w:pPr>
            <w:r>
              <w:rPr>
                <w:rFonts w:ascii="Arial" w:cs="Arial" w:eastAsia="Arial" w:hAnsi="Arial"/>
                <w:sz w:val="16"/>
                <w:szCs w:val="16"/>
                <w:color w:val="auto"/>
              </w:rPr>
              <w:t>U.S. Government agency and Treasury securities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1,527</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1,307</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180</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180</w:t>
            </w: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7"/>
        </w:trPr>
        <w:tc>
          <w:tcPr>
            <w:tcW w:w="658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2,666</w:t>
            </w:r>
          </w:p>
        </w:tc>
        <w:tc>
          <w:tcPr>
            <w:tcW w:w="34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2,105</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6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compensation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191</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191</w:t>
            </w:r>
          </w:p>
        </w:tc>
        <w:tc>
          <w:tcPr>
            <w:tcW w:w="3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29"/>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6580" w:type="dxa"/>
            <w:vAlign w:val="bottom"/>
            <w:gridSpan w:val="2"/>
          </w:tcPr>
          <w:p>
            <w:pPr>
              <w:spacing w:after="0"/>
              <w:rPr>
                <w:sz w:val="20"/>
                <w:szCs w:val="20"/>
                <w:color w:val="auto"/>
              </w:rPr>
            </w:pPr>
            <w:r>
              <w:rPr>
                <w:rFonts w:ascii="Arial" w:cs="Arial" w:eastAsia="Arial" w:hAnsi="Arial"/>
                <w:sz w:val="16"/>
                <w:szCs w:val="16"/>
                <w:color w:val="auto"/>
              </w:rPr>
              <w:t>Total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w:t>
            </w:r>
          </w:p>
        </w:tc>
        <w:tc>
          <w:tcPr>
            <w:tcW w:w="34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w:t>
            </w:r>
          </w:p>
        </w:tc>
        <w:tc>
          <w:tcPr>
            <w:tcW w:w="3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6"/>
              </w:rPr>
              <w:t>Fair Value</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0"/>
              </w:rPr>
              <w:t>December 31,</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2014</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9"/>
                <w:szCs w:val="19"/>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60" w:type="dxa"/>
            <w:vAlign w:val="bottom"/>
          </w:tcPr>
          <w:p>
            <w:pPr>
              <w:ind w:left="120"/>
              <w:spacing w:after="0"/>
              <w:rPr>
                <w:sz w:val="20"/>
                <w:szCs w:val="20"/>
                <w:color w:val="auto"/>
              </w:rPr>
            </w:pPr>
            <w:r>
              <w:rPr>
                <w:rFonts w:ascii="Arial" w:cs="Arial" w:eastAsia="Arial" w:hAnsi="Arial"/>
                <w:sz w:val="16"/>
                <w:szCs w:val="16"/>
                <w:color w:val="auto"/>
              </w:rPr>
              <w:t>Money market funds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522</w:t>
            </w:r>
          </w:p>
        </w:tc>
        <w:tc>
          <w:tcPr>
            <w:tcW w:w="34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522</w:t>
            </w:r>
          </w:p>
        </w:tc>
        <w:tc>
          <w:tcPr>
            <w:tcW w:w="36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Corporate obligations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60" w:type="dxa"/>
            <w:vAlign w:val="bottom"/>
          </w:tcPr>
          <w:p>
            <w:pPr>
              <w:ind w:left="120"/>
              <w:spacing w:after="0"/>
              <w:rPr>
                <w:sz w:val="20"/>
                <w:szCs w:val="20"/>
                <w:color w:val="auto"/>
              </w:rPr>
            </w:pPr>
            <w:r>
              <w:rPr>
                <w:rFonts w:ascii="Arial" w:cs="Arial" w:eastAsia="Arial" w:hAnsi="Arial"/>
                <w:sz w:val="16"/>
                <w:szCs w:val="16"/>
                <w:color w:val="auto"/>
              </w:rPr>
              <w:t>U.S. Government agency and Treasury securities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2,317</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1,762</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658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3,511</w:t>
            </w:r>
          </w:p>
        </w:tc>
        <w:tc>
          <w:tcPr>
            <w:tcW w:w="34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2,469</w:t>
            </w:r>
          </w:p>
        </w:tc>
        <w:tc>
          <w:tcPr>
            <w:tcW w:w="36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6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compensation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3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3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580" w:type="dxa"/>
            <w:vAlign w:val="bottom"/>
            <w:gridSpan w:val="2"/>
          </w:tcPr>
          <w:p>
            <w:pPr>
              <w:spacing w:after="0"/>
              <w:rPr>
                <w:sz w:val="20"/>
                <w:szCs w:val="20"/>
                <w:color w:val="auto"/>
              </w:rPr>
            </w:pPr>
            <w:r>
              <w:rPr>
                <w:rFonts w:ascii="Arial" w:cs="Arial" w:eastAsia="Arial" w:hAnsi="Arial"/>
                <w:sz w:val="16"/>
                <w:szCs w:val="16"/>
                <w:color w:val="auto"/>
              </w:rPr>
              <w:t>Total liabilities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202</w:t>
            </w:r>
          </w:p>
        </w:tc>
        <w:tc>
          <w:tcPr>
            <w:tcW w:w="34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202</w:t>
            </w:r>
          </w:p>
        </w:tc>
        <w:tc>
          <w:tcPr>
            <w:tcW w:w="360" w:type="dxa"/>
            <w:vAlign w:val="bottom"/>
          </w:tcPr>
          <w:p>
            <w:pPr>
              <w:spacing w:after="0"/>
              <w:rPr>
                <w:sz w:val="17"/>
                <w:szCs w:val="17"/>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acquisition-related intangibles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Goodwill was $4.36 billion net of accumulated impairment of $90 million as of September 30, 2015, and December 31, 2014. There was no impairment of goodwill during the nine months ended September 30, 2015 and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acquisition-related intangible assets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0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Amortization</w:t>
            </w:r>
          </w:p>
        </w:tc>
        <w:tc>
          <w:tcPr>
            <w:tcW w:w="1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September 30, 2015</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5"/>
          </w:tcPr>
          <w:p>
            <w:pPr>
              <w:ind w:left="1080"/>
              <w:spacing w:after="0"/>
              <w:rPr>
                <w:sz w:val="20"/>
                <w:szCs w:val="20"/>
                <w:color w:val="auto"/>
              </w:rPr>
            </w:pPr>
            <w:r>
              <w:rPr>
                <w:rFonts w:ascii="Arial" w:cs="Arial" w:eastAsia="Arial" w:hAnsi="Arial"/>
                <w:sz w:val="16"/>
                <w:szCs w:val="16"/>
                <w:b w:val="1"/>
                <w:bCs w:val="1"/>
                <w:color w:val="auto"/>
              </w:rPr>
              <w:t>December 31, 2014</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220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Period</w:t>
            </w:r>
          </w:p>
        </w:tc>
        <w:tc>
          <w:tcPr>
            <w:tcW w:w="10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Arial" w:cs="Arial" w:eastAsia="Arial" w:hAnsi="Arial"/>
                <w:sz w:val="16"/>
                <w:szCs w:val="16"/>
                <w:b w:val="1"/>
                <w:bCs w:val="1"/>
                <w:color w:val="auto"/>
              </w:rPr>
              <w:t>Gross Carrying</w:t>
            </w:r>
          </w:p>
        </w:tc>
        <w:tc>
          <w:tcPr>
            <w:tcW w:w="1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Accumulated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auto"/>
                <w:w w:val="92"/>
              </w:rPr>
              <w:t>Gross Carrying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22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(Years)</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Amount</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4"/>
              </w:rPr>
              <w:t>Amortization</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Net</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Amount</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Net</w:t>
            </w:r>
          </w:p>
        </w:tc>
        <w:tc>
          <w:tcPr>
            <w:tcW w:w="60" w:type="dxa"/>
            <w:vAlign w:val="bottom"/>
            <w:tcBorders>
              <w:bottom w:val="single" w:sz="8" w:color="CCEEFF"/>
            </w:tcBorders>
          </w:tcPr>
          <w:p>
            <w:pPr>
              <w:spacing w:after="0"/>
              <w:rPr>
                <w:sz w:val="19"/>
                <w:szCs w:val="19"/>
                <w:color w:val="auto"/>
              </w:rPr>
            </w:pPr>
          </w:p>
        </w:tc>
      </w:tr>
      <w:tr>
        <w:trPr>
          <w:trHeight w:val="213"/>
        </w:trPr>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Developed technology</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2"/>
              </w:rPr>
              <w:t>7 - 10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874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1,257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w:t>
            </w:r>
          </w:p>
        </w:tc>
        <w:tc>
          <w:tcPr>
            <w:tcW w:w="60" w:type="dxa"/>
            <w:vAlign w:val="bottom"/>
            <w:shd w:val="clear" w:color="auto" w:fill="CCEEFF"/>
          </w:tcPr>
          <w:p>
            <w:pPr>
              <w:spacing w:after="0"/>
              <w:rPr>
                <w:sz w:val="18"/>
                <w:szCs w:val="18"/>
                <w:color w:val="auto"/>
              </w:rPr>
            </w:pPr>
          </w:p>
        </w:tc>
      </w:tr>
      <w:tr>
        <w:trPr>
          <w:trHeight w:val="213"/>
        </w:trPr>
        <w:tc>
          <w:tcPr>
            <w:tcW w:w="2200" w:type="dxa"/>
            <w:vAlign w:val="bottom"/>
          </w:tcPr>
          <w:p>
            <w:pPr>
              <w:spacing w:after="0"/>
              <w:rPr>
                <w:sz w:val="20"/>
                <w:szCs w:val="20"/>
                <w:color w:val="auto"/>
              </w:rPr>
            </w:pPr>
            <w:r>
              <w:rPr>
                <w:rFonts w:ascii="Arial" w:cs="Arial" w:eastAsia="Arial" w:hAnsi="Arial"/>
                <w:sz w:val="16"/>
                <w:szCs w:val="16"/>
                <w:color w:val="auto"/>
              </w:rPr>
              <w:t>Customer relationships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9"/>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810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406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404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480</w:t>
            </w:r>
          </w:p>
        </w:tc>
        <w:tc>
          <w:tcPr>
            <w:tcW w:w="60" w:type="dxa"/>
            <w:vAlign w:val="bottom"/>
          </w:tcPr>
          <w:p>
            <w:pPr>
              <w:spacing w:after="0"/>
              <w:rPr>
                <w:sz w:val="18"/>
                <w:szCs w:val="18"/>
                <w:color w:val="auto"/>
              </w:rPr>
            </w:pPr>
          </w:p>
        </w:tc>
      </w:tr>
      <w:tr>
        <w:trPr>
          <w:trHeight w:val="219"/>
        </w:trPr>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Other intangibles</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19"/>
                <w:szCs w:val="19"/>
                <w:color w:val="auto"/>
              </w:rPr>
            </w:pPr>
          </w:p>
        </w:tc>
      </w:tr>
      <w:tr>
        <w:trPr>
          <w:trHeight w:val="207"/>
        </w:trPr>
        <w:tc>
          <w:tcPr>
            <w:tcW w:w="2200" w:type="dxa"/>
            <w:vAlign w:val="bottom"/>
          </w:tcPr>
          <w:p>
            <w:pPr>
              <w:spacing w:after="0"/>
              <w:rPr>
                <w:sz w:val="20"/>
                <w:szCs w:val="20"/>
                <w:color w:val="auto"/>
              </w:rPr>
            </w:pPr>
            <w:r>
              <w:rPr>
                <w:rFonts w:ascii="Arial" w:cs="Arial" w:eastAsia="Arial" w:hAnsi="Arial"/>
                <w:sz w:val="16"/>
                <w:szCs w:val="16"/>
                <w:color w:val="auto"/>
              </w:rPr>
              <w:t>Total</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2,944</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1,282</w:t>
            </w:r>
          </w:p>
        </w:tc>
        <w:tc>
          <w:tcPr>
            <w:tcW w:w="2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1,662</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2,948</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1,046</w:t>
            </w:r>
          </w:p>
        </w:tc>
        <w:tc>
          <w:tcPr>
            <w:tcW w:w="2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1,902</w:t>
            </w:r>
          </w:p>
        </w:tc>
        <w:tc>
          <w:tcPr>
            <w:tcW w:w="60" w:type="dxa"/>
            <w:vAlign w:val="bottom"/>
          </w:tcPr>
          <w:p>
            <w:pPr>
              <w:spacing w:after="0"/>
              <w:rPr>
                <w:sz w:val="17"/>
                <w:szCs w:val="17"/>
                <w:color w:val="auto"/>
              </w:rPr>
            </w:pPr>
          </w:p>
        </w:tc>
      </w:tr>
      <w:tr>
        <w:trPr>
          <w:trHeight w:val="20"/>
        </w:trPr>
        <w:tc>
          <w:tcPr>
            <w:tcW w:w="2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Amortization of acquisition-related intangibles was $80 million for the third quarters of 2015 and 2014, and $240 million and $241 million for the first nine months of 2015 and 2014, respectively, primarily related to developed technology. Fully amortized assets are written off against accumulated amortization.</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Postretirement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Expense related to defined benefit and retiree health care benefit plans was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64"/>
              <w:spacing w:after="0"/>
              <w:rPr>
                <w:sz w:val="20"/>
                <w:szCs w:val="20"/>
                <w:color w:val="auto"/>
              </w:rPr>
            </w:pPr>
            <w:r>
              <w:rPr>
                <w:rFonts w:ascii="Arial" w:cs="Arial" w:eastAsia="Arial" w:hAnsi="Arial"/>
                <w:sz w:val="16"/>
                <w:szCs w:val="16"/>
                <w:b w:val="1"/>
                <w:bCs w:val="1"/>
                <w:color w:val="auto"/>
              </w:rPr>
              <w:t>U.S.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3"/>
          </w:tcPr>
          <w:p>
            <w:pPr>
              <w:jc w:val="right"/>
              <w:ind w:right="542"/>
              <w:spacing w:after="0"/>
              <w:rPr>
                <w:sz w:val="20"/>
                <w:szCs w:val="20"/>
                <w:color w:val="auto"/>
              </w:rPr>
            </w:pPr>
            <w:r>
              <w:rPr>
                <w:rFonts w:ascii="Arial" w:cs="Arial" w:eastAsia="Arial" w:hAnsi="Arial"/>
                <w:sz w:val="16"/>
                <w:szCs w:val="16"/>
                <w:b w:val="1"/>
                <w:bCs w:val="1"/>
                <w:color w:val="auto"/>
              </w:rPr>
              <w:t>U.S.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3"/>
          </w:tcPr>
          <w:p>
            <w:pPr>
              <w:jc w:val="right"/>
              <w:ind w:right="362"/>
              <w:spacing w:after="0"/>
              <w:rPr>
                <w:sz w:val="20"/>
                <w:szCs w:val="20"/>
                <w:color w:val="auto"/>
              </w:rPr>
            </w:pPr>
            <w:r>
              <w:rPr>
                <w:rFonts w:ascii="Arial" w:cs="Arial" w:eastAsia="Arial" w:hAnsi="Arial"/>
                <w:sz w:val="16"/>
                <w:szCs w:val="16"/>
                <w:b w:val="1"/>
                <w:bCs w:val="1"/>
                <w:color w:val="auto"/>
                <w:w w:val="97"/>
              </w:rPr>
              <w:t>Non-U.S.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5"/>
          </w:tcPr>
          <w:p>
            <w:pPr>
              <w:jc w:val="right"/>
              <w:ind w:right="620"/>
              <w:spacing w:after="0"/>
              <w:rPr>
                <w:sz w:val="20"/>
                <w:szCs w:val="20"/>
                <w:color w:val="auto"/>
              </w:rPr>
            </w:pPr>
            <w:r>
              <w:rPr>
                <w:rFonts w:ascii="Arial" w:cs="Arial" w:eastAsia="Arial" w:hAnsi="Arial"/>
                <w:sz w:val="16"/>
                <w:szCs w:val="16"/>
                <w:b w:val="1"/>
                <w:bCs w:val="1"/>
                <w:color w:val="auto"/>
              </w:rPr>
              <w:t>Defined Benefit</w:t>
            </w:r>
          </w:p>
        </w:tc>
        <w:tc>
          <w:tcPr>
            <w:tcW w:w="18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Retiree Health Care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4"/>
          </w:tcPr>
          <w:p>
            <w:pPr>
              <w:jc w:val="right"/>
              <w:ind w:right="122"/>
              <w:spacing w:after="0"/>
              <w:rPr>
                <w:sz w:val="20"/>
                <w:szCs w:val="20"/>
                <w:color w:val="auto"/>
              </w:rPr>
            </w:pPr>
            <w:r>
              <w:rPr>
                <w:rFonts w:ascii="Arial" w:cs="Arial" w:eastAsia="Arial" w:hAnsi="Arial"/>
                <w:sz w:val="16"/>
                <w:szCs w:val="16"/>
                <w:b w:val="1"/>
                <w:bCs w:val="1"/>
                <w:color w:val="auto"/>
              </w:rPr>
              <w:t>Defined Benefit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498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For Three Months Ended September 30,</w:t>
            </w: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2015</w:t>
            </w:r>
          </w:p>
        </w:tc>
        <w:tc>
          <w:tcPr>
            <w:tcW w:w="2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2014</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2015</w:t>
            </w:r>
          </w:p>
        </w:tc>
        <w:tc>
          <w:tcPr>
            <w:tcW w:w="240" w:type="dxa"/>
            <w:vAlign w:val="bottom"/>
            <w:tcBorders>
              <w:top w:val="single" w:sz="8" w:color="auto"/>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24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2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26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r>
      <w:tr>
        <w:trPr>
          <w:trHeight w:val="212"/>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Service cost</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2"/>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2"/>
              <w:spacing w:after="0"/>
              <w:rPr>
                <w:sz w:val="20"/>
                <w:szCs w:val="20"/>
                <w:color w:val="auto"/>
              </w:rPr>
            </w:pPr>
            <w:r>
              <w:rPr>
                <w:rFonts w:ascii="Arial" w:cs="Arial" w:eastAsia="Arial" w:hAnsi="Arial"/>
                <w:sz w:val="15"/>
                <w:szCs w:val="15"/>
                <w:b w:val="1"/>
                <w:bCs w:val="1"/>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2"/>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r>
      <w:tr>
        <w:trPr>
          <w:trHeight w:val="213"/>
        </w:trPr>
        <w:tc>
          <w:tcPr>
            <w:tcW w:w="4980" w:type="dxa"/>
            <w:vAlign w:val="bottom"/>
          </w:tcPr>
          <w:p>
            <w:pPr>
              <w:spacing w:after="0"/>
              <w:rPr>
                <w:sz w:val="20"/>
                <w:szCs w:val="20"/>
                <w:color w:val="auto"/>
              </w:rPr>
            </w:pPr>
            <w:r>
              <w:rPr>
                <w:rFonts w:ascii="Arial" w:cs="Arial" w:eastAsia="Arial" w:hAnsi="Arial"/>
                <w:sz w:val="16"/>
                <w:szCs w:val="16"/>
                <w:color w:val="auto"/>
              </w:rPr>
              <w:t>Interest cost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r>
      <w:tr>
        <w:trPr>
          <w:trHeight w:val="219"/>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Expected return on plan assets</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(12)</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(5)</w:t>
            </w:r>
          </w:p>
        </w:tc>
        <w:tc>
          <w:tcPr>
            <w:tcW w:w="6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(19)</w:t>
            </w:r>
          </w:p>
        </w:tc>
        <w:tc>
          <w:tcPr>
            <w:tcW w:w="6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w:t>
            </w:r>
          </w:p>
        </w:tc>
      </w:tr>
      <w:tr>
        <w:trPr>
          <w:trHeight w:val="213"/>
        </w:trPr>
        <w:tc>
          <w:tcPr>
            <w:tcW w:w="4980" w:type="dxa"/>
            <w:vAlign w:val="bottom"/>
          </w:tcPr>
          <w:p>
            <w:pPr>
              <w:spacing w:after="0"/>
              <w:rPr>
                <w:sz w:val="20"/>
                <w:szCs w:val="20"/>
                <w:color w:val="auto"/>
              </w:rPr>
            </w:pPr>
            <w:r>
              <w:rPr>
                <w:rFonts w:ascii="Arial" w:cs="Arial" w:eastAsia="Arial" w:hAnsi="Arial"/>
                <w:sz w:val="16"/>
                <w:szCs w:val="16"/>
                <w:color w:val="auto"/>
              </w:rPr>
              <w:t>Recognized net actuarial loss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r>
      <w:tr>
        <w:trPr>
          <w:trHeight w:val="219"/>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prior service cost (credit)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07"/>
        </w:trPr>
        <w:tc>
          <w:tcPr>
            <w:tcW w:w="4980" w:type="dxa"/>
            <w:vAlign w:val="bottom"/>
          </w:tcPr>
          <w:p>
            <w:pPr>
              <w:spacing w:after="0"/>
              <w:rPr>
                <w:sz w:val="20"/>
                <w:szCs w:val="20"/>
                <w:color w:val="auto"/>
              </w:rPr>
            </w:pPr>
            <w:r>
              <w:rPr>
                <w:rFonts w:ascii="Arial" w:cs="Arial" w:eastAsia="Arial" w:hAnsi="Arial"/>
                <w:sz w:val="16"/>
                <w:szCs w:val="16"/>
                <w:color w:val="auto"/>
              </w:rPr>
              <w:t>Net periodic benefit costs</w:t>
            </w: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2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24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r>
      <w:tr>
        <w:trPr>
          <w:trHeight w:val="219"/>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Settlement losses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r>
      <w:tr>
        <w:trPr>
          <w:trHeight w:val="213"/>
        </w:trPr>
        <w:tc>
          <w:tcPr>
            <w:tcW w:w="4980" w:type="dxa"/>
            <w:vAlign w:val="bottom"/>
          </w:tcPr>
          <w:p>
            <w:pPr>
              <w:spacing w:after="0"/>
              <w:rPr>
                <w:sz w:val="20"/>
                <w:szCs w:val="20"/>
                <w:color w:val="auto"/>
              </w:rPr>
            </w:pPr>
            <w:r>
              <w:rPr>
                <w:rFonts w:ascii="Arial" w:cs="Arial" w:eastAsia="Arial" w:hAnsi="Arial"/>
                <w:sz w:val="16"/>
                <w:szCs w:val="16"/>
                <w:color w:val="auto"/>
              </w:rPr>
              <w:t>Curtailment gain</w:t>
            </w: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r>
      <w:tr>
        <w:trPr>
          <w:trHeight w:val="210"/>
        </w:trPr>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including other postretirement (gains) losses</w:t>
            </w: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82"/>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62"/>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62"/>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64"/>
              <w:spacing w:after="0"/>
              <w:rPr>
                <w:sz w:val="20"/>
                <w:szCs w:val="20"/>
                <w:color w:val="auto"/>
              </w:rPr>
            </w:pPr>
            <w:r>
              <w:rPr>
                <w:rFonts w:ascii="Arial" w:cs="Arial" w:eastAsia="Arial" w:hAnsi="Arial"/>
                <w:sz w:val="16"/>
                <w:szCs w:val="16"/>
                <w:b w:val="1"/>
                <w:bCs w:val="1"/>
                <w:color w:val="auto"/>
              </w:rPr>
              <w:t>U.S.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3"/>
          </w:tcPr>
          <w:p>
            <w:pPr>
              <w:jc w:val="right"/>
              <w:ind w:right="522"/>
              <w:spacing w:after="0"/>
              <w:rPr>
                <w:sz w:val="20"/>
                <w:szCs w:val="20"/>
                <w:color w:val="auto"/>
              </w:rPr>
            </w:pPr>
            <w:r>
              <w:rPr>
                <w:rFonts w:ascii="Arial" w:cs="Arial" w:eastAsia="Arial" w:hAnsi="Arial"/>
                <w:sz w:val="16"/>
                <w:szCs w:val="16"/>
                <w:b w:val="1"/>
                <w:bCs w:val="1"/>
                <w:color w:val="auto"/>
              </w:rPr>
              <w:t>U.S.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3"/>
          </w:tcPr>
          <w:p>
            <w:pPr>
              <w:jc w:val="right"/>
              <w:ind w:right="362"/>
              <w:spacing w:after="0"/>
              <w:rPr>
                <w:sz w:val="20"/>
                <w:szCs w:val="20"/>
                <w:color w:val="auto"/>
              </w:rPr>
            </w:pPr>
            <w:r>
              <w:rPr>
                <w:rFonts w:ascii="Arial" w:cs="Arial" w:eastAsia="Arial" w:hAnsi="Arial"/>
                <w:sz w:val="16"/>
                <w:szCs w:val="16"/>
                <w:b w:val="1"/>
                <w:bCs w:val="1"/>
                <w:color w:val="auto"/>
                <w:w w:val="97"/>
              </w:rPr>
              <w:t>Non-U.S.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5"/>
          </w:tcPr>
          <w:p>
            <w:pPr>
              <w:jc w:val="right"/>
              <w:ind w:right="620"/>
              <w:spacing w:after="0"/>
              <w:rPr>
                <w:sz w:val="20"/>
                <w:szCs w:val="20"/>
                <w:color w:val="auto"/>
              </w:rPr>
            </w:pPr>
            <w:r>
              <w:rPr>
                <w:rFonts w:ascii="Arial" w:cs="Arial" w:eastAsia="Arial" w:hAnsi="Arial"/>
                <w:sz w:val="16"/>
                <w:szCs w:val="16"/>
                <w:b w:val="1"/>
                <w:bCs w:val="1"/>
                <w:color w:val="auto"/>
              </w:rPr>
              <w:t>Defined Benefit</w:t>
            </w:r>
          </w:p>
        </w:tc>
        <w:tc>
          <w:tcPr>
            <w:tcW w:w="18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Retiree Health Care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4"/>
          </w:tcPr>
          <w:p>
            <w:pPr>
              <w:jc w:val="right"/>
              <w:ind w:right="122"/>
              <w:spacing w:after="0"/>
              <w:rPr>
                <w:sz w:val="20"/>
                <w:szCs w:val="20"/>
                <w:color w:val="auto"/>
              </w:rPr>
            </w:pPr>
            <w:r>
              <w:rPr>
                <w:rFonts w:ascii="Arial" w:cs="Arial" w:eastAsia="Arial" w:hAnsi="Arial"/>
                <w:sz w:val="16"/>
                <w:szCs w:val="16"/>
                <w:b w:val="1"/>
                <w:bCs w:val="1"/>
                <w:color w:val="auto"/>
              </w:rPr>
              <w:t>Defined Benefit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498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For Nine Months Ended September 30,</w:t>
            </w: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2015</w:t>
            </w:r>
          </w:p>
        </w:tc>
        <w:tc>
          <w:tcPr>
            <w:tcW w:w="2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2014</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2015</w:t>
            </w:r>
          </w:p>
        </w:tc>
        <w:tc>
          <w:tcPr>
            <w:tcW w:w="24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26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2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26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r>
      <w:tr>
        <w:trPr>
          <w:trHeight w:val="212"/>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Service cost</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2"/>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2"/>
              <w:spacing w:after="0"/>
              <w:rPr>
                <w:sz w:val="20"/>
                <w:szCs w:val="20"/>
                <w:color w:val="auto"/>
              </w:rPr>
            </w:pPr>
            <w:r>
              <w:rPr>
                <w:rFonts w:ascii="Arial" w:cs="Arial" w:eastAsia="Arial" w:hAnsi="Arial"/>
                <w:sz w:val="15"/>
                <w:szCs w:val="15"/>
                <w:b w:val="1"/>
                <w:bCs w:val="1"/>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2"/>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8"/>
                <w:szCs w:val="18"/>
                <w:color w:val="auto"/>
              </w:rPr>
            </w:pPr>
          </w:p>
        </w:tc>
      </w:tr>
      <w:tr>
        <w:trPr>
          <w:trHeight w:val="213"/>
        </w:trPr>
        <w:tc>
          <w:tcPr>
            <w:tcW w:w="4980" w:type="dxa"/>
            <w:vAlign w:val="bottom"/>
          </w:tcPr>
          <w:p>
            <w:pPr>
              <w:spacing w:after="0"/>
              <w:rPr>
                <w:sz w:val="20"/>
                <w:szCs w:val="20"/>
                <w:color w:val="auto"/>
              </w:rPr>
            </w:pPr>
            <w:r>
              <w:rPr>
                <w:rFonts w:ascii="Arial" w:cs="Arial" w:eastAsia="Arial" w:hAnsi="Arial"/>
                <w:sz w:val="16"/>
                <w:szCs w:val="16"/>
                <w:color w:val="auto"/>
              </w:rPr>
              <w:t>Interest cost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40</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r>
      <w:tr>
        <w:trPr>
          <w:trHeight w:val="219"/>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Expected return on plan assets</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(36)</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(16)</w:t>
            </w:r>
          </w:p>
        </w:tc>
        <w:tc>
          <w:tcPr>
            <w:tcW w:w="6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(57)</w:t>
            </w:r>
          </w:p>
        </w:tc>
        <w:tc>
          <w:tcPr>
            <w:tcW w:w="6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w:t>
            </w:r>
          </w:p>
        </w:tc>
      </w:tr>
      <w:tr>
        <w:trPr>
          <w:trHeight w:val="213"/>
        </w:trPr>
        <w:tc>
          <w:tcPr>
            <w:tcW w:w="4980" w:type="dxa"/>
            <w:vAlign w:val="bottom"/>
          </w:tcPr>
          <w:p>
            <w:pPr>
              <w:spacing w:after="0"/>
              <w:rPr>
                <w:sz w:val="20"/>
                <w:szCs w:val="20"/>
                <w:color w:val="auto"/>
              </w:rPr>
            </w:pPr>
            <w:r>
              <w:rPr>
                <w:rFonts w:ascii="Arial" w:cs="Arial" w:eastAsia="Arial" w:hAnsi="Arial"/>
                <w:sz w:val="16"/>
                <w:szCs w:val="16"/>
                <w:color w:val="auto"/>
              </w:rPr>
              <w:t>Recognized net actuarial loss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r>
      <w:tr>
        <w:trPr>
          <w:trHeight w:val="219"/>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prior service cost (credit)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w:t>
            </w:r>
          </w:p>
        </w:tc>
        <w:tc>
          <w:tcPr>
            <w:tcW w:w="6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r>
      <w:tr>
        <w:trPr>
          <w:trHeight w:val="207"/>
        </w:trPr>
        <w:tc>
          <w:tcPr>
            <w:tcW w:w="4980" w:type="dxa"/>
            <w:vAlign w:val="bottom"/>
          </w:tcPr>
          <w:p>
            <w:pPr>
              <w:spacing w:after="0"/>
              <w:rPr>
                <w:sz w:val="20"/>
                <w:szCs w:val="20"/>
                <w:color w:val="auto"/>
              </w:rPr>
            </w:pPr>
            <w:r>
              <w:rPr>
                <w:rFonts w:ascii="Arial" w:cs="Arial" w:eastAsia="Arial" w:hAnsi="Arial"/>
                <w:sz w:val="16"/>
                <w:szCs w:val="16"/>
                <w:color w:val="auto"/>
              </w:rPr>
              <w:t>Net periodic benefit costs</w:t>
            </w: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26</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24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26</w:t>
            </w:r>
          </w:p>
        </w:tc>
        <w:tc>
          <w:tcPr>
            <w:tcW w:w="24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7"/>
                <w:szCs w:val="17"/>
                <w:color w:val="auto"/>
              </w:rPr>
            </w:pPr>
          </w:p>
        </w:tc>
      </w:tr>
      <w:tr>
        <w:trPr>
          <w:trHeight w:val="219"/>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Settlement losses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r>
      <w:tr>
        <w:trPr>
          <w:trHeight w:val="210"/>
        </w:trPr>
        <w:tc>
          <w:tcPr>
            <w:tcW w:w="4980" w:type="dxa"/>
            <w:vAlign w:val="bottom"/>
          </w:tcPr>
          <w:p>
            <w:pPr>
              <w:spacing w:after="0"/>
              <w:rPr>
                <w:sz w:val="20"/>
                <w:szCs w:val="20"/>
                <w:color w:val="auto"/>
              </w:rPr>
            </w:pPr>
            <w:r>
              <w:rPr>
                <w:rFonts w:ascii="Arial" w:cs="Arial" w:eastAsia="Arial" w:hAnsi="Arial"/>
                <w:sz w:val="16"/>
                <w:szCs w:val="16"/>
                <w:color w:val="auto"/>
              </w:rPr>
              <w:t>Curtailment gain</w:t>
            </w: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r>
      <w:tr>
        <w:trPr>
          <w:trHeight w:val="212"/>
        </w:trPr>
        <w:tc>
          <w:tcPr>
            <w:tcW w:w="4980" w:type="dxa"/>
            <w:vAlign w:val="bottom"/>
          </w:tcPr>
          <w:p>
            <w:pPr>
              <w:spacing w:after="0"/>
              <w:rPr>
                <w:sz w:val="20"/>
                <w:szCs w:val="20"/>
                <w:color w:val="auto"/>
              </w:rPr>
            </w:pPr>
            <w:r>
              <w:rPr>
                <w:rFonts w:ascii="Arial" w:cs="Arial" w:eastAsia="Arial" w:hAnsi="Arial"/>
                <w:sz w:val="16"/>
                <w:szCs w:val="16"/>
                <w:color w:val="auto"/>
              </w:rPr>
              <w:t>Total, including other postretirement (gains) losses</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2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w:t>
            </w:r>
          </w:p>
        </w:tc>
        <w:tc>
          <w:tcPr>
            <w:tcW w:w="2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 and lines of credit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Short-term borrowings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maintain a line of credit to support commercial paper borrowings, if any, and to provide additional liquidity through bank loans. As of September 30, 2015, we had a variable-rate revolving credit facility from a consortium of investment-grade banks that allows us to borrow up to $2 billion until March 2020. The interest rate on borrowings under this credit facility, if drawn, is indexed to the applicable London Interbank Offered Rate (LIBOR). As of September 30, 2015, our credit facility was undrawn and we had no commercial paper outstanding.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retired $250 million of maturing debt in April 2015 and another $750 million in August 2015.</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May 2015, we issued a principal amount of $500 million of fixed-rate, long-term debt due in 2020. We incurred $3 million of issuance and other related costs, which are amortized to Interest and debt expense over the term of the debt. The proceeds of the offering were $498 million, net of the original issuance discount, and were used toward the retirement of a portion of the debt that matured in August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89"/>
              </w:rPr>
              <w:t>September 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9"/>
        </w:trPr>
        <w:tc>
          <w:tcPr>
            <w:tcW w:w="85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Notes due 2015 at 3.95% (assumed with National acquisition)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580" w:type="dxa"/>
            <w:vAlign w:val="bottom"/>
          </w:tcPr>
          <w:p>
            <w:pPr>
              <w:spacing w:after="0"/>
              <w:rPr>
                <w:sz w:val="20"/>
                <w:szCs w:val="20"/>
                <w:color w:val="auto"/>
              </w:rPr>
            </w:pPr>
            <w:r>
              <w:rPr>
                <w:rFonts w:ascii="Arial" w:cs="Arial" w:eastAsia="Arial" w:hAnsi="Arial"/>
                <w:sz w:val="16"/>
                <w:szCs w:val="16"/>
                <w:color w:val="auto"/>
              </w:rPr>
              <w:t>Notes due 2015 at 0.45%</w:t>
            </w: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Notes due 2016 at 2.375%</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580" w:type="dxa"/>
            <w:vAlign w:val="bottom"/>
          </w:tcPr>
          <w:p>
            <w:pPr>
              <w:spacing w:after="0"/>
              <w:rPr>
                <w:sz w:val="20"/>
                <w:szCs w:val="20"/>
                <w:color w:val="auto"/>
              </w:rPr>
            </w:pPr>
            <w:r>
              <w:rPr>
                <w:rFonts w:ascii="Arial" w:cs="Arial" w:eastAsia="Arial" w:hAnsi="Arial"/>
                <w:sz w:val="16"/>
                <w:szCs w:val="16"/>
                <w:color w:val="auto"/>
              </w:rPr>
              <w:t>Notes due 2017 at 6.60% (assumed with National acquisition)</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Notes due 2017 at 0.875%</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580" w:type="dxa"/>
            <w:vAlign w:val="bottom"/>
          </w:tcPr>
          <w:p>
            <w:pPr>
              <w:spacing w:after="0"/>
              <w:rPr>
                <w:sz w:val="20"/>
                <w:szCs w:val="20"/>
                <w:color w:val="auto"/>
              </w:rPr>
            </w:pPr>
            <w:r>
              <w:rPr>
                <w:rFonts w:ascii="Arial" w:cs="Arial" w:eastAsia="Arial" w:hAnsi="Arial"/>
                <w:sz w:val="16"/>
                <w:szCs w:val="16"/>
                <w:color w:val="auto"/>
              </w:rPr>
              <w:t>Notes due 2018 at 1.00%</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Notes due 2019 at 1.65%</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580" w:type="dxa"/>
            <w:vAlign w:val="bottom"/>
          </w:tcPr>
          <w:p>
            <w:pPr>
              <w:spacing w:after="0"/>
              <w:rPr>
                <w:sz w:val="20"/>
                <w:szCs w:val="20"/>
                <w:color w:val="auto"/>
              </w:rPr>
            </w:pPr>
            <w:r>
              <w:rPr>
                <w:rFonts w:ascii="Arial" w:cs="Arial" w:eastAsia="Arial" w:hAnsi="Arial"/>
                <w:sz w:val="16"/>
                <w:szCs w:val="16"/>
                <w:color w:val="auto"/>
              </w:rPr>
              <w:t>Notes due 2020 at 1.75%</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Notes due 2021 at 2.75%</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5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Notes due 2023 at 2.25%</w:t>
            </w: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Total debt</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5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unamortized premium</w:t>
            </w: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Total debt, including net unamortized premium</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580" w:type="dxa"/>
            <w:vAlign w:val="bottom"/>
          </w:tcPr>
          <w:p>
            <w:pPr>
              <w:spacing w:after="0"/>
              <w:rPr>
                <w:sz w:val="20"/>
                <w:szCs w:val="20"/>
                <w:color w:val="auto"/>
              </w:rPr>
            </w:pPr>
            <w:r>
              <w:rPr>
                <w:rFonts w:ascii="Arial" w:cs="Arial" w:eastAsia="Arial" w:hAnsi="Arial"/>
                <w:sz w:val="16"/>
                <w:szCs w:val="16"/>
                <w:color w:val="auto"/>
              </w:rPr>
              <w:t>Current portion of long-term debt</w:t>
            </w:r>
          </w:p>
        </w:tc>
        <w:tc>
          <w:tcPr>
            <w:tcW w:w="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(1,001)</w:t>
            </w:r>
          </w:p>
        </w:tc>
        <w:tc>
          <w:tcPr>
            <w:tcW w:w="0" w:type="dxa"/>
            <w:vAlign w:val="bottom"/>
          </w:tcPr>
          <w:p>
            <w:pPr>
              <w:spacing w:after="0"/>
              <w:rPr>
                <w:sz w:val="1"/>
                <w:szCs w:val="1"/>
                <w:color w:val="auto"/>
              </w:rPr>
            </w:pPr>
          </w:p>
        </w:tc>
      </w:tr>
      <w:tr>
        <w:trPr>
          <w:trHeight w:val="20"/>
        </w:trPr>
        <w:tc>
          <w:tcPr>
            <w:tcW w:w="85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Long-term debt</w:t>
            </w: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3,132</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Interest and debt expense was $22 million and $23 million for the third quarters of 2015 and 2014, respectively, and $68 million and $72 million for the first nine months of 2015 and 2014, respectively. This was net of the amortization of the debt premium and other debt issuance costs. Capitalized interest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Indemnification guarantees</w:t>
      </w:r>
    </w:p>
    <w:p>
      <w:pPr>
        <w:spacing w:after="0" w:line="117"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Warranty costs/product liabilities</w:t>
      </w:r>
    </w:p>
    <w:p>
      <w:pPr>
        <w:spacing w:after="0" w:line="11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Consistent with general industry practice, we enter into formal contracts with certain customers that include negotiated warranty remedies. Typically, under these agreements our warranty for semiconductor products includes three years of coverage; an obligation to repair, replace or refund; and a maximum payment obligation tied to the price paid for our products. In some cases, product claims may exceed the price of our products.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Supplemental financial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on amounts reclassified out of Accumulated other comprehensive income (loss), net of taxes, to Net income</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Consolidated Statements of Comprehensive Income include items that have been recognized within Net income during the periods ended September 30, 2015 and 2014. The table below details where on the Consolidated Statements of Income these transactions are recorded.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6"/>
          </w:tcPr>
          <w:p>
            <w:pPr>
              <w:jc w:val="right"/>
              <w:ind w:right="280"/>
              <w:spacing w:after="0"/>
              <w:rPr>
                <w:sz w:val="20"/>
                <w:szCs w:val="20"/>
                <w:color w:val="auto"/>
              </w:rPr>
            </w:pPr>
            <w:r>
              <w:rPr>
                <w:rFonts w:ascii="Arial" w:cs="Arial" w:eastAsia="Arial" w:hAnsi="Arial"/>
                <w:sz w:val="16"/>
                <w:szCs w:val="16"/>
                <w:b w:val="1"/>
                <w:bCs w:val="1"/>
                <w:color w:val="auto"/>
                <w:w w:val="95"/>
              </w:rPr>
              <w:t>For Three Months Ended</w:t>
            </w:r>
          </w:p>
        </w:tc>
        <w:tc>
          <w:tcPr>
            <w:tcW w:w="2000" w:type="dxa"/>
            <w:vAlign w:val="bottom"/>
            <w:gridSpan w:val="6"/>
          </w:tcPr>
          <w:p>
            <w:pPr>
              <w:jc w:val="right"/>
              <w:ind w:right="280"/>
              <w:spacing w:after="0"/>
              <w:rPr>
                <w:sz w:val="20"/>
                <w:szCs w:val="20"/>
                <w:color w:val="auto"/>
              </w:rPr>
            </w:pPr>
            <w:r>
              <w:rPr>
                <w:rFonts w:ascii="Arial" w:cs="Arial" w:eastAsia="Arial" w:hAnsi="Arial"/>
                <w:sz w:val="16"/>
                <w:szCs w:val="16"/>
                <w:b w:val="1"/>
                <w:bCs w:val="1"/>
                <w:color w:val="auto"/>
                <w:w w:val="94"/>
              </w:rPr>
              <w:t>For Nine Months Ended</w:t>
            </w:r>
          </w:p>
        </w:tc>
        <w:tc>
          <w:tcPr>
            <w:tcW w:w="2840" w:type="dxa"/>
            <w:vAlign w:val="bottom"/>
          </w:tcPr>
          <w:p>
            <w:pPr>
              <w:jc w:val="center"/>
              <w:spacing w:after="0"/>
              <w:rPr>
                <w:sz w:val="20"/>
                <w:szCs w:val="20"/>
                <w:color w:val="auto"/>
              </w:rPr>
            </w:pPr>
            <w:r>
              <w:rPr>
                <w:rFonts w:ascii="Arial" w:cs="Arial" w:eastAsia="Arial" w:hAnsi="Arial"/>
                <w:sz w:val="16"/>
                <w:szCs w:val="16"/>
                <w:b w:val="1"/>
                <w:bCs w:val="1"/>
                <w:color w:val="auto"/>
                <w:w w:val="92"/>
              </w:rPr>
              <w:t>Impact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4"/>
          </w:tcPr>
          <w:p>
            <w:pPr>
              <w:jc w:val="right"/>
              <w:ind w:right="163"/>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5"/>
          </w:tcPr>
          <w:p>
            <w:pPr>
              <w:jc w:val="right"/>
              <w:ind w:right="620"/>
              <w:spacing w:after="0"/>
              <w:rPr>
                <w:sz w:val="20"/>
                <w:szCs w:val="20"/>
                <w:color w:val="auto"/>
              </w:rPr>
            </w:pPr>
            <w:r>
              <w:rPr>
                <w:rFonts w:ascii="Arial" w:cs="Arial" w:eastAsia="Arial" w:hAnsi="Arial"/>
                <w:sz w:val="16"/>
                <w:szCs w:val="16"/>
                <w:b w:val="1"/>
                <w:bCs w:val="1"/>
                <w:color w:val="auto"/>
              </w:rPr>
              <w:t>September 30,</w:t>
            </w:r>
          </w:p>
        </w:tc>
        <w:tc>
          <w:tcPr>
            <w:tcW w:w="2840" w:type="dxa"/>
            <w:vAlign w:val="bottom"/>
          </w:tcPr>
          <w:p>
            <w:pPr>
              <w:jc w:val="center"/>
              <w:spacing w:after="0"/>
              <w:rPr>
                <w:sz w:val="20"/>
                <w:szCs w:val="20"/>
                <w:color w:val="auto"/>
              </w:rPr>
            </w:pPr>
            <w:r>
              <w:rPr>
                <w:rFonts w:ascii="Arial" w:cs="Arial" w:eastAsia="Arial" w:hAnsi="Arial"/>
                <w:sz w:val="16"/>
                <w:szCs w:val="16"/>
                <w:b w:val="1"/>
                <w:bCs w:val="1"/>
                <w:color w:val="auto"/>
                <w:w w:val="90"/>
              </w:rPr>
              <w:t>Related Statement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2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22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2015</w:t>
            </w:r>
          </w:p>
        </w:tc>
        <w:tc>
          <w:tcPr>
            <w:tcW w:w="22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2014</w:t>
            </w:r>
          </w:p>
        </w:tc>
        <w:tc>
          <w:tcPr>
            <w:tcW w:w="220" w:type="dxa"/>
            <w:vAlign w:val="bottom"/>
            <w:tcBorders>
              <w:bottom w:val="single" w:sz="8" w:color="CCEEFF"/>
            </w:tcBorders>
          </w:tcPr>
          <w:p>
            <w:pPr>
              <w:spacing w:after="0"/>
              <w:rPr>
                <w:sz w:val="18"/>
                <w:szCs w:val="18"/>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of Income Line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actuarial gains (losses) of defined benefit plans: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40" w:type="dxa"/>
            <w:vAlign w:val="bottom"/>
          </w:tcPr>
          <w:p>
            <w:pPr>
              <w:ind w:left="120"/>
              <w:spacing w:after="0"/>
              <w:rPr>
                <w:sz w:val="20"/>
                <w:szCs w:val="20"/>
                <w:color w:val="auto"/>
              </w:rPr>
            </w:pPr>
            <w:r>
              <w:rPr>
                <w:rFonts w:ascii="Arial" w:cs="Arial" w:eastAsia="Arial" w:hAnsi="Arial"/>
                <w:sz w:val="16"/>
                <w:szCs w:val="16"/>
                <w:color w:val="auto"/>
              </w:rPr>
              <w:t>Recognized net actuarial loss and Settlement losses (a)</w:t>
            </w:r>
          </w:p>
        </w:tc>
        <w:tc>
          <w:tcPr>
            <w:tcW w:w="720" w:type="dxa"/>
            <w:vAlign w:val="bottom"/>
            <w:gridSpan w:val="2"/>
          </w:tcPr>
          <w:p>
            <w:pPr>
              <w:jc w:val="right"/>
              <w:ind w:right="44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240" w:type="dxa"/>
            <w:vAlign w:val="bottom"/>
          </w:tcPr>
          <w:p>
            <w:pPr>
              <w:spacing w:after="0"/>
              <w:rPr>
                <w:sz w:val="18"/>
                <w:szCs w:val="18"/>
                <w:color w:val="auto"/>
              </w:rPr>
            </w:pPr>
          </w:p>
        </w:tc>
        <w:tc>
          <w:tcPr>
            <w:tcW w:w="600" w:type="dxa"/>
            <w:vAlign w:val="bottom"/>
          </w:tcPr>
          <w:p>
            <w:pPr>
              <w:jc w:val="right"/>
              <w:ind w:right="443"/>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59</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58</w:t>
            </w:r>
          </w:p>
        </w:tc>
        <w:tc>
          <w:tcPr>
            <w:tcW w:w="2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6"/>
                <w:szCs w:val="16"/>
                <w:color w:val="auto"/>
              </w:rPr>
              <w:t>Increase to Pension expense (b)</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Tax effect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(6)</w:t>
            </w:r>
          </w:p>
        </w:tc>
        <w:tc>
          <w:tcPr>
            <w:tcW w:w="6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(19)</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(20)</w:t>
            </w:r>
          </w:p>
        </w:tc>
        <w:tc>
          <w:tcPr>
            <w:tcW w:w="2840" w:type="dxa"/>
            <w:vAlign w:val="bottom"/>
            <w:shd w:val="clear" w:color="auto" w:fill="CCEEFF"/>
          </w:tcPr>
          <w:p>
            <w:pPr>
              <w:spacing w:after="0"/>
              <w:rPr>
                <w:sz w:val="20"/>
                <w:szCs w:val="20"/>
                <w:color w:val="auto"/>
              </w:rPr>
            </w:pPr>
            <w:r>
              <w:rPr>
                <w:rFonts w:ascii="Arial" w:cs="Arial" w:eastAsia="Arial" w:hAnsi="Arial"/>
                <w:sz w:val="16"/>
                <w:szCs w:val="16"/>
                <w:color w:val="auto"/>
              </w:rPr>
              <w:t>Decrease to Provision for income taxes</w:t>
            </w:r>
          </w:p>
        </w:tc>
        <w:tc>
          <w:tcPr>
            <w:tcW w:w="0" w:type="dxa"/>
            <w:vAlign w:val="bottom"/>
          </w:tcPr>
          <w:p>
            <w:pPr>
              <w:spacing w:after="0"/>
              <w:rPr>
                <w:sz w:val="1"/>
                <w:szCs w:val="1"/>
                <w:color w:val="auto"/>
              </w:rPr>
            </w:pPr>
          </w:p>
        </w:tc>
      </w:tr>
      <w:tr>
        <w:trPr>
          <w:trHeight w:val="247"/>
        </w:trPr>
        <w:tc>
          <w:tcPr>
            <w:tcW w:w="4360" w:type="dxa"/>
            <w:vAlign w:val="bottom"/>
            <w:gridSpan w:val="2"/>
          </w:tcPr>
          <w:p>
            <w:pPr>
              <w:spacing w:after="0"/>
              <w:rPr>
                <w:sz w:val="20"/>
                <w:szCs w:val="20"/>
                <w:color w:val="auto"/>
              </w:rPr>
            </w:pPr>
            <w:r>
              <w:rPr>
                <w:rFonts w:ascii="Arial" w:cs="Arial" w:eastAsia="Arial" w:hAnsi="Arial"/>
                <w:sz w:val="16"/>
                <w:szCs w:val="16"/>
                <w:color w:val="auto"/>
              </w:rPr>
              <w:t>Recognized within Net income, net of taxes</w:t>
            </w:r>
          </w:p>
        </w:tc>
        <w:tc>
          <w:tcPr>
            <w:tcW w:w="12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5"/>
                <w:szCs w:val="15"/>
                <w:b w:val="1"/>
                <w:bCs w:val="1"/>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w:t>
            </w:r>
          </w:p>
        </w:tc>
        <w:tc>
          <w:tcPr>
            <w:tcW w:w="24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w:t>
            </w:r>
          </w:p>
        </w:tc>
        <w:tc>
          <w:tcPr>
            <w:tcW w:w="2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220" w:type="dxa"/>
            <w:vAlign w:val="bottom"/>
          </w:tcPr>
          <w:p>
            <w:pPr>
              <w:spacing w:after="0"/>
              <w:rPr>
                <w:sz w:val="21"/>
                <w:szCs w:val="21"/>
                <w:color w:val="auto"/>
              </w:rPr>
            </w:pPr>
          </w:p>
        </w:tc>
        <w:tc>
          <w:tcPr>
            <w:tcW w:w="2840" w:type="dxa"/>
            <w:vAlign w:val="bottom"/>
          </w:tcPr>
          <w:p>
            <w:pPr>
              <w:spacing w:after="0"/>
              <w:rPr>
                <w:sz w:val="20"/>
                <w:szCs w:val="20"/>
                <w:color w:val="auto"/>
              </w:rPr>
            </w:pPr>
            <w:r>
              <w:rPr>
                <w:rFonts w:ascii="Arial" w:cs="Arial" w:eastAsia="Arial" w:hAnsi="Arial"/>
                <w:sz w:val="16"/>
                <w:szCs w:val="16"/>
                <w:color w:val="auto"/>
              </w:rPr>
              <w:t>Decrease to Net income</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6"/>
                <w:szCs w:val="16"/>
                <w:b w:val="1"/>
                <w:bCs w:val="1"/>
                <w:color w:val="auto"/>
              </w:rPr>
              <w:t>Prior service cost of defined benefit plans: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5"/>
              </w:rPr>
              <w:t>Amortization of prior service cost (credit) and Curtailment gain</w:t>
            </w:r>
          </w:p>
        </w:tc>
        <w:tc>
          <w:tcPr>
            <w:tcW w:w="720" w:type="dxa"/>
            <w:vAlign w:val="bottom"/>
            <w:gridSpan w:val="2"/>
            <w:vMerge w:val="restart"/>
            <w:shd w:val="clear" w:color="auto" w:fill="CCEEFF"/>
          </w:tcPr>
          <w:p>
            <w:pPr>
              <w:jc w:val="right"/>
              <w:ind w:right="442"/>
              <w:spacing w:after="0"/>
              <w:rPr>
                <w:sz w:val="20"/>
                <w:szCs w:val="20"/>
                <w:color w:val="auto"/>
              </w:rPr>
            </w:pPr>
            <w:r>
              <w:rPr>
                <w:rFonts w:ascii="Arial" w:cs="Arial" w:eastAsia="Arial" w:hAnsi="Arial"/>
                <w:sz w:val="16"/>
                <w:szCs w:val="16"/>
                <w:b w:val="1"/>
                <w:bCs w:val="1"/>
                <w:color w:val="auto"/>
              </w:rPr>
              <w:t>$</w:t>
            </w:r>
          </w:p>
        </w:tc>
        <w:tc>
          <w:tcPr>
            <w:tcW w:w="4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w:t>
            </w:r>
          </w:p>
        </w:tc>
        <w:tc>
          <w:tcPr>
            <w:tcW w:w="720" w:type="dxa"/>
            <w:vAlign w:val="bottom"/>
            <w:gridSpan w:val="2"/>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600" w:type="dxa"/>
            <w:vAlign w:val="bottom"/>
            <w:shd w:val="clear" w:color="auto" w:fill="CCEEFF"/>
          </w:tcPr>
          <w:p>
            <w:pPr>
              <w:jc w:val="right"/>
              <w:ind w:right="443"/>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w:t>
            </w:r>
          </w:p>
        </w:tc>
        <w:tc>
          <w:tcPr>
            <w:tcW w:w="14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40" w:type="dxa"/>
            <w:vAlign w:val="bottom"/>
            <w:shd w:val="clear" w:color="auto" w:fill="CCEEFF"/>
          </w:tcPr>
          <w:p>
            <w:pPr>
              <w:spacing w:after="0"/>
              <w:rPr>
                <w:sz w:val="20"/>
                <w:szCs w:val="20"/>
                <w:color w:val="auto"/>
              </w:rPr>
            </w:pPr>
            <w:r>
              <w:rPr>
                <w:rFonts w:ascii="Arial" w:cs="Arial" w:eastAsia="Arial" w:hAnsi="Arial"/>
                <w:sz w:val="16"/>
                <w:szCs w:val="16"/>
                <w:color w:val="auto"/>
                <w:w w:val="90"/>
              </w:rPr>
              <w:t>(Decrease) increase to Pension expense (b)</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40" w:type="dxa"/>
            <w:vAlign w:val="bottom"/>
          </w:tcPr>
          <w:p>
            <w:pPr>
              <w:ind w:left="120"/>
              <w:spacing w:after="0"/>
              <w:rPr>
                <w:sz w:val="20"/>
                <w:szCs w:val="20"/>
                <w:color w:val="auto"/>
              </w:rPr>
            </w:pPr>
            <w:r>
              <w:rPr>
                <w:rFonts w:ascii="Arial" w:cs="Arial" w:eastAsia="Arial" w:hAnsi="Arial"/>
                <w:sz w:val="16"/>
                <w:szCs w:val="16"/>
                <w:color w:val="auto"/>
              </w:rPr>
              <w:t>Tax effect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w:t>
            </w: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40" w:type="dxa"/>
            <w:vAlign w:val="bottom"/>
          </w:tcPr>
          <w:p>
            <w:pPr>
              <w:spacing w:after="0"/>
              <w:rPr>
                <w:sz w:val="20"/>
                <w:szCs w:val="20"/>
                <w:color w:val="auto"/>
              </w:rPr>
            </w:pPr>
            <w:r>
              <w:rPr>
                <w:rFonts w:ascii="Arial" w:cs="Arial" w:eastAsia="Arial" w:hAnsi="Arial"/>
                <w:sz w:val="16"/>
                <w:szCs w:val="16"/>
                <w:color w:val="auto"/>
              </w:rPr>
              <w:t>Decrease to Provision for income taxes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Recognized within Net income, net of taxes</w:t>
            </w:r>
          </w:p>
        </w:tc>
        <w:tc>
          <w:tcPr>
            <w:tcW w:w="1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(Increase) decrease to Net income</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ind w:right="442"/>
              <w:spacing w:after="0"/>
              <w:rPr>
                <w:sz w:val="20"/>
                <w:szCs w:val="20"/>
                <w:color w:val="auto"/>
              </w:rPr>
            </w:pPr>
            <w:r>
              <w:rPr>
                <w:rFonts w:ascii="Arial" w:cs="Arial" w:eastAsia="Arial" w:hAnsi="Arial"/>
                <w:sz w:val="15"/>
                <w:szCs w:val="15"/>
                <w:b w:val="1"/>
                <w:bCs w:val="1"/>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ind w:right="443"/>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Derivative instruments: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40" w:type="dxa"/>
            <w:vAlign w:val="bottom"/>
          </w:tcPr>
          <w:p>
            <w:pPr>
              <w:ind w:left="240"/>
              <w:spacing w:after="0"/>
              <w:rPr>
                <w:sz w:val="20"/>
                <w:szCs w:val="20"/>
                <w:color w:val="auto"/>
              </w:rPr>
            </w:pPr>
            <w:r>
              <w:rPr>
                <w:rFonts w:ascii="Arial" w:cs="Arial" w:eastAsia="Arial" w:hAnsi="Arial"/>
                <w:sz w:val="16"/>
                <w:szCs w:val="16"/>
                <w:color w:val="auto"/>
              </w:rPr>
              <w:t>Amortization of treasury rate locks</w:t>
            </w:r>
          </w:p>
        </w:tc>
        <w:tc>
          <w:tcPr>
            <w:tcW w:w="720" w:type="dxa"/>
            <w:vAlign w:val="bottom"/>
            <w:gridSpan w:val="2"/>
          </w:tcPr>
          <w:p>
            <w:pPr>
              <w:jc w:val="right"/>
              <w:ind w:right="44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240" w:type="dxa"/>
            <w:vAlign w:val="bottom"/>
          </w:tcPr>
          <w:p>
            <w:pPr>
              <w:spacing w:after="0"/>
              <w:rPr>
                <w:sz w:val="18"/>
                <w:szCs w:val="18"/>
                <w:color w:val="auto"/>
              </w:rPr>
            </w:pPr>
          </w:p>
        </w:tc>
        <w:tc>
          <w:tcPr>
            <w:tcW w:w="600" w:type="dxa"/>
            <w:vAlign w:val="bottom"/>
          </w:tcPr>
          <w:p>
            <w:pPr>
              <w:jc w:val="right"/>
              <w:ind w:right="443"/>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6"/>
                <w:szCs w:val="16"/>
                <w:color w:val="auto"/>
              </w:rPr>
              <w:t>Increase to Interest and debt expense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Tax effect</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6"/>
                <w:szCs w:val="16"/>
                <w:color w:val="auto"/>
              </w:rPr>
              <w:t>Decrease to Provision for income taxes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340" w:type="dxa"/>
            <w:vAlign w:val="bottom"/>
          </w:tcPr>
          <w:p>
            <w:pPr>
              <w:ind w:left="240"/>
              <w:spacing w:after="0"/>
              <w:rPr>
                <w:sz w:val="20"/>
                <w:szCs w:val="20"/>
                <w:color w:val="auto"/>
              </w:rPr>
            </w:pPr>
            <w:r>
              <w:rPr>
                <w:rFonts w:ascii="Arial" w:cs="Arial" w:eastAsia="Arial" w:hAnsi="Arial"/>
                <w:sz w:val="16"/>
                <w:szCs w:val="16"/>
                <w:color w:val="auto"/>
              </w:rPr>
              <w:t>Recognized within Net income, net of taxes</w:t>
            </w:r>
          </w:p>
        </w:tc>
        <w:tc>
          <w:tcPr>
            <w:tcW w:w="120" w:type="dxa"/>
            <w:vAlign w:val="bottom"/>
          </w:tcPr>
          <w:p>
            <w:pPr>
              <w:spacing w:after="0"/>
              <w:rPr>
                <w:sz w:val="17"/>
                <w:szCs w:val="17"/>
                <w:color w:val="auto"/>
              </w:rPr>
            </w:pPr>
          </w:p>
        </w:tc>
        <w:tc>
          <w:tcPr>
            <w:tcW w:w="600" w:type="dxa"/>
            <w:vAlign w:val="bottom"/>
          </w:tcPr>
          <w:p>
            <w:pPr>
              <w:jc w:val="right"/>
              <w:ind w:right="442"/>
              <w:spacing w:after="0"/>
              <w:rPr>
                <w:sz w:val="20"/>
                <w:szCs w:val="20"/>
                <w:color w:val="auto"/>
              </w:rPr>
            </w:pPr>
            <w:r>
              <w:rPr>
                <w:rFonts w:ascii="Arial" w:cs="Arial" w:eastAsia="Arial" w:hAnsi="Arial"/>
                <w:sz w:val="15"/>
                <w:szCs w:val="15"/>
                <w:b w:val="1"/>
                <w:bCs w:val="1"/>
                <w:color w:val="auto"/>
                <w:w w:val="71"/>
              </w:rPr>
              <w: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240" w:type="dxa"/>
            <w:vAlign w:val="bottom"/>
          </w:tcPr>
          <w:p>
            <w:pPr>
              <w:spacing w:after="0"/>
              <w:rPr>
                <w:sz w:val="17"/>
                <w:szCs w:val="17"/>
                <w:color w:val="auto"/>
              </w:rPr>
            </w:pPr>
          </w:p>
        </w:tc>
        <w:tc>
          <w:tcPr>
            <w:tcW w:w="600" w:type="dxa"/>
            <w:vAlign w:val="bottom"/>
          </w:tcPr>
          <w:p>
            <w:pPr>
              <w:jc w:val="right"/>
              <w:ind w:right="443"/>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2840" w:type="dxa"/>
            <w:vAlign w:val="bottom"/>
          </w:tcPr>
          <w:p>
            <w:pPr>
              <w:spacing w:after="0"/>
              <w:rPr>
                <w:sz w:val="20"/>
                <w:szCs w:val="20"/>
                <w:color w:val="auto"/>
              </w:rPr>
            </w:pPr>
            <w:r>
              <w:rPr>
                <w:rFonts w:ascii="Arial" w:cs="Arial" w:eastAsia="Arial" w:hAnsi="Arial"/>
                <w:sz w:val="16"/>
                <w:szCs w:val="16"/>
                <w:color w:val="auto"/>
              </w:rPr>
              <w:t>Decrease to Net 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Detailed in Note 8.</w:t>
      </w:r>
    </w:p>
    <w:p>
      <w:pPr>
        <w:spacing w:after="0" w:line="63" w:lineRule="exact"/>
        <w:rPr>
          <w:rFonts w:ascii="Arial" w:cs="Arial" w:eastAsia="Arial" w:hAnsi="Arial"/>
          <w:sz w:val="18"/>
          <w:szCs w:val="18"/>
          <w:color w:val="auto"/>
        </w:rPr>
      </w:pPr>
    </w:p>
    <w:p>
      <w:pPr>
        <w:ind w:left="520" w:hanging="512"/>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Pension expense is included in COR, R&amp;D, SG&amp;A and Restructuring charges/other in the Consolidated Statements of Income.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Our business model is carefully constructed around the following attributes:</w:t>
      </w:r>
    </w:p>
    <w:p>
      <w:pPr>
        <w:spacing w:after="0" w:line="62" w:lineRule="exact"/>
        <w:rPr>
          <w:sz w:val="20"/>
          <w:szCs w:val="20"/>
          <w:color w:val="auto"/>
        </w:rPr>
      </w:pPr>
    </w:p>
    <w:p>
      <w:pPr>
        <w:ind w:left="1040" w:right="40" w:hanging="519"/>
        <w:spacing w:after="0" w:line="259"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Industry’s broadest portfolio of differentiated analog and embedded processing semiconductors. </w:t>
      </w:r>
      <w:r>
        <w:rPr>
          <w:rFonts w:ascii="Arial" w:cs="Arial" w:eastAsia="Arial" w:hAnsi="Arial"/>
          <w:sz w:val="18"/>
          <w:szCs w:val="18"/>
          <w:color w:val="auto"/>
        </w:rPr>
        <w:t>Our customers’ design engineers need at least</w:t>
      </w:r>
      <w:r>
        <w:rPr>
          <w:rFonts w:ascii="Arial" w:cs="Arial" w:eastAsia="Arial" w:hAnsi="Arial"/>
          <w:sz w:val="18"/>
          <w:szCs w:val="18"/>
          <w:i w:val="1"/>
          <w:iCs w:val="1"/>
          <w:color w:val="auto"/>
        </w:rPr>
        <w:t xml:space="preserve"> </w:t>
      </w:r>
      <w:r>
        <w:rPr>
          <w:rFonts w:ascii="Arial" w:cs="Arial" w:eastAsia="Arial" w:hAnsi="Arial"/>
          <w:sz w:val="18"/>
          <w:szCs w:val="18"/>
          <w:color w:val="auto"/>
        </w:rPr>
        <w:t>one, and most times multiple, chips for their systems. The breadth of our portfolio means we can solve more of these needs than can our competitors, which gives us access to more customers and the opportunity to generate more revenue per system. We invest more than $1 billion each year to develop new products for our portfolio.</w:t>
      </w:r>
    </w:p>
    <w:p>
      <w:pPr>
        <w:spacing w:after="0" w:line="78" w:lineRule="exact"/>
        <w:rPr>
          <w:rFonts w:ascii="Arial" w:cs="Arial" w:eastAsia="Arial" w:hAnsi="Arial"/>
          <w:sz w:val="18"/>
          <w:szCs w:val="18"/>
          <w:color w:val="auto"/>
        </w:rPr>
      </w:pPr>
    </w:p>
    <w:p>
      <w:pPr>
        <w:ind w:left="1040" w:right="100" w:hanging="519"/>
        <w:spacing w:after="0" w:line="253"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A strong foundation of manufacturing technology and low-cost production. </w:t>
      </w:r>
      <w:r>
        <w:rPr>
          <w:rFonts w:ascii="Arial" w:cs="Arial" w:eastAsia="Arial" w:hAnsi="Arial"/>
          <w:sz w:val="18"/>
          <w:szCs w:val="18"/>
          <w:color w:val="auto"/>
        </w:rPr>
        <w:t>We invest in manufacturing technologies that differentiate the</w:t>
      </w:r>
      <w:r>
        <w:rPr>
          <w:rFonts w:ascii="Arial" w:cs="Arial" w:eastAsia="Arial" w:hAnsi="Arial"/>
          <w:sz w:val="18"/>
          <w:szCs w:val="18"/>
          <w:i w:val="1"/>
          <w:iCs w:val="1"/>
          <w:color w:val="auto"/>
        </w:rPr>
        <w:t xml:space="preserve"> </w:t>
      </w:r>
      <w:r>
        <w:rPr>
          <w:rFonts w:ascii="Arial" w:cs="Arial" w:eastAsia="Arial" w:hAnsi="Arial"/>
          <w:sz w:val="18"/>
          <w:szCs w:val="18"/>
          <w:color w:val="auto"/>
        </w:rPr>
        <w:t>features of our semiconductors, and we do most of our own production in-house, as opposed to outsourcing it. This ability to directly control our manufacturing helps ensure a consistent supply of products for our customers. We produce billions of semiconductors each year on a mixture of 150-, 200- and 300-millimeter wafers, and we are able to keep costs low for manufacturing facilities and equipment because our analog and much of our embedded processing semiconductors can be made using mature assets that we acquire ahead of demand when their prices are most attractive. In 2014, we produced approximately 25 percent of our Analog semiconductors on 300-millimeter wafers, the industry’s largest wafers, which have a 40 percent cost advantage per unpackaged chip over 200-millimeter wafers. The majority of our future Analog growth will be produced on 300-millimeter wafers, which will be meaningful to the growth of our margins and cash flow over the long term.</w:t>
      </w:r>
    </w:p>
    <w:p>
      <w:pPr>
        <w:spacing w:after="0" w:line="89" w:lineRule="exact"/>
        <w:rPr>
          <w:rFonts w:ascii="Arial" w:cs="Arial" w:eastAsia="Arial" w:hAnsi="Arial"/>
          <w:sz w:val="18"/>
          <w:szCs w:val="18"/>
          <w:color w:val="auto"/>
        </w:rPr>
      </w:pPr>
    </w:p>
    <w:p>
      <w:pPr>
        <w:ind w:left="1040" w:hanging="519"/>
        <w:spacing w:after="0" w:line="264"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Industry’s largest market channels. </w:t>
      </w:r>
      <w:r>
        <w:rPr>
          <w:rFonts w:ascii="Arial" w:cs="Arial" w:eastAsia="Arial" w:hAnsi="Arial"/>
          <w:sz w:val="18"/>
          <w:szCs w:val="18"/>
          <w:color w:val="auto"/>
        </w:rPr>
        <w:t>Our global sales force is larger than those of our competitors, and the breadth of our portfolio attracts tens of</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 of visits to our web site each year where customers often begin their initial product searches and design-in journey. These capabilities combine to provide us unique access to more than 100,000 customers.</w:t>
      </w:r>
    </w:p>
    <w:p>
      <w:pPr>
        <w:spacing w:after="0" w:line="73" w:lineRule="exact"/>
        <w:rPr>
          <w:rFonts w:ascii="Arial" w:cs="Arial" w:eastAsia="Arial" w:hAnsi="Arial"/>
          <w:sz w:val="18"/>
          <w:szCs w:val="18"/>
          <w:color w:val="auto"/>
        </w:rPr>
      </w:pPr>
    </w:p>
    <w:p>
      <w:pPr>
        <w:ind w:left="1040" w:right="180" w:hanging="519"/>
        <w:spacing w:after="0" w:line="259"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Diversity and longevity in our products and in the markets we serve. </w:t>
      </w:r>
      <w:r>
        <w:rPr>
          <w:rFonts w:ascii="Arial" w:cs="Arial" w:eastAsia="Arial" w:hAnsi="Arial"/>
          <w:sz w:val="18"/>
          <w:szCs w:val="18"/>
          <w:color w:val="auto"/>
        </w:rPr>
        <w:t>Together, the attributes above result in diverse and long-lived 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deliver high terminal value to our shareholders. Because of the breadth of our portfolio we are not dependent on any single product, and because of the breadth of our markets we are not dependent on any single application or customer. Some of our products generate revenue for decades, which strengthens the return on our investments.</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These attributes have resulted in consistent share gains and free cash flow growth, and they put us in a unique class of companies with the ability to grow, generate cash, and return that cash to shareholders.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62"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rFonts w:ascii="Arial" w:cs="Arial" w:eastAsia="Arial" w:hAnsi="Arial"/>
          <w:sz w:val="18"/>
          <w:szCs w:val="18"/>
          <w:color w:val="auto"/>
        </w:rPr>
      </w:pPr>
    </w:p>
    <w:p>
      <w:pPr>
        <w:ind w:left="1540" w:right="120" w:hanging="513"/>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60"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New products tend not to have a significant impact on our revenue in any given period because we sell such a large number of products.</w:t>
      </w:r>
    </w:p>
    <w:p>
      <w:pPr>
        <w:spacing w:after="0" w:line="122" w:lineRule="exact"/>
        <w:rPr>
          <w:rFonts w:ascii="Arial" w:cs="Arial" w:eastAsia="Arial" w:hAnsi="Arial"/>
          <w:sz w:val="18"/>
          <w:szCs w:val="18"/>
          <w:color w:val="auto"/>
        </w:rPr>
      </w:pPr>
    </w:p>
    <w:p>
      <w:pPr>
        <w:ind w:left="1540" w:right="40" w:hanging="513"/>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62" w:lineRule="exact"/>
        <w:rPr>
          <w:rFonts w:ascii="Arial" w:cs="Arial" w:eastAsia="Arial" w:hAnsi="Arial"/>
          <w:sz w:val="18"/>
          <w:szCs w:val="18"/>
          <w:color w:val="auto"/>
        </w:rPr>
      </w:pPr>
    </w:p>
    <w:p>
      <w:pPr>
        <w:ind w:left="1540" w:right="260" w:hanging="513"/>
        <w:spacing w:after="0" w:line="302"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 Increases and decreases in factory loadings tend to correspond to increases and decreases in demand.</w:t>
      </w:r>
    </w:p>
    <w:p>
      <w:pPr>
        <w:spacing w:after="0" w:line="46" w:lineRule="exact"/>
        <w:rPr>
          <w:rFonts w:ascii="Arial" w:cs="Arial" w:eastAsia="Arial" w:hAnsi="Arial"/>
          <w:sz w:val="18"/>
          <w:szCs w:val="18"/>
          <w:color w:val="auto"/>
        </w:rPr>
      </w:pPr>
    </w:p>
    <w:p>
      <w:pPr>
        <w:ind w:left="1040" w:right="100" w:hanging="519"/>
        <w:spacing w:after="0" w:line="264"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Performance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third-quarter revenue was $3.43 billion, net income was $798 million and earnings per share (EPS) were $0.76.</w:t>
      </w:r>
    </w:p>
    <w:p>
      <w:pPr>
        <w:spacing w:after="0" w:line="225"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color w:val="auto"/>
        </w:rPr>
        <w:t>Revenue declined 2 percent from a year ago. While our overall demand remained weak, revenue was stronger than we expected. Our core businesses of Analog and Embedded Processing each grew year over year. Together, they comprised 85 percent of third-quarter revenue and have delivered nine consecutive quarters of year-over-year growth. Gross margin was 58.2 percent of revenue, reflecting the quality of our product portfolio, as well as the efficiency of our manufacturing strategy, including the benefit of 300-millimeter analog production.</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cash flow from operations once again underscored the strength of our business model. Free cash flow for the trailing 12 months was up 4 percent from a year ago to $3.6 billion. This represents 28 percent of revenue, up from 27 percent a year ago, and is consistent with our targeted range of 20-30 percent of revenue.</w:t>
      </w:r>
    </w:p>
    <w:p>
      <w:pPr>
        <w:spacing w:after="0" w:line="181" w:lineRule="exact"/>
        <w:rPr>
          <w:sz w:val="20"/>
          <w:szCs w:val="20"/>
          <w:color w:val="auto"/>
        </w:rPr>
      </w:pPr>
    </w:p>
    <w:p>
      <w:pPr>
        <w:jc w:val="both"/>
        <w:ind w:right="500"/>
        <w:spacing w:after="0" w:line="302" w:lineRule="auto"/>
        <w:rPr>
          <w:sz w:val="20"/>
          <w:szCs w:val="20"/>
          <w:color w:val="auto"/>
        </w:rPr>
      </w:pPr>
      <w:r>
        <w:rPr>
          <w:rFonts w:ascii="Arial" w:cs="Arial" w:eastAsia="Arial" w:hAnsi="Arial"/>
          <w:sz w:val="16"/>
          <w:szCs w:val="16"/>
          <w:color w:val="auto"/>
        </w:rPr>
        <w:t>We have returned $4.2 billion to shareholders in the past 12 months through stock repurchases and dividends. In September, we announced a quarterly dividend increase of $0.04 per share, a 12 percent increase. This marked 12 consecutive years of dividend increases. We also announced a $7.5 billion increase to our share buyback authorization. Our strategy to return to shareholders 100 percent of free cash flow plus proceeds from exercises of equity compensation minus net debt retirement reflects our confidence in the long-term sustainability of our business model.</w:t>
      </w:r>
    </w:p>
    <w:p>
      <w:pPr>
        <w:spacing w:after="0" w:line="15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Our balance sheet remains strong with $2.7 billion of cash and short-term investments at the end of the quarter, 82 percent of which was owned by the company’s U.S. entities. Inventory ended the quarter at 111 days.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Free cash flow is a non-GAAP financial measure. For a reconciliation to GAAP and an explanation of the reason for providing this non-GAAP measure, see the Non-GAAP financial information section after the Liquidity and capital resources section.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third-quarter 2015 compared with third-quarter 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Revenue decreased $72 million due to lower revenue from Other. Analog and Embedded Processing revenue grew.</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Gross profit of $2.00 billion was down 2 percent due to lower revenue. As a percentage of revenue, gross profit was 58.2 percent compared with 58.4 percent.</w:t>
      </w:r>
    </w:p>
    <w:p>
      <w:pPr>
        <w:spacing w:after="0" w:line="24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Operating expenses were $316 million for R&amp;D and $434 million for SG&amp;A. R&amp;D expense decreased $16 million, or 5 percent, and SG&amp;A expense decreased $29 million, or 6 percent. Both comparisons reflect savings from ongoing efforts across the company to align costs with growth opportunities, including the completed restructuring actions in Embedded Processing and Japan. These decreases were partially offset by higher compensation-related costs.</w:t>
      </w:r>
    </w:p>
    <w:p>
      <w:pPr>
        <w:spacing w:after="0" w:line="14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Acquisition charges associated with our 2011 acquisition of National were unchanged at $83 million. These non-cash charges were from the ongoing amortization of intangible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$1.16 billion, or 33.9 percent of revenue, compared with $1.18 billion, or 33.6 percent of revenue.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Quarterly income taxes are calculated using the estimated annual effective tax rate. At the end of the third quarter, our estimated annual effective tax rate for 2015 was about 30 percent. The tax rate is based on current tax law and does not include the effect of the federal research tax credit, which expired at the end of 2014. Our annual effective tax rate benefits from lower tax rates (compared to the U.S. statutory rate) applicable to our operations in many of the jurisdictions in which we operate and from U.S. tax benefits. These lower non-U.S. tax rates are generally statutory in nature, without expiration and available to companies that operate in those taxing jurisdictions.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tax provision was $350 million compared with $329 million. The increase was due to a lower benefit from non-U.S. tax rates.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Third-quarter 2015 segment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quarter are as follows:</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Analog (includes High Volume Analog &amp; Logic (HVAL), Power Management (Power), High Performance Analog (HPA) and Silicon Valley Analog (SVA))</w:t>
      </w:r>
    </w:p>
    <w:p>
      <w:pPr>
        <w:spacing w:after="0" w:line="258"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3Q15</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3Q14</w:t>
            </w:r>
          </w:p>
        </w:tc>
        <w:tc>
          <w:tcPr>
            <w:tcW w:w="260" w:type="dxa"/>
            <w:vAlign w:val="bottom"/>
            <w:tcBorders>
              <w:bottom w:val="single" w:sz="8" w:color="CFF0FC"/>
            </w:tcBorders>
          </w:tcPr>
          <w:p>
            <w:pPr>
              <w:spacing w:after="0"/>
              <w:rPr>
                <w:sz w:val="20"/>
                <w:szCs w:val="20"/>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Change</w:t>
            </w:r>
          </w:p>
        </w:tc>
        <w:tc>
          <w:tcPr>
            <w:tcW w:w="180" w:type="dxa"/>
            <w:vAlign w:val="bottom"/>
            <w:tcBorders>
              <w:bottom w:val="single" w:sz="8" w:color="CFF0FC"/>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2,182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2,149</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812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802</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Operating profit % of revenue</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37.2%</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37.3%</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Analog revenue increased due to HVAL, and to a lesser extent, SVA. Power was about even and HPA declined. HPA revenue decreased due to the mix of products shipped. Operating profit increased.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gridSpan w:val="2"/>
          </w:tcPr>
          <w:p>
            <w:pPr>
              <w:spacing w:after="0"/>
              <w:rPr>
                <w:sz w:val="20"/>
                <w:szCs w:val="20"/>
                <w:color w:val="auto"/>
              </w:rPr>
            </w:pPr>
            <w:r>
              <w:rPr>
                <w:rFonts w:ascii="Arial" w:cs="Arial" w:eastAsia="Arial" w:hAnsi="Arial"/>
                <w:sz w:val="18"/>
                <w:szCs w:val="18"/>
                <w:i w:val="1"/>
                <w:iCs w:val="1"/>
                <w:color w:val="auto"/>
              </w:rPr>
              <w:t>Embedded Processing (includes Processors, Microcontrollers and Connectivity)</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46"/>
        </w:trPr>
        <w:tc>
          <w:tcPr>
            <w:tcW w:w="1160" w:type="dxa"/>
            <w:vAlign w:val="bottom"/>
          </w:tcPr>
          <w:p>
            <w:pPr>
              <w:spacing w:after="0"/>
              <w:rPr>
                <w:sz w:val="24"/>
                <w:szCs w:val="24"/>
                <w:color w:val="auto"/>
              </w:rPr>
            </w:pPr>
          </w:p>
        </w:tc>
        <w:tc>
          <w:tcPr>
            <w:tcW w:w="534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3Q15</w:t>
            </w:r>
          </w:p>
        </w:tc>
        <w:tc>
          <w:tcPr>
            <w:tcW w:w="28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3Q14</w:t>
            </w:r>
          </w:p>
        </w:tc>
        <w:tc>
          <w:tcPr>
            <w:tcW w:w="260" w:type="dxa"/>
            <w:vAlign w:val="bottom"/>
            <w:tcBorders>
              <w:bottom w:val="single" w:sz="8" w:color="CFF0FC"/>
            </w:tcBorders>
          </w:tcPr>
          <w:p>
            <w:pPr>
              <w:spacing w:after="0"/>
              <w:rPr>
                <w:sz w:val="24"/>
                <w:szCs w:val="24"/>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Change</w:t>
            </w:r>
          </w:p>
        </w:tc>
        <w:tc>
          <w:tcPr>
            <w:tcW w:w="180" w:type="dxa"/>
            <w:vAlign w:val="bottom"/>
            <w:tcBorders>
              <w:bottom w:val="single" w:sz="8" w:color="CFF0FC"/>
            </w:tcBorders>
          </w:tcPr>
          <w:p>
            <w:pPr>
              <w:spacing w:after="0"/>
              <w:rPr>
                <w:sz w:val="24"/>
                <w:szCs w:val="24"/>
                <w:color w:val="auto"/>
              </w:rPr>
            </w:pPr>
          </w:p>
        </w:tc>
      </w:tr>
      <w:tr>
        <w:trPr>
          <w:trHeight w:val="223"/>
        </w:trPr>
        <w:tc>
          <w:tcPr>
            <w:tcW w:w="116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725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116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174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r>
      <w:tr>
        <w:trPr>
          <w:trHeight w:val="230"/>
        </w:trPr>
        <w:tc>
          <w:tcPr>
            <w:tcW w:w="116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Operating profit % of revenue</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24.0%</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16.0%</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Embedded Processing revenue increased due to Microcontrollers and, to a lesser extent, Connectivity. The increase was partially offset by decreased revenue from Processors due to the mix of products shipped. Operating profit increased due to lower operating expenses and, to a lesser extent, higher gross profit.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w w:val="98"/>
              </w:rPr>
              <w:t>Other (includes DLP</w:t>
            </w:r>
            <w:r>
              <w:rPr>
                <w:rFonts w:ascii="Arial" w:cs="Arial" w:eastAsia="Arial" w:hAnsi="Arial"/>
                <w:sz w:val="15"/>
                <w:szCs w:val="15"/>
                <w:i w:val="1"/>
                <w:iCs w:val="1"/>
                <w:color w:val="auto"/>
                <w:w w:val="98"/>
              </w:rPr>
              <w:t>®</w:t>
            </w:r>
            <w:r>
              <w:rPr>
                <w:rFonts w:ascii="Arial" w:cs="Arial" w:eastAsia="Arial" w:hAnsi="Arial"/>
                <w:sz w:val="18"/>
                <w:szCs w:val="18"/>
                <w:i w:val="1"/>
                <w:iCs w:val="1"/>
                <w:color w:val="auto"/>
                <w:w w:val="98"/>
              </w:rPr>
              <w:t xml:space="preserve"> products, custom ASIC products, calculators and royalties)</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46"/>
        </w:trPr>
        <w:tc>
          <w:tcPr>
            <w:tcW w:w="1160" w:type="dxa"/>
            <w:vAlign w:val="bottom"/>
          </w:tcPr>
          <w:p>
            <w:pPr>
              <w:spacing w:after="0"/>
              <w:rPr>
                <w:sz w:val="24"/>
                <w:szCs w:val="24"/>
                <w:color w:val="auto"/>
              </w:rPr>
            </w:pPr>
          </w:p>
        </w:tc>
        <w:tc>
          <w:tcPr>
            <w:tcW w:w="524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3Q15</w:t>
            </w: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3Q14</w:t>
            </w: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Change</w:t>
            </w:r>
          </w:p>
        </w:tc>
        <w:tc>
          <w:tcPr>
            <w:tcW w:w="180" w:type="dxa"/>
            <w:vAlign w:val="bottom"/>
            <w:tcBorders>
              <w:bottom w:val="single" w:sz="8" w:color="CCEEFF"/>
            </w:tcBorders>
          </w:tcPr>
          <w:p>
            <w:pPr>
              <w:spacing w:after="0"/>
              <w:rPr>
                <w:sz w:val="24"/>
                <w:szCs w:val="24"/>
                <w:color w:val="auto"/>
              </w:rPr>
            </w:pPr>
          </w:p>
        </w:tc>
      </w:tr>
      <w:tr>
        <w:trPr>
          <w:trHeight w:val="223"/>
        </w:trPr>
        <w:tc>
          <w:tcPr>
            <w:tcW w:w="116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522</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57"/>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641</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30"/>
        </w:trPr>
        <w:tc>
          <w:tcPr>
            <w:tcW w:w="11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Operating profit*</w:t>
            </w:r>
          </w:p>
        </w:tc>
        <w:tc>
          <w:tcPr>
            <w:tcW w:w="7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99"/>
              </w:rPr>
              <w:t>178</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259</w:t>
            </w:r>
          </w:p>
        </w:tc>
        <w:tc>
          <w:tcPr>
            <w:tcW w:w="2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230"/>
        </w:trPr>
        <w:tc>
          <w:tcPr>
            <w:tcW w:w="116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7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3"/>
              </w:rPr>
              <w:t>34.1%</w:t>
            </w:r>
          </w:p>
        </w:tc>
        <w:tc>
          <w:tcPr>
            <w:tcW w:w="7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40.4%</w:t>
            </w: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bl>
    <w:p>
      <w:pPr>
        <w:spacing w:after="0" w:line="229" w:lineRule="exact"/>
        <w:rPr>
          <w:sz w:val="20"/>
          <w:szCs w:val="20"/>
          <w:color w:val="auto"/>
        </w:rPr>
      </w:pPr>
    </w:p>
    <w:p>
      <w:pPr>
        <w:ind w:left="1140"/>
        <w:spacing w:after="0"/>
        <w:tabs>
          <w:tab w:leader="none" w:pos="1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Includes Acquisition charges and Restructuring charges/other</w:t>
      </w:r>
    </w:p>
    <w:p>
      <w:pPr>
        <w:spacing w:after="0" w:line="2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Other revenue decreased due to, in declining order, custom ASIC products, DLP products and calculators. Operating profit decreased due to lower revenue and associated gross profit.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first nine months of 2015 compared with first nine months of 2014</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Revenue of $9.81 billion was about even, as higher revenue from Analog and Embedded Processing was offset by lower revenue from Other. Analog and Embedded Processing comprised 85 percent of revenue compared with 82 percent.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Gross profit was $5.69 billion, an increase of $162 million, or 3 percent, due to lower manufacturing costs.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R&amp;D expense of $974 million decreased $73 million, or 7 percent, and SG&amp;A expense of $1.34 billion decreased $71 million, or 5 percent. Both comparisons reflect savings from ongoing efforts across the company to align costs with growth opportunities, including the completed restructuring actions in Embedded Processing and Japan. These decreases were partially offset by higher compensation-related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Acquisition charges were unchanged at $248 million. These non-cash charges were from the ongoing amortization of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$3.13 billion, or 31.9 percent of revenue, compared with $2.85 billion, or 29.1 percent of revenue.</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tax provision increased to $927 million from $791 million due to higher income before income taxes and, to a lesser extent, a lower benefit from non-U.S. tax rates.</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66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Net income was $2.15 billion compared with $2.00 billion. EPS was $2.02 compared with $1.81.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Year-to-date segment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period are as follows: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6"/>
              </w:rPr>
              <w:t>YTD 2015</w:t>
            </w:r>
          </w:p>
        </w:tc>
        <w:tc>
          <w:tcPr>
            <w:tcW w:w="2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6"/>
              </w:rPr>
              <w:t>YTD 2014</w:t>
            </w:r>
          </w:p>
        </w:tc>
        <w:tc>
          <w:tcPr>
            <w:tcW w:w="2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Change</w:t>
            </w:r>
          </w:p>
        </w:tc>
        <w:tc>
          <w:tcPr>
            <w:tcW w:w="180" w:type="dxa"/>
            <w:vAlign w:val="bottom"/>
            <w:tcBorders>
              <w:bottom w:val="single" w:sz="8" w:color="CCEEFF"/>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6,266</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5,981</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Operating profit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2,261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1,964</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30"/>
        </w:trPr>
        <w:tc>
          <w:tcPr>
            <w:tcW w:w="2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36.1%</w:t>
            </w: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w:t>
            </w: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bl>
    <w:p>
      <w:pPr>
        <w:spacing w:after="0" w:line="24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Analog revenue increased due to HVAL and, to a lesser extent, Power. SVA also increased. HPA decreased due to the mix of products shipped. Operating profit increased primarily due to higher revenue and associated gross profit.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gridSpan w:val="2"/>
          </w:tcPr>
          <w:p>
            <w:pPr>
              <w:spacing w:after="0"/>
              <w:rPr>
                <w:sz w:val="20"/>
                <w:szCs w:val="20"/>
                <w:color w:val="auto"/>
              </w:rPr>
            </w:pPr>
            <w:r>
              <w:rPr>
                <w:rFonts w:ascii="Arial" w:cs="Arial" w:eastAsia="Arial" w:hAnsi="Arial"/>
                <w:sz w:val="18"/>
                <w:szCs w:val="18"/>
                <w:i w:val="1"/>
                <w:iCs w:val="1"/>
                <w:color w:val="auto"/>
              </w:rPr>
              <w:t>Embedded Processing</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46"/>
        </w:trPr>
        <w:tc>
          <w:tcPr>
            <w:tcW w:w="1160" w:type="dxa"/>
            <w:vAlign w:val="bottom"/>
          </w:tcPr>
          <w:p>
            <w:pPr>
              <w:spacing w:after="0"/>
              <w:rPr>
                <w:sz w:val="24"/>
                <w:szCs w:val="24"/>
                <w:color w:val="auto"/>
              </w:rPr>
            </w:pPr>
          </w:p>
        </w:tc>
        <w:tc>
          <w:tcPr>
            <w:tcW w:w="534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6"/>
              </w:rPr>
              <w:t>YTD 2015</w:t>
            </w:r>
          </w:p>
        </w:tc>
        <w:tc>
          <w:tcPr>
            <w:tcW w:w="280" w:type="dxa"/>
            <w:vAlign w:val="bottom"/>
            <w:tcBorders>
              <w:bottom w:val="single" w:sz="8" w:color="CFF0FC"/>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6"/>
              </w:rPr>
              <w:t>YTD 2014</w:t>
            </w:r>
          </w:p>
        </w:tc>
        <w:tc>
          <w:tcPr>
            <w:tcW w:w="260" w:type="dxa"/>
            <w:vAlign w:val="bottom"/>
            <w:tcBorders>
              <w:bottom w:val="single" w:sz="8" w:color="CFF0FC"/>
            </w:tcBorders>
          </w:tcPr>
          <w:p>
            <w:pPr>
              <w:spacing w:after="0"/>
              <w:rPr>
                <w:sz w:val="24"/>
                <w:szCs w:val="24"/>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Change</w:t>
            </w:r>
          </w:p>
        </w:tc>
        <w:tc>
          <w:tcPr>
            <w:tcW w:w="180" w:type="dxa"/>
            <w:vAlign w:val="bottom"/>
            <w:tcBorders>
              <w:bottom w:val="single" w:sz="8" w:color="CFF0FC"/>
            </w:tcBorders>
          </w:tcPr>
          <w:p>
            <w:pPr>
              <w:spacing w:after="0"/>
              <w:rPr>
                <w:sz w:val="24"/>
                <w:szCs w:val="24"/>
                <w:color w:val="auto"/>
              </w:rPr>
            </w:pPr>
          </w:p>
        </w:tc>
      </w:tr>
      <w:tr>
        <w:trPr>
          <w:trHeight w:val="223"/>
        </w:trPr>
        <w:tc>
          <w:tcPr>
            <w:tcW w:w="116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2,087</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2,070</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116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Operating profit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432</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r>
      <w:tr>
        <w:trPr>
          <w:trHeight w:val="230"/>
        </w:trPr>
        <w:tc>
          <w:tcPr>
            <w:tcW w:w="116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Operating profit % of revenue</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20.7%</w:t>
            </w:r>
          </w:p>
        </w:tc>
        <w:tc>
          <w:tcPr>
            <w:tcW w:w="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13.0%</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Embedded Processing revenue was about even as Connectivity and Microcontrollers grew about equally, but were offset by a decrease in Processors.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increased primarily due to lower operating expenses.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6"/>
              </w:rPr>
              <w:t>YTD 2015</w:t>
            </w:r>
          </w:p>
        </w:tc>
        <w:tc>
          <w:tcPr>
            <w:tcW w:w="2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YTD 2014</w:t>
            </w:r>
          </w:p>
        </w:tc>
        <w:tc>
          <w:tcPr>
            <w:tcW w:w="2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Change</w:t>
            </w:r>
          </w:p>
        </w:tc>
        <w:tc>
          <w:tcPr>
            <w:tcW w:w="180" w:type="dxa"/>
            <w:vAlign w:val="bottom"/>
            <w:tcBorders>
              <w:bottom w:val="single" w:sz="8" w:color="CCEEFF"/>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1,458</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Operating profit*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439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613</w:t>
            </w:r>
          </w:p>
        </w:tc>
        <w:tc>
          <w:tcPr>
            <w:tcW w:w="2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30.1%</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w:t>
            </w: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bl>
    <w:p>
      <w:pPr>
        <w:spacing w:after="0" w:line="229" w:lineRule="exact"/>
        <w:rPr>
          <w:sz w:val="20"/>
          <w:szCs w:val="20"/>
          <w:color w:val="auto"/>
        </w:rPr>
      </w:pPr>
    </w:p>
    <w:p>
      <w:pPr>
        <w:ind w:left="1140"/>
        <w:spacing w:after="0"/>
        <w:tabs>
          <w:tab w:leader="none" w:pos="1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Includes Acquisition charges and Restructuring charges/other.</w:t>
      </w:r>
    </w:p>
    <w:p>
      <w:pPr>
        <w:spacing w:after="0" w:line="26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Other revenue decreased due to custom ASIC products and, to a lesser extent, DLP products. Revenue from calculators was about even. Operating profit decreased due to lower revenue and associated gross profit.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the end of the third quarter of 2015, total cash (Cash and cash equivalents plus Short-term investments) was $2.74 billion, a decrease of $806 million from the end of 2014.</w:t>
      </w:r>
    </w:p>
    <w:p>
      <w:pPr>
        <w:spacing w:after="0" w:line="170"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Accounts receivable was $1.48 billion, an increase of $235 million compared with the end of 2014 primarily due to higher revenue at the end of the third quarter than at the end of 2014. Days sales outstanding were 39 at the end of the third quarter compared with 34 at the end of 2014.</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Inventory was $1.77 billion, a decrease of $13 million from the end of 2014. Days of inventory at the end of the third quarter were 111 compared with 117 at the end of 2014 and 126 at the end of the second quarter. The reduction from the end of the second quarter was due to lower factory starts and higher-than-expected revenue.</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 investments and a variable-rate revolving credit facility. Cash flows from operating activities for the first nine months of 2015 was $2.84 billion, an increase of $218 million from the year-ago period primarily due to an increase in Net income.</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revolving credit facility is with a consortium of investment-grade banks and allows us to borrow up to $2 billion until March 2020. This credit facility also serves as support for the issuance of commercial paper. As of September 30, 2015, our credit facility was undrawn and we had no commercial paper outstanding.</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 the first nine months of 2015, investing activities provided $373 million in cash compared with $114 million in the year-ago period. Capital expenditures were $387 million compared with $260 million in the year-ago period, and were primarily for semiconductor manufacturing equipment. We received proceeds from sales of short-term investments, net of purchases, of $742 million, compared with $321 million in the year-ago period.</w:t>
      </w:r>
    </w:p>
    <w:p>
      <w:pPr>
        <w:spacing w:after="0" w:line="16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For the first nine months of 2015, financing activities used cash of $3.28 billion compared with $3.06 billion in the year-ago period. In both 2015 and 2014, we received proceeds of $498 million from the issuance of fixed-rate long-term debt (net of original issuance discount) and retired maturing debt of $1.0 billion. We paid dividends of $1.06 billion compared with $967 million in the year-ago period, reflecting an increase in the dividend rate, partially offset by fewer shares outstanding. We used $2.11 billion to repurchase 39.7 million shares of our common stock, compared with $2.13 billion used in the year-ago period to repurchase 46.8 million shares. Employee exercises of stock options provided cash proceeds of $332 million compared with $476 million in the year-ago period.</w:t>
      </w:r>
    </w:p>
    <w:p>
      <w:pPr>
        <w:spacing w:after="0" w:line="193"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In September 2015, we announced a 12 percent increase in our quarterly cash dividend, which increased from $0.34 to $0.38 per share. This dividend will be payable November 16, 2015, to stockholders of record on October 30, 2015. Additionally, our Board of Directors authorized the repurchase of an additional $7.5 billion of our common stock, bringing the total outstanding authorization to $8.56 billion as of September 30, 2015.</w:t>
      </w:r>
    </w:p>
    <w:p>
      <w:pPr>
        <w:spacing w:after="0" w:line="16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had $1.13 billion of Cash and cash equivalents and $1.60 billion of Short-term investments as of September 30, 2015. We believe we have the necessary financial resources and operating plans to fund our working capital needs, capital expenditures, dividend and debt-related payments, and other business requirements for at least the next 12 months.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This MD&amp;A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8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investors, as well as insight into our financial performance. These non-GAAP measures are supplemental to the comparable GAAP measures.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GAAP-based measures is provided in the table below.</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6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7"/>
              </w:rPr>
              <w:t>For 12 Months Ended</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8"/>
                <w:szCs w:val="18"/>
                <w:b w:val="1"/>
                <w:bCs w:val="1"/>
                <w:color w:val="auto"/>
              </w:rPr>
              <w:t>2014</w:t>
            </w:r>
          </w:p>
        </w:tc>
        <w:tc>
          <w:tcPr>
            <w:tcW w:w="24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Change</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Cash flow from operations (GAAP)</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4,110</w:t>
            </w:r>
          </w:p>
        </w:tc>
        <w:tc>
          <w:tcPr>
            <w:tcW w:w="26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3,819</w:t>
            </w: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8%</w:t>
            </w:r>
          </w:p>
        </w:tc>
        <w:tc>
          <w:tcPr>
            <w:tcW w:w="0" w:type="dxa"/>
            <w:vAlign w:val="bottom"/>
          </w:tcPr>
          <w:p>
            <w:pPr>
              <w:spacing w:after="0"/>
              <w:rPr>
                <w:sz w:val="1"/>
                <w:szCs w:val="1"/>
                <w:color w:val="auto"/>
              </w:rPr>
            </w:pPr>
          </w:p>
        </w:tc>
      </w:tr>
      <w:tr>
        <w:trPr>
          <w:trHeight w:val="213"/>
        </w:trPr>
        <w:tc>
          <w:tcPr>
            <w:tcW w:w="5400" w:type="dxa"/>
            <w:vAlign w:val="bottom"/>
            <w:gridSpan w:val="2"/>
          </w:tcPr>
          <w:p>
            <w:pPr>
              <w:spacing w:after="0"/>
              <w:rPr>
                <w:sz w:val="20"/>
                <w:szCs w:val="20"/>
                <w:color w:val="auto"/>
              </w:rPr>
            </w:pPr>
            <w:r>
              <w:rPr>
                <w:rFonts w:ascii="Arial" w:cs="Arial" w:eastAsia="Arial" w:hAnsi="Arial"/>
                <w:sz w:val="16"/>
                <w:szCs w:val="16"/>
                <w:color w:val="auto"/>
              </w:rPr>
              <w:t>Capital expenditures</w:t>
            </w: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(512)</w:t>
            </w:r>
          </w:p>
        </w:tc>
        <w:tc>
          <w:tcPr>
            <w:tcW w:w="2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(367)</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Free cash flow (non-GAAP)</w:t>
            </w: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3,598</w:t>
            </w:r>
          </w:p>
        </w:tc>
        <w:tc>
          <w:tcPr>
            <w:tcW w:w="26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3,452</w:t>
            </w:r>
          </w:p>
        </w:tc>
        <w:tc>
          <w:tcPr>
            <w:tcW w:w="240" w:type="dxa"/>
            <w:vAlign w:val="bottom"/>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3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02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13,080</w:t>
            </w:r>
          </w:p>
        </w:tc>
        <w:tc>
          <w:tcPr>
            <w:tcW w:w="26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12,804</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Cash flow from operations as a percent of revenue (GAAP)</w:t>
            </w:r>
          </w:p>
        </w:tc>
        <w:tc>
          <w:tcPr>
            <w:tcW w:w="180" w:type="dxa"/>
            <w:vAlign w:val="bottom"/>
            <w:shd w:val="clear" w:color="auto" w:fill="CFF0FC"/>
          </w:tcPr>
          <w:p>
            <w:pPr>
              <w:spacing w:after="0"/>
              <w:rPr>
                <w:sz w:val="18"/>
                <w:szCs w:val="18"/>
                <w:color w:val="auto"/>
              </w:rPr>
            </w:pPr>
          </w:p>
        </w:tc>
        <w:tc>
          <w:tcPr>
            <w:tcW w:w="11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31%</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30%</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gridSpan w:val="2"/>
          </w:tcPr>
          <w:p>
            <w:pPr>
              <w:spacing w:after="0"/>
              <w:rPr>
                <w:sz w:val="20"/>
                <w:szCs w:val="20"/>
                <w:color w:val="auto"/>
              </w:rPr>
            </w:pPr>
            <w:r>
              <w:rPr>
                <w:rFonts w:ascii="Arial" w:cs="Arial" w:eastAsia="Arial" w:hAnsi="Arial"/>
                <w:sz w:val="16"/>
                <w:szCs w:val="16"/>
                <w:color w:val="auto"/>
              </w:rPr>
              <w:t>Free cash flow as a percent of revenue (non-GAAP)</w:t>
            </w: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28%</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27%</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12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Information regarding long-term debt obligations is described in the long-term contractual obligations table in Item 7 of our Form 10-K for the year ended December 31, 2014. Additionally, in April 2015 we retired $250 million of maturing debt and in August 2015 we retired $750 million of maturing debt. In May 2015 we issued $500 million principal amount of 1.75% notes maturing in 2020.</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financial statements for detailed information regarding the status of new accounting and reporting standards.</w:t>
      </w:r>
    </w:p>
    <w:p>
      <w:pPr>
        <w:spacing w:after="0" w:line="200" w:lineRule="exact"/>
        <w:rPr>
          <w:sz w:val="20"/>
          <w:szCs w:val="20"/>
          <w:color w:val="auto"/>
        </w:rPr>
      </w:pPr>
    </w:p>
    <w:p>
      <w:pPr>
        <w:spacing w:after="0" w:line="3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Information concerning our risk factors is contained in Item 1A of our Form 10-K for the year ended December 31, 2014, and is incorporated by reference herein.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80" w:type="dxa"/>
            <w:vAlign w:val="bottom"/>
            <w:gridSpan w:val="2"/>
          </w:tcPr>
          <w:p>
            <w:pPr>
              <w:jc w:val="center"/>
              <w:ind w:right="243"/>
              <w:spacing w:after="0"/>
              <w:rPr>
                <w:sz w:val="20"/>
                <w:szCs w:val="20"/>
                <w:color w:val="auto"/>
              </w:rPr>
            </w:pPr>
            <w:r>
              <w:rPr>
                <w:rFonts w:ascii="Arial" w:cs="Arial" w:eastAsia="Arial" w:hAnsi="Arial"/>
                <w:sz w:val="18"/>
                <w:szCs w:val="18"/>
                <w:b w:val="1"/>
                <w:bCs w:val="1"/>
                <w:color w:val="auto"/>
                <w:w w:val="91"/>
              </w:rPr>
              <w:t>Total Number</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Approximate</w:t>
            </w:r>
          </w:p>
        </w:tc>
      </w:tr>
      <w:tr>
        <w:trPr>
          <w:trHeight w:val="230"/>
        </w:trPr>
        <w:tc>
          <w:tcPr>
            <w:tcW w:w="5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80" w:type="dxa"/>
            <w:vAlign w:val="bottom"/>
            <w:gridSpan w:val="2"/>
          </w:tcPr>
          <w:p>
            <w:pPr>
              <w:jc w:val="center"/>
              <w:ind w:right="243"/>
              <w:spacing w:after="0"/>
              <w:rPr>
                <w:sz w:val="20"/>
                <w:szCs w:val="20"/>
                <w:color w:val="auto"/>
              </w:rPr>
            </w:pPr>
            <w:r>
              <w:rPr>
                <w:rFonts w:ascii="Arial" w:cs="Arial" w:eastAsia="Arial" w:hAnsi="Arial"/>
                <w:sz w:val="18"/>
                <w:szCs w:val="18"/>
                <w:b w:val="1"/>
                <w:bCs w:val="1"/>
                <w:color w:val="auto"/>
                <w:w w:val="85"/>
              </w:rPr>
              <w:t>of Shares</w:t>
            </w: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Dollar Value</w:t>
            </w:r>
          </w:p>
        </w:tc>
      </w:tr>
      <w:tr>
        <w:trPr>
          <w:trHeight w:val="230"/>
        </w:trPr>
        <w:tc>
          <w:tcPr>
            <w:tcW w:w="5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80" w:type="dxa"/>
            <w:vAlign w:val="bottom"/>
            <w:gridSpan w:val="2"/>
          </w:tcPr>
          <w:p>
            <w:pPr>
              <w:jc w:val="center"/>
              <w:ind w:right="243"/>
              <w:spacing w:after="0"/>
              <w:rPr>
                <w:sz w:val="20"/>
                <w:szCs w:val="20"/>
                <w:color w:val="auto"/>
              </w:rPr>
            </w:pPr>
            <w:r>
              <w:rPr>
                <w:rFonts w:ascii="Arial" w:cs="Arial" w:eastAsia="Arial" w:hAnsi="Arial"/>
                <w:sz w:val="18"/>
                <w:szCs w:val="18"/>
                <w:b w:val="1"/>
                <w:bCs w:val="1"/>
                <w:color w:val="auto"/>
                <w:w w:val="87"/>
              </w:rPr>
              <w:t>Purchased as</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of Shares that</w:t>
            </w:r>
          </w:p>
        </w:tc>
      </w:tr>
      <w:tr>
        <w:trPr>
          <w:trHeight w:val="230"/>
        </w:trPr>
        <w:tc>
          <w:tcPr>
            <w:tcW w:w="5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80" w:type="dxa"/>
            <w:vAlign w:val="bottom"/>
            <w:gridSpan w:val="2"/>
          </w:tcPr>
          <w:p>
            <w:pPr>
              <w:jc w:val="center"/>
              <w:ind w:right="243"/>
              <w:spacing w:after="0"/>
              <w:rPr>
                <w:sz w:val="20"/>
                <w:szCs w:val="20"/>
                <w:color w:val="auto"/>
              </w:rPr>
            </w:pPr>
            <w:r>
              <w:rPr>
                <w:rFonts w:ascii="Arial" w:cs="Arial" w:eastAsia="Arial" w:hAnsi="Arial"/>
                <w:sz w:val="18"/>
                <w:szCs w:val="18"/>
                <w:b w:val="1"/>
                <w:bCs w:val="1"/>
                <w:color w:val="auto"/>
                <w:w w:val="94"/>
              </w:rPr>
              <w:t>Part of</w:t>
            </w: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May Yet Be</w:t>
            </w:r>
          </w:p>
        </w:tc>
      </w:tr>
      <w:tr>
        <w:trPr>
          <w:trHeight w:val="230"/>
        </w:trPr>
        <w:tc>
          <w:tcPr>
            <w:tcW w:w="56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80" w:type="dxa"/>
            <w:vAlign w:val="bottom"/>
            <w:gridSpan w:val="2"/>
          </w:tcPr>
          <w:p>
            <w:pPr>
              <w:jc w:val="center"/>
              <w:ind w:right="243"/>
              <w:spacing w:after="0"/>
              <w:rPr>
                <w:sz w:val="20"/>
                <w:szCs w:val="20"/>
                <w:color w:val="auto"/>
              </w:rPr>
            </w:pPr>
            <w:r>
              <w:rPr>
                <w:rFonts w:ascii="Arial" w:cs="Arial" w:eastAsia="Arial" w:hAnsi="Arial"/>
                <w:sz w:val="18"/>
                <w:szCs w:val="18"/>
                <w:b w:val="1"/>
                <w:bCs w:val="1"/>
                <w:color w:val="auto"/>
                <w:w w:val="89"/>
              </w:rPr>
              <w:t>Publicly</w:t>
            </w: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Purchased</w:t>
            </w:r>
          </w:p>
        </w:tc>
      </w:tr>
      <w:tr>
        <w:trPr>
          <w:trHeight w:val="230"/>
        </w:trPr>
        <w:tc>
          <w:tcPr>
            <w:tcW w:w="56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Average</w:t>
            </w:r>
          </w:p>
        </w:tc>
        <w:tc>
          <w:tcPr>
            <w:tcW w:w="1580" w:type="dxa"/>
            <w:vAlign w:val="bottom"/>
            <w:gridSpan w:val="2"/>
          </w:tcPr>
          <w:p>
            <w:pPr>
              <w:jc w:val="center"/>
              <w:ind w:right="263"/>
              <w:spacing w:after="0"/>
              <w:rPr>
                <w:sz w:val="20"/>
                <w:szCs w:val="20"/>
                <w:color w:val="auto"/>
              </w:rPr>
            </w:pPr>
            <w:r>
              <w:rPr>
                <w:rFonts w:ascii="Arial" w:cs="Arial" w:eastAsia="Arial" w:hAnsi="Arial"/>
                <w:sz w:val="18"/>
                <w:szCs w:val="18"/>
                <w:b w:val="1"/>
                <w:bCs w:val="1"/>
                <w:color w:val="auto"/>
                <w:w w:val="88"/>
              </w:rPr>
              <w:t>Announced</w:t>
            </w: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Under the</w:t>
            </w:r>
          </w:p>
        </w:tc>
      </w:tr>
      <w:tr>
        <w:trPr>
          <w:trHeight w:val="234"/>
        </w:trPr>
        <w:tc>
          <w:tcPr>
            <w:tcW w:w="56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Price Paid</w:t>
            </w:r>
          </w:p>
        </w:tc>
        <w:tc>
          <w:tcPr>
            <w:tcW w:w="1580" w:type="dxa"/>
            <w:vAlign w:val="bottom"/>
            <w:gridSpan w:val="2"/>
          </w:tcPr>
          <w:p>
            <w:pPr>
              <w:jc w:val="center"/>
              <w:ind w:right="243"/>
              <w:spacing w:after="0"/>
              <w:rPr>
                <w:sz w:val="20"/>
                <w:szCs w:val="20"/>
                <w:color w:val="auto"/>
              </w:rPr>
            </w:pPr>
            <w:r>
              <w:rPr>
                <w:rFonts w:ascii="Arial" w:cs="Arial" w:eastAsia="Arial" w:hAnsi="Arial"/>
                <w:sz w:val="18"/>
                <w:szCs w:val="18"/>
                <w:b w:val="1"/>
                <w:bCs w:val="1"/>
                <w:color w:val="auto"/>
                <w:w w:val="87"/>
              </w:rPr>
              <w:t>Plans or</w:t>
            </w: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Plans or</w:t>
            </w:r>
          </w:p>
        </w:tc>
      </w:tr>
      <w:tr>
        <w:trPr>
          <w:trHeight w:val="243"/>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per Share</w:t>
            </w:r>
          </w:p>
        </w:tc>
        <w:tc>
          <w:tcPr>
            <w:tcW w:w="1580" w:type="dxa"/>
            <w:vAlign w:val="bottom"/>
            <w:tcBorders>
              <w:bottom w:val="single" w:sz="8" w:color="auto"/>
            </w:tcBorders>
            <w:gridSpan w:val="2"/>
          </w:tcPr>
          <w:p>
            <w:pPr>
              <w:jc w:val="center"/>
              <w:ind w:right="243"/>
              <w:spacing w:after="0"/>
              <w:rPr>
                <w:sz w:val="20"/>
                <w:szCs w:val="20"/>
                <w:color w:val="auto"/>
              </w:rPr>
            </w:pPr>
            <w:r>
              <w:rPr>
                <w:rFonts w:ascii="Arial" w:cs="Arial" w:eastAsia="Arial" w:hAnsi="Arial"/>
                <w:sz w:val="18"/>
                <w:szCs w:val="18"/>
                <w:b w:val="1"/>
                <w:bCs w:val="1"/>
                <w:color w:val="auto"/>
                <w:w w:val="91"/>
              </w:rPr>
              <w:t>Programs</w:t>
            </w:r>
            <w:r>
              <w:rPr>
                <w:rFonts w:ascii="Arial" w:cs="Arial" w:eastAsia="Arial" w:hAnsi="Arial"/>
                <w:sz w:val="15"/>
                <w:szCs w:val="15"/>
                <w:b w:val="1"/>
                <w:bCs w:val="1"/>
                <w:color w:val="auto"/>
                <w:w w:val="91"/>
              </w:rPr>
              <w:t>(1)</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Programs</w:t>
            </w:r>
            <w:r>
              <w:rPr>
                <w:rFonts w:ascii="Arial" w:cs="Arial" w:eastAsia="Arial" w:hAnsi="Arial"/>
                <w:sz w:val="15"/>
                <w:szCs w:val="15"/>
                <w:b w:val="1"/>
                <w:bCs w:val="1"/>
                <w:color w:val="auto"/>
                <w:w w:val="91"/>
              </w:rPr>
              <w:t>(1)</w:t>
            </w:r>
          </w:p>
        </w:tc>
        <w:tc>
          <w:tcPr>
            <w:tcW w:w="200" w:type="dxa"/>
            <w:vAlign w:val="bottom"/>
            <w:tcBorders>
              <w:bottom w:val="single" w:sz="8" w:color="CFF0FC"/>
            </w:tcBorders>
          </w:tcPr>
          <w:p>
            <w:pPr>
              <w:spacing w:after="0"/>
              <w:rPr>
                <w:sz w:val="21"/>
                <w:szCs w:val="21"/>
                <w:color w:val="auto"/>
              </w:rPr>
            </w:pPr>
          </w:p>
        </w:tc>
      </w:tr>
      <w:tr>
        <w:trPr>
          <w:trHeight w:val="237"/>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July 1, 2015 through July 31, 2015</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11,545,747</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49.90</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11,545,747</w:t>
            </w:r>
          </w:p>
        </w:tc>
        <w:tc>
          <w:tcPr>
            <w:tcW w:w="3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rPr>
              <w:t>1.26 billion</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August 1, 2015 through August 31, 2015</w:t>
            </w:r>
          </w:p>
        </w:tc>
        <w:tc>
          <w:tcPr>
            <w:tcW w:w="1160" w:type="dxa"/>
            <w:vAlign w:val="bottom"/>
          </w:tcPr>
          <w:p>
            <w:pPr>
              <w:jc w:val="right"/>
              <w:spacing w:after="0"/>
              <w:rPr>
                <w:sz w:val="20"/>
                <w:szCs w:val="20"/>
                <w:color w:val="auto"/>
              </w:rPr>
            </w:pPr>
            <w:r>
              <w:rPr>
                <w:rFonts w:ascii="Arial" w:cs="Arial" w:eastAsia="Arial" w:hAnsi="Arial"/>
                <w:sz w:val="18"/>
                <w:szCs w:val="18"/>
                <w:color w:val="auto"/>
              </w:rPr>
              <w:t>2,909,770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49.46</w:t>
            </w:r>
          </w:p>
        </w:tc>
        <w:tc>
          <w:tcPr>
            <w:tcW w:w="1280" w:type="dxa"/>
            <w:vAlign w:val="bottom"/>
          </w:tcPr>
          <w:p>
            <w:pPr>
              <w:jc w:val="right"/>
              <w:spacing w:after="0"/>
              <w:rPr>
                <w:sz w:val="20"/>
                <w:szCs w:val="20"/>
                <w:color w:val="auto"/>
              </w:rPr>
            </w:pPr>
            <w:r>
              <w:rPr>
                <w:rFonts w:ascii="Arial" w:cs="Arial" w:eastAsia="Arial" w:hAnsi="Arial"/>
                <w:sz w:val="18"/>
                <w:szCs w:val="18"/>
                <w:color w:val="auto"/>
              </w:rPr>
              <w:t>2,909,770</w:t>
            </w:r>
          </w:p>
        </w:tc>
        <w:tc>
          <w:tcPr>
            <w:tcW w:w="300" w:type="dxa"/>
            <w:vAlign w:val="bottom"/>
          </w:tcPr>
          <w:p>
            <w:pPr>
              <w:spacing w:after="0"/>
              <w:rPr>
                <w:sz w:val="21"/>
                <w:szCs w:val="21"/>
                <w:color w:val="auto"/>
              </w:rPr>
            </w:pPr>
          </w:p>
        </w:tc>
        <w:tc>
          <w:tcPr>
            <w:tcW w:w="1440" w:type="dxa"/>
            <w:vAlign w:val="bottom"/>
            <w:gridSpan w:val="2"/>
          </w:tcPr>
          <w:p>
            <w:pPr>
              <w:ind w:left="400"/>
              <w:spacing w:after="0"/>
              <w:rPr>
                <w:sz w:val="20"/>
                <w:szCs w:val="20"/>
                <w:color w:val="auto"/>
              </w:rPr>
            </w:pPr>
            <w:r>
              <w:rPr>
                <w:rFonts w:ascii="Arial" w:cs="Arial" w:eastAsia="Arial" w:hAnsi="Arial"/>
                <w:sz w:val="18"/>
                <w:szCs w:val="18"/>
                <w:color w:val="auto"/>
              </w:rPr>
              <w:t>1.12 billion</w:t>
            </w:r>
          </w:p>
        </w:tc>
      </w:tr>
      <w:tr>
        <w:trPr>
          <w:trHeight w:val="243"/>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September 1, 2015 through September 30, 2015</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1,278,374</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46.92</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1,278,374</w:t>
            </w:r>
          </w:p>
        </w:tc>
        <w:tc>
          <w:tcPr>
            <w:tcW w:w="30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rPr>
              <w:t>8.56 billion</w:t>
            </w:r>
          </w:p>
        </w:tc>
      </w:tr>
      <w:tr>
        <w:trPr>
          <w:trHeight w:val="242"/>
        </w:trPr>
        <w:tc>
          <w:tcPr>
            <w:tcW w:w="5620" w:type="dxa"/>
            <w:vAlign w:val="bottom"/>
          </w:tcPr>
          <w:p>
            <w:pPr>
              <w:spacing w:after="0"/>
              <w:rPr>
                <w:sz w:val="20"/>
                <w:szCs w:val="20"/>
                <w:color w:val="auto"/>
              </w:rPr>
            </w:pPr>
            <w:r>
              <w:rPr>
                <w:rFonts w:ascii="Arial" w:cs="Arial" w:eastAsia="Arial" w:hAnsi="Arial"/>
                <w:sz w:val="18"/>
                <w:szCs w:val="18"/>
                <w:color w:val="auto"/>
              </w:rPr>
              <w:t>Total</w:t>
            </w:r>
          </w:p>
        </w:tc>
        <w:tc>
          <w:tcPr>
            <w:tcW w:w="1160" w:type="dxa"/>
            <w:vAlign w:val="bottom"/>
          </w:tcPr>
          <w:p>
            <w:pPr>
              <w:jc w:val="right"/>
              <w:spacing w:after="0"/>
              <w:rPr>
                <w:sz w:val="20"/>
                <w:szCs w:val="20"/>
                <w:color w:val="auto"/>
              </w:rPr>
            </w:pPr>
            <w:r>
              <w:rPr>
                <w:rFonts w:ascii="Arial" w:cs="Arial" w:eastAsia="Arial" w:hAnsi="Arial"/>
                <w:sz w:val="18"/>
                <w:szCs w:val="18"/>
                <w:color w:val="auto"/>
              </w:rPr>
              <w:t>15,733,891</w:t>
            </w:r>
          </w:p>
        </w:tc>
        <w:tc>
          <w:tcPr>
            <w:tcW w:w="260" w:type="dxa"/>
            <w:vAlign w:val="bottom"/>
          </w:tcPr>
          <w:p>
            <w:pPr>
              <w:jc w:val="right"/>
              <w:spacing w:after="0"/>
              <w:rPr>
                <w:sz w:val="20"/>
                <w:szCs w:val="20"/>
                <w:color w:val="auto"/>
              </w:rPr>
            </w:pPr>
            <w:r>
              <w:rPr>
                <w:rFonts w:ascii="Arial" w:cs="Arial" w:eastAsia="Arial" w:hAnsi="Arial"/>
                <w:sz w:val="15"/>
                <w:szCs w:val="15"/>
                <w:color w:val="auto"/>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49.57</w:t>
            </w:r>
          </w:p>
        </w:tc>
        <w:tc>
          <w:tcPr>
            <w:tcW w:w="1280" w:type="dxa"/>
            <w:vAlign w:val="bottom"/>
          </w:tcPr>
          <w:p>
            <w:pPr>
              <w:jc w:val="right"/>
              <w:spacing w:after="0"/>
              <w:rPr>
                <w:sz w:val="20"/>
                <w:szCs w:val="20"/>
                <w:color w:val="auto"/>
              </w:rPr>
            </w:pPr>
            <w:r>
              <w:rPr>
                <w:rFonts w:ascii="Arial" w:cs="Arial" w:eastAsia="Arial" w:hAnsi="Arial"/>
                <w:sz w:val="18"/>
                <w:szCs w:val="18"/>
                <w:color w:val="auto"/>
              </w:rPr>
              <w:t>15,733,891</w:t>
            </w:r>
          </w:p>
        </w:tc>
        <w:tc>
          <w:tcPr>
            <w:tcW w:w="300" w:type="dxa"/>
            <w:vAlign w:val="bottom"/>
          </w:tcPr>
          <w:p>
            <w:pPr>
              <w:jc w:val="right"/>
              <w:spacing w:after="0"/>
              <w:rPr>
                <w:sz w:val="20"/>
                <w:szCs w:val="20"/>
                <w:color w:val="auto"/>
              </w:rPr>
            </w:pPr>
            <w:r>
              <w:rPr>
                <w:rFonts w:ascii="Arial" w:cs="Arial" w:eastAsia="Arial" w:hAnsi="Arial"/>
                <w:sz w:val="15"/>
                <w:szCs w:val="15"/>
                <w:color w:val="auto"/>
              </w:rPr>
              <w:t>(2)</w:t>
            </w:r>
          </w:p>
        </w:tc>
        <w:tc>
          <w:tcPr>
            <w:tcW w:w="1440" w:type="dxa"/>
            <w:vAlign w:val="bottom"/>
            <w:gridSpan w:val="2"/>
          </w:tcPr>
          <w:p>
            <w:pPr>
              <w:ind w:left="400"/>
              <w:spacing w:after="0"/>
              <w:rPr>
                <w:sz w:val="20"/>
                <w:szCs w:val="20"/>
                <w:color w:val="auto"/>
              </w:rPr>
            </w:pPr>
            <w:r>
              <w:rPr>
                <w:rFonts w:ascii="Arial" w:cs="Arial" w:eastAsia="Arial" w:hAnsi="Arial"/>
                <w:sz w:val="18"/>
                <w:szCs w:val="18"/>
                <w:color w:val="auto"/>
                <w:w w:val="93"/>
              </w:rPr>
              <w:t xml:space="preserve">8.56 billion </w:t>
            </w:r>
            <w:r>
              <w:rPr>
                <w:rFonts w:ascii="Arial" w:cs="Arial" w:eastAsia="Arial" w:hAnsi="Arial"/>
                <w:sz w:val="15"/>
                <w:szCs w:val="15"/>
                <w:color w:val="auto"/>
                <w:w w:val="93"/>
              </w:rPr>
              <w:t>(3)</w:t>
            </w:r>
          </w:p>
        </w:tc>
      </w:tr>
    </w:tbl>
    <w:p>
      <w:pPr>
        <w:spacing w:after="0" w:line="183" w:lineRule="exact"/>
        <w:rPr>
          <w:sz w:val="20"/>
          <w:szCs w:val="20"/>
          <w:color w:val="auto"/>
        </w:rPr>
      </w:pPr>
    </w:p>
    <w:p>
      <w:pPr>
        <w:jc w:val="both"/>
        <w:ind w:left="300" w:right="200" w:hanging="285"/>
        <w:spacing w:after="0" w:line="264" w:lineRule="auto"/>
        <w:tabs>
          <w:tab w:leader="none" w:pos="280" w:val="left"/>
        </w:tabs>
        <w:numPr>
          <w:ilvl w:val="0"/>
          <w:numId w:val="11"/>
        </w:numPr>
        <w:rPr>
          <w:rFonts w:ascii="Arial" w:cs="Arial" w:eastAsia="Arial" w:hAnsi="Arial"/>
          <w:sz w:val="15"/>
          <w:szCs w:val="15"/>
          <w:color w:val="auto"/>
        </w:rPr>
      </w:pPr>
      <w:r>
        <w:rPr>
          <w:rFonts w:ascii="Arial" w:cs="Arial" w:eastAsia="Arial" w:hAnsi="Arial"/>
          <w:sz w:val="18"/>
          <w:szCs w:val="18"/>
          <w:color w:val="auto"/>
        </w:rPr>
        <w:t>All purchases during the quarter were made under the authorization from our board of directors to purchase up to $5.0 billion of additional shares of TI common stock announced on February 21, 2013. On September 17, 2015, our board of directors authorized the purchase of an additional $7.5 billion of our common stock. No expiration date has been specified for these authorizations.</w:t>
      </w:r>
    </w:p>
    <w:p>
      <w:pPr>
        <w:spacing w:after="0" w:line="73" w:lineRule="exact"/>
        <w:rPr>
          <w:rFonts w:ascii="Arial" w:cs="Arial" w:eastAsia="Arial" w:hAnsi="Arial"/>
          <w:sz w:val="15"/>
          <w:szCs w:val="15"/>
          <w:color w:val="auto"/>
        </w:rPr>
      </w:pPr>
    </w:p>
    <w:p>
      <w:pPr>
        <w:ind w:left="300" w:right="120" w:hanging="285"/>
        <w:spacing w:after="0" w:line="277" w:lineRule="auto"/>
        <w:tabs>
          <w:tab w:leader="none" w:pos="311" w:val="left"/>
        </w:tabs>
        <w:numPr>
          <w:ilvl w:val="0"/>
          <w:numId w:val="11"/>
        </w:numPr>
        <w:rPr>
          <w:rFonts w:ascii="Arial" w:cs="Arial" w:eastAsia="Arial" w:hAnsi="Arial"/>
          <w:sz w:val="15"/>
          <w:szCs w:val="15"/>
          <w:color w:val="auto"/>
        </w:rPr>
      </w:pPr>
      <w:r>
        <w:rPr>
          <w:rFonts w:ascii="Arial" w:cs="Arial" w:eastAsia="Arial" w:hAnsi="Arial"/>
          <w:sz w:val="18"/>
          <w:szCs w:val="18"/>
          <w:color w:val="auto"/>
        </w:rPr>
        <w:t>All purchases during the quarter were open-market purchases. The table does not include the purchase of 189,077 shares pursuant to orders placed in the second quarter of 2015 for which trades were settled in the first two days of July 2015.</w:t>
      </w:r>
    </w:p>
    <w:p>
      <w:pPr>
        <w:spacing w:after="0" w:line="62" w:lineRule="exact"/>
        <w:rPr>
          <w:rFonts w:ascii="Arial" w:cs="Arial" w:eastAsia="Arial" w:hAnsi="Arial"/>
          <w:sz w:val="15"/>
          <w:szCs w:val="15"/>
          <w:color w:val="auto"/>
        </w:rPr>
      </w:pPr>
    </w:p>
    <w:p>
      <w:pPr>
        <w:ind w:left="300" w:right="100" w:hanging="285"/>
        <w:spacing w:after="0" w:line="277" w:lineRule="auto"/>
        <w:tabs>
          <w:tab w:leader="none" w:pos="311" w:val="left"/>
        </w:tabs>
        <w:numPr>
          <w:ilvl w:val="0"/>
          <w:numId w:val="11"/>
        </w:numPr>
        <w:rPr>
          <w:rFonts w:ascii="Arial" w:cs="Arial" w:eastAsia="Arial" w:hAnsi="Arial"/>
          <w:sz w:val="15"/>
          <w:szCs w:val="15"/>
          <w:color w:val="auto"/>
        </w:rPr>
      </w:pPr>
      <w:r>
        <w:rPr>
          <w:rFonts w:ascii="Arial" w:cs="Arial" w:eastAsia="Arial" w:hAnsi="Arial"/>
          <w:sz w:val="18"/>
          <w:szCs w:val="18"/>
          <w:color w:val="auto"/>
        </w:rPr>
        <w:t>As of September 30, 2015, this amount consisted of the remaining portion of the $5.0 billion authorized in February 2013 and the $7.5 billion authorized in September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 w:name="page22"/>
    <w:bookmarkEnd w:id="21"/>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Designation of</w:t>
            </w:r>
          </w:p>
        </w:tc>
        <w:tc>
          <w:tcPr>
            <w:tcW w:w="9980" w:type="dxa"/>
            <w:vAlign w:val="bottom"/>
          </w:tcPr>
          <w:p>
            <w:pPr>
              <w:spacing w:after="0"/>
              <w:rPr>
                <w:sz w:val="18"/>
                <w:szCs w:val="18"/>
                <w:color w:val="auto"/>
              </w:rPr>
            </w:pPr>
          </w:p>
        </w:tc>
      </w:tr>
      <w:tr>
        <w:trPr>
          <w:trHeight w:val="234"/>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Exhibits in This</w:t>
            </w:r>
          </w:p>
        </w:tc>
        <w:tc>
          <w:tcPr>
            <w:tcW w:w="9980" w:type="dxa"/>
            <w:vAlign w:val="bottom"/>
          </w:tcPr>
          <w:p>
            <w:pPr>
              <w:ind w:left="100"/>
              <w:spacing w:after="0"/>
              <w:rPr>
                <w:sz w:val="20"/>
                <w:szCs w:val="20"/>
                <w:color w:val="auto"/>
              </w:rPr>
            </w:pPr>
            <w:r>
              <w:rPr>
                <w:rFonts w:ascii="Arial" w:cs="Arial" w:eastAsia="Arial" w:hAnsi="Arial"/>
                <w:sz w:val="18"/>
                <w:szCs w:val="18"/>
                <w:b w:val="1"/>
                <w:bCs w:val="1"/>
                <w:color w:val="auto"/>
              </w:rPr>
              <w:t>Description of Exhibit</w:t>
            </w:r>
          </w:p>
        </w:tc>
      </w:tr>
      <w:tr>
        <w:trPr>
          <w:trHeight w:val="234"/>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3"/>
              </w:rPr>
              <w:t>Report</w:t>
            </w:r>
          </w:p>
        </w:tc>
        <w:tc>
          <w:tcPr>
            <w:tcW w:w="9980" w:type="dxa"/>
            <w:vAlign w:val="bottom"/>
          </w:tcPr>
          <w:p>
            <w:pPr>
              <w:spacing w:after="0"/>
              <w:rPr>
                <w:sz w:val="20"/>
                <w:szCs w:val="20"/>
                <w:color w:val="auto"/>
              </w:rPr>
            </w:pPr>
          </w:p>
        </w:tc>
      </w:tr>
      <w:tr>
        <w:trPr>
          <w:trHeight w:val="90"/>
        </w:trPr>
        <w:tc>
          <w:tcPr>
            <w:tcW w:w="1440" w:type="dxa"/>
            <w:vAlign w:val="bottom"/>
          </w:tcPr>
          <w:p>
            <w:pPr>
              <w:spacing w:after="0"/>
              <w:rPr>
                <w:sz w:val="7"/>
                <w:szCs w:val="7"/>
                <w:color w:val="auto"/>
              </w:rPr>
            </w:pPr>
          </w:p>
        </w:tc>
        <w:tc>
          <w:tcPr>
            <w:tcW w:w="9980" w:type="dxa"/>
            <w:vAlign w:val="bottom"/>
          </w:tcPr>
          <w:p>
            <w:pPr>
              <w:spacing w:after="0"/>
              <w:rPr>
                <w:sz w:val="7"/>
                <w:szCs w:val="7"/>
                <w:color w:val="auto"/>
              </w:rPr>
            </w:pPr>
          </w:p>
        </w:tc>
      </w:tr>
      <w:tr>
        <w:trPr>
          <w:trHeight w:val="310"/>
        </w:trPr>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3(a)</w:t>
            </w:r>
          </w:p>
        </w:tc>
        <w:tc>
          <w:tcPr>
            <w:tcW w:w="998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3"/>
              </w:rPr>
              <w:t>Restated Certificate of Incorporation of the Registrant, dated April 18, 1985, as amended (incorporated by reference to Exhibit 3(a) of</w:t>
            </w:r>
          </w:p>
        </w:tc>
      </w:tr>
      <w:tr>
        <w:trPr>
          <w:trHeight w:val="230"/>
        </w:trPr>
        <w:tc>
          <w:tcPr>
            <w:tcW w:w="1440" w:type="dxa"/>
            <w:vAlign w:val="bottom"/>
            <w:shd w:val="clear" w:color="auto" w:fill="CFF0FC"/>
          </w:tcPr>
          <w:p>
            <w:pPr>
              <w:spacing w:after="0"/>
              <w:rPr>
                <w:sz w:val="20"/>
                <w:szCs w:val="20"/>
                <w:color w:val="auto"/>
              </w:rPr>
            </w:pPr>
          </w:p>
        </w:tc>
        <w:tc>
          <w:tcPr>
            <w:tcW w:w="99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the Registrant's Annual Report on Form 10-K for the year ended December 31, 2014).</w:t>
            </w:r>
          </w:p>
        </w:tc>
      </w:tr>
      <w:tr>
        <w:trPr>
          <w:trHeight w:val="310"/>
        </w:trPr>
        <w:tc>
          <w:tcPr>
            <w:tcW w:w="1440" w:type="dxa"/>
            <w:vAlign w:val="bottom"/>
          </w:tcPr>
          <w:p>
            <w:pPr>
              <w:jc w:val="center"/>
              <w:spacing w:after="0"/>
              <w:rPr>
                <w:sz w:val="20"/>
                <w:szCs w:val="20"/>
                <w:color w:val="auto"/>
              </w:rPr>
            </w:pPr>
            <w:r>
              <w:rPr>
                <w:rFonts w:ascii="Arial" w:cs="Arial" w:eastAsia="Arial" w:hAnsi="Arial"/>
                <w:sz w:val="18"/>
                <w:szCs w:val="18"/>
                <w:color w:val="auto"/>
                <w:w w:val="93"/>
              </w:rPr>
              <w:t>3(b)</w:t>
            </w:r>
          </w:p>
        </w:tc>
        <w:tc>
          <w:tcPr>
            <w:tcW w:w="9980" w:type="dxa"/>
            <w:vAlign w:val="bottom"/>
          </w:tcPr>
          <w:p>
            <w:pPr>
              <w:ind w:left="100"/>
              <w:spacing w:after="0"/>
              <w:rPr>
                <w:sz w:val="20"/>
                <w:szCs w:val="20"/>
                <w:color w:val="auto"/>
              </w:rPr>
            </w:pPr>
            <w:r>
              <w:rPr>
                <w:rFonts w:ascii="Arial" w:cs="Arial" w:eastAsia="Arial" w:hAnsi="Arial"/>
                <w:sz w:val="18"/>
                <w:szCs w:val="18"/>
                <w:color w:val="auto"/>
                <w:w w:val="96"/>
              </w:rPr>
              <w:t>By-Laws of the Registrant (incorporated by reference to Exhibit 3(b) to the Registrant's Annual Report on Form 10-K for the year</w:t>
            </w:r>
          </w:p>
        </w:tc>
      </w:tr>
      <w:tr>
        <w:trPr>
          <w:trHeight w:val="230"/>
        </w:trPr>
        <w:tc>
          <w:tcPr>
            <w:tcW w:w="1440" w:type="dxa"/>
            <w:vAlign w:val="bottom"/>
          </w:tcPr>
          <w:p>
            <w:pPr>
              <w:spacing w:after="0"/>
              <w:rPr>
                <w:sz w:val="20"/>
                <w:szCs w:val="20"/>
                <w:color w:val="auto"/>
              </w:rPr>
            </w:pPr>
          </w:p>
        </w:tc>
        <w:tc>
          <w:tcPr>
            <w:tcW w:w="9980" w:type="dxa"/>
            <w:vAlign w:val="bottom"/>
          </w:tcPr>
          <w:p>
            <w:pPr>
              <w:ind w:left="100"/>
              <w:spacing w:after="0"/>
              <w:rPr>
                <w:sz w:val="20"/>
                <w:szCs w:val="20"/>
                <w:color w:val="auto"/>
              </w:rPr>
            </w:pPr>
            <w:r>
              <w:rPr>
                <w:rFonts w:ascii="Arial" w:cs="Arial" w:eastAsia="Arial" w:hAnsi="Arial"/>
                <w:sz w:val="18"/>
                <w:szCs w:val="18"/>
                <w:color w:val="auto"/>
              </w:rPr>
              <w:t>ended December 31, 2014).</w:t>
            </w:r>
          </w:p>
        </w:tc>
      </w:tr>
      <w:tr>
        <w:trPr>
          <w:trHeight w:val="324"/>
        </w:trPr>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31(a)</w:t>
            </w:r>
          </w:p>
        </w:tc>
        <w:tc>
          <w:tcPr>
            <w:tcW w:w="99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 xml:space="preserve">Certification of Chief Executive Officer of Periodic Report Pursuant to Rule 13a-15(e) or Rule 15d-15(e). </w:t>
            </w:r>
            <w:r>
              <w:rPr>
                <w:rFonts w:ascii="Arial" w:cs="Arial" w:eastAsia="Arial" w:hAnsi="Arial"/>
                <w:sz w:val="15"/>
                <w:szCs w:val="15"/>
                <w:color w:val="auto"/>
              </w:rPr>
              <w:t>†</w:t>
            </w:r>
          </w:p>
        </w:tc>
      </w:tr>
      <w:tr>
        <w:trPr>
          <w:trHeight w:val="324"/>
        </w:trPr>
        <w:tc>
          <w:tcPr>
            <w:tcW w:w="1440" w:type="dxa"/>
            <w:vAlign w:val="bottom"/>
          </w:tcPr>
          <w:p>
            <w:pPr>
              <w:jc w:val="center"/>
              <w:spacing w:after="0"/>
              <w:rPr>
                <w:sz w:val="20"/>
                <w:szCs w:val="20"/>
                <w:color w:val="auto"/>
              </w:rPr>
            </w:pPr>
            <w:r>
              <w:rPr>
                <w:rFonts w:ascii="Arial" w:cs="Arial" w:eastAsia="Arial" w:hAnsi="Arial"/>
                <w:sz w:val="18"/>
                <w:szCs w:val="18"/>
                <w:color w:val="auto"/>
                <w:w w:val="95"/>
              </w:rPr>
              <w:t>31(b)</w:t>
            </w:r>
          </w:p>
        </w:tc>
        <w:tc>
          <w:tcPr>
            <w:tcW w:w="9980" w:type="dxa"/>
            <w:vAlign w:val="bottom"/>
          </w:tcPr>
          <w:p>
            <w:pPr>
              <w:ind w:left="100"/>
              <w:spacing w:after="0"/>
              <w:rPr>
                <w:sz w:val="20"/>
                <w:szCs w:val="20"/>
                <w:color w:val="auto"/>
              </w:rPr>
            </w:pPr>
            <w:r>
              <w:rPr>
                <w:rFonts w:ascii="Arial" w:cs="Arial" w:eastAsia="Arial" w:hAnsi="Arial"/>
                <w:sz w:val="18"/>
                <w:szCs w:val="18"/>
                <w:color w:val="auto"/>
              </w:rPr>
              <w:t xml:space="preserve">Certification of Chief Financial Officer of Periodic Report Pursuant to Rule 13a-15(e) or Rule 15d-15(e). </w:t>
            </w:r>
            <w:r>
              <w:rPr>
                <w:rFonts w:ascii="Arial" w:cs="Arial" w:eastAsia="Arial" w:hAnsi="Arial"/>
                <w:sz w:val="15"/>
                <w:szCs w:val="15"/>
                <w:color w:val="auto"/>
              </w:rPr>
              <w:t>†</w:t>
            </w:r>
          </w:p>
        </w:tc>
      </w:tr>
      <w:tr>
        <w:trPr>
          <w:trHeight w:val="324"/>
        </w:trPr>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32(a)</w:t>
            </w:r>
          </w:p>
        </w:tc>
        <w:tc>
          <w:tcPr>
            <w:tcW w:w="99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 xml:space="preserve">Certification by Chief Executive Officer of Periodic Report Pursuant to 18 U.S.C. Section 1350. </w:t>
            </w:r>
            <w:r>
              <w:rPr>
                <w:rFonts w:ascii="Arial" w:cs="Arial" w:eastAsia="Arial" w:hAnsi="Arial"/>
                <w:sz w:val="15"/>
                <w:szCs w:val="15"/>
                <w:color w:val="auto"/>
              </w:rPr>
              <w:t>†</w:t>
            </w:r>
          </w:p>
        </w:tc>
      </w:tr>
      <w:tr>
        <w:trPr>
          <w:trHeight w:val="324"/>
        </w:trPr>
        <w:tc>
          <w:tcPr>
            <w:tcW w:w="1440" w:type="dxa"/>
            <w:vAlign w:val="bottom"/>
          </w:tcPr>
          <w:p>
            <w:pPr>
              <w:jc w:val="center"/>
              <w:spacing w:after="0"/>
              <w:rPr>
                <w:sz w:val="20"/>
                <w:szCs w:val="20"/>
                <w:color w:val="auto"/>
              </w:rPr>
            </w:pPr>
            <w:r>
              <w:rPr>
                <w:rFonts w:ascii="Arial" w:cs="Arial" w:eastAsia="Arial" w:hAnsi="Arial"/>
                <w:sz w:val="18"/>
                <w:szCs w:val="18"/>
                <w:color w:val="auto"/>
                <w:w w:val="95"/>
              </w:rPr>
              <w:t>32(b)</w:t>
            </w:r>
          </w:p>
        </w:tc>
        <w:tc>
          <w:tcPr>
            <w:tcW w:w="9980" w:type="dxa"/>
            <w:vAlign w:val="bottom"/>
          </w:tcPr>
          <w:p>
            <w:pPr>
              <w:ind w:left="100"/>
              <w:spacing w:after="0"/>
              <w:rPr>
                <w:sz w:val="20"/>
                <w:szCs w:val="20"/>
                <w:color w:val="auto"/>
              </w:rPr>
            </w:pPr>
            <w:r>
              <w:rPr>
                <w:rFonts w:ascii="Arial" w:cs="Arial" w:eastAsia="Arial" w:hAnsi="Arial"/>
                <w:sz w:val="18"/>
                <w:szCs w:val="18"/>
                <w:color w:val="auto"/>
              </w:rPr>
              <w:t xml:space="preserve">Certification by Chief Financial Officer of Periodic Report Pursuant to 18 U.S.C. Section 1350. </w:t>
            </w:r>
            <w:r>
              <w:rPr>
                <w:rFonts w:ascii="Arial" w:cs="Arial" w:eastAsia="Arial" w:hAnsi="Arial"/>
                <w:sz w:val="15"/>
                <w:szCs w:val="15"/>
                <w:color w:val="auto"/>
              </w:rPr>
              <w:t>†</w:t>
            </w:r>
          </w:p>
        </w:tc>
      </w:tr>
      <w:tr>
        <w:trPr>
          <w:trHeight w:val="324"/>
        </w:trPr>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101.ins</w:t>
            </w:r>
          </w:p>
        </w:tc>
        <w:tc>
          <w:tcPr>
            <w:tcW w:w="99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 xml:space="preserve">XBRL Instance Document </w:t>
            </w:r>
            <w:r>
              <w:rPr>
                <w:rFonts w:ascii="Arial" w:cs="Arial" w:eastAsia="Arial" w:hAnsi="Arial"/>
                <w:sz w:val="15"/>
                <w:szCs w:val="15"/>
                <w:color w:val="auto"/>
              </w:rPr>
              <w:t>†</w:t>
            </w:r>
          </w:p>
        </w:tc>
      </w:tr>
      <w:tr>
        <w:trPr>
          <w:trHeight w:val="324"/>
        </w:trPr>
        <w:tc>
          <w:tcPr>
            <w:tcW w:w="1440" w:type="dxa"/>
            <w:vAlign w:val="bottom"/>
          </w:tcPr>
          <w:p>
            <w:pPr>
              <w:jc w:val="center"/>
              <w:spacing w:after="0"/>
              <w:rPr>
                <w:sz w:val="20"/>
                <w:szCs w:val="20"/>
                <w:color w:val="auto"/>
              </w:rPr>
            </w:pPr>
            <w:r>
              <w:rPr>
                <w:rFonts w:ascii="Arial" w:cs="Arial" w:eastAsia="Arial" w:hAnsi="Arial"/>
                <w:sz w:val="18"/>
                <w:szCs w:val="18"/>
                <w:color w:val="auto"/>
                <w:w w:val="89"/>
              </w:rPr>
              <w:t>101.def</w:t>
            </w:r>
          </w:p>
        </w:tc>
        <w:tc>
          <w:tcPr>
            <w:tcW w:w="9980" w:type="dxa"/>
            <w:vAlign w:val="bottom"/>
          </w:tcPr>
          <w:p>
            <w:pPr>
              <w:ind w:left="100"/>
              <w:spacing w:after="0"/>
              <w:rPr>
                <w:sz w:val="20"/>
                <w:szCs w:val="20"/>
                <w:color w:val="auto"/>
              </w:rPr>
            </w:pPr>
            <w:r>
              <w:rPr>
                <w:rFonts w:ascii="Arial" w:cs="Arial" w:eastAsia="Arial" w:hAnsi="Arial"/>
                <w:sz w:val="18"/>
                <w:szCs w:val="18"/>
                <w:color w:val="auto"/>
              </w:rPr>
              <w:t xml:space="preserve">XBRL Taxonomy Extension Definition Linkbase Document </w:t>
            </w:r>
            <w:r>
              <w:rPr>
                <w:rFonts w:ascii="Arial" w:cs="Arial" w:eastAsia="Arial" w:hAnsi="Arial"/>
                <w:sz w:val="15"/>
                <w:szCs w:val="15"/>
                <w:color w:val="auto"/>
              </w:rPr>
              <w:t>†</w:t>
            </w:r>
          </w:p>
        </w:tc>
      </w:tr>
      <w:tr>
        <w:trPr>
          <w:trHeight w:val="324"/>
        </w:trPr>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101.sch</w:t>
            </w:r>
          </w:p>
        </w:tc>
        <w:tc>
          <w:tcPr>
            <w:tcW w:w="99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 xml:space="preserve">XBRL Taxonomy Extension Schema Document </w:t>
            </w:r>
            <w:r>
              <w:rPr>
                <w:rFonts w:ascii="Arial" w:cs="Arial" w:eastAsia="Arial" w:hAnsi="Arial"/>
                <w:sz w:val="15"/>
                <w:szCs w:val="15"/>
                <w:color w:val="auto"/>
              </w:rPr>
              <w:t>†</w:t>
            </w:r>
          </w:p>
        </w:tc>
      </w:tr>
      <w:tr>
        <w:trPr>
          <w:trHeight w:val="324"/>
        </w:trPr>
        <w:tc>
          <w:tcPr>
            <w:tcW w:w="1440" w:type="dxa"/>
            <w:vAlign w:val="bottom"/>
          </w:tcPr>
          <w:p>
            <w:pPr>
              <w:jc w:val="center"/>
              <w:spacing w:after="0"/>
              <w:rPr>
                <w:sz w:val="20"/>
                <w:szCs w:val="20"/>
                <w:color w:val="auto"/>
              </w:rPr>
            </w:pPr>
            <w:r>
              <w:rPr>
                <w:rFonts w:ascii="Arial" w:cs="Arial" w:eastAsia="Arial" w:hAnsi="Arial"/>
                <w:sz w:val="18"/>
                <w:szCs w:val="18"/>
                <w:color w:val="auto"/>
                <w:w w:val="89"/>
              </w:rPr>
              <w:t>101.cal</w:t>
            </w:r>
          </w:p>
        </w:tc>
        <w:tc>
          <w:tcPr>
            <w:tcW w:w="9980" w:type="dxa"/>
            <w:vAlign w:val="bottom"/>
          </w:tcPr>
          <w:p>
            <w:pPr>
              <w:ind w:left="100"/>
              <w:spacing w:after="0"/>
              <w:rPr>
                <w:sz w:val="20"/>
                <w:szCs w:val="20"/>
                <w:color w:val="auto"/>
              </w:rPr>
            </w:pPr>
            <w:r>
              <w:rPr>
                <w:rFonts w:ascii="Arial" w:cs="Arial" w:eastAsia="Arial" w:hAnsi="Arial"/>
                <w:sz w:val="18"/>
                <w:szCs w:val="18"/>
                <w:color w:val="auto"/>
              </w:rPr>
              <w:t xml:space="preserve">XBRL Taxonomy Extension Calculation Linkbase Document </w:t>
            </w:r>
            <w:r>
              <w:rPr>
                <w:rFonts w:ascii="Arial" w:cs="Arial" w:eastAsia="Arial" w:hAnsi="Arial"/>
                <w:sz w:val="15"/>
                <w:szCs w:val="15"/>
                <w:color w:val="auto"/>
              </w:rPr>
              <w:t>†</w:t>
            </w:r>
          </w:p>
        </w:tc>
      </w:tr>
      <w:tr>
        <w:trPr>
          <w:trHeight w:val="324"/>
        </w:trPr>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101.lab</w:t>
            </w:r>
          </w:p>
        </w:tc>
        <w:tc>
          <w:tcPr>
            <w:tcW w:w="99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 xml:space="preserve">XBRL Taxonomy Extension Label Linkbase Document </w:t>
            </w:r>
            <w:r>
              <w:rPr>
                <w:rFonts w:ascii="Arial" w:cs="Arial" w:eastAsia="Arial" w:hAnsi="Arial"/>
                <w:sz w:val="15"/>
                <w:szCs w:val="15"/>
                <w:color w:val="auto"/>
              </w:rPr>
              <w:t>†</w:t>
            </w:r>
          </w:p>
        </w:tc>
      </w:tr>
      <w:tr>
        <w:trPr>
          <w:trHeight w:val="324"/>
        </w:trPr>
        <w:tc>
          <w:tcPr>
            <w:tcW w:w="144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9980" w:type="dxa"/>
            <w:vAlign w:val="bottom"/>
          </w:tcPr>
          <w:p>
            <w:pPr>
              <w:ind w:left="100"/>
              <w:spacing w:after="0"/>
              <w:rPr>
                <w:sz w:val="20"/>
                <w:szCs w:val="20"/>
                <w:color w:val="auto"/>
              </w:rPr>
            </w:pPr>
            <w:r>
              <w:rPr>
                <w:rFonts w:ascii="Arial" w:cs="Arial" w:eastAsia="Arial" w:hAnsi="Arial"/>
                <w:sz w:val="18"/>
                <w:szCs w:val="18"/>
                <w:color w:val="auto"/>
              </w:rPr>
              <w:t xml:space="preserve">XBRL Taxonomy Extension Presentation Linkbase Document </w:t>
            </w:r>
            <w:r>
              <w:rPr>
                <w:rFonts w:ascii="Arial" w:cs="Arial" w:eastAsia="Arial" w:hAnsi="Arial"/>
                <w:sz w:val="15"/>
                <w:szCs w:val="15"/>
                <w:color w:val="auto"/>
              </w:rPr>
              <w:t>†</w:t>
            </w:r>
          </w:p>
        </w:tc>
      </w:tr>
    </w:tbl>
    <w:p>
      <w:pPr>
        <w:spacing w:after="0" w:line="161"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5"/>
          <w:szCs w:val="15"/>
          <w:color w:val="auto"/>
        </w:rPr>
      </w:pPr>
      <w:r>
        <w:rPr>
          <w:rFonts w:ascii="Arial" w:cs="Arial" w:eastAsia="Arial" w:hAnsi="Arial"/>
          <w:sz w:val="18"/>
          <w:szCs w:val="18"/>
          <w:color w:val="auto"/>
        </w:rPr>
        <w:t>Filed or furnished herewith.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70" w:lineRule="exact"/>
        <w:rPr>
          <w:sz w:val="20"/>
          <w:szCs w:val="20"/>
          <w:color w:val="auto"/>
        </w:rPr>
      </w:pPr>
    </w:p>
    <w:p>
      <w:pPr>
        <w:ind w:left="840" w:hanging="445"/>
        <w:spacing w:after="0"/>
        <w:tabs>
          <w:tab w:leader="none" w:pos="8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Market demand for semiconductors, particularly in markets such as personal electronics and communications equipment;</w:t>
      </w:r>
    </w:p>
    <w:p>
      <w:pPr>
        <w:spacing w:after="0" w:line="23" w:lineRule="exact"/>
        <w:rPr>
          <w:rFonts w:ascii="Arial" w:cs="Arial" w:eastAsia="Arial" w:hAnsi="Arial"/>
          <w:sz w:val="18"/>
          <w:szCs w:val="18"/>
          <w:b w:val="1"/>
          <w:bCs w:val="1"/>
          <w:color w:val="auto"/>
        </w:rPr>
      </w:pPr>
    </w:p>
    <w:p>
      <w:pPr>
        <w:ind w:left="840" w:right="220" w:hanging="445"/>
        <w:spacing w:after="0" w:line="250" w:lineRule="auto"/>
        <w:tabs>
          <w:tab w:leader="none" w:pos="8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840" w:hanging="445"/>
        <w:spacing w:after="0"/>
        <w:tabs>
          <w:tab w:leader="none" w:pos="8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b w:val="1"/>
          <w:bCs w:val="1"/>
          <w:color w:val="auto"/>
        </w:rPr>
      </w:pPr>
    </w:p>
    <w:p>
      <w:pPr>
        <w:ind w:left="840" w:hanging="445"/>
        <w:spacing w:after="0"/>
        <w:tabs>
          <w:tab w:leader="none" w:pos="8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b w:val="1"/>
          <w:bCs w:val="1"/>
          <w:color w:val="auto"/>
        </w:rPr>
      </w:pPr>
    </w:p>
    <w:p>
      <w:pPr>
        <w:ind w:left="840" w:hanging="445"/>
        <w:spacing w:after="0"/>
        <w:tabs>
          <w:tab w:leader="none" w:pos="8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b w:val="1"/>
          <w:bCs w:val="1"/>
          <w:color w:val="auto"/>
        </w:rPr>
      </w:pPr>
    </w:p>
    <w:p>
      <w:pPr>
        <w:ind w:left="840" w:hanging="445"/>
        <w:spacing w:after="0"/>
        <w:tabs>
          <w:tab w:leader="none" w:pos="8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b w:val="1"/>
          <w:bCs w:val="1"/>
          <w:color w:val="auto"/>
        </w:rPr>
      </w:pPr>
    </w:p>
    <w:p>
      <w:pPr>
        <w:ind w:left="840" w:right="400" w:hanging="445"/>
        <w:spacing w:after="0" w:line="250" w:lineRule="auto"/>
        <w:tabs>
          <w:tab w:leader="none" w:pos="8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 w:lineRule="exact"/>
        <w:rPr>
          <w:rFonts w:ascii="Arial" w:cs="Arial" w:eastAsia="Arial" w:hAnsi="Arial"/>
          <w:sz w:val="18"/>
          <w:szCs w:val="18"/>
          <w:b w:val="1"/>
          <w:bCs w:val="1"/>
          <w:color w:val="auto"/>
        </w:rPr>
      </w:pPr>
    </w:p>
    <w:p>
      <w:pPr>
        <w:ind w:left="840" w:hanging="445"/>
        <w:spacing w:after="0"/>
        <w:tabs>
          <w:tab w:leader="none" w:pos="840"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Natural events such as health epidemics, severe weather and earthquakes in the locations in which TI, its customers or its suppliers operate;</w:t>
      </w:r>
    </w:p>
    <w:p>
      <w:pPr>
        <w:spacing w:after="0" w:line="32" w:lineRule="exact"/>
        <w:rPr>
          <w:rFonts w:ascii="Arial" w:cs="Arial" w:eastAsia="Arial" w:hAnsi="Arial"/>
          <w:sz w:val="16"/>
          <w:szCs w:val="16"/>
          <w:b w:val="1"/>
          <w:bCs w:val="1"/>
          <w:color w:val="auto"/>
        </w:rPr>
      </w:pPr>
    </w:p>
    <w:p>
      <w:pPr>
        <w:ind w:left="840" w:hanging="445"/>
        <w:spacing w:after="0"/>
        <w:tabs>
          <w:tab w:leader="none" w:pos="84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b w:val="1"/>
          <w:bCs w:val="1"/>
          <w:color w:val="auto"/>
        </w:rPr>
      </w:pPr>
    </w:p>
    <w:p>
      <w:pPr>
        <w:ind w:left="840" w:hanging="445"/>
        <w:spacing w:after="0" w:line="250" w:lineRule="auto"/>
        <w:tabs>
          <w:tab w:leader="none" w:pos="8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840" w:right="300" w:hanging="445"/>
        <w:spacing w:after="0" w:line="281" w:lineRule="auto"/>
        <w:tabs>
          <w:tab w:leader="none" w:pos="840"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Compliance with or changes in the complex laws, rules and regulations to which TI is or may become subject, or actions of enforcement authorities, that restrict our ability to manufacture our products or operate our business, or subject us to fines, penalties, or other legal liability;</w:t>
      </w:r>
    </w:p>
    <w:p>
      <w:pPr>
        <w:spacing w:after="0" w:line="1" w:lineRule="exact"/>
        <w:rPr>
          <w:rFonts w:ascii="Arial" w:cs="Arial" w:eastAsia="Arial" w:hAnsi="Arial"/>
          <w:sz w:val="16"/>
          <w:szCs w:val="16"/>
          <w:b w:val="1"/>
          <w:bCs w:val="1"/>
          <w:color w:val="auto"/>
        </w:rPr>
      </w:pPr>
    </w:p>
    <w:p>
      <w:pPr>
        <w:ind w:left="840" w:hanging="445"/>
        <w:spacing w:after="0"/>
        <w:tabs>
          <w:tab w:leader="none" w:pos="84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b w:val="1"/>
          <w:bCs w:val="1"/>
          <w:color w:val="auto"/>
        </w:rPr>
      </w:pPr>
    </w:p>
    <w:p>
      <w:pPr>
        <w:ind w:left="840" w:hanging="445"/>
        <w:spacing w:after="0"/>
        <w:tabs>
          <w:tab w:leader="none" w:pos="8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Financial difficulties of our distributors or their promotion of competing product lines to TI’s detriment;</w:t>
      </w:r>
    </w:p>
    <w:p>
      <w:pPr>
        <w:spacing w:after="0" w:line="9" w:lineRule="exact"/>
        <w:rPr>
          <w:rFonts w:ascii="Arial" w:cs="Arial" w:eastAsia="Arial" w:hAnsi="Arial"/>
          <w:sz w:val="18"/>
          <w:szCs w:val="18"/>
          <w:b w:val="1"/>
          <w:bCs w:val="1"/>
          <w:color w:val="auto"/>
        </w:rPr>
      </w:pPr>
    </w:p>
    <w:p>
      <w:pPr>
        <w:ind w:left="840" w:hanging="445"/>
        <w:spacing w:after="0"/>
        <w:tabs>
          <w:tab w:leader="none" w:pos="8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 loss suffered by a customer or distributor of TI with respect to TI-consigned inventory;</w:t>
      </w:r>
    </w:p>
    <w:p>
      <w:pPr>
        <w:spacing w:after="0" w:line="9" w:lineRule="exact"/>
        <w:rPr>
          <w:rFonts w:ascii="Arial" w:cs="Arial" w:eastAsia="Arial" w:hAnsi="Arial"/>
          <w:sz w:val="18"/>
          <w:szCs w:val="18"/>
          <w:b w:val="1"/>
          <w:bCs w:val="1"/>
          <w:color w:val="auto"/>
        </w:rPr>
      </w:pPr>
    </w:p>
    <w:p>
      <w:pPr>
        <w:ind w:left="840" w:hanging="445"/>
        <w:spacing w:after="0"/>
        <w:tabs>
          <w:tab w:leader="none" w:pos="8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b w:val="1"/>
          <w:bCs w:val="1"/>
          <w:color w:val="auto"/>
        </w:rPr>
      </w:pPr>
    </w:p>
    <w:p>
      <w:pPr>
        <w:ind w:left="840" w:hanging="445"/>
        <w:spacing w:after="0"/>
        <w:tabs>
          <w:tab w:leader="none" w:pos="8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b w:val="1"/>
          <w:bCs w:val="1"/>
          <w:color w:val="auto"/>
        </w:rPr>
      </w:pPr>
    </w:p>
    <w:p>
      <w:pPr>
        <w:ind w:left="840" w:hanging="445"/>
        <w:spacing w:after="0"/>
        <w:tabs>
          <w:tab w:leader="none" w:pos="8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b w:val="1"/>
          <w:bCs w:val="1"/>
          <w:color w:val="auto"/>
        </w:rPr>
      </w:pPr>
    </w:p>
    <w:p>
      <w:pPr>
        <w:ind w:left="840" w:right="300" w:hanging="445"/>
        <w:spacing w:after="0" w:line="250" w:lineRule="auto"/>
        <w:tabs>
          <w:tab w:leader="none" w:pos="8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Product liability or warranty claims, claims based on epidemic or delivery failure, recalls by TI customers for a product containing a TI part or other legal proceedings;</w:t>
      </w:r>
    </w:p>
    <w:p>
      <w:pPr>
        <w:ind w:left="840" w:hanging="445"/>
        <w:spacing w:after="0"/>
        <w:tabs>
          <w:tab w:leader="none" w:pos="8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b w:val="1"/>
          <w:bCs w:val="1"/>
          <w:color w:val="auto"/>
        </w:rPr>
      </w:pPr>
    </w:p>
    <w:p>
      <w:pPr>
        <w:ind w:left="840" w:right="240" w:hanging="445"/>
        <w:spacing w:after="0" w:line="250" w:lineRule="auto"/>
        <w:tabs>
          <w:tab w:leader="none" w:pos="8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ind w:left="840" w:hanging="445"/>
        <w:spacing w:after="0"/>
        <w:tabs>
          <w:tab w:leader="none" w:pos="8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TI’s obligation to make principal and interest payments on its debt;</w:t>
      </w:r>
    </w:p>
    <w:p>
      <w:pPr>
        <w:spacing w:after="0" w:line="9" w:lineRule="exact"/>
        <w:rPr>
          <w:rFonts w:ascii="Arial" w:cs="Arial" w:eastAsia="Arial" w:hAnsi="Arial"/>
          <w:sz w:val="18"/>
          <w:szCs w:val="18"/>
          <w:b w:val="1"/>
          <w:bCs w:val="1"/>
          <w:color w:val="auto"/>
        </w:rPr>
      </w:pPr>
    </w:p>
    <w:p>
      <w:pPr>
        <w:ind w:left="840" w:right="220" w:hanging="445"/>
        <w:spacing w:after="0" w:line="250" w:lineRule="auto"/>
        <w:tabs>
          <w:tab w:leader="none" w:pos="8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ind w:left="840" w:hanging="445"/>
        <w:spacing w:after="0"/>
        <w:tabs>
          <w:tab w:leader="none" w:pos="8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Breaches of our information technology systems or those of our customers or suppliers.</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report are made only as of the date of this report. We undertake no obligation to update any forward-looking statement, whether as a result of new information, future events or risks.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tbl>
      <w:tblPr>
        <w:tblLayout w:type="fixed"/>
        <w:tblInd w:w="74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/s/ Kevin P. March</w:t>
            </w:r>
          </w:p>
        </w:tc>
      </w:tr>
      <w:tr>
        <w:trPr>
          <w:trHeight w:val="195"/>
        </w:trPr>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Kevin P. March</w:t>
            </w:r>
          </w:p>
        </w:tc>
      </w:tr>
      <w:tr>
        <w:trPr>
          <w:trHeight w:val="216"/>
        </w:trPr>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60" w:type="dxa"/>
            <w:vAlign w:val="bottom"/>
          </w:tcPr>
          <w:p>
            <w:pPr>
              <w:ind w:left="40"/>
              <w:spacing w:after="0"/>
              <w:rPr>
                <w:sz w:val="20"/>
                <w:szCs w:val="20"/>
                <w:color w:val="auto"/>
              </w:rPr>
            </w:pPr>
            <w:r>
              <w:rPr>
                <w:rFonts w:ascii="Arial" w:cs="Arial" w:eastAsia="Arial" w:hAnsi="Arial"/>
                <w:sz w:val="18"/>
                <w:szCs w:val="18"/>
                <w:color w:val="auto"/>
              </w:rPr>
              <w:t>Senior Vice President and</w:t>
            </w:r>
          </w:p>
        </w:tc>
      </w:tr>
      <w:tr>
        <w:trPr>
          <w:trHeight w:val="230"/>
        </w:trPr>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6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2015</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4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u w:val="single" w:color="auto"/>
          <w:color w:val="auto"/>
        </w:rPr>
        <w:t>Exhibit 31(a)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25" w:lineRule="exact"/>
        <w:rPr>
          <w:sz w:val="20"/>
          <w:szCs w:val="20"/>
          <w:color w:val="auto"/>
        </w:rPr>
      </w:pPr>
    </w:p>
    <w:p>
      <w:pPr>
        <w:ind w:left="560" w:hanging="552"/>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225" w:lineRule="exact"/>
        <w:rPr>
          <w:rFonts w:ascii="Arial" w:cs="Arial" w:eastAsia="Arial" w:hAnsi="Arial"/>
          <w:sz w:val="18"/>
          <w:szCs w:val="18"/>
          <w:color w:val="auto"/>
        </w:rPr>
      </w:pPr>
    </w:p>
    <w:p>
      <w:pPr>
        <w:jc w:val="both"/>
        <w:ind w:left="560" w:right="380" w:hanging="552"/>
        <w:spacing w:after="0" w:line="264" w:lineRule="auto"/>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60" w:right="360" w:hanging="552"/>
        <w:spacing w:after="0" w:line="308" w:lineRule="auto"/>
        <w:tabs>
          <w:tab w:leader="none" w:pos="5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60" w:right="380" w:hanging="552"/>
        <w:spacing w:after="0" w:line="264" w:lineRule="auto"/>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120" w:hanging="532"/>
        <w:spacing w:after="0" w:line="264"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440" w:hanging="532"/>
        <w:spacing w:after="0" w:line="264"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80" w:right="600" w:hanging="532"/>
        <w:spacing w:after="0" w:line="342" w:lineRule="auto"/>
        <w:tabs>
          <w:tab w:leader="none" w:pos="10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80" w:right="120" w:hanging="532"/>
        <w:spacing w:after="0" w:line="264"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60" w:right="100" w:hanging="552"/>
        <w:spacing w:after="0" w:line="308" w:lineRule="auto"/>
        <w:tabs>
          <w:tab w:leader="none" w:pos="5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80" w:right="20" w:hanging="532"/>
        <w:spacing w:after="0" w:line="277"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2015</w:t>
      </w:r>
    </w:p>
    <w:p>
      <w:pPr>
        <w:spacing w:after="0" w:line="387"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31750</wp:posOffset>
            </wp:positionV>
            <wp:extent cx="2941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84"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Richard K. Templeton</w:t>
      </w:r>
    </w:p>
    <w:p>
      <w:pPr>
        <w:spacing w:after="0" w:line="23"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486"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u w:val="single" w:color="auto"/>
          <w:color w:val="auto"/>
        </w:rPr>
        <w:t>Exhibit 31(b)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225" w:lineRule="exact"/>
        <w:rPr>
          <w:sz w:val="20"/>
          <w:szCs w:val="20"/>
          <w:color w:val="auto"/>
        </w:rPr>
      </w:pPr>
    </w:p>
    <w:p>
      <w:pPr>
        <w:ind w:left="560" w:hanging="552"/>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225" w:lineRule="exact"/>
        <w:rPr>
          <w:rFonts w:ascii="Arial" w:cs="Arial" w:eastAsia="Arial" w:hAnsi="Arial"/>
          <w:sz w:val="18"/>
          <w:szCs w:val="18"/>
          <w:color w:val="auto"/>
        </w:rPr>
      </w:pPr>
    </w:p>
    <w:p>
      <w:pPr>
        <w:jc w:val="both"/>
        <w:ind w:left="560" w:right="380" w:hanging="552"/>
        <w:spacing w:after="0" w:line="264" w:lineRule="auto"/>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60" w:right="360" w:hanging="552"/>
        <w:spacing w:after="0" w:line="308" w:lineRule="auto"/>
        <w:tabs>
          <w:tab w:leader="none" w:pos="5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60" w:right="380" w:hanging="552"/>
        <w:spacing w:after="0" w:line="264" w:lineRule="auto"/>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120" w:hanging="532"/>
        <w:spacing w:after="0" w:line="264" w:lineRule="auto"/>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440" w:hanging="532"/>
        <w:spacing w:after="0" w:line="264" w:lineRule="auto"/>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80" w:right="600" w:hanging="532"/>
        <w:spacing w:after="0" w:line="342" w:lineRule="auto"/>
        <w:tabs>
          <w:tab w:leader="none" w:pos="10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80" w:right="140" w:hanging="532"/>
        <w:spacing w:after="0" w:line="264" w:lineRule="auto"/>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60" w:right="100" w:hanging="552"/>
        <w:spacing w:after="0" w:line="308" w:lineRule="auto"/>
        <w:tabs>
          <w:tab w:leader="none" w:pos="5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80" w:right="20" w:hanging="532"/>
        <w:spacing w:after="0" w:line="277" w:lineRule="auto"/>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2015</w:t>
      </w:r>
    </w:p>
    <w:p>
      <w:pPr>
        <w:spacing w:after="0" w:line="200" w:lineRule="exact"/>
        <w:rPr>
          <w:sz w:val="20"/>
          <w:szCs w:val="20"/>
          <w:color w:val="auto"/>
        </w:rPr>
      </w:pPr>
    </w:p>
    <w:p>
      <w:pPr>
        <w:spacing w:after="0" w:line="214"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/s/ Kevin P. March</w:t>
      </w:r>
    </w:p>
    <w:p>
      <w:pPr>
        <w:spacing w:after="0" w:line="23"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-130810</wp:posOffset>
            </wp:positionV>
            <wp:extent cx="29927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3"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486"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u w:val="single" w:color="auto"/>
          <w:color w:val="auto"/>
        </w:rPr>
        <w:t>Exhibit 32(a)</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Templeton, the Chairman, President and Chief Executive Officer of Texas Instruments Incorporated (the “Company”), hereby certifies that, to his knowledge:</w:t>
      </w:r>
    </w:p>
    <w:p>
      <w:pPr>
        <w:spacing w:after="0" w:line="166" w:lineRule="exact"/>
        <w:rPr>
          <w:sz w:val="20"/>
          <w:szCs w:val="20"/>
          <w:color w:val="auto"/>
        </w:rPr>
      </w:pPr>
    </w:p>
    <w:p>
      <w:pPr>
        <w:ind w:left="560" w:right="80" w:hanging="6"/>
        <w:spacing w:after="0" w:line="264" w:lineRule="auto"/>
        <w:tabs>
          <w:tab w:leader="none" w:pos="7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2015, as filed with the Securities and Exchange Commission on the date hereof (the “Report”) fully complies with the requirements of Section 13(a) or 15(d) of the Securities Exchange Act of 1934; and</w:t>
      </w:r>
    </w:p>
    <w:p>
      <w:pPr>
        <w:spacing w:after="0" w:line="113" w:lineRule="exact"/>
        <w:rPr>
          <w:rFonts w:ascii="Arial" w:cs="Arial" w:eastAsia="Arial" w:hAnsi="Arial"/>
          <w:sz w:val="18"/>
          <w:szCs w:val="18"/>
          <w:color w:val="auto"/>
        </w:rPr>
      </w:pPr>
    </w:p>
    <w:p>
      <w:pPr>
        <w:ind w:left="820" w:hanging="266"/>
        <w:spacing w:after="0"/>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5, 2015</w:t>
      </w:r>
    </w:p>
    <w:p>
      <w:pPr>
        <w:spacing w:after="0" w:line="387"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/s/ Richard K. Templeton</w:t>
      </w:r>
    </w:p>
    <w:p>
      <w:pPr>
        <w:spacing w:after="0" w:line="23"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-130810</wp:posOffset>
            </wp:positionV>
            <wp:extent cx="27959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486"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u w:val="single" w:color="auto"/>
          <w:color w:val="auto"/>
        </w:rPr>
        <w:t>Exhibit 32(b)</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ind w:right="340" w:firstLine="547"/>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56" w:lineRule="exact"/>
        <w:rPr>
          <w:sz w:val="20"/>
          <w:szCs w:val="20"/>
          <w:color w:val="auto"/>
        </w:rPr>
      </w:pPr>
    </w:p>
    <w:p>
      <w:pPr>
        <w:ind w:left="560" w:right="80" w:hanging="6"/>
        <w:spacing w:after="0" w:line="264" w:lineRule="auto"/>
        <w:tabs>
          <w:tab w:leader="none" w:pos="7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2015, as filed with the Securities and Exchange Commission on the date hereof (the “Report”) fully complies with the requirements of Section 13(a) or 15(d) of the Securities Exchange Act of 1934; and</w:t>
      </w:r>
    </w:p>
    <w:p>
      <w:pPr>
        <w:spacing w:after="0" w:line="113" w:lineRule="exact"/>
        <w:rPr>
          <w:rFonts w:ascii="Arial" w:cs="Arial" w:eastAsia="Arial" w:hAnsi="Arial"/>
          <w:sz w:val="18"/>
          <w:szCs w:val="18"/>
          <w:color w:val="auto"/>
        </w:rPr>
      </w:pPr>
    </w:p>
    <w:p>
      <w:pPr>
        <w:ind w:left="820" w:hanging="266"/>
        <w:spacing w:after="0"/>
        <w:tabs>
          <w:tab w:leader="none" w:pos="8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5, 2015</w:t>
      </w:r>
    </w:p>
    <w:p>
      <w:pPr>
        <w:spacing w:after="0" w:line="387"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27959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0"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jc w:val="center"/>
        <w:ind w:left="702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70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48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endash "/>
      <w:numFmt w:val="bullet"/>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lowerRoman"/>
      <w:start w:val="1"/>
    </w:lvl>
  </w:abstractNum>
  <w:abstractNum w:abstractNumId="16">
    <w:nsid w:val="25E45D3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2019-12-05T15:49:48Z</dcterms:created>
  <dcterms:modified xsi:type="dcterms:W3CDTF">2019-12-05T15:49:48Z</dcterms:modified>
</cp:coreProperties>
</file>