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20,984,460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619" w:hanging="427"/>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20,984,460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13500 North Central Expressway</w:t>
      </w:r>
    </w:p>
    <w:p>
      <w:pPr>
        <w:ind w:left="740"/>
        <w:spacing w:after="0"/>
        <w:rPr>
          <w:sz w:val="20"/>
          <w:szCs w:val="20"/>
          <w:color w:val="auto"/>
        </w:rPr>
      </w:pPr>
      <w:r>
        <w:rPr>
          <w:rFonts w:ascii="Courier New" w:cs="Courier New" w:eastAsia="Courier New" w:hAnsi="Courier New"/>
          <w:sz w:val="18"/>
          <w:szCs w:val="18"/>
          <w:color w:val="auto"/>
        </w:rPr>
        <w:t>P.O. Box 655474, M/S 241</w:t>
      </w:r>
    </w:p>
    <w:p>
      <w:pPr>
        <w:ind w:left="740"/>
        <w:spacing w:after="0" w:line="237" w:lineRule="auto"/>
        <w:rPr>
          <w:sz w:val="20"/>
          <w:szCs w:val="20"/>
          <w:color w:val="auto"/>
        </w:rPr>
      </w:pPr>
      <w:r>
        <w:rPr>
          <w:rFonts w:ascii="Courier New" w:cs="Courier New" w:eastAsia="Courier New" w:hAnsi="Courier New"/>
          <w:sz w:val="18"/>
          <w:szCs w:val="18"/>
          <w:color w:val="auto"/>
        </w:rPr>
        <w:t>Dallas, TX 75265-5474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839" w:hanging="535"/>
        <w:spacing w:after="0" w:line="235"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20,984,460 shares or 5.4% of the 390,258,000 shares of Common Stock believed to be outstanding as a result of acting as investment adviser to various investment companies registered under Section 8 of the Investment Company Act of 1940.</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505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ectPr>
          <w:pgSz w:w="11900" w:h="16838" w:orient="portrait"/>
          <w:cols w:equalWidth="0" w:num="1">
            <w:col w:w="10219"/>
          </w:cols>
          <w:pgMar w:left="240" w:top="717" w:right="1440" w:bottom="1440" w:gutter="0" w:footer="0" w:header="0"/>
        </w:sectPr>
      </w:pPr>
    </w:p>
    <w:bookmarkStart w:id="4" w:name="page5"/>
    <w:bookmarkEnd w:id="4"/>
    <w:p>
      <w:pPr>
        <w:spacing w:after="0" w:line="470"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420" w:right="2619"/>
        <w:spacing w:after="0" w:line="237" w:lineRule="auto"/>
        <w:rPr>
          <w:sz w:val="20"/>
          <w:szCs w:val="20"/>
          <w:color w:val="auto"/>
        </w:rPr>
      </w:pPr>
      <w:r>
        <w:rPr>
          <w:rFonts w:ascii="Courier New" w:cs="Courier New" w:eastAsia="Courier New" w:hAnsi="Courier New"/>
          <w:sz w:val="18"/>
          <w:szCs w:val="18"/>
          <w:color w:val="auto"/>
        </w:rPr>
        <w:t>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9899"/>
          </w:cols>
          <w:pgMar w:left="56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400" w:space="720"/>
            <w:col w:w="7779"/>
          </w:cols>
          <w:pgMar w:left="560" w:top="520" w:right="1440" w:bottom="1440"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1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939"/>
        <w:spacing w:after="0" w:line="237" w:lineRule="auto"/>
        <w:rPr>
          <w:sz w:val="20"/>
          <w:szCs w:val="20"/>
          <w:color w:val="auto"/>
        </w:rPr>
      </w:pPr>
      <w:r>
        <w:rPr>
          <w:rFonts w:ascii="Courier New" w:cs="Courier New" w:eastAsia="Courier New" w:hAnsi="Courier New"/>
          <w:sz w:val="18"/>
          <w:szCs w:val="18"/>
          <w:color w:val="auto"/>
        </w:rPr>
        <w:t>Signed pursuant to a Power of Attorney dated June 17, 1998 included as an Exhibit to Schedule 13G filed with the Securities and Exchange Commission by Capital Research and Management Company on July 9, 1998 with respect to ABR Information Services, Inc.</w:t>
      </w:r>
    </w:p>
    <w:sectPr>
      <w:pgSz w:w="11900" w:h="16838" w:orient="portrait"/>
      <w:cols w:equalWidth="0" w:num="1">
        <w:col w:w="9899"/>
      </w:cols>
      <w:pgMar w:left="56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lvl w:ilvl="1">
      <w:lvlJc w:val="left"/>
      <w:lvlText w:val="*"/>
      <w:numFmt w:val="bullet"/>
      <w:start w:val="1"/>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2019-12-13T07:32:40Z</dcterms:created>
  <dcterms:modified xsi:type="dcterms:W3CDTF">2019-12-13T07:32:40Z</dcterms:modified>
</cp:coreProperties>
</file>