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January 4, 2001</w:t>
      </w:r>
    </w:p>
    <w:p>
      <w:pPr>
        <w:spacing w:after="0" w:line="20" w:lineRule="exact"/>
        <w:rPr>
          <w:sz w:val="24"/>
          <w:szCs w:val="24"/>
          <w:color w:val="auto"/>
        </w:rPr>
      </w:pPr>
      <w:r>
        <w:rPr>
          <w:sz w:val="24"/>
          <w:szCs w:val="24"/>
          <w:color w:val="auto"/>
        </w:rPr>
        <w:br w:type="column"/>
      </w:r>
    </w:p>
    <w:p>
      <w:pPr>
        <w:jc w:val="right"/>
        <w:ind w:right="1879"/>
        <w:spacing w:after="0" w:line="236" w:lineRule="auto"/>
        <w:rPr>
          <w:sz w:val="20"/>
          <w:szCs w:val="20"/>
          <w:color w:val="auto"/>
        </w:rPr>
      </w:pPr>
      <w:r>
        <w:rPr>
          <w:rFonts w:ascii="Courier New" w:cs="Courier New" w:eastAsia="Courier New" w:hAnsi="Courier New"/>
          <w:sz w:val="18"/>
          <w:szCs w:val="18"/>
          <w:color w:val="auto"/>
        </w:rPr>
        <w:t>Filed Pursuant to Rule 424(b)(4) Registration No. 333-44572-01 333-44572</w:t>
      </w:r>
    </w:p>
    <w:p>
      <w:pPr>
        <w:spacing w:after="0" w:line="200" w:lineRule="exact"/>
        <w:rPr>
          <w:sz w:val="24"/>
          <w:szCs w:val="24"/>
          <w:color w:val="auto"/>
        </w:rPr>
      </w:pPr>
    </w:p>
    <w:p>
      <w:pPr>
        <w:sectPr>
          <w:pgSz w:w="11900" w:h="16838" w:orient="portrait"/>
          <w:cols w:equalWidth="0" w:num="2">
            <w:col w:w="4240" w:space="720"/>
            <w:col w:w="5259"/>
          </w:cols>
          <w:pgMar w:left="240" w:top="447" w:right="1440" w:bottom="0" w:gutter="0" w:footer="0" w:header="0"/>
        </w:sect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2" w:lineRule="exact"/>
        <w:rPr>
          <w:sz w:val="24"/>
          <w:szCs w:val="24"/>
          <w:color w:val="auto"/>
        </w:rPr>
      </w:pPr>
    </w:p>
    <w:p>
      <w:pPr>
        <w:jc w:val="center"/>
        <w:ind w:right="8639"/>
        <w:spacing w:after="0"/>
        <w:rPr>
          <w:sz w:val="20"/>
          <w:szCs w:val="20"/>
          <w:color w:val="auto"/>
        </w:rPr>
      </w:pPr>
      <w:r>
        <w:rPr>
          <w:rFonts w:ascii="Courier New" w:cs="Courier New" w:eastAsia="Courier New" w:hAnsi="Courier New"/>
          <w:sz w:val="18"/>
          <w:szCs w:val="18"/>
          <w:color w:val="auto"/>
        </w:rPr>
        <w:t>PRINCIPAL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AMOUNT AT</w:t>
      </w:r>
    </w:p>
    <w:p>
      <w:pPr>
        <w:jc w:val="center"/>
        <w:ind w:right="8639"/>
        <w:spacing w:after="0"/>
        <w:rPr>
          <w:sz w:val="20"/>
          <w:szCs w:val="20"/>
          <w:color w:val="auto"/>
        </w:rPr>
      </w:pPr>
      <w:r>
        <w:rPr>
          <w:rFonts w:ascii="Courier New" w:cs="Courier New" w:eastAsia="Courier New" w:hAnsi="Courier New"/>
          <w:sz w:val="18"/>
          <w:szCs w:val="18"/>
          <w:color w:val="auto"/>
        </w:rPr>
        <w:t>MATURITY OF</w:t>
      </w:r>
    </w:p>
    <w:p>
      <w:pPr>
        <w:spacing w:after="0" w:line="3" w:lineRule="exact"/>
        <w:rPr>
          <w:sz w:val="24"/>
          <w:szCs w:val="24"/>
          <w:color w:val="auto"/>
        </w:rPr>
      </w:pPr>
    </w:p>
    <w:p>
      <w:pPr>
        <w:jc w:val="center"/>
        <w:ind w:right="8639"/>
        <w:spacing w:after="0"/>
        <w:rPr>
          <w:sz w:val="20"/>
          <w:szCs w:val="20"/>
          <w:color w:val="auto"/>
        </w:rPr>
      </w:pPr>
      <w:r>
        <w:rPr>
          <w:rFonts w:ascii="Courier New" w:cs="Courier New" w:eastAsia="Courier New" w:hAnsi="Courier New"/>
          <w:sz w:val="16"/>
          <w:szCs w:val="16"/>
          <w:color w:val="auto"/>
        </w:rPr>
        <w:t>NOTES SHARES OF</w:t>
      </w:r>
    </w:p>
    <w:p>
      <w:pPr>
        <w:spacing w:after="0" w:line="16" w:lineRule="exact"/>
        <w:rPr>
          <w:sz w:val="24"/>
          <w:szCs w:val="24"/>
          <w:color w:val="auto"/>
        </w:rPr>
      </w:pPr>
    </w:p>
    <w:p>
      <w:pPr>
        <w:jc w:val="center"/>
        <w:ind w:right="8639"/>
        <w:spacing w:after="0"/>
        <w:rPr>
          <w:sz w:val="20"/>
          <w:szCs w:val="20"/>
          <w:color w:val="auto"/>
        </w:rPr>
      </w:pPr>
      <w:r>
        <w:rPr>
          <w:rFonts w:ascii="Courier New" w:cs="Courier New" w:eastAsia="Courier New" w:hAnsi="Courier New"/>
          <w:sz w:val="18"/>
          <w:szCs w:val="18"/>
          <w:color w:val="auto"/>
        </w:rPr>
        <w:t>BENEFICIALLY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PERCENTAGE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OWNED THAT OF</w:t>
      </w:r>
    </w:p>
    <w:p>
      <w:pPr>
        <w:jc w:val="center"/>
        <w:ind w:right="8639"/>
        <w:spacing w:after="0"/>
        <w:rPr>
          <w:sz w:val="20"/>
          <w:szCs w:val="20"/>
          <w:color w:val="auto"/>
        </w:rPr>
      </w:pPr>
      <w:r>
        <w:rPr>
          <w:rFonts w:ascii="Courier New" w:cs="Courier New" w:eastAsia="Courier New" w:hAnsi="Courier New"/>
          <w:sz w:val="18"/>
          <w:szCs w:val="18"/>
          <w:color w:val="auto"/>
        </w:rPr>
        <w:t>NOTES THAT MAY</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4"/>
          <w:szCs w:val="24"/>
          <w:color w:val="auto"/>
        </w:rPr>
      </w:pPr>
    </w:p>
    <w:p>
      <w:pPr>
        <w:jc w:val="center"/>
        <w:ind w:right="8639"/>
        <w:spacing w:after="0"/>
        <w:rPr>
          <w:sz w:val="20"/>
          <w:szCs w:val="20"/>
          <w:color w:val="auto"/>
        </w:rPr>
      </w:pPr>
      <w:r>
        <w:rPr>
          <w:rFonts w:ascii="Courier New" w:cs="Courier New" w:eastAsia="Courier New" w:hAnsi="Courier New"/>
          <w:sz w:val="16"/>
          <w:szCs w:val="16"/>
          <w:color w:val="auto"/>
        </w:rPr>
        <w:t>NAME OF SELLING</w:t>
      </w:r>
    </w:p>
    <w:p>
      <w:pPr>
        <w:spacing w:after="0" w:line="16" w:lineRule="exact"/>
        <w:rPr>
          <w:sz w:val="24"/>
          <w:szCs w:val="24"/>
          <w:color w:val="auto"/>
        </w:rPr>
      </w:pPr>
    </w:p>
    <w:p>
      <w:pPr>
        <w:jc w:val="center"/>
        <w:ind w:right="8639"/>
        <w:spacing w:after="0"/>
        <w:rPr>
          <w:sz w:val="20"/>
          <w:szCs w:val="20"/>
          <w:color w:val="auto"/>
        </w:rPr>
      </w:pPr>
      <w:r>
        <w:rPr>
          <w:rFonts w:ascii="Courier New" w:cs="Courier New" w:eastAsia="Courier New" w:hAnsi="Courier New"/>
          <w:sz w:val="18"/>
          <w:szCs w:val="18"/>
          <w:color w:val="auto"/>
        </w:rPr>
        <w:t>SECURITYHOLDER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MAY BE SOLD</w:t>
      </w:r>
    </w:p>
    <w:p>
      <w:pPr>
        <w:jc w:val="center"/>
        <w:ind w:right="8639"/>
        <w:spacing w:after="0"/>
        <w:rPr>
          <w:sz w:val="20"/>
          <w:szCs w:val="20"/>
          <w:color w:val="auto"/>
        </w:rPr>
      </w:pPr>
      <w:r>
        <w:rPr>
          <w:rFonts w:ascii="Courier New" w:cs="Courier New" w:eastAsia="Courier New" w:hAnsi="Courier New"/>
          <w:sz w:val="18"/>
          <w:szCs w:val="18"/>
          <w:color w:val="auto"/>
        </w:rPr>
        <w:t>OUTSTANDING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SOLD(1)</w:t>
      </w:r>
    </w:p>
    <w:p>
      <w:pPr>
        <w:jc w:val="center"/>
        <w:ind w:right="8639"/>
        <w:spacing w:after="0" w:line="238" w:lineRule="auto"/>
        <w:rPr>
          <w:sz w:val="20"/>
          <w:szCs w:val="20"/>
          <w:color w:val="auto"/>
        </w:rPr>
      </w:pPr>
      <w:r>
        <w:rPr>
          <w:rFonts w:ascii="Courier New" w:cs="Courier New" w:eastAsia="Courier New" w:hAnsi="Courier New"/>
          <w:sz w:val="18"/>
          <w:szCs w:val="18"/>
          <w:color w:val="auto"/>
        </w:rPr>
        <w:t>OUTSTANDING(2)</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Victory Capital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as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Agent for</w:t>
      </w:r>
    </w:p>
    <w:p>
      <w:pPr>
        <w:spacing w:after="0" w:line="4" w:lineRule="exact"/>
        <w:rPr>
          <w:rFonts w:ascii="Courier New" w:cs="Courier New" w:eastAsia="Courier New" w:hAnsi="Courier New"/>
          <w:sz w:val="18"/>
          <w:szCs w:val="18"/>
          <w:color w:val="auto"/>
        </w:rPr>
      </w:pPr>
    </w:p>
    <w:p>
      <w:pPr>
        <w:jc w:val="center"/>
        <w:ind w:right="863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$90,000 * 2,025 * the Key Trust Convertible Securities Fund Victory Capital Management as Agent for $560,000 * 12,600 * the EB Convertible Securities Fund Victory Capital Management as Trustee for $590,000 * 13,275 * the Charitable Convertible Securities Fund Victory Capital Management as Agent for $120,000 * 2,700 * the Parker Key/Convertible</w:t>
      </w:r>
    </w:p>
    <w:p>
      <w:pPr>
        <w:sectPr>
          <w:pgSz w:w="11900" w:h="16838" w:orient="portrait"/>
          <w:cols w:equalWidth="0" w:num="1">
            <w:col w:w="10219"/>
          </w:cols>
          <w:pgMar w:left="240" w:top="447" w:right="1440" w:bottom="0" w:gutter="0" w:footer="0" w:header="0"/>
          <w:type w:val="continuous"/>
        </w:sectPr>
      </w:pPr>
    </w:p>
    <w:bookmarkStart w:id="1" w:name="page2"/>
    <w:bookmarkEnd w:id="1"/>
    <w:p>
      <w:pPr>
        <w:jc w:val="center"/>
        <w:ind w:right="8639"/>
        <w:spacing w:after="0"/>
        <w:rPr>
          <w:sz w:val="20"/>
          <w:szCs w:val="20"/>
          <w:color w:val="auto"/>
        </w:rPr>
      </w:pPr>
      <w:r>
        <w:rPr>
          <w:rFonts w:ascii="Courier New" w:cs="Courier New" w:eastAsia="Courier New" w:hAnsi="Courier New"/>
          <w:sz w:val="16"/>
          <w:szCs w:val="16"/>
          <w:color w:val="auto"/>
        </w:rPr>
        <w:t>Victory Capital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Management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Agent for</w:t>
      </w:r>
    </w:p>
    <w:p>
      <w:pPr>
        <w:jc w:val="center"/>
        <w:ind w:right="8639"/>
        <w:spacing w:after="0"/>
        <w:rPr>
          <w:sz w:val="20"/>
          <w:szCs w:val="20"/>
          <w:color w:val="auto"/>
        </w:rPr>
      </w:pPr>
      <w:r>
        <w:rPr>
          <w:rFonts w:ascii="Courier New" w:cs="Courier New" w:eastAsia="Courier New" w:hAnsi="Courier New"/>
          <w:sz w:val="18"/>
          <w:szCs w:val="18"/>
          <w:color w:val="auto"/>
        </w:rPr>
        <w:t>$340,000 *</w:t>
      </w:r>
    </w:p>
    <w:p>
      <w:pPr>
        <w:jc w:val="center"/>
        <w:ind w:right="8639"/>
        <w:spacing w:after="0" w:line="237" w:lineRule="auto"/>
        <w:rPr>
          <w:sz w:val="20"/>
          <w:szCs w:val="20"/>
          <w:color w:val="auto"/>
        </w:rPr>
      </w:pPr>
      <w:r>
        <w:rPr>
          <w:rFonts w:ascii="Courier New" w:cs="Courier New" w:eastAsia="Courier New" w:hAnsi="Courier New"/>
          <w:sz w:val="18"/>
          <w:szCs w:val="18"/>
          <w:color w:val="auto"/>
        </w:rPr>
        <w:t>7,650 *</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Potlatch</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Victory Capital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Management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w:t>
      </w:r>
    </w:p>
    <w:p>
      <w:pPr>
        <w:jc w:val="center"/>
        <w:ind w:right="8639"/>
        <w:spacing w:after="0"/>
        <w:rPr>
          <w:sz w:val="20"/>
          <w:szCs w:val="20"/>
          <w:color w:val="auto"/>
        </w:rPr>
      </w:pPr>
      <w:r>
        <w:rPr>
          <w:rFonts w:ascii="Courier New" w:cs="Courier New" w:eastAsia="Courier New" w:hAnsi="Courier New"/>
          <w:sz w:val="18"/>
          <w:szCs w:val="18"/>
          <w:color w:val="auto"/>
        </w:rPr>
        <w:t>$300,000 *</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6,750 * Advisor</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for the Victory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Convertible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Fund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0"/>
          <w:szCs w:val="20"/>
          <w:color w:val="auto"/>
        </w:rPr>
      </w:pPr>
    </w:p>
    <w:p>
      <w:pPr>
        <w:ind w:left="960" w:right="1999" w:hanging="952"/>
        <w:spacing w:after="0" w:line="272"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1,734,022,415 shares of Texas Instruments common stock issued and outstanding as of August 7, 2002. Assumes the number of shares of Texas Instruments common stock issuable upon conversion of all of that particular holder's notes are outstanding. However, this does not include the conversion of any other holder's notes.</w:t>
      </w: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3 OF THE PROSPECTUS.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August 7, 2002.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2019-12-13T07:42:12Z</dcterms:created>
  <dcterms:modified xsi:type="dcterms:W3CDTF">2019-12-13T07:42:12Z</dcterms:modified>
</cp:coreProperties>
</file>