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62668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26681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895"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ADAMS JAMES R</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09/16/2005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3"/>
        <w:spacing w:after="0"/>
        <w:tabs>
          <w:tab w:leader="none" w:pos="522" w:val="left"/>
          <w:tab w:leader="none" w:pos="2163"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3"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3"/>
        <w:spacing w:after="0"/>
        <w:tabs>
          <w:tab w:leader="none" w:pos="21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340" w:space="720"/>
            <w:col w:w="3340" w:space="637"/>
            <w:col w:w="3483"/>
          </w:cols>
          <w:pgMar w:left="240" w:top="225" w:right="139" w:bottom="895" w:gutter="0" w:footer="0" w:header="0"/>
          <w:type w:val="continuous"/>
        </w:sectPr>
      </w:pPr>
    </w:p>
    <w:p>
      <w:pPr>
        <w:spacing w:after="0" w:line="24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2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95" w:lineRule="exact"/>
        <w:rPr>
          <w:sz w:val="24"/>
          <w:szCs w:val="24"/>
          <w:color w:val="auto"/>
        </w:rPr>
      </w:pPr>
    </w:p>
    <w:p>
      <w:pPr>
        <w:sectPr>
          <w:pgSz w:w="11900" w:h="16838" w:orient="portrait"/>
          <w:cols w:equalWidth="0" w:num="2">
            <w:col w:w="3900" w:space="160"/>
            <w:col w:w="7460"/>
          </w:cols>
          <w:pgMar w:left="240" w:top="225" w:right="139" w:bottom="895"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2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9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0000FF"/>
                <w:w w:val="93"/>
              </w:rPr>
              <w:t>255,396.07</w:t>
            </w:r>
          </w:p>
        </w:tc>
        <w:tc>
          <w:tcPr>
            <w:tcW w:w="9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9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5"/>
              </w:rPr>
              <w:t>4,800</w:t>
            </w:r>
            <w:r>
              <w:rPr>
                <w:rFonts w:ascii="Arial" w:cs="Arial" w:eastAsia="Arial" w:hAnsi="Arial"/>
                <w:sz w:val="22"/>
                <w:szCs w:val="22"/>
                <w:color w:val="008000"/>
                <w:w w:val="85"/>
                <w:vertAlign w:val="superscript"/>
              </w:rPr>
              <w:t>(1)</w:t>
            </w:r>
          </w:p>
        </w:tc>
        <w:tc>
          <w:tcPr>
            <w:tcW w:w="980" w:type="dxa"/>
            <w:vAlign w:val="bottom"/>
            <w:tcBorders>
              <w:bottom w:val="single" w:sz="8" w:color="2C2C2C"/>
            </w:tcBorders>
          </w:tcPr>
          <w:p>
            <w:pPr>
              <w:jc w:val="center"/>
              <w:ind w:left="5"/>
              <w:spacing w:after="0"/>
              <w:rPr>
                <w:sz w:val="20"/>
                <w:szCs w:val="20"/>
                <w:color w:val="auto"/>
              </w:rPr>
            </w:pPr>
            <w:r>
              <w:rPr>
                <w:rFonts w:ascii="Arial" w:cs="Arial" w:eastAsia="Arial" w:hAnsi="Arial"/>
                <w:sz w:val="17"/>
                <w:szCs w:val="17"/>
                <w:color w:val="0000FF"/>
              </w:rPr>
              <w:t>I</w:t>
            </w:r>
          </w:p>
        </w:tc>
        <w:tc>
          <w:tcPr>
            <w:tcW w:w="82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By Son</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9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5"/>
              </w:rPr>
              <w:t>8,000</w:t>
            </w:r>
            <w:r>
              <w:rPr>
                <w:rFonts w:ascii="Arial" w:cs="Arial" w:eastAsia="Arial" w:hAnsi="Arial"/>
                <w:sz w:val="22"/>
                <w:szCs w:val="22"/>
                <w:color w:val="008000"/>
                <w:w w:val="85"/>
                <w:vertAlign w:val="superscript"/>
              </w:rPr>
              <w:t>(2)</w:t>
            </w:r>
          </w:p>
        </w:tc>
        <w:tc>
          <w:tcPr>
            <w:tcW w:w="980" w:type="dxa"/>
            <w:vAlign w:val="bottom"/>
            <w:tcBorders>
              <w:bottom w:val="single" w:sz="8" w:color="2C2C2C"/>
            </w:tcBorders>
          </w:tcPr>
          <w:p>
            <w:pPr>
              <w:jc w:val="center"/>
              <w:ind w:left="5"/>
              <w:spacing w:after="0"/>
              <w:rPr>
                <w:sz w:val="20"/>
                <w:szCs w:val="20"/>
                <w:color w:val="auto"/>
              </w:rPr>
            </w:pPr>
            <w:r>
              <w:rPr>
                <w:rFonts w:ascii="Arial" w:cs="Arial" w:eastAsia="Arial" w:hAnsi="Arial"/>
                <w:sz w:val="17"/>
                <w:szCs w:val="17"/>
                <w:color w:val="0000FF"/>
              </w:rPr>
              <w:t>I</w:t>
            </w:r>
          </w:p>
        </w:tc>
        <w:tc>
          <w:tcPr>
            <w:tcW w:w="82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By Trust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87"/>
              </w:rPr>
              <w:t>2,976.61</w:t>
            </w:r>
            <w:r>
              <w:rPr>
                <w:rFonts w:ascii="Arial" w:cs="Arial" w:eastAsia="Arial" w:hAnsi="Arial"/>
                <w:sz w:val="22"/>
                <w:szCs w:val="22"/>
                <w:color w:val="008000"/>
                <w:w w:val="87"/>
                <w:vertAlign w:val="superscript"/>
              </w:rPr>
              <w:t>(3)</w:t>
            </w:r>
          </w:p>
        </w:tc>
        <w:tc>
          <w:tcPr>
            <w:tcW w:w="980" w:type="dxa"/>
            <w:vAlign w:val="bottom"/>
          </w:tcPr>
          <w:p>
            <w:pPr>
              <w:jc w:val="center"/>
              <w:ind w:left="5"/>
              <w:spacing w:after="0"/>
              <w:rPr>
                <w:sz w:val="20"/>
                <w:szCs w:val="20"/>
                <w:color w:val="auto"/>
              </w:rPr>
            </w:pPr>
            <w:r>
              <w:rPr>
                <w:rFonts w:ascii="Arial" w:cs="Arial" w:eastAsia="Arial" w:hAnsi="Arial"/>
                <w:sz w:val="17"/>
                <w:szCs w:val="17"/>
                <w:color w:val="0000FF"/>
              </w:rPr>
              <w:t>I</w:t>
            </w:r>
          </w:p>
        </w:tc>
        <w:tc>
          <w:tcPr>
            <w:tcW w:w="820" w:type="dxa"/>
            <w:vAlign w:val="bottom"/>
          </w:tcPr>
          <w:p>
            <w:pPr>
              <w:ind w:left="10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-401(k)</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85"/>
              </w:rPr>
              <w:t>455.91</w:t>
            </w:r>
            <w:r>
              <w:rPr>
                <w:rFonts w:ascii="Arial" w:cs="Arial" w:eastAsia="Arial" w:hAnsi="Arial"/>
                <w:sz w:val="22"/>
                <w:szCs w:val="22"/>
                <w:color w:val="008000"/>
                <w:w w:val="85"/>
                <w:vertAlign w:val="superscript"/>
              </w:rPr>
              <w:t>(4)</w:t>
            </w:r>
          </w:p>
        </w:tc>
        <w:tc>
          <w:tcPr>
            <w:tcW w:w="980" w:type="dxa"/>
            <w:vAlign w:val="bottom"/>
          </w:tcPr>
          <w:p>
            <w:pPr>
              <w:jc w:val="center"/>
              <w:ind w:left="5"/>
              <w:spacing w:after="0"/>
              <w:rPr>
                <w:sz w:val="20"/>
                <w:szCs w:val="20"/>
                <w:color w:val="auto"/>
              </w:rPr>
            </w:pPr>
            <w:r>
              <w:rPr>
                <w:rFonts w:ascii="Arial" w:cs="Arial" w:eastAsia="Arial" w:hAnsi="Arial"/>
                <w:sz w:val="17"/>
                <w:szCs w:val="17"/>
                <w:color w:val="0000FF"/>
              </w:rPr>
              <w:t>I</w:t>
            </w:r>
          </w:p>
        </w:tc>
        <w:tc>
          <w:tcPr>
            <w:tcW w:w="820" w:type="dxa"/>
            <w:vAlign w:val="bottom"/>
          </w:tcPr>
          <w:p>
            <w:pPr>
              <w:ind w:left="10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PS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242"/>
        </w:trPr>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ind w:left="280"/>
              <w:spacing w:after="0" w:line="242" w:lineRule="exact"/>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1</w:t>
            </w:r>
            <w:r>
              <w:rPr>
                <w:rFonts w:ascii="Arial" w:cs="Arial" w:eastAsia="Arial" w:hAnsi="Arial"/>
                <w:sz w:val="11"/>
                <w:szCs w:val="11"/>
                <w:color w:val="008000"/>
              </w:rPr>
              <w:t>(5)</w:t>
            </w:r>
          </w:p>
        </w:tc>
        <w:tc>
          <w:tcPr>
            <w:tcW w:w="1140" w:type="dxa"/>
            <w:vAlign w:val="bottom"/>
          </w:tcPr>
          <w:p>
            <w:pPr>
              <w:jc w:val="right"/>
              <w:ind w:right="198"/>
              <w:spacing w:after="0"/>
              <w:rPr>
                <w:sz w:val="20"/>
                <w:szCs w:val="20"/>
                <w:color w:val="auto"/>
              </w:rPr>
            </w:pPr>
            <w:r>
              <w:rPr>
                <w:rFonts w:ascii="Arial" w:cs="Arial" w:eastAsia="Arial" w:hAnsi="Arial"/>
                <w:sz w:val="13"/>
                <w:szCs w:val="13"/>
                <w:color w:val="0000FF"/>
              </w:rPr>
              <w:t>09/16/2005</w:t>
            </w:r>
          </w:p>
        </w:tc>
        <w:tc>
          <w:tcPr>
            <w:tcW w:w="1120" w:type="dxa"/>
            <w:vAlign w:val="bottom"/>
          </w:tcPr>
          <w:p>
            <w:pPr>
              <w:spacing w:after="0"/>
              <w:rPr>
                <w:sz w:val="21"/>
                <w:szCs w:val="21"/>
                <w:color w:val="auto"/>
              </w:rPr>
            </w:pPr>
          </w:p>
        </w:tc>
        <w:tc>
          <w:tcPr>
            <w:tcW w:w="840" w:type="dxa"/>
            <w:vAlign w:val="bottom"/>
          </w:tcPr>
          <w:p>
            <w:pPr>
              <w:ind w:left="180"/>
              <w:spacing w:after="0"/>
              <w:rPr>
                <w:sz w:val="20"/>
                <w:szCs w:val="20"/>
                <w:color w:val="auto"/>
              </w:rPr>
            </w:pPr>
            <w:r>
              <w:rPr>
                <w:rFonts w:ascii="Arial" w:cs="Arial" w:eastAsia="Arial" w:hAnsi="Arial"/>
                <w:sz w:val="13"/>
                <w:szCs w:val="13"/>
                <w:color w:val="0000FF"/>
              </w:rPr>
              <w:t>A</w:t>
            </w:r>
          </w:p>
        </w:tc>
        <w:tc>
          <w:tcPr>
            <w:tcW w:w="520" w:type="dxa"/>
            <w:vAlign w:val="bottom"/>
          </w:tcPr>
          <w:p>
            <w:pPr>
              <w:ind w:left="80"/>
              <w:spacing w:after="0"/>
              <w:rPr>
                <w:sz w:val="20"/>
                <w:szCs w:val="20"/>
                <w:color w:val="auto"/>
              </w:rPr>
            </w:pPr>
            <w:r>
              <w:rPr>
                <w:rFonts w:ascii="Arial" w:cs="Arial" w:eastAsia="Arial" w:hAnsi="Arial"/>
                <w:sz w:val="13"/>
                <w:szCs w:val="13"/>
                <w:color w:val="0000FF"/>
              </w:rPr>
              <w:t>198.27</w:t>
            </w:r>
          </w:p>
        </w:tc>
        <w:tc>
          <w:tcPr>
            <w:tcW w:w="300" w:type="dxa"/>
            <w:vAlign w:val="bottom"/>
          </w:tcPr>
          <w:p>
            <w:pPr>
              <w:spacing w:after="0"/>
              <w:rPr>
                <w:sz w:val="21"/>
                <w:szCs w:val="21"/>
                <w:color w:val="auto"/>
              </w:rPr>
            </w:pPr>
          </w:p>
        </w:tc>
        <w:tc>
          <w:tcPr>
            <w:tcW w:w="820" w:type="dxa"/>
            <w:vAlign w:val="bottom"/>
          </w:tcPr>
          <w:p>
            <w:pPr>
              <w:ind w:left="360"/>
              <w:spacing w:after="0"/>
              <w:rPr>
                <w:sz w:val="20"/>
                <w:szCs w:val="20"/>
                <w:color w:val="auto"/>
              </w:rPr>
            </w:pPr>
            <w:r>
              <w:rPr>
                <w:rFonts w:ascii="Arial" w:cs="Arial" w:eastAsia="Arial" w:hAnsi="Arial"/>
                <w:sz w:val="11"/>
                <w:szCs w:val="11"/>
                <w:color w:val="008000"/>
              </w:rPr>
              <w:t>(6)</w:t>
            </w:r>
          </w:p>
        </w:tc>
        <w:tc>
          <w:tcPr>
            <w:tcW w:w="740" w:type="dxa"/>
            <w:vAlign w:val="bottom"/>
          </w:tcPr>
          <w:p>
            <w:pPr>
              <w:jc w:val="right"/>
              <w:ind w:right="241"/>
              <w:spacing w:after="0"/>
              <w:rPr>
                <w:sz w:val="20"/>
                <w:szCs w:val="20"/>
                <w:color w:val="auto"/>
              </w:rPr>
            </w:pPr>
            <w:r>
              <w:rPr>
                <w:rFonts w:ascii="Arial" w:cs="Arial" w:eastAsia="Arial" w:hAnsi="Arial"/>
                <w:sz w:val="11"/>
                <w:szCs w:val="11"/>
                <w:color w:val="008000"/>
              </w:rPr>
              <w:t>(6)</w:t>
            </w:r>
          </w:p>
        </w:tc>
        <w:tc>
          <w:tcPr>
            <w:tcW w:w="720" w:type="dxa"/>
            <w:vAlign w:val="bottom"/>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198.27</w:t>
            </w:r>
          </w:p>
        </w:tc>
        <w:tc>
          <w:tcPr>
            <w:tcW w:w="720" w:type="dxa"/>
            <w:vAlign w:val="bottom"/>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33.62</w:t>
            </w:r>
          </w:p>
        </w:tc>
        <w:tc>
          <w:tcPr>
            <w:tcW w:w="960" w:type="dxa"/>
            <w:vAlign w:val="bottom"/>
          </w:tcPr>
          <w:p>
            <w:pPr>
              <w:ind w:left="220"/>
              <w:spacing w:after="0"/>
              <w:rPr>
                <w:sz w:val="20"/>
                <w:szCs w:val="20"/>
                <w:color w:val="auto"/>
              </w:rPr>
            </w:pPr>
            <w:r>
              <w:rPr>
                <w:rFonts w:ascii="Arial" w:cs="Arial" w:eastAsia="Arial" w:hAnsi="Arial"/>
                <w:sz w:val="13"/>
                <w:szCs w:val="13"/>
                <w:color w:val="0000FF"/>
              </w:rPr>
              <w:t>18,369.34</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21"/>
                <w:szCs w:val="21"/>
                <w:color w:val="auto"/>
              </w:rPr>
            </w:pPr>
          </w:p>
        </w:tc>
      </w:tr>
      <w:tr>
        <w:trPr>
          <w:trHeight w:val="172"/>
        </w:trPr>
        <w:tc>
          <w:tcPr>
            <w:tcW w:w="720" w:type="dxa"/>
            <w:vAlign w:val="bottom"/>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Beneficial ownership by reporting person disclaimed.</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in trust for the benefit of family members of which reporting person is trustee. Beneficial ownership by reporting person disclaimed.</w:t>
      </w:r>
    </w:p>
    <w:p>
      <w:pPr>
        <w:spacing w:after="0" w:line="51" w:lineRule="exact"/>
        <w:rPr>
          <w:rFonts w:ascii="Arial" w:cs="Arial" w:eastAsia="Arial" w:hAnsi="Arial"/>
          <w:sz w:val="13"/>
          <w:szCs w:val="13"/>
          <w:color w:val="008000"/>
        </w:rPr>
      </w:pPr>
    </w:p>
    <w:p>
      <w:pPr>
        <w:ind w:left="40" w:right="5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12-31-04. (Interests in this account are denominated in units. Consequently, share amount shown is an estimate.) This statement does not include changes in beneficial ownership of shares held in this account occurring after 12-31-04 that are eligible for deferred reporting on Form 5.</w:t>
      </w:r>
    </w:p>
    <w:p>
      <w:pPr>
        <w:spacing w:after="0" w:line="10" w:lineRule="exact"/>
        <w:rPr>
          <w:rFonts w:ascii="Arial" w:cs="Arial" w:eastAsia="Arial" w:hAnsi="Arial"/>
          <w:sz w:val="13"/>
          <w:szCs w:val="13"/>
          <w:color w:val="008000"/>
        </w:rPr>
      </w:pPr>
    </w:p>
    <w:p>
      <w:pPr>
        <w:ind w:left="40" w:right="2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12-31-04. (Interests in this account are denominated in units. Consequently, share amount shown is an estimate.) This statement does not include changes in beneficial ownership of shares held in such account occurring after 12-31-04 that are eligible for deferred reporting on Form 5.</w:t>
      </w:r>
    </w:p>
    <w:p>
      <w:pPr>
        <w:spacing w:after="0" w:line="10"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Security converts to common stock on a one-for-one basis.</w:t>
      </w:r>
    </w:p>
    <w:p>
      <w:pPr>
        <w:spacing w:after="0" w:line="51" w:lineRule="exact"/>
        <w:rPr>
          <w:rFonts w:ascii="Arial" w:cs="Arial" w:eastAsia="Arial" w:hAnsi="Arial"/>
          <w:sz w:val="13"/>
          <w:szCs w:val="13"/>
          <w:color w:val="008000"/>
        </w:rPr>
      </w:pPr>
    </w:p>
    <w:p>
      <w:pPr>
        <w:ind w:left="40" w:right="5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Stock units credited under the Texas Instruments 2003 Director Compensation Plan, to be settled in common stock of the Issuer following the reporting person's termination of service as a director of the Issuer. End-of-period holdings include stock units acquired pursuant to the dividend reinvestment provision of the Plan.</w:t>
      </w:r>
    </w:p>
    <w:p>
      <w:pPr>
        <w:spacing w:after="0" w:line="27"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40" w:type="dxa"/>
            <w:vAlign w:val="bottom"/>
            <w:gridSpan w:val="2"/>
          </w:tcPr>
          <w:p>
            <w:pPr>
              <w:spacing w:after="0"/>
              <w:rPr>
                <w:sz w:val="20"/>
                <w:szCs w:val="20"/>
                <w:color w:val="auto"/>
              </w:rPr>
            </w:pPr>
            <w:r>
              <w:rPr>
                <w:rFonts w:ascii="Arial" w:cs="Arial" w:eastAsia="Arial" w:hAnsi="Arial"/>
                <w:sz w:val="17"/>
                <w:szCs w:val="17"/>
                <w:color w:val="0000FF"/>
              </w:rPr>
              <w:t>DANIEL M. DRORY,</w:t>
            </w:r>
          </w:p>
        </w:tc>
        <w:tc>
          <w:tcPr>
            <w:tcW w:w="1440" w:type="dxa"/>
            <w:vAlign w:val="bottom"/>
            <w:gridSpan w:val="2"/>
            <w:vMerge w:val="restart"/>
          </w:tcPr>
          <w:p>
            <w:pPr>
              <w:jc w:val="right"/>
              <w:spacing w:after="0"/>
              <w:rPr>
                <w:sz w:val="20"/>
                <w:szCs w:val="20"/>
                <w:color w:val="auto"/>
              </w:rPr>
            </w:pPr>
            <w:r>
              <w:rPr>
                <w:rFonts w:ascii="Arial" w:cs="Arial" w:eastAsia="Arial" w:hAnsi="Arial"/>
                <w:sz w:val="17"/>
                <w:szCs w:val="17"/>
                <w:color w:val="0000FF"/>
              </w:rPr>
              <w:t>09/19/2005</w:t>
            </w:r>
          </w:p>
        </w:tc>
        <w:tc>
          <w:tcPr>
            <w:tcW w:w="0" w:type="dxa"/>
            <w:vAlign w:val="bottom"/>
          </w:tcPr>
          <w:p>
            <w:pPr>
              <w:spacing w:after="0"/>
              <w:rPr>
                <w:sz w:val="1"/>
                <w:szCs w:val="1"/>
                <w:color w:val="auto"/>
              </w:rPr>
            </w:pPr>
          </w:p>
        </w:tc>
      </w:tr>
      <w:tr>
        <w:trPr>
          <w:trHeight w:val="20"/>
        </w:trPr>
        <w:tc>
          <w:tcPr>
            <w:tcW w:w="1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1640" w:type="dxa"/>
            <w:vAlign w:val="bottom"/>
            <w:gridSpan w:val="2"/>
            <w:vMerge w:val="restart"/>
          </w:tcPr>
          <w:p>
            <w:pPr>
              <w:spacing w:after="0"/>
              <w:rPr>
                <w:sz w:val="20"/>
                <w:szCs w:val="20"/>
                <w:color w:val="auto"/>
              </w:rPr>
            </w:pPr>
            <w:r>
              <w:rPr>
                <w:rFonts w:ascii="Arial" w:cs="Arial" w:eastAsia="Arial" w:hAnsi="Arial"/>
                <w:sz w:val="17"/>
                <w:szCs w:val="17"/>
                <w:color w:val="0000FF"/>
                <w:w w:val="99"/>
              </w:rPr>
              <w:t>ATTORNEY IN FACT</w:t>
            </w:r>
          </w:p>
        </w:tc>
        <w:tc>
          <w:tcPr>
            <w:tcW w:w="14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640" w:type="dxa"/>
            <w:vAlign w:val="bottom"/>
            <w:tcBorders>
              <w:bottom w:val="single" w:sz="8" w:color="auto"/>
            </w:tcBorders>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3080" w:type="dxa"/>
            <w:vAlign w:val="bottom"/>
            <w:gridSpan w:val="4"/>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89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5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2019-12-16T02:39:26Z</dcterms:created>
  <dcterms:modified xsi:type="dcterms:W3CDTF">2019-12-16T02:39:26Z</dcterms:modified>
</cp:coreProperties>
</file>