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18"/>
          <w:szCs w:val="18"/>
          <w:color w:val="auto"/>
        </w:rPr>
        <w:t>United States Securities and</w:t>
      </w:r>
    </w:p>
    <w:p>
      <w:pPr>
        <w:spacing w:after="0" w:line="2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Exchange Commission</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Washington, D.C. 20549</w:t>
      </w:r>
    </w:p>
    <w:p>
      <w:pPr>
        <w:spacing w:after="0" w:line="24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SCHEDULE 14A</w:t>
      </w:r>
    </w:p>
    <w:p>
      <w:pPr>
        <w:spacing w:after="0" w:line="25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(Rule 14a-101)</w:t>
      </w:r>
    </w:p>
    <w:p>
      <w:pPr>
        <w:spacing w:after="0" w:line="25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color w:val="auto"/>
        </w:rPr>
        <w:t>INFORMATION REQUIRED IN PROXY STATEMENT</w:t>
      </w:r>
    </w:p>
    <w:p>
      <w:pPr>
        <w:spacing w:after="0" w:line="27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SCHEDULE 14A INFORMATION</w:t>
      </w:r>
    </w:p>
    <w:p>
      <w:pPr>
        <w:spacing w:after="0" w:line="25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Proxy Statement Pursuant to Section 14(a) of the</w:t>
      </w:r>
    </w:p>
    <w:p>
      <w:pPr>
        <w:spacing w:after="0" w:line="2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Securities Exchange Act of 1934 (Amendment No. )</w:t>
      </w:r>
    </w:p>
    <w:p>
      <w:pPr>
        <w:sectPr>
          <w:pgSz w:w="11900" w:h="16838" w:orient="portrait"/>
          <w:cols w:equalWidth="0" w:num="1">
            <w:col w:w="11420"/>
          </w:cols>
          <w:pgMar w:left="240" w:top="476" w:right="239" w:bottom="1440" w:gutter="0" w:footer="0" w:header="0"/>
        </w:sectPr>
      </w:pPr>
    </w:p>
    <w:p>
      <w:pPr>
        <w:spacing w:after="0" w:line="253"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Filed by the Registrant [X]</w:t>
      </w:r>
    </w:p>
    <w:p>
      <w:pPr>
        <w:spacing w:after="0" w:line="36"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color w:val="auto"/>
        </w:rPr>
        <w:t>Filed by a Party other than the Registrant [</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76"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w:t>
      </w:r>
    </w:p>
    <w:p>
      <w:pPr>
        <w:spacing w:after="0" w:line="200" w:lineRule="exact"/>
        <w:rPr>
          <w:sz w:val="24"/>
          <w:szCs w:val="24"/>
          <w:color w:val="auto"/>
        </w:rPr>
      </w:pPr>
    </w:p>
    <w:p>
      <w:pPr>
        <w:sectPr>
          <w:pgSz w:w="11900" w:h="16838" w:orient="portrait"/>
          <w:cols w:equalWidth="0" w:num="2">
            <w:col w:w="3000" w:space="140"/>
            <w:col w:w="8280"/>
          </w:cols>
          <w:pgMar w:left="240" w:top="476" w:right="239" w:bottom="1440" w:gutter="0" w:footer="0" w:header="0"/>
          <w:type w:val="continuous"/>
        </w:sectPr>
      </w:pPr>
    </w:p>
    <w:p>
      <w:pPr>
        <w:spacing w:after="0" w:line="79"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Check the appropriate box:</w:t>
      </w:r>
    </w:p>
    <w:p>
      <w:pPr>
        <w:spacing w:after="0" w:line="36" w:lineRule="exact"/>
        <w:rPr>
          <w:sz w:val="24"/>
          <w:szCs w:val="24"/>
          <w:color w:val="auto"/>
        </w:rPr>
      </w:pPr>
    </w:p>
    <w:p>
      <w:pPr>
        <w:spacing w:after="0"/>
        <w:tabs>
          <w:tab w:leader="none" w:pos="520" w:val="left"/>
        </w:tabs>
        <w:rPr>
          <w:sz w:val="20"/>
          <w:szCs w:val="20"/>
          <w:color w:val="auto"/>
        </w:rPr>
      </w:pPr>
      <w:r>
        <w:rPr>
          <w:rFonts w:ascii="Times New Roman" w:cs="Times New Roman" w:eastAsia="Times New Roman" w:hAnsi="Times New Roman"/>
          <w:sz w:val="18"/>
          <w:szCs w:val="18"/>
          <w:color w:val="auto"/>
        </w:rPr>
        <w:t>[  ]</w:t>
      </w:r>
      <w:r>
        <w:rPr>
          <w:sz w:val="20"/>
          <w:szCs w:val="20"/>
          <w:color w:val="auto"/>
        </w:rPr>
        <w:tab/>
      </w:r>
      <w:r>
        <w:rPr>
          <w:rFonts w:ascii="Times New Roman" w:cs="Times New Roman" w:eastAsia="Times New Roman" w:hAnsi="Times New Roman"/>
          <w:sz w:val="16"/>
          <w:szCs w:val="16"/>
          <w:color w:val="auto"/>
        </w:rPr>
        <w:t>Preliminary Proxy Statement</w:t>
      </w:r>
    </w:p>
    <w:p>
      <w:pPr>
        <w:spacing w:after="0" w:line="23" w:lineRule="exact"/>
        <w:rPr>
          <w:sz w:val="24"/>
          <w:szCs w:val="24"/>
          <w:color w:val="auto"/>
        </w:rPr>
      </w:pPr>
    </w:p>
    <w:p>
      <w:pPr>
        <w:spacing w:after="0"/>
        <w:tabs>
          <w:tab w:leader="none" w:pos="520" w:val="left"/>
        </w:tabs>
        <w:rPr>
          <w:sz w:val="20"/>
          <w:szCs w:val="20"/>
          <w:color w:val="auto"/>
        </w:rPr>
      </w:pPr>
      <w:r>
        <w:rPr>
          <w:rFonts w:ascii="Times New Roman" w:cs="Times New Roman" w:eastAsia="Times New Roman" w:hAnsi="Times New Roman"/>
          <w:sz w:val="18"/>
          <w:szCs w:val="18"/>
          <w:color w:val="auto"/>
        </w:rPr>
        <w:t>[  ]</w:t>
      </w:r>
      <w:r>
        <w:rPr>
          <w:sz w:val="20"/>
          <w:szCs w:val="20"/>
          <w:color w:val="auto"/>
        </w:rPr>
        <w:tab/>
      </w:r>
      <w:r>
        <w:rPr>
          <w:rFonts w:ascii="Times New Roman" w:cs="Times New Roman" w:eastAsia="Times New Roman" w:hAnsi="Times New Roman"/>
          <w:sz w:val="16"/>
          <w:szCs w:val="16"/>
          <w:color w:val="auto"/>
        </w:rPr>
        <w:t>Confidential, For Use of the</w:t>
      </w:r>
    </w:p>
    <w:p>
      <w:pPr>
        <w:spacing w:after="0" w:line="21" w:lineRule="exact"/>
        <w:rPr>
          <w:sz w:val="24"/>
          <w:szCs w:val="24"/>
          <w:color w:val="auto"/>
        </w:rPr>
      </w:pPr>
    </w:p>
    <w:p>
      <w:pPr>
        <w:ind w:left="540"/>
        <w:spacing w:after="0"/>
        <w:rPr>
          <w:sz w:val="20"/>
          <w:szCs w:val="20"/>
          <w:color w:val="auto"/>
        </w:rPr>
      </w:pPr>
      <w:r>
        <w:rPr>
          <w:rFonts w:ascii="Times New Roman" w:cs="Times New Roman" w:eastAsia="Times New Roman" w:hAnsi="Times New Roman"/>
          <w:sz w:val="16"/>
          <w:szCs w:val="16"/>
          <w:color w:val="auto"/>
        </w:rPr>
        <w:t>Commission Only (as permitted</w:t>
      </w:r>
    </w:p>
    <w:p>
      <w:pPr>
        <w:spacing w:after="0" w:line="32" w:lineRule="exact"/>
        <w:rPr>
          <w:sz w:val="24"/>
          <w:szCs w:val="24"/>
          <w:color w:val="auto"/>
        </w:rPr>
      </w:pPr>
    </w:p>
    <w:p>
      <w:pPr>
        <w:ind w:left="540"/>
        <w:spacing w:after="0"/>
        <w:rPr>
          <w:sz w:val="20"/>
          <w:szCs w:val="20"/>
          <w:color w:val="auto"/>
        </w:rPr>
      </w:pPr>
      <w:r>
        <w:rPr>
          <w:rFonts w:ascii="Times New Roman" w:cs="Times New Roman" w:eastAsia="Times New Roman" w:hAnsi="Times New Roman"/>
          <w:sz w:val="18"/>
          <w:szCs w:val="18"/>
          <w:color w:val="auto"/>
        </w:rPr>
        <w:t>by Rule 14a-6(e)(2))</w:t>
      </w:r>
    </w:p>
    <w:p>
      <w:pPr>
        <w:spacing w:after="0" w:line="10" w:lineRule="exact"/>
        <w:rPr>
          <w:sz w:val="24"/>
          <w:szCs w:val="24"/>
          <w:color w:val="auto"/>
        </w:rPr>
      </w:pPr>
    </w:p>
    <w:p>
      <w:pPr>
        <w:spacing w:after="0"/>
        <w:tabs>
          <w:tab w:leader="none" w:pos="520" w:val="left"/>
        </w:tabs>
        <w:rPr>
          <w:sz w:val="20"/>
          <w:szCs w:val="20"/>
          <w:color w:val="auto"/>
        </w:rPr>
      </w:pPr>
      <w:r>
        <w:rPr>
          <w:rFonts w:ascii="Times New Roman" w:cs="Times New Roman" w:eastAsia="Times New Roman" w:hAnsi="Times New Roman"/>
          <w:sz w:val="18"/>
          <w:szCs w:val="18"/>
          <w:color w:val="auto"/>
        </w:rPr>
        <w:t>[  ]</w:t>
      </w:r>
      <w:r>
        <w:rPr>
          <w:sz w:val="20"/>
          <w:szCs w:val="20"/>
          <w:color w:val="auto"/>
        </w:rPr>
        <w:tab/>
      </w:r>
      <w:r>
        <w:rPr>
          <w:rFonts w:ascii="Times New Roman" w:cs="Times New Roman" w:eastAsia="Times New Roman" w:hAnsi="Times New Roman"/>
          <w:sz w:val="16"/>
          <w:szCs w:val="16"/>
          <w:color w:val="auto"/>
        </w:rPr>
        <w:t>Definitive Proxy Statement</w:t>
      </w:r>
    </w:p>
    <w:p>
      <w:pPr>
        <w:spacing w:after="0" w:line="20" w:lineRule="exact"/>
        <w:rPr>
          <w:sz w:val="24"/>
          <w:szCs w:val="24"/>
          <w:color w:val="auto"/>
        </w:rPr>
      </w:pPr>
      <w:r>
        <w:rPr>
          <w:sz w:val="24"/>
          <w:szCs w:val="24"/>
          <w:color w:val="auto"/>
        </w:rPr>
        <w:br w:type="column"/>
      </w:r>
    </w:p>
    <w:p>
      <w:pPr>
        <w:spacing w:after="0" w:line="302"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color w:val="auto"/>
        </w:rPr>
        <w:t>[  ] Soliciting Material Under Rule 14a-12</w:t>
      </w:r>
    </w:p>
    <w:p>
      <w:pPr>
        <w:spacing w:after="0" w:line="950" w:lineRule="exact"/>
        <w:rPr>
          <w:sz w:val="24"/>
          <w:szCs w:val="24"/>
          <w:color w:val="auto"/>
        </w:rPr>
      </w:pPr>
    </w:p>
    <w:p>
      <w:pPr>
        <w:sectPr>
          <w:pgSz w:w="11900" w:h="16838" w:orient="portrait"/>
          <w:cols w:equalWidth="0" w:num="2">
            <w:col w:w="2800" w:space="440"/>
            <w:col w:w="8180"/>
          </w:cols>
          <w:pgMar w:left="240" w:top="476" w:right="239" w:bottom="1440" w:gutter="0" w:footer="0" w:header="0"/>
          <w:type w:val="continuous"/>
        </w:sectPr>
      </w:pPr>
    </w:p>
    <w:p>
      <w:pPr>
        <w:ind w:left="540" w:hanging="532"/>
        <w:spacing w:after="0"/>
        <w:tabs>
          <w:tab w:leader="none" w:pos="54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Definitive Additional Materials</w:t>
      </w:r>
    </w:p>
    <w:p>
      <w:pPr>
        <w:spacing w:after="0" w:line="200" w:lineRule="exact"/>
        <w:rPr>
          <w:sz w:val="24"/>
          <w:szCs w:val="24"/>
          <w:color w:val="auto"/>
        </w:rPr>
      </w:pPr>
    </w:p>
    <w:p>
      <w:pPr>
        <w:spacing w:after="0" w:line="322"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Texas Instruments Incorporated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227965</wp:posOffset>
            </wp:positionH>
            <wp:positionV relativeFrom="paragraph">
              <wp:posOffset>23495</wp:posOffset>
            </wp:positionV>
            <wp:extent cx="6809105"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809105" cy="8890"/>
                    </a:xfrm>
                    <a:prstGeom prst="rect">
                      <a:avLst/>
                    </a:prstGeom>
                    <a:noFill/>
                  </pic:spPr>
                </pic:pic>
              </a:graphicData>
            </a:graphic>
          </wp:anchor>
        </w:drawing>
      </w:r>
    </w:p>
    <w:p>
      <w:pPr>
        <w:spacing w:after="0" w:line="30"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227965</wp:posOffset>
            </wp:positionH>
            <wp:positionV relativeFrom="paragraph">
              <wp:posOffset>332105</wp:posOffset>
            </wp:positionV>
            <wp:extent cx="6809105"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809105" cy="8890"/>
                    </a:xfrm>
                    <a:prstGeom prst="rect">
                      <a:avLst/>
                    </a:prstGeom>
                    <a:noFill/>
                  </pic:spPr>
                </pic:pic>
              </a:graphicData>
            </a:graphic>
          </wp:anchor>
        </w:drawing>
      </w:r>
    </w:p>
    <w:p>
      <w:pPr>
        <w:spacing w:after="0" w:line="200" w:lineRule="exact"/>
        <w:rPr>
          <w:sz w:val="24"/>
          <w:szCs w:val="24"/>
          <w:color w:val="auto"/>
        </w:rPr>
      </w:pPr>
    </w:p>
    <w:p>
      <w:pPr>
        <w:spacing w:after="0" w:line="316"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(Name of Person(s) Filing Proxy Statement, if Other Than the Registrant)</w:t>
      </w:r>
    </w:p>
    <w:p>
      <w:pPr>
        <w:spacing w:after="0" w:line="279"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Payment of Filing Fee (Check the appropriate box):</w:t>
      </w:r>
    </w:p>
    <w:p>
      <w:pPr>
        <w:spacing w:after="0" w:line="36" w:lineRule="exact"/>
        <w:rPr>
          <w:sz w:val="24"/>
          <w:szCs w:val="24"/>
          <w:color w:val="auto"/>
        </w:rPr>
      </w:pPr>
    </w:p>
    <w:p>
      <w:pPr>
        <w:ind w:left="540" w:hanging="519"/>
        <w:spacing w:after="0"/>
        <w:tabs>
          <w:tab w:leader="none" w:pos="54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fee required.</w:t>
      </w:r>
    </w:p>
    <w:p>
      <w:pPr>
        <w:spacing w:after="0" w:line="36" w:lineRule="exact"/>
        <w:rPr>
          <w:sz w:val="24"/>
          <w:szCs w:val="24"/>
          <w:color w:val="auto"/>
        </w:rPr>
      </w:pPr>
    </w:p>
    <w:p>
      <w:pPr>
        <w:ind w:left="200" w:hanging="184"/>
        <w:spacing w:after="0"/>
        <w:tabs>
          <w:tab w:leader="none" w:pos="2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Fee computed on table below per Exchange Act Rules 14a-6(i)(4) and 0-11.</w:t>
      </w:r>
    </w:p>
    <w:p>
      <w:pPr>
        <w:spacing w:after="0" w:line="36" w:lineRule="exact"/>
        <w:rPr>
          <w:rFonts w:ascii="Times New Roman" w:cs="Times New Roman" w:eastAsia="Times New Roman" w:hAnsi="Times New Roman"/>
          <w:sz w:val="18"/>
          <w:szCs w:val="18"/>
          <w:color w:val="auto"/>
        </w:rPr>
      </w:pPr>
    </w:p>
    <w:p>
      <w:pPr>
        <w:ind w:left="1000" w:hanging="463"/>
        <w:spacing w:after="0"/>
        <w:tabs>
          <w:tab w:leader="none" w:pos="1000" w:val="left"/>
        </w:tabs>
        <w:numPr>
          <w:ilvl w:val="1"/>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Title of each class of securities to which transaction applies:</w:t>
      </w:r>
    </w:p>
    <w:p>
      <w:pPr>
        <w:spacing w:after="0" w:line="319" w:lineRule="exact"/>
        <w:rPr>
          <w:rFonts w:ascii="Times New Roman" w:cs="Times New Roman" w:eastAsia="Times New Roman" w:hAnsi="Times New Roman"/>
          <w:sz w:val="18"/>
          <w:szCs w:val="18"/>
          <w:color w:val="auto"/>
        </w:rPr>
      </w:pPr>
    </w:p>
    <w:p>
      <w:pPr>
        <w:ind w:left="1000" w:hanging="463"/>
        <w:spacing w:after="0"/>
        <w:tabs>
          <w:tab w:leader="none" w:pos="1000" w:val="left"/>
        </w:tabs>
        <w:numPr>
          <w:ilvl w:val="1"/>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Aggregate number of securities to which transaction applies:</w:t>
      </w:r>
    </w:p>
    <w:p>
      <w:pPr>
        <w:spacing w:after="0" w:line="292" w:lineRule="exact"/>
        <w:rPr>
          <w:rFonts w:ascii="Times New Roman" w:cs="Times New Roman" w:eastAsia="Times New Roman" w:hAnsi="Times New Roman"/>
          <w:sz w:val="18"/>
          <w:szCs w:val="18"/>
          <w:color w:val="auto"/>
        </w:rPr>
      </w:pPr>
    </w:p>
    <w:p>
      <w:pPr>
        <w:ind w:left="1000" w:hanging="463"/>
        <w:spacing w:after="0" w:line="306" w:lineRule="auto"/>
        <w:tabs>
          <w:tab w:leader="none" w:pos="1000" w:val="left"/>
        </w:tabs>
        <w:numPr>
          <w:ilvl w:val="1"/>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 unit price or other underlying value of transaction computed pursuant to Exchange Act Rule 0-11 (set forth the amount on which the filing fee is calculated and state how it was determined):</w:t>
      </w:r>
    </w:p>
    <w:p>
      <w:pPr>
        <w:spacing w:after="0" w:line="214" w:lineRule="exact"/>
        <w:rPr>
          <w:rFonts w:ascii="Times New Roman" w:cs="Times New Roman" w:eastAsia="Times New Roman" w:hAnsi="Times New Roman"/>
          <w:sz w:val="18"/>
          <w:szCs w:val="18"/>
          <w:color w:val="auto"/>
        </w:rPr>
      </w:pPr>
    </w:p>
    <w:p>
      <w:pPr>
        <w:ind w:left="1000" w:hanging="463"/>
        <w:spacing w:after="0"/>
        <w:tabs>
          <w:tab w:leader="none" w:pos="1000" w:val="left"/>
        </w:tabs>
        <w:numPr>
          <w:ilvl w:val="1"/>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Proposed maximum aggregate value of transaction:</w:t>
      </w:r>
    </w:p>
    <w:p>
      <w:pPr>
        <w:spacing w:after="0" w:line="292" w:lineRule="exact"/>
        <w:rPr>
          <w:rFonts w:ascii="Times New Roman" w:cs="Times New Roman" w:eastAsia="Times New Roman" w:hAnsi="Times New Roman"/>
          <w:sz w:val="18"/>
          <w:szCs w:val="18"/>
          <w:color w:val="auto"/>
        </w:rPr>
      </w:pPr>
    </w:p>
    <w:p>
      <w:pPr>
        <w:ind w:left="1000" w:hanging="463"/>
        <w:spacing w:after="0"/>
        <w:tabs>
          <w:tab w:leader="none" w:pos="1000" w:val="left"/>
        </w:tabs>
        <w:numPr>
          <w:ilvl w:val="1"/>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Total fee paid: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639445</wp:posOffset>
            </wp:positionH>
            <wp:positionV relativeFrom="paragraph">
              <wp:posOffset>-139065</wp:posOffset>
            </wp:positionV>
            <wp:extent cx="661225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6612255" cy="8890"/>
                    </a:xfrm>
                    <a:prstGeom prst="rect">
                      <a:avLst/>
                    </a:prstGeom>
                    <a:noFill/>
                  </pic:spPr>
                </pic:pic>
              </a:graphicData>
            </a:graphic>
          </wp:anchor>
        </w:drawing>
        <w:drawing>
          <wp:anchor simplePos="0" relativeHeight="251657728" behindDoc="1" locked="0" layoutInCell="0" allowOverlap="1">
            <wp:simplePos x="0" y="0"/>
            <wp:positionH relativeFrom="column">
              <wp:posOffset>639445</wp:posOffset>
            </wp:positionH>
            <wp:positionV relativeFrom="paragraph">
              <wp:posOffset>-455930</wp:posOffset>
            </wp:positionV>
            <wp:extent cx="661225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612255" cy="8890"/>
                    </a:xfrm>
                    <a:prstGeom prst="rect">
                      <a:avLst/>
                    </a:prstGeom>
                    <a:noFill/>
                  </pic:spPr>
                </pic:pic>
              </a:graphicData>
            </a:graphic>
          </wp:anchor>
        </w:drawing>
        <w:drawing>
          <wp:anchor simplePos="0" relativeHeight="251657728" behindDoc="1" locked="0" layoutInCell="0" allowOverlap="1">
            <wp:simplePos x="0" y="0"/>
            <wp:positionH relativeFrom="column">
              <wp:posOffset>639445</wp:posOffset>
            </wp:positionH>
            <wp:positionV relativeFrom="paragraph">
              <wp:posOffset>-927735</wp:posOffset>
            </wp:positionV>
            <wp:extent cx="661225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612255" cy="8890"/>
                    </a:xfrm>
                    <a:prstGeom prst="rect">
                      <a:avLst/>
                    </a:prstGeom>
                    <a:noFill/>
                  </pic:spPr>
                </pic:pic>
              </a:graphicData>
            </a:graphic>
          </wp:anchor>
        </w:drawing>
        <w:drawing>
          <wp:anchor simplePos="0" relativeHeight="251657728" behindDoc="1" locked="0" layoutInCell="0" allowOverlap="1">
            <wp:simplePos x="0" y="0"/>
            <wp:positionH relativeFrom="column">
              <wp:posOffset>639445</wp:posOffset>
            </wp:positionH>
            <wp:positionV relativeFrom="paragraph">
              <wp:posOffset>-1245235</wp:posOffset>
            </wp:positionV>
            <wp:extent cx="661225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612255" cy="8890"/>
                    </a:xfrm>
                    <a:prstGeom prst="rect">
                      <a:avLst/>
                    </a:prstGeom>
                    <a:noFill/>
                  </pic:spPr>
                </pic:pic>
              </a:graphicData>
            </a:graphic>
          </wp:anchor>
        </w:drawing>
      </w:r>
    </w:p>
    <w:p>
      <w:pPr>
        <w:spacing w:after="0" w:line="259" w:lineRule="exact"/>
        <w:rPr>
          <w:sz w:val="24"/>
          <w:szCs w:val="24"/>
          <w:color w:val="auto"/>
        </w:rPr>
      </w:pPr>
    </w:p>
    <w:p>
      <w:pPr>
        <w:ind w:left="20"/>
        <w:spacing w:after="0"/>
        <w:tabs>
          <w:tab w:leader="none" w:pos="520" w:val="left"/>
        </w:tabs>
        <w:rPr>
          <w:sz w:val="20"/>
          <w:szCs w:val="20"/>
          <w:color w:val="auto"/>
        </w:rPr>
      </w:pPr>
      <w:r>
        <w:rPr>
          <w:rFonts w:ascii="Times New Roman" w:cs="Times New Roman" w:eastAsia="Times New Roman" w:hAnsi="Times New Roman"/>
          <w:sz w:val="18"/>
          <w:szCs w:val="18"/>
          <w:color w:val="auto"/>
        </w:rPr>
        <w:t>[  ]</w:t>
      </w:r>
      <w:r>
        <w:rPr>
          <w:sz w:val="20"/>
          <w:szCs w:val="20"/>
          <w:color w:val="auto"/>
        </w:rPr>
        <w:tab/>
      </w:r>
      <w:r>
        <w:rPr>
          <w:rFonts w:ascii="Times New Roman" w:cs="Times New Roman" w:eastAsia="Times New Roman" w:hAnsi="Times New Roman"/>
          <w:sz w:val="16"/>
          <w:szCs w:val="16"/>
          <w:color w:val="auto"/>
        </w:rPr>
        <w:t>Fee paid previously with preliminary materials: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639445</wp:posOffset>
            </wp:positionH>
            <wp:positionV relativeFrom="paragraph">
              <wp:posOffset>-130175</wp:posOffset>
            </wp:positionV>
            <wp:extent cx="661225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612255" cy="8890"/>
                    </a:xfrm>
                    <a:prstGeom prst="rect">
                      <a:avLst/>
                    </a:prstGeom>
                    <a:noFill/>
                  </pic:spPr>
                </pic:pic>
              </a:graphicData>
            </a:graphic>
          </wp:anchor>
        </w:drawing>
      </w:r>
    </w:p>
    <w:p>
      <w:pPr>
        <w:spacing w:after="0" w:line="3" w:lineRule="exact"/>
        <w:rPr>
          <w:sz w:val="24"/>
          <w:szCs w:val="24"/>
          <w:color w:val="auto"/>
        </w:rPr>
      </w:pPr>
    </w:p>
    <w:p>
      <w:pPr>
        <w:ind w:left="540" w:right="620" w:hanging="524"/>
        <w:spacing w:after="0" w:line="258" w:lineRule="auto"/>
        <w:tabs>
          <w:tab w:leader="none" w:pos="211"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Check box if any part of the fee is offset as provided by Exchange Act Rule 0-11(a)(2) and identify the filing for which the offsetting fee was paid previously. Identify the previous filing by registration statement number, or the form or schedule and the date of its filing.</w:t>
      </w:r>
    </w:p>
    <w:p>
      <w:pPr>
        <w:ind w:left="1000" w:hanging="465"/>
        <w:spacing w:after="0"/>
        <w:tabs>
          <w:tab w:leader="none" w:pos="1000" w:val="left"/>
        </w:tabs>
        <w:numPr>
          <w:ilvl w:val="1"/>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Amount previously paid:</w:t>
      </w:r>
    </w:p>
    <w:p>
      <w:pPr>
        <w:spacing w:after="0" w:line="373" w:lineRule="exact"/>
        <w:rPr>
          <w:rFonts w:ascii="Times New Roman" w:cs="Times New Roman" w:eastAsia="Times New Roman" w:hAnsi="Times New Roman"/>
          <w:sz w:val="18"/>
          <w:szCs w:val="18"/>
          <w:color w:val="auto"/>
        </w:rPr>
      </w:pPr>
    </w:p>
    <w:p>
      <w:pPr>
        <w:ind w:left="1000" w:hanging="465"/>
        <w:spacing w:after="0"/>
        <w:tabs>
          <w:tab w:leader="none" w:pos="1000" w:val="left"/>
        </w:tabs>
        <w:numPr>
          <w:ilvl w:val="1"/>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Form, Schedule or Registration Statement No.:</w:t>
      </w:r>
    </w:p>
    <w:p>
      <w:pPr>
        <w:spacing w:after="0" w:line="306" w:lineRule="exact"/>
        <w:rPr>
          <w:rFonts w:ascii="Times New Roman" w:cs="Times New Roman" w:eastAsia="Times New Roman" w:hAnsi="Times New Roman"/>
          <w:sz w:val="18"/>
          <w:szCs w:val="18"/>
          <w:color w:val="auto"/>
        </w:rPr>
      </w:pPr>
    </w:p>
    <w:p>
      <w:pPr>
        <w:ind w:left="1000" w:hanging="465"/>
        <w:spacing w:after="0"/>
        <w:tabs>
          <w:tab w:leader="none" w:pos="1000" w:val="left"/>
        </w:tabs>
        <w:numPr>
          <w:ilvl w:val="1"/>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Filing Party:</w:t>
      </w:r>
    </w:p>
    <w:p>
      <w:pPr>
        <w:spacing w:after="0" w:line="306" w:lineRule="exact"/>
        <w:rPr>
          <w:rFonts w:ascii="Times New Roman" w:cs="Times New Roman" w:eastAsia="Times New Roman" w:hAnsi="Times New Roman"/>
          <w:sz w:val="18"/>
          <w:szCs w:val="18"/>
          <w:color w:val="auto"/>
        </w:rPr>
      </w:pPr>
    </w:p>
    <w:p>
      <w:pPr>
        <w:ind w:left="1000" w:hanging="465"/>
        <w:spacing w:after="0"/>
        <w:tabs>
          <w:tab w:leader="none" w:pos="1000" w:val="left"/>
        </w:tabs>
        <w:numPr>
          <w:ilvl w:val="1"/>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Date Filed: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639445</wp:posOffset>
            </wp:positionH>
            <wp:positionV relativeFrom="paragraph">
              <wp:posOffset>177800</wp:posOffset>
            </wp:positionV>
            <wp:extent cx="6612255"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612255" cy="8890"/>
                    </a:xfrm>
                    <a:prstGeom prst="rect">
                      <a:avLst/>
                    </a:prstGeom>
                    <a:noFill/>
                  </pic:spPr>
                </pic:pic>
              </a:graphicData>
            </a:graphic>
          </wp:anchor>
        </w:drawing>
        <w:drawing>
          <wp:anchor simplePos="0" relativeHeight="251657728" behindDoc="1" locked="0" layoutInCell="0" allowOverlap="1">
            <wp:simplePos x="0" y="0"/>
            <wp:positionH relativeFrom="column">
              <wp:posOffset>639445</wp:posOffset>
            </wp:positionH>
            <wp:positionV relativeFrom="paragraph">
              <wp:posOffset>-139065</wp:posOffset>
            </wp:positionV>
            <wp:extent cx="6612255"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612255" cy="8890"/>
                    </a:xfrm>
                    <a:prstGeom prst="rect">
                      <a:avLst/>
                    </a:prstGeom>
                    <a:noFill/>
                  </pic:spPr>
                </pic:pic>
              </a:graphicData>
            </a:graphic>
          </wp:anchor>
        </w:drawing>
        <w:drawing>
          <wp:anchor simplePos="0" relativeHeight="251657728" behindDoc="1" locked="0" layoutInCell="0" allowOverlap="1">
            <wp:simplePos x="0" y="0"/>
            <wp:positionH relativeFrom="column">
              <wp:posOffset>639445</wp:posOffset>
            </wp:positionH>
            <wp:positionV relativeFrom="paragraph">
              <wp:posOffset>-464820</wp:posOffset>
            </wp:positionV>
            <wp:extent cx="6612255"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612255" cy="8890"/>
                    </a:xfrm>
                    <a:prstGeom prst="rect">
                      <a:avLst/>
                    </a:prstGeom>
                    <a:noFill/>
                  </pic:spPr>
                </pic:pic>
              </a:graphicData>
            </a:graphic>
          </wp:anchor>
        </w:drawing>
        <w:drawing>
          <wp:anchor simplePos="0" relativeHeight="251657728" behindDoc="1" locked="0" layoutInCell="0" allowOverlap="1">
            <wp:simplePos x="0" y="0"/>
            <wp:positionH relativeFrom="column">
              <wp:posOffset>639445</wp:posOffset>
            </wp:positionH>
            <wp:positionV relativeFrom="paragraph">
              <wp:posOffset>-790575</wp:posOffset>
            </wp:positionV>
            <wp:extent cx="6612255"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612255"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407035</wp:posOffset>
            </wp:positionV>
            <wp:extent cx="7267575" cy="215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420"/>
          </w:cols>
          <w:pgMar w:left="240" w:top="476" w:right="239" w:bottom="1440" w:gutter="0" w:footer="0" w:header="0"/>
          <w:type w:val="continuous"/>
        </w:sectPr>
      </w:pPr>
    </w:p>
    <w:bookmarkStart w:id="1" w:name="page2"/>
    <w:bookmarkEnd w:id="1"/>
    <w:p>
      <w:pPr>
        <w:jc w:val="center"/>
        <w:ind w:right="-39"/>
        <w:spacing w:after="0"/>
        <w:rPr>
          <w:sz w:val="20"/>
          <w:szCs w:val="20"/>
          <w:color w:val="auto"/>
        </w:rPr>
      </w:pPr>
      <w:r>
        <w:rPr>
          <w:rFonts w:ascii="Times New Roman" w:cs="Times New Roman" w:eastAsia="Times New Roman" w:hAnsi="Times New Roman"/>
          <w:sz w:val="32"/>
          <w:szCs w:val="32"/>
          <w:b w:val="1"/>
          <w:bCs w:val="1"/>
          <w:color w:val="auto"/>
        </w:rPr>
        <w:t xml:space="preserve">*** Exercise Your </w:t>
      </w:r>
      <w:r>
        <w:rPr>
          <w:rFonts w:ascii="Times New Roman" w:cs="Times New Roman" w:eastAsia="Times New Roman" w:hAnsi="Times New Roman"/>
          <w:sz w:val="32"/>
          <w:szCs w:val="32"/>
          <w:b w:val="1"/>
          <w:bCs w:val="1"/>
          <w:i w:val="1"/>
          <w:iCs w:val="1"/>
          <w:color w:val="auto"/>
        </w:rPr>
        <w:t>Right</w:t>
      </w:r>
      <w:r>
        <w:rPr>
          <w:rFonts w:ascii="Times New Roman" w:cs="Times New Roman" w:eastAsia="Times New Roman" w:hAnsi="Times New Roman"/>
          <w:sz w:val="32"/>
          <w:szCs w:val="32"/>
          <w:b w:val="1"/>
          <w:bCs w:val="1"/>
          <w:color w:val="auto"/>
        </w:rPr>
        <w:t xml:space="preserve"> to Vote ***</w:t>
      </w:r>
    </w:p>
    <w:p>
      <w:pPr>
        <w:spacing w:after="0" w:line="39" w:lineRule="exact"/>
        <w:rPr>
          <w:sz w:val="20"/>
          <w:szCs w:val="20"/>
          <w:color w:val="auto"/>
        </w:rPr>
      </w:pPr>
    </w:p>
    <w:p>
      <w:pPr>
        <w:jc w:val="center"/>
        <w:ind w:right="-39"/>
        <w:spacing w:after="0"/>
        <w:rPr>
          <w:sz w:val="20"/>
          <w:szCs w:val="20"/>
          <w:color w:val="auto"/>
        </w:rPr>
      </w:pPr>
      <w:r>
        <w:rPr>
          <w:rFonts w:ascii="Arial" w:cs="Arial" w:eastAsia="Arial" w:hAnsi="Arial"/>
          <w:sz w:val="21"/>
          <w:szCs w:val="21"/>
          <w:b w:val="1"/>
          <w:bCs w:val="1"/>
          <w:color w:val="auto"/>
        </w:rPr>
        <w:t>Important Notice Regarding the Availability of Proxy Materials for the</w:t>
      </w:r>
    </w:p>
    <w:p>
      <w:pPr>
        <w:spacing w:after="0" w:line="2" w:lineRule="exact"/>
        <w:rPr>
          <w:sz w:val="20"/>
          <w:szCs w:val="20"/>
          <w:color w:val="auto"/>
        </w:rPr>
      </w:pPr>
    </w:p>
    <w:p>
      <w:pPr>
        <w:jc w:val="center"/>
        <w:ind w:right="-39"/>
        <w:spacing w:after="0"/>
        <w:rPr>
          <w:sz w:val="20"/>
          <w:szCs w:val="20"/>
          <w:color w:val="auto"/>
        </w:rPr>
      </w:pPr>
      <w:r>
        <w:rPr>
          <w:rFonts w:ascii="Arial" w:cs="Arial" w:eastAsia="Arial" w:hAnsi="Arial"/>
          <w:sz w:val="22"/>
          <w:szCs w:val="22"/>
          <w:b w:val="1"/>
          <w:bCs w:val="1"/>
          <w:color w:val="auto"/>
        </w:rPr>
        <w:t>Shareholder Meeting to Be Held on April 17, 2014.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3769995</wp:posOffset>
            </wp:positionH>
            <wp:positionV relativeFrom="paragraph">
              <wp:posOffset>135255</wp:posOffset>
            </wp:positionV>
            <wp:extent cx="3473450" cy="138938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3473450" cy="1389380"/>
                    </a:xfrm>
                    <a:prstGeom prst="rect">
                      <a:avLst/>
                    </a:prstGeom>
                    <a:noFill/>
                  </pic:spPr>
                </pic:pic>
              </a:graphicData>
            </a:graphic>
          </wp:anchor>
        </w:drawing>
      </w:r>
    </w:p>
    <w:p>
      <w:pPr>
        <w:sectPr>
          <w:pgSz w:w="11900" w:h="16838" w:orient="portrait"/>
          <w:cols w:equalWidth="0" w:num="1">
            <w:col w:w="11400"/>
          </w:cols>
          <w:pgMar w:left="240" w:top="549" w:right="2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TEXAS INSTRUMENTS INCORPORATED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452755</wp:posOffset>
            </wp:positionV>
            <wp:extent cx="1243330" cy="44577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43330" cy="4457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TEXAS INSTRUMENTS INCORPORATED</w:t>
      </w:r>
    </w:p>
    <w:p>
      <w:pPr>
        <w:spacing w:after="0" w:line="226" w:lineRule="auto"/>
        <w:rPr>
          <w:sz w:val="20"/>
          <w:szCs w:val="20"/>
          <w:color w:val="auto"/>
        </w:rPr>
      </w:pPr>
      <w:r>
        <w:rPr>
          <w:rFonts w:ascii="Arial" w:cs="Arial" w:eastAsia="Arial" w:hAnsi="Arial"/>
          <w:sz w:val="14"/>
          <w:szCs w:val="14"/>
          <w:i w:val="1"/>
          <w:iCs w:val="1"/>
          <w:color w:val="auto"/>
        </w:rPr>
        <w:t>ATTN: JANE NAHRA</w:t>
      </w:r>
    </w:p>
    <w:p>
      <w:pPr>
        <w:spacing w:after="0" w:line="222" w:lineRule="auto"/>
        <w:rPr>
          <w:sz w:val="20"/>
          <w:szCs w:val="20"/>
          <w:color w:val="auto"/>
        </w:rPr>
      </w:pPr>
      <w:r>
        <w:rPr>
          <w:rFonts w:ascii="Arial" w:cs="Arial" w:eastAsia="Arial" w:hAnsi="Arial"/>
          <w:sz w:val="14"/>
          <w:szCs w:val="14"/>
          <w:i w:val="1"/>
          <w:iCs w:val="1"/>
          <w:color w:val="auto"/>
        </w:rPr>
        <w:t>P.O. BOX 655474</w:t>
      </w:r>
    </w:p>
    <w:p>
      <w:pPr>
        <w:spacing w:after="0" w:line="221" w:lineRule="auto"/>
        <w:rPr>
          <w:sz w:val="20"/>
          <w:szCs w:val="20"/>
          <w:color w:val="auto"/>
        </w:rPr>
      </w:pPr>
      <w:r>
        <w:rPr>
          <w:rFonts w:ascii="Arial" w:cs="Arial" w:eastAsia="Arial" w:hAnsi="Arial"/>
          <w:sz w:val="14"/>
          <w:szCs w:val="14"/>
          <w:i w:val="1"/>
          <w:iCs w:val="1"/>
          <w:color w:val="auto"/>
        </w:rPr>
        <w:t>MS 3999</w:t>
      </w:r>
    </w:p>
    <w:p>
      <w:pPr>
        <w:spacing w:after="0"/>
        <w:rPr>
          <w:sz w:val="20"/>
          <w:szCs w:val="20"/>
          <w:color w:val="auto"/>
        </w:rPr>
      </w:pPr>
      <w:r>
        <w:rPr>
          <w:rFonts w:ascii="Arial" w:cs="Arial" w:eastAsia="Arial" w:hAnsi="Arial"/>
          <w:sz w:val="14"/>
          <w:szCs w:val="14"/>
          <w:i w:val="1"/>
          <w:iCs w:val="1"/>
          <w:color w:val="auto"/>
        </w:rPr>
        <w:t>DALLAS, TX 75265-5474</w:t>
      </w:r>
    </w:p>
    <w:p>
      <w:pPr>
        <w:spacing w:after="0" w:line="20" w:lineRule="exact"/>
        <w:rPr>
          <w:sz w:val="20"/>
          <w:szCs w:val="20"/>
          <w:color w:val="auto"/>
        </w:rPr>
      </w:pPr>
      <w:r>
        <w:rPr>
          <w:sz w:val="20"/>
          <w:szCs w:val="20"/>
          <w:color w:val="auto"/>
        </w:rPr>
        <w:br w:type="column"/>
      </w:r>
    </w:p>
    <w:p>
      <w:pPr>
        <w:spacing w:after="0" w:line="237" w:lineRule="exact"/>
        <w:rPr>
          <w:sz w:val="20"/>
          <w:szCs w:val="20"/>
          <w:color w:val="auto"/>
        </w:rPr>
      </w:pPr>
    </w:p>
    <w:p>
      <w:pPr>
        <w:spacing w:after="0" w:line="1" w:lineRule="exact"/>
        <w:rPr>
          <w:sz w:val="1"/>
          <w:szCs w:val="1"/>
          <w:color w:val="auto"/>
        </w:rPr>
      </w:pPr>
    </w:p>
    <w:tbl>
      <w:tblPr>
        <w:tblLayout w:type="fixed"/>
        <w:tblInd w:w="120" w:type="dxa"/>
        <w:tblCellMar>
          <w:top w:w="0" w:type="dxa"/>
          <w:left w:w="0" w:type="dxa"/>
          <w:bottom w:w="0" w:type="dxa"/>
          <w:right w:w="0" w:type="dxa"/>
        </w:tblCellMar>
      </w:tblPr>
      <w:tr>
        <w:trPr>
          <w:trHeight w:val="253"/>
        </w:trPr>
        <w:tc>
          <w:tcPr>
            <w:tcW w:w="1380" w:type="dxa"/>
            <w:vAlign w:val="bottom"/>
          </w:tcPr>
          <w:p>
            <w:pPr>
              <w:spacing w:after="0"/>
              <w:rPr>
                <w:sz w:val="21"/>
                <w:szCs w:val="21"/>
                <w:color w:val="auto"/>
              </w:rPr>
            </w:pPr>
          </w:p>
        </w:tc>
        <w:tc>
          <w:tcPr>
            <w:tcW w:w="2260" w:type="dxa"/>
            <w:vAlign w:val="bottom"/>
            <w:gridSpan w:val="2"/>
          </w:tcPr>
          <w:p>
            <w:pPr>
              <w:ind w:left="200"/>
              <w:spacing w:after="0"/>
              <w:rPr>
                <w:sz w:val="20"/>
                <w:szCs w:val="20"/>
                <w:color w:val="auto"/>
              </w:rPr>
            </w:pPr>
            <w:r>
              <w:rPr>
                <w:rFonts w:ascii="Arial" w:cs="Arial" w:eastAsia="Arial" w:hAnsi="Arial"/>
                <w:sz w:val="22"/>
                <w:szCs w:val="22"/>
                <w:b w:val="1"/>
                <w:bCs w:val="1"/>
                <w:color w:val="auto"/>
                <w:w w:val="97"/>
              </w:rPr>
              <w:t>Meeting Information</w:t>
            </w:r>
          </w:p>
        </w:tc>
      </w:tr>
      <w:tr>
        <w:trPr>
          <w:trHeight w:val="328"/>
        </w:trPr>
        <w:tc>
          <w:tcPr>
            <w:tcW w:w="1380" w:type="dxa"/>
            <w:vAlign w:val="bottom"/>
          </w:tcPr>
          <w:p>
            <w:pPr>
              <w:spacing w:after="0"/>
              <w:rPr>
                <w:sz w:val="20"/>
                <w:szCs w:val="20"/>
                <w:color w:val="auto"/>
              </w:rPr>
            </w:pPr>
            <w:r>
              <w:rPr>
                <w:rFonts w:ascii="Arial" w:cs="Arial" w:eastAsia="Arial" w:hAnsi="Arial"/>
                <w:sz w:val="18"/>
                <w:szCs w:val="18"/>
                <w:b w:val="1"/>
                <w:bCs w:val="1"/>
                <w:color w:val="auto"/>
              </w:rPr>
              <w:t>Meeting Type:</w:t>
            </w:r>
          </w:p>
        </w:tc>
        <w:tc>
          <w:tcPr>
            <w:tcW w:w="200" w:type="dxa"/>
            <w:vAlign w:val="bottom"/>
          </w:tcPr>
          <w:p>
            <w:pPr>
              <w:spacing w:after="0"/>
              <w:rPr>
                <w:sz w:val="24"/>
                <w:szCs w:val="24"/>
                <w:color w:val="auto"/>
              </w:rPr>
            </w:pPr>
          </w:p>
        </w:tc>
        <w:tc>
          <w:tcPr>
            <w:tcW w:w="2060" w:type="dxa"/>
            <w:vAlign w:val="bottom"/>
            <w:tcBorders>
              <w:top w:val="single" w:sz="8" w:color="auto"/>
            </w:tcBorders>
          </w:tcPr>
          <w:p>
            <w:pPr>
              <w:ind w:left="40"/>
              <w:spacing w:after="0"/>
              <w:rPr>
                <w:sz w:val="20"/>
                <w:szCs w:val="20"/>
                <w:color w:val="auto"/>
              </w:rPr>
            </w:pPr>
            <w:r>
              <w:rPr>
                <w:rFonts w:ascii="Arial" w:cs="Arial" w:eastAsia="Arial" w:hAnsi="Arial"/>
                <w:sz w:val="18"/>
                <w:szCs w:val="18"/>
                <w:color w:val="auto"/>
              </w:rPr>
              <w:t>Annual Meeting</w:t>
            </w:r>
          </w:p>
        </w:tc>
      </w:tr>
    </w:tbl>
    <w:p>
      <w:pPr>
        <w:ind w:left="120"/>
        <w:spacing w:after="0"/>
        <w:rPr>
          <w:sz w:val="20"/>
          <w:szCs w:val="20"/>
          <w:color w:val="auto"/>
        </w:rPr>
      </w:pPr>
      <w:r>
        <w:rPr>
          <w:rFonts w:ascii="Arial" w:cs="Arial" w:eastAsia="Arial" w:hAnsi="Arial"/>
          <w:sz w:val="18"/>
          <w:szCs w:val="18"/>
          <w:b w:val="1"/>
          <w:bCs w:val="1"/>
          <w:color w:val="auto"/>
        </w:rPr>
        <w:t xml:space="preserve">For holders as of:  </w:t>
      </w:r>
      <w:r>
        <w:rPr>
          <w:rFonts w:ascii="Arial" w:cs="Arial" w:eastAsia="Arial" w:hAnsi="Arial"/>
          <w:sz w:val="18"/>
          <w:szCs w:val="18"/>
          <w:color w:val="auto"/>
        </w:rPr>
        <w:t>February 18, 2014</w:t>
      </w:r>
    </w:p>
    <w:p>
      <w:pPr>
        <w:spacing w:after="0" w:line="46" w:lineRule="exact"/>
        <w:rPr>
          <w:sz w:val="20"/>
          <w:szCs w:val="20"/>
          <w:color w:val="auto"/>
        </w:rPr>
      </w:pPr>
    </w:p>
    <w:p>
      <w:pPr>
        <w:ind w:left="120"/>
        <w:spacing w:after="0"/>
        <w:tabs>
          <w:tab w:leader="none" w:pos="780" w:val="left"/>
          <w:tab w:leader="none" w:pos="2120" w:val="left"/>
        </w:tabs>
        <w:rPr>
          <w:sz w:val="20"/>
          <w:szCs w:val="20"/>
          <w:color w:val="auto"/>
        </w:rPr>
      </w:pPr>
      <w:r>
        <w:rPr>
          <w:rFonts w:ascii="Arial" w:cs="Arial" w:eastAsia="Arial" w:hAnsi="Arial"/>
          <w:sz w:val="18"/>
          <w:szCs w:val="18"/>
          <w:b w:val="1"/>
          <w:bCs w:val="1"/>
          <w:color w:val="auto"/>
        </w:rPr>
        <w:t>Date:</w:t>
      </w:r>
      <w:r>
        <w:rPr>
          <w:sz w:val="20"/>
          <w:szCs w:val="20"/>
          <w:color w:val="auto"/>
        </w:rPr>
        <w:tab/>
      </w:r>
      <w:r>
        <w:rPr>
          <w:rFonts w:ascii="Arial" w:cs="Arial" w:eastAsia="Arial" w:hAnsi="Arial"/>
          <w:sz w:val="18"/>
          <w:szCs w:val="18"/>
          <w:color w:val="auto"/>
        </w:rPr>
        <w:t>April 17, 2014</w:t>
      </w:r>
      <w:r>
        <w:rPr>
          <w:sz w:val="20"/>
          <w:szCs w:val="20"/>
          <w:color w:val="auto"/>
        </w:rPr>
        <w:tab/>
      </w:r>
      <w:r>
        <w:rPr>
          <w:rFonts w:ascii="Arial" w:cs="Arial" w:eastAsia="Arial" w:hAnsi="Arial"/>
          <w:sz w:val="18"/>
          <w:szCs w:val="18"/>
          <w:b w:val="1"/>
          <w:bCs w:val="1"/>
          <w:color w:val="auto"/>
        </w:rPr>
        <w:t xml:space="preserve">Time: </w:t>
      </w:r>
      <w:r>
        <w:rPr>
          <w:rFonts w:ascii="Arial" w:cs="Arial" w:eastAsia="Arial" w:hAnsi="Arial"/>
          <w:sz w:val="18"/>
          <w:szCs w:val="18"/>
          <w:color w:val="auto"/>
        </w:rPr>
        <w:t>10:00 a.m.</w:t>
      </w:r>
    </w:p>
    <w:p>
      <w:pPr>
        <w:spacing w:after="0" w:line="40" w:lineRule="exact"/>
        <w:rPr>
          <w:sz w:val="20"/>
          <w:szCs w:val="20"/>
          <w:color w:val="auto"/>
        </w:rPr>
      </w:pPr>
    </w:p>
    <w:p>
      <w:pPr>
        <w:jc w:val="center"/>
        <w:ind w:right="1600"/>
        <w:spacing w:after="0"/>
        <w:tabs>
          <w:tab w:leader="none" w:pos="220" w:val="left"/>
        </w:tabs>
        <w:rPr>
          <w:sz w:val="20"/>
          <w:szCs w:val="20"/>
          <w:color w:val="auto"/>
        </w:rPr>
      </w:pPr>
      <w:r>
        <w:rPr>
          <w:rFonts w:ascii="Arial" w:cs="Arial" w:eastAsia="Arial" w:hAnsi="Arial"/>
          <w:sz w:val="18"/>
          <w:szCs w:val="18"/>
          <w:b w:val="1"/>
          <w:bCs w:val="1"/>
          <w:color w:val="auto"/>
        </w:rPr>
        <w:t>Location:</w:t>
      </w:r>
      <w:r>
        <w:rPr>
          <w:sz w:val="20"/>
          <w:szCs w:val="20"/>
          <w:color w:val="auto"/>
        </w:rPr>
        <w:tab/>
      </w:r>
      <w:r>
        <w:rPr>
          <w:rFonts w:ascii="Arial" w:cs="Arial" w:eastAsia="Arial" w:hAnsi="Arial"/>
          <w:sz w:val="18"/>
          <w:szCs w:val="18"/>
          <w:color w:val="auto"/>
        </w:rPr>
        <w:t>Texas Instruments Incorporated</w:t>
      </w:r>
    </w:p>
    <w:p>
      <w:pPr>
        <w:spacing w:after="0" w:line="36" w:lineRule="exact"/>
        <w:rPr>
          <w:sz w:val="20"/>
          <w:szCs w:val="20"/>
          <w:color w:val="auto"/>
        </w:rPr>
      </w:pPr>
    </w:p>
    <w:p>
      <w:pPr>
        <w:jc w:val="center"/>
        <w:ind w:right="1540"/>
        <w:spacing w:after="0"/>
        <w:rPr>
          <w:sz w:val="20"/>
          <w:szCs w:val="20"/>
          <w:color w:val="auto"/>
        </w:rPr>
      </w:pPr>
      <w:r>
        <w:rPr>
          <w:rFonts w:ascii="Arial" w:cs="Arial" w:eastAsia="Arial" w:hAnsi="Arial"/>
          <w:sz w:val="18"/>
          <w:szCs w:val="18"/>
          <w:color w:val="auto"/>
        </w:rPr>
        <w:t>12500 TI Boulevard</w:t>
      </w:r>
    </w:p>
    <w:p>
      <w:pPr>
        <w:spacing w:after="0" w:line="34" w:lineRule="exact"/>
        <w:rPr>
          <w:sz w:val="20"/>
          <w:szCs w:val="20"/>
          <w:color w:val="auto"/>
        </w:rPr>
      </w:pPr>
    </w:p>
    <w:p>
      <w:pPr>
        <w:jc w:val="center"/>
        <w:ind w:right="1540"/>
        <w:spacing w:after="0"/>
        <w:rPr>
          <w:sz w:val="20"/>
          <w:szCs w:val="20"/>
          <w:color w:val="auto"/>
        </w:rPr>
      </w:pPr>
      <w:r>
        <w:rPr>
          <w:rFonts w:ascii="Arial" w:cs="Arial" w:eastAsia="Arial" w:hAnsi="Arial"/>
          <w:sz w:val="18"/>
          <w:szCs w:val="18"/>
          <w:color w:val="auto"/>
        </w:rPr>
        <w:t>Dallas, Texas 75243</w:t>
      </w:r>
    </w:p>
    <w:p>
      <w:pPr>
        <w:spacing w:after="0" w:line="30" w:lineRule="exact"/>
        <w:rPr>
          <w:sz w:val="20"/>
          <w:szCs w:val="20"/>
          <w:color w:val="auto"/>
        </w:rPr>
      </w:pPr>
    </w:p>
    <w:p>
      <w:pPr>
        <w:ind w:left="20" w:right="180"/>
        <w:spacing w:after="0" w:line="242" w:lineRule="auto"/>
        <w:rPr>
          <w:sz w:val="20"/>
          <w:szCs w:val="20"/>
          <w:color w:val="auto"/>
        </w:rPr>
      </w:pPr>
      <w:r>
        <w:rPr>
          <w:rFonts w:ascii="Arial" w:cs="Arial" w:eastAsia="Arial" w:hAnsi="Arial"/>
          <w:sz w:val="14"/>
          <w:szCs w:val="14"/>
          <w:color w:val="auto"/>
        </w:rPr>
        <w:t>See page 106 of the Proxy Statement (available at www.proxyvote.com) for directions to the meeting location.</w:t>
      </w:r>
    </w:p>
    <w:p>
      <w:pPr>
        <w:spacing w:after="0" w:line="222" w:lineRule="exact"/>
        <w:rPr>
          <w:sz w:val="20"/>
          <w:szCs w:val="20"/>
          <w:color w:val="auto"/>
        </w:rPr>
      </w:pPr>
    </w:p>
    <w:p>
      <w:pPr>
        <w:jc w:val="both"/>
        <w:spacing w:after="0" w:line="269" w:lineRule="auto"/>
        <w:rPr>
          <w:sz w:val="20"/>
          <w:szCs w:val="20"/>
          <w:color w:val="auto"/>
        </w:rPr>
      </w:pPr>
      <w:r>
        <w:rPr>
          <w:rFonts w:ascii="Arial" w:cs="Arial" w:eastAsia="Arial" w:hAnsi="Arial"/>
          <w:sz w:val="18"/>
          <w:szCs w:val="18"/>
          <w:color w:val="auto"/>
        </w:rPr>
        <w:t>You are receiving this communication because you hold shares in the company named above.</w:t>
      </w:r>
    </w:p>
    <w:p>
      <w:pPr>
        <w:spacing w:after="0" w:line="182" w:lineRule="exact"/>
        <w:rPr>
          <w:sz w:val="20"/>
          <w:szCs w:val="20"/>
          <w:color w:val="auto"/>
        </w:rPr>
      </w:pPr>
    </w:p>
    <w:p>
      <w:pPr>
        <w:jc w:val="both"/>
        <w:spacing w:after="0" w:line="244" w:lineRule="auto"/>
        <w:rPr>
          <w:sz w:val="20"/>
          <w:szCs w:val="20"/>
          <w:color w:val="auto"/>
        </w:rPr>
      </w:pPr>
      <w:r>
        <w:rPr>
          <w:rFonts w:ascii="Arial" w:cs="Arial" w:eastAsia="Arial" w:hAnsi="Arial"/>
          <w:sz w:val="18"/>
          <w:szCs w:val="18"/>
          <w:color w:val="auto"/>
        </w:rPr>
        <w:t xml:space="preserve">This is not a ballot. </w:t>
      </w:r>
      <w:r>
        <w:rPr>
          <w:rFonts w:ascii="Arial" w:cs="Arial" w:eastAsia="Arial" w:hAnsi="Arial"/>
          <w:sz w:val="18"/>
          <w:szCs w:val="18"/>
          <w:b w:val="1"/>
          <w:bCs w:val="1"/>
          <w:color w:val="auto"/>
        </w:rPr>
        <w:t>You cannot use this notice to vote these</w:t>
      </w:r>
      <w:r>
        <w:rPr>
          <w:rFonts w:ascii="Arial" w:cs="Arial" w:eastAsia="Arial" w:hAnsi="Arial"/>
          <w:sz w:val="18"/>
          <w:szCs w:val="18"/>
          <w:color w:val="auto"/>
        </w:rPr>
        <w:t xml:space="preserve"> </w:t>
      </w:r>
      <w:r>
        <w:rPr>
          <w:rFonts w:ascii="Arial" w:cs="Arial" w:eastAsia="Arial" w:hAnsi="Arial"/>
          <w:sz w:val="18"/>
          <w:szCs w:val="18"/>
          <w:b w:val="1"/>
          <w:bCs w:val="1"/>
          <w:color w:val="auto"/>
        </w:rPr>
        <w:t>shares. This communication presents only an overview of the more complete proxy materials that are available to you on the Internet. You may view the proxy materials online at www.proxyvote.com or easily request a paper copy (see reverse side).</w:t>
      </w:r>
    </w:p>
    <w:p>
      <w:pPr>
        <w:spacing w:after="0" w:line="196" w:lineRule="exact"/>
        <w:rPr>
          <w:sz w:val="20"/>
          <w:szCs w:val="20"/>
          <w:color w:val="auto"/>
        </w:rPr>
      </w:pPr>
    </w:p>
    <w:p>
      <w:pPr>
        <w:jc w:val="both"/>
        <w:spacing w:after="0" w:line="281" w:lineRule="auto"/>
        <w:rPr>
          <w:sz w:val="20"/>
          <w:szCs w:val="20"/>
          <w:color w:val="auto"/>
        </w:rPr>
      </w:pPr>
      <w:r>
        <w:rPr>
          <w:rFonts w:ascii="Arial" w:cs="Arial" w:eastAsia="Arial" w:hAnsi="Arial"/>
          <w:sz w:val="18"/>
          <w:szCs w:val="18"/>
          <w:b w:val="1"/>
          <w:bCs w:val="1"/>
          <w:color w:val="auto"/>
        </w:rPr>
        <w:t>We encourage you to access and review all of the important information contained in the proxy materials before voting.</w:t>
      </w:r>
    </w:p>
    <w:p>
      <w:pPr>
        <w:spacing w:after="0" w:line="218" w:lineRule="exact"/>
        <w:rPr>
          <w:sz w:val="20"/>
          <w:szCs w:val="20"/>
          <w:color w:val="auto"/>
        </w:rPr>
      </w:pPr>
    </w:p>
    <w:p>
      <w:pPr>
        <w:ind w:left="60" w:right="60"/>
        <w:spacing w:after="0" w:line="281" w:lineRule="auto"/>
        <w:rPr>
          <w:sz w:val="20"/>
          <w:szCs w:val="20"/>
          <w:color w:val="auto"/>
        </w:rPr>
      </w:pPr>
      <w:r>
        <w:rPr>
          <w:rFonts w:ascii="Arial" w:cs="Arial" w:eastAsia="Arial" w:hAnsi="Arial"/>
          <w:sz w:val="18"/>
          <w:szCs w:val="18"/>
          <w:b w:val="1"/>
          <w:bCs w:val="1"/>
          <w:color w:val="FFFFFF"/>
        </w:rPr>
        <w:t>See the reverse side of this notice to obtain proxy materials and voting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-3768090</wp:posOffset>
            </wp:positionH>
            <wp:positionV relativeFrom="paragraph">
              <wp:posOffset>217805</wp:posOffset>
            </wp:positionV>
            <wp:extent cx="7267575" cy="215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67575" cy="21590"/>
                    </a:xfrm>
                    <a:prstGeom prst="rect">
                      <a:avLst/>
                    </a:prstGeom>
                    <a:noFill/>
                  </pic:spPr>
                </pic:pic>
              </a:graphicData>
            </a:graphic>
          </wp:anchor>
        </w:drawing>
        <w:drawing>
          <wp:anchor simplePos="0" relativeHeight="251657728" behindDoc="1" locked="0" layoutInCell="0" allowOverlap="1">
            <wp:simplePos x="0" y="0"/>
            <wp:positionH relativeFrom="column">
              <wp:posOffset>32385</wp:posOffset>
            </wp:positionH>
            <wp:positionV relativeFrom="paragraph">
              <wp:posOffset>-294005</wp:posOffset>
            </wp:positionV>
            <wp:extent cx="3404870" cy="25717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3404870" cy="257175"/>
                    </a:xfrm>
                    <a:prstGeom prst="rect">
                      <a:avLst/>
                    </a:prstGeom>
                    <a:noFill/>
                  </pic:spPr>
                </pic:pic>
              </a:graphicData>
            </a:graphic>
          </wp:anchor>
        </w:drawing>
      </w:r>
    </w:p>
    <w:p>
      <w:pPr>
        <w:sectPr>
          <w:pgSz w:w="11900" w:h="16838" w:orient="portrait"/>
          <w:cols w:equalWidth="0" w:num="2">
            <w:col w:w="5220" w:space="720"/>
            <w:col w:w="5460"/>
          </w:cols>
          <w:pgMar w:left="240" w:top="549" w:right="259" w:bottom="1440" w:gutter="0" w:footer="0" w:header="0"/>
          <w:type w:val="continuous"/>
        </w:sectPr>
      </w:pPr>
    </w:p>
    <w:bookmarkStart w:id="2" w:name="page3"/>
    <w:bookmarkEnd w:id="2"/>
    <w:p>
      <w:pPr>
        <w:ind w:left="3380"/>
        <w:spacing w:after="0"/>
        <w:rPr>
          <w:sz w:val="20"/>
          <w:szCs w:val="20"/>
          <w:color w:val="auto"/>
        </w:rPr>
      </w:pPr>
      <w:r>
        <w:rPr>
          <w:rFonts w:ascii="Arial" w:cs="Arial" w:eastAsia="Arial" w:hAnsi="Arial"/>
          <w:sz w:val="32"/>
          <w:szCs w:val="32"/>
          <w:color w:val="auto"/>
        </w:rPr>
        <w:t xml:space="preserve">— </w:t>
      </w:r>
      <w:r>
        <w:rPr>
          <w:rFonts w:ascii="Times New Roman" w:cs="Times New Roman" w:eastAsia="Times New Roman" w:hAnsi="Times New Roman"/>
          <w:sz w:val="32"/>
          <w:szCs w:val="32"/>
          <w:b w:val="1"/>
          <w:bCs w:val="1"/>
          <w:color w:val="auto"/>
        </w:rPr>
        <w:t>Before You Vote</w:t>
      </w:r>
      <w:r>
        <w:rPr>
          <w:rFonts w:ascii="Arial" w:cs="Arial" w:eastAsia="Arial" w:hAnsi="Arial"/>
          <w:sz w:val="32"/>
          <w:szCs w:val="32"/>
          <w:color w:val="auto"/>
        </w:rPr>
        <w:t xml:space="preserve"> —</w:t>
      </w:r>
    </w:p>
    <w:p>
      <w:pPr>
        <w:spacing w:after="0" w:line="41" w:lineRule="exact"/>
        <w:rPr>
          <w:sz w:val="20"/>
          <w:szCs w:val="20"/>
          <w:color w:val="auto"/>
        </w:rPr>
      </w:pPr>
    </w:p>
    <w:p>
      <w:pPr>
        <w:ind w:left="3320"/>
        <w:spacing w:after="0"/>
        <w:rPr>
          <w:sz w:val="20"/>
          <w:szCs w:val="20"/>
          <w:color w:val="auto"/>
        </w:rPr>
      </w:pPr>
      <w:r>
        <w:rPr>
          <w:rFonts w:ascii="Arial" w:cs="Arial" w:eastAsia="Arial" w:hAnsi="Arial"/>
          <w:sz w:val="22"/>
          <w:szCs w:val="22"/>
          <w:color w:val="auto"/>
        </w:rPr>
        <w:t>How to Access the Proxy Materials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wp:posOffset>
            </wp:positionH>
            <wp:positionV relativeFrom="paragraph">
              <wp:posOffset>135255</wp:posOffset>
            </wp:positionV>
            <wp:extent cx="6740525" cy="239268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6740525" cy="2392680"/>
                    </a:xfrm>
                    <a:prstGeom prst="rect">
                      <a:avLst/>
                    </a:prstGeom>
                    <a:noFill/>
                  </pic:spPr>
                </pic:pic>
              </a:graphicData>
            </a:graphic>
          </wp:anchor>
        </w:drawing>
      </w:r>
    </w:p>
    <w:p>
      <w:pPr>
        <w:spacing w:after="0" w:line="2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Proxy Materials Available to VIEW or RECEIVE:</w:t>
      </w:r>
    </w:p>
    <w:p>
      <w:pPr>
        <w:spacing w:after="0" w:line="33" w:lineRule="exact"/>
        <w:rPr>
          <w:sz w:val="20"/>
          <w:szCs w:val="20"/>
          <w:color w:val="auto"/>
        </w:rPr>
      </w:pPr>
    </w:p>
    <w:p>
      <w:pPr>
        <w:spacing w:after="0"/>
        <w:tabs>
          <w:tab w:leader="none" w:pos="3180" w:val="left"/>
        </w:tabs>
        <w:rPr>
          <w:sz w:val="20"/>
          <w:szCs w:val="20"/>
          <w:color w:val="auto"/>
        </w:rPr>
      </w:pPr>
      <w:r>
        <w:rPr>
          <w:rFonts w:ascii="Arial" w:cs="Arial" w:eastAsia="Arial" w:hAnsi="Arial"/>
          <w:sz w:val="18"/>
          <w:szCs w:val="18"/>
          <w:color w:val="auto"/>
        </w:rPr>
        <w:t>1. 2014 Notice and Proxy Statement</w:t>
      </w:r>
      <w:r>
        <w:rPr>
          <w:sz w:val="20"/>
          <w:szCs w:val="20"/>
          <w:color w:val="auto"/>
        </w:rPr>
        <w:tab/>
      </w:r>
      <w:r>
        <w:rPr>
          <w:rFonts w:ascii="Arial" w:cs="Arial" w:eastAsia="Arial" w:hAnsi="Arial"/>
          <w:sz w:val="18"/>
          <w:szCs w:val="18"/>
          <w:color w:val="auto"/>
        </w:rPr>
        <w:t>2. 2013 Annual Report</w:t>
      </w:r>
    </w:p>
    <w:p>
      <w:pPr>
        <w:spacing w:after="0" w:line="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How to View Online:</w:t>
      </w:r>
    </w:p>
    <w:p>
      <w:pPr>
        <w:spacing w:after="0" w:line="20"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Have the information that is printed in the box marked by the arrow  </w:t>
      </w:r>
      <w:r>
        <w:rPr>
          <w:rFonts w:ascii="Times New Roman" w:cs="Times New Roman" w:eastAsia="Times New Roman" w:hAnsi="Times New Roman"/>
          <w:sz w:val="18"/>
          <w:szCs w:val="18"/>
          <w:color w:val="auto"/>
        </w:rPr>
        <w:t>è</w:t>
      </w:r>
      <w:r>
        <w:rPr>
          <w:rFonts w:ascii="Arial" w:cs="Arial" w:eastAsia="Arial" w:hAnsi="Arial"/>
          <w:sz w:val="18"/>
          <w:szCs w:val="18"/>
          <w:color w:val="auto"/>
        </w:rPr>
        <w:t xml:space="preserve"> XXXX XXXX XXXX (located on the following page) and visit:</w:t>
      </w:r>
    </w:p>
    <w:p>
      <w:pPr>
        <w:spacing w:after="0" w:line="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www.proxyvote.com.</w:t>
      </w:r>
    </w:p>
    <w:p>
      <w:pPr>
        <w:spacing w:after="0" w:line="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How to Request and Receive a PAPER or E-MAIL Copy:</w:t>
      </w:r>
    </w:p>
    <w:p>
      <w:pPr>
        <w:spacing w:after="0" w:line="33" w:lineRule="exact"/>
        <w:rPr>
          <w:sz w:val="20"/>
          <w:szCs w:val="20"/>
          <w:color w:val="auto"/>
        </w:rPr>
      </w:pPr>
    </w:p>
    <w:p>
      <w:pPr>
        <w:spacing w:after="0"/>
        <w:rPr>
          <w:sz w:val="20"/>
          <w:szCs w:val="20"/>
          <w:color w:val="auto"/>
        </w:rPr>
      </w:pPr>
      <w:r>
        <w:rPr>
          <w:rFonts w:ascii="Arial" w:cs="Arial" w:eastAsia="Arial" w:hAnsi="Arial"/>
          <w:sz w:val="18"/>
          <w:szCs w:val="18"/>
          <w:color w:val="auto"/>
        </w:rPr>
        <w:t>If you want to receive a paper or e-mail copy of these documents, you must request one. There is NO charge for requesting a copy.</w:t>
      </w:r>
    </w:p>
    <w:p>
      <w:pPr>
        <w:spacing w:after="0" w:line="8" w:lineRule="exact"/>
        <w:rPr>
          <w:sz w:val="20"/>
          <w:szCs w:val="20"/>
          <w:color w:val="auto"/>
        </w:rPr>
      </w:pPr>
    </w:p>
    <w:p>
      <w:pPr>
        <w:spacing w:after="0"/>
        <w:rPr>
          <w:sz w:val="20"/>
          <w:szCs w:val="20"/>
          <w:color w:val="auto"/>
        </w:rPr>
      </w:pPr>
      <w:r>
        <w:rPr>
          <w:rFonts w:ascii="Arial" w:cs="Arial" w:eastAsia="Arial" w:hAnsi="Arial"/>
          <w:sz w:val="18"/>
          <w:szCs w:val="18"/>
          <w:color w:val="auto"/>
        </w:rPr>
        <w:t>Please choose one of the following methods to make your request:</w:t>
      </w:r>
    </w:p>
    <w:p>
      <w:pPr>
        <w:spacing w:after="0" w:line="83" w:lineRule="exact"/>
        <w:rPr>
          <w:sz w:val="20"/>
          <w:szCs w:val="20"/>
          <w:color w:val="auto"/>
        </w:rPr>
      </w:pPr>
    </w:p>
    <w:p>
      <w:pPr>
        <w:ind w:left="1000" w:hanging="195"/>
        <w:spacing w:after="0"/>
        <w:tabs>
          <w:tab w:leader="none" w:pos="1000" w:val="left"/>
        </w:tabs>
        <w:numPr>
          <w:ilvl w:val="2"/>
          <w:numId w:val="5"/>
        </w:numPr>
        <w:rPr>
          <w:rFonts w:ascii="Arial" w:cs="Arial" w:eastAsia="Arial" w:hAnsi="Arial"/>
          <w:sz w:val="18"/>
          <w:szCs w:val="18"/>
          <w:color w:val="auto"/>
        </w:rPr>
      </w:pPr>
      <w:r>
        <w:rPr>
          <w:rFonts w:ascii="Arial" w:cs="Arial" w:eastAsia="Arial" w:hAnsi="Arial"/>
          <w:sz w:val="18"/>
          <w:szCs w:val="18"/>
          <w:i w:val="1"/>
          <w:iCs w:val="1"/>
          <w:color w:val="auto"/>
        </w:rPr>
        <w:t>BY INTERNET</w:t>
      </w:r>
      <w:r>
        <w:rPr>
          <w:rFonts w:ascii="Arial" w:cs="Arial" w:eastAsia="Arial" w:hAnsi="Arial"/>
          <w:sz w:val="18"/>
          <w:szCs w:val="18"/>
          <w:color w:val="auto"/>
        </w:rPr>
        <w:t>:    www.proxyvote.com</w:t>
      </w:r>
    </w:p>
    <w:p>
      <w:pPr>
        <w:spacing w:after="0" w:line="29" w:lineRule="exact"/>
        <w:rPr>
          <w:rFonts w:ascii="Arial" w:cs="Arial" w:eastAsia="Arial" w:hAnsi="Arial"/>
          <w:sz w:val="18"/>
          <w:szCs w:val="18"/>
          <w:color w:val="auto"/>
        </w:rPr>
      </w:pPr>
    </w:p>
    <w:p>
      <w:pPr>
        <w:ind w:left="1000" w:hanging="195"/>
        <w:spacing w:after="0"/>
        <w:tabs>
          <w:tab w:leader="none" w:pos="1000" w:val="left"/>
        </w:tabs>
        <w:numPr>
          <w:ilvl w:val="2"/>
          <w:numId w:val="5"/>
        </w:numPr>
        <w:rPr>
          <w:rFonts w:ascii="Arial" w:cs="Arial" w:eastAsia="Arial" w:hAnsi="Arial"/>
          <w:sz w:val="18"/>
          <w:szCs w:val="18"/>
          <w:color w:val="auto"/>
        </w:rPr>
      </w:pPr>
      <w:r>
        <w:rPr>
          <w:rFonts w:ascii="Arial" w:cs="Arial" w:eastAsia="Arial" w:hAnsi="Arial"/>
          <w:sz w:val="18"/>
          <w:szCs w:val="18"/>
          <w:i w:val="1"/>
          <w:iCs w:val="1"/>
          <w:color w:val="auto"/>
        </w:rPr>
        <w:t>BY TELEPHONE</w:t>
      </w:r>
      <w:r>
        <w:rPr>
          <w:rFonts w:ascii="Arial" w:cs="Arial" w:eastAsia="Arial" w:hAnsi="Arial"/>
          <w:sz w:val="18"/>
          <w:szCs w:val="18"/>
          <w:color w:val="auto"/>
        </w:rPr>
        <w:t>:  1-800-579-1639</w:t>
      </w:r>
    </w:p>
    <w:p>
      <w:pPr>
        <w:spacing w:after="0" w:line="9" w:lineRule="exact"/>
        <w:rPr>
          <w:rFonts w:ascii="Arial" w:cs="Arial" w:eastAsia="Arial" w:hAnsi="Arial"/>
          <w:sz w:val="18"/>
          <w:szCs w:val="18"/>
          <w:color w:val="auto"/>
        </w:rPr>
      </w:pPr>
    </w:p>
    <w:p>
      <w:pPr>
        <w:ind w:left="1000" w:hanging="195"/>
        <w:spacing w:after="0"/>
        <w:tabs>
          <w:tab w:leader="none" w:pos="1000" w:val="left"/>
        </w:tabs>
        <w:numPr>
          <w:ilvl w:val="2"/>
          <w:numId w:val="5"/>
        </w:numPr>
        <w:rPr>
          <w:rFonts w:ascii="Arial" w:cs="Arial" w:eastAsia="Arial" w:hAnsi="Arial"/>
          <w:sz w:val="18"/>
          <w:szCs w:val="18"/>
          <w:color w:val="auto"/>
        </w:rPr>
      </w:pPr>
      <w:r>
        <w:rPr>
          <w:rFonts w:ascii="Arial" w:cs="Arial" w:eastAsia="Arial" w:hAnsi="Arial"/>
          <w:sz w:val="18"/>
          <w:szCs w:val="18"/>
          <w:i w:val="1"/>
          <w:iCs w:val="1"/>
          <w:color w:val="auto"/>
        </w:rPr>
        <w:t>BY E-MAIL*</w:t>
      </w:r>
      <w:r>
        <w:rPr>
          <w:rFonts w:ascii="Arial" w:cs="Arial" w:eastAsia="Arial" w:hAnsi="Arial"/>
          <w:sz w:val="18"/>
          <w:szCs w:val="18"/>
          <w:color w:val="auto"/>
        </w:rPr>
        <w:t>:</w:t>
      </w:r>
      <w:r>
        <w:rPr>
          <w:rFonts w:ascii="Arial" w:cs="Arial" w:eastAsia="Arial" w:hAnsi="Arial"/>
          <w:sz w:val="16"/>
          <w:szCs w:val="16"/>
          <w:color w:val="auto"/>
        </w:rPr>
        <w:t>sendmaterial@proxyvote.com</w:t>
      </w:r>
    </w:p>
    <w:p>
      <w:pPr>
        <w:spacing w:after="0" w:line="82" w:lineRule="exact"/>
        <w:rPr>
          <w:rFonts w:ascii="Arial" w:cs="Arial" w:eastAsia="Arial" w:hAnsi="Arial"/>
          <w:sz w:val="18"/>
          <w:szCs w:val="18"/>
          <w:color w:val="auto"/>
        </w:rPr>
      </w:pPr>
    </w:p>
    <w:p>
      <w:pPr>
        <w:ind w:left="20" w:right="20" w:hanging="18"/>
        <w:spacing w:after="0" w:line="284" w:lineRule="auto"/>
        <w:rPr>
          <w:rFonts w:ascii="Arial" w:cs="Arial" w:eastAsia="Arial" w:hAnsi="Arial"/>
          <w:sz w:val="18"/>
          <w:szCs w:val="18"/>
          <w:color w:val="auto"/>
        </w:rPr>
      </w:pPr>
      <w:r>
        <w:rPr>
          <w:rFonts w:ascii="Arial" w:cs="Arial" w:eastAsia="Arial" w:hAnsi="Arial"/>
          <w:sz w:val="18"/>
          <w:szCs w:val="18"/>
          <w:color w:val="auto"/>
        </w:rPr>
        <w:t xml:space="preserve">* If requesting materials by e-mail, please send a blank e-mail with the information that is printed in the box marked by the arrow </w:t>
      </w:r>
      <w:r>
        <w:rPr>
          <w:rFonts w:ascii="Times New Roman" w:cs="Times New Roman" w:eastAsia="Times New Roman" w:hAnsi="Times New Roman"/>
          <w:sz w:val="18"/>
          <w:szCs w:val="18"/>
          <w:color w:val="auto"/>
        </w:rPr>
        <w:t>è</w:t>
      </w:r>
      <w:r>
        <w:rPr>
          <w:rFonts w:ascii="Arial" w:cs="Arial" w:eastAsia="Arial" w:hAnsi="Arial"/>
          <w:sz w:val="18"/>
          <w:szCs w:val="18"/>
          <w:color w:val="auto"/>
        </w:rPr>
        <w:t xml:space="preserve"> XXXX XXXX XXXX (located on the following page) in the subject line.</w:t>
      </w:r>
    </w:p>
    <w:p>
      <w:pPr>
        <w:spacing w:after="0" w:line="7" w:lineRule="exact"/>
        <w:rPr>
          <w:sz w:val="20"/>
          <w:szCs w:val="20"/>
          <w:color w:val="auto"/>
        </w:rPr>
      </w:pPr>
    </w:p>
    <w:p>
      <w:pPr>
        <w:ind w:right="20"/>
        <w:spacing w:after="0" w:line="296" w:lineRule="auto"/>
        <w:rPr>
          <w:sz w:val="20"/>
          <w:szCs w:val="20"/>
          <w:color w:val="auto"/>
        </w:rPr>
      </w:pPr>
      <w:r>
        <w:rPr>
          <w:rFonts w:ascii="Arial" w:cs="Arial" w:eastAsia="Arial" w:hAnsi="Arial"/>
          <w:sz w:val="18"/>
          <w:szCs w:val="18"/>
          <w:color w:val="auto"/>
        </w:rPr>
        <w:t xml:space="preserve">Requests, instructions and other inquiries sent to this e-mail address will NOT be forwarded to your investment advisor. </w:t>
      </w:r>
      <w:r>
        <w:rPr>
          <w:rFonts w:ascii="Arial" w:cs="Arial" w:eastAsia="Arial" w:hAnsi="Arial"/>
          <w:sz w:val="18"/>
          <w:szCs w:val="18"/>
          <w:b w:val="1"/>
          <w:bCs w:val="1"/>
          <w:color w:val="auto"/>
        </w:rPr>
        <w:t>Please make</w:t>
      </w:r>
      <w:r>
        <w:rPr>
          <w:rFonts w:ascii="Arial" w:cs="Arial" w:eastAsia="Arial" w:hAnsi="Arial"/>
          <w:sz w:val="18"/>
          <w:szCs w:val="18"/>
          <w:color w:val="auto"/>
        </w:rPr>
        <w:t xml:space="preserve"> </w:t>
      </w:r>
      <w:r>
        <w:rPr>
          <w:rFonts w:ascii="Arial" w:cs="Arial" w:eastAsia="Arial" w:hAnsi="Arial"/>
          <w:sz w:val="18"/>
          <w:szCs w:val="18"/>
          <w:b w:val="1"/>
          <w:bCs w:val="1"/>
          <w:color w:val="auto"/>
        </w:rPr>
        <w:t>the request as instructed above on or before April 3, 2014 to facilitate timely delivery.</w:t>
      </w:r>
    </w:p>
    <w:p>
      <w:pPr>
        <w:spacing w:after="0" w:line="134" w:lineRule="exact"/>
        <w:rPr>
          <w:sz w:val="20"/>
          <w:szCs w:val="20"/>
          <w:color w:val="auto"/>
        </w:rPr>
      </w:pPr>
    </w:p>
    <w:p>
      <w:pPr>
        <w:jc w:val="center"/>
        <w:ind w:right="580"/>
        <w:spacing w:after="0"/>
        <w:rPr>
          <w:sz w:val="20"/>
          <w:szCs w:val="20"/>
          <w:color w:val="auto"/>
        </w:rPr>
      </w:pPr>
      <w:r>
        <w:rPr>
          <w:rFonts w:ascii="Arial" w:cs="Arial" w:eastAsia="Arial" w:hAnsi="Arial"/>
          <w:sz w:val="32"/>
          <w:szCs w:val="32"/>
          <w:color w:val="auto"/>
        </w:rPr>
        <w:t xml:space="preserve">— </w:t>
      </w:r>
      <w:r>
        <w:rPr>
          <w:rFonts w:ascii="Times New Roman" w:cs="Times New Roman" w:eastAsia="Times New Roman" w:hAnsi="Times New Roman"/>
          <w:sz w:val="32"/>
          <w:szCs w:val="32"/>
          <w:b w:val="1"/>
          <w:bCs w:val="1"/>
          <w:color w:val="auto"/>
        </w:rPr>
        <w:t>How To Vote</w:t>
      </w:r>
      <w:r>
        <w:rPr>
          <w:rFonts w:ascii="Arial" w:cs="Arial" w:eastAsia="Arial" w:hAnsi="Arial"/>
          <w:sz w:val="32"/>
          <w:szCs w:val="32"/>
          <w:color w:val="auto"/>
        </w:rPr>
        <w:t xml:space="preserve"> —</w:t>
      </w:r>
    </w:p>
    <w:p>
      <w:pPr>
        <w:spacing w:after="0" w:line="44" w:lineRule="exact"/>
        <w:rPr>
          <w:sz w:val="20"/>
          <w:szCs w:val="20"/>
          <w:color w:val="auto"/>
        </w:rPr>
      </w:pPr>
    </w:p>
    <w:p>
      <w:pPr>
        <w:ind w:left="2700"/>
        <w:spacing w:after="0"/>
        <w:rPr>
          <w:sz w:val="20"/>
          <w:szCs w:val="20"/>
          <w:color w:val="auto"/>
        </w:rPr>
      </w:pPr>
      <w:r>
        <w:rPr>
          <w:rFonts w:ascii="Times New Roman" w:cs="Times New Roman" w:eastAsia="Times New Roman" w:hAnsi="Times New Roman"/>
          <w:sz w:val="22"/>
          <w:szCs w:val="22"/>
          <w:color w:val="auto"/>
        </w:rPr>
        <w:t>Please Choose One of the Following Voting Methods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wp:posOffset>
            </wp:positionH>
            <wp:positionV relativeFrom="paragraph">
              <wp:posOffset>133350</wp:posOffset>
            </wp:positionV>
            <wp:extent cx="6740525" cy="129476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6740525" cy="1294765"/>
                    </a:xfrm>
                    <a:prstGeom prst="rect">
                      <a:avLst/>
                    </a:prstGeom>
                    <a:noFill/>
                  </pic:spPr>
                </pic:pic>
              </a:graphicData>
            </a:graphic>
          </wp:anchor>
        </w:drawing>
      </w:r>
    </w:p>
    <w:p>
      <w:pPr>
        <w:spacing w:after="0" w:line="277" w:lineRule="exact"/>
        <w:rPr>
          <w:sz w:val="20"/>
          <w:szCs w:val="20"/>
          <w:color w:val="auto"/>
        </w:rPr>
      </w:pPr>
    </w:p>
    <w:p>
      <w:pPr>
        <w:jc w:val="both"/>
        <w:spacing w:after="0" w:line="253" w:lineRule="auto"/>
        <w:rPr>
          <w:sz w:val="20"/>
          <w:szCs w:val="20"/>
          <w:color w:val="auto"/>
        </w:rPr>
      </w:pPr>
      <w:r>
        <w:rPr>
          <w:rFonts w:ascii="Arial" w:cs="Arial" w:eastAsia="Arial" w:hAnsi="Arial"/>
          <w:sz w:val="18"/>
          <w:szCs w:val="18"/>
          <w:b w:val="1"/>
          <w:bCs w:val="1"/>
          <w:color w:val="auto"/>
        </w:rPr>
        <w:t xml:space="preserve">Vote In Person: </w:t>
      </w:r>
      <w:r>
        <w:rPr>
          <w:rFonts w:ascii="Arial" w:cs="Arial" w:eastAsia="Arial" w:hAnsi="Arial"/>
          <w:sz w:val="18"/>
          <w:szCs w:val="18"/>
          <w:color w:val="auto"/>
        </w:rPr>
        <w:t>Many shareholder meetings have attendance requirements including, but not limited to, the possession of an</w:t>
      </w:r>
      <w:r>
        <w:rPr>
          <w:rFonts w:ascii="Arial" w:cs="Arial" w:eastAsia="Arial" w:hAnsi="Arial"/>
          <w:sz w:val="18"/>
          <w:szCs w:val="18"/>
          <w:b w:val="1"/>
          <w:bCs w:val="1"/>
          <w:color w:val="auto"/>
        </w:rPr>
        <w:t xml:space="preserve"> </w:t>
      </w:r>
      <w:r>
        <w:rPr>
          <w:rFonts w:ascii="Arial" w:cs="Arial" w:eastAsia="Arial" w:hAnsi="Arial"/>
          <w:sz w:val="18"/>
          <w:szCs w:val="18"/>
          <w:color w:val="auto"/>
        </w:rPr>
        <w:t>attendance ticket issued by the entity holding the meeting. Please check the meeting materials for any special requirements for meeting attendance. At the meeting, you will need to request a ballot to vote these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-451485</wp:posOffset>
            </wp:positionH>
            <wp:positionV relativeFrom="paragraph">
              <wp:posOffset>-316230</wp:posOffset>
            </wp:positionV>
            <wp:extent cx="94615" cy="58293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94615" cy="582930"/>
                    </a:xfrm>
                    <a:prstGeom prst="rect">
                      <a:avLst/>
                    </a:prstGeom>
                    <a:noFill/>
                  </pic:spPr>
                </pic:pic>
              </a:graphicData>
            </a:graphic>
          </wp:anchor>
        </w:drawing>
      </w:r>
    </w:p>
    <w:p>
      <w:pPr>
        <w:spacing w:after="0" w:line="28" w:lineRule="exact"/>
        <w:rPr>
          <w:sz w:val="20"/>
          <w:szCs w:val="20"/>
          <w:color w:val="auto"/>
        </w:rPr>
      </w:pPr>
    </w:p>
    <w:p>
      <w:pPr>
        <w:jc w:val="both"/>
        <w:spacing w:after="0" w:line="287" w:lineRule="auto"/>
        <w:rPr>
          <w:sz w:val="20"/>
          <w:szCs w:val="20"/>
          <w:color w:val="auto"/>
        </w:rPr>
      </w:pPr>
      <w:r>
        <w:rPr>
          <w:rFonts w:ascii="Arial" w:cs="Arial" w:eastAsia="Arial" w:hAnsi="Arial"/>
          <w:sz w:val="16"/>
          <w:szCs w:val="16"/>
          <w:b w:val="1"/>
          <w:bCs w:val="1"/>
          <w:color w:val="auto"/>
        </w:rPr>
        <w:t xml:space="preserve">Vote By Internet: </w:t>
      </w:r>
      <w:r>
        <w:rPr>
          <w:rFonts w:ascii="Arial" w:cs="Arial" w:eastAsia="Arial" w:hAnsi="Arial"/>
          <w:sz w:val="16"/>
          <w:szCs w:val="16"/>
          <w:color w:val="auto"/>
        </w:rPr>
        <w:t>To vote now by Internet, go to</w:t>
      </w:r>
      <w:r>
        <w:rPr>
          <w:rFonts w:ascii="Arial" w:cs="Arial" w:eastAsia="Arial" w:hAnsi="Arial"/>
          <w:sz w:val="16"/>
          <w:szCs w:val="16"/>
          <w:b w:val="1"/>
          <w:bCs w:val="1"/>
          <w:color w:val="auto"/>
        </w:rPr>
        <w:t xml:space="preserve"> </w:t>
      </w:r>
      <w:r>
        <w:rPr>
          <w:rFonts w:ascii="Arial" w:cs="Arial" w:eastAsia="Arial" w:hAnsi="Arial"/>
          <w:sz w:val="16"/>
          <w:szCs w:val="16"/>
          <w:i w:val="1"/>
          <w:iCs w:val="1"/>
          <w:color w:val="auto"/>
        </w:rPr>
        <w:t>www.proxyvote.com</w:t>
      </w:r>
      <w:r>
        <w:rPr>
          <w:rFonts w:ascii="Arial" w:cs="Arial" w:eastAsia="Arial" w:hAnsi="Arial"/>
          <w:sz w:val="16"/>
          <w:szCs w:val="16"/>
          <w:color w:val="auto"/>
        </w:rPr>
        <w:t>. Have the information that is printed in the box marked by the</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arrow </w:t>
      </w:r>
      <w:r>
        <w:rPr>
          <w:rFonts w:ascii="Times New Roman" w:cs="Times New Roman" w:eastAsia="Times New Roman" w:hAnsi="Times New Roman"/>
          <w:sz w:val="16"/>
          <w:szCs w:val="16"/>
          <w:color w:val="auto"/>
        </w:rPr>
        <w:t>è</w:t>
      </w:r>
      <w:r>
        <w:rPr>
          <w:rFonts w:ascii="Arial" w:cs="Arial" w:eastAsia="Arial" w:hAnsi="Arial"/>
          <w:sz w:val="16"/>
          <w:szCs w:val="16"/>
          <w:color w:val="auto"/>
        </w:rPr>
        <w:t xml:space="preserve"> XXXX XXXX XXXX (located on the following page) and follow the instructions. For registered shares, you may vote by Internet</w:t>
      </w:r>
    </w:p>
    <w:p>
      <w:pPr>
        <w:spacing w:after="0" w:line="1" w:lineRule="exact"/>
        <w:rPr>
          <w:sz w:val="20"/>
          <w:szCs w:val="20"/>
          <w:color w:val="auto"/>
        </w:rPr>
      </w:pPr>
    </w:p>
    <w:p>
      <w:pPr>
        <w:jc w:val="both"/>
        <w:ind w:right="20"/>
        <w:spacing w:after="0" w:line="245" w:lineRule="auto"/>
        <w:rPr>
          <w:sz w:val="20"/>
          <w:szCs w:val="20"/>
          <w:color w:val="auto"/>
        </w:rPr>
      </w:pPr>
      <w:r>
        <w:rPr>
          <w:rFonts w:ascii="Arial" w:cs="Arial" w:eastAsia="Arial" w:hAnsi="Arial"/>
          <w:sz w:val="18"/>
          <w:szCs w:val="18"/>
          <w:color w:val="auto"/>
        </w:rPr>
        <w:t>up until 11:59 p.m. Eastern time on April 16, 2014. For shares allocable to a benefit plan account, voting instructions must be received no later than 11:59 p.m. Eastern time on April 14, 2014.</w:t>
      </w:r>
    </w:p>
    <w:p>
      <w:pPr>
        <w:spacing w:after="0" w:line="5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 xml:space="preserve">Vote By Mail: </w:t>
      </w:r>
      <w:r>
        <w:rPr>
          <w:rFonts w:ascii="Arial" w:cs="Arial" w:eastAsia="Arial" w:hAnsi="Arial"/>
          <w:sz w:val="16"/>
          <w:szCs w:val="16"/>
          <w:color w:val="auto"/>
        </w:rPr>
        <w:t>You can vote by mail by requesting a paper copy of the materials (as indicated above), which will include a proxy card.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-453390</wp:posOffset>
            </wp:positionH>
            <wp:positionV relativeFrom="paragraph">
              <wp:posOffset>374650</wp:posOffset>
            </wp:positionV>
            <wp:extent cx="7267575" cy="215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0580"/>
          </w:cols>
          <w:pgMar w:left="960" w:top="560" w:right="359" w:bottom="1440" w:gutter="0" w:footer="0" w:header="0"/>
        </w:sectPr>
      </w:pPr>
    </w:p>
    <w:bookmarkStart w:id="3" w:name="page4"/>
    <w:bookmarkEnd w:id="3"/>
    <w:p>
      <w:pPr>
        <w:ind w:left="960"/>
        <w:spacing w:after="0"/>
        <w:rPr>
          <w:sz w:val="20"/>
          <w:szCs w:val="20"/>
          <w:color w:val="auto"/>
        </w:rPr>
      </w:pPr>
      <w:r>
        <w:rPr>
          <w:rFonts w:ascii="Arial" w:cs="Arial" w:eastAsia="Arial" w:hAnsi="Arial"/>
          <w:sz w:val="14"/>
          <w:szCs w:val="14"/>
          <w:b w:val="1"/>
          <w:bCs w:val="1"/>
          <w:color w:val="auto"/>
        </w:rPr>
        <w:drawing>
          <wp:anchor simplePos="0" relativeHeight="251657728" behindDoc="1" locked="0" layoutInCell="0" allowOverlap="1">
            <wp:simplePos x="0" y="0"/>
            <wp:positionH relativeFrom="page">
              <wp:posOffset>194310</wp:posOffset>
            </wp:positionH>
            <wp:positionV relativeFrom="page">
              <wp:posOffset>245745</wp:posOffset>
            </wp:positionV>
            <wp:extent cx="1719580" cy="14986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719580" cy="149860"/>
                    </a:xfrm>
                    <a:prstGeom prst="rect">
                      <a:avLst/>
                    </a:prstGeom>
                    <a:noFill/>
                  </pic:spPr>
                </pic:pic>
              </a:graphicData>
            </a:graphic>
          </wp:anchor>
        </w:drawing>
        <w:t>Voting Items</w:t>
      </w:r>
    </w:p>
    <w:p>
      <w:pPr>
        <w:spacing w:after="0" w:line="217" w:lineRule="exact"/>
        <w:rPr>
          <w:sz w:val="20"/>
          <w:szCs w:val="20"/>
          <w:color w:val="auto"/>
        </w:rPr>
      </w:pPr>
    </w:p>
    <w:p>
      <w:pPr>
        <w:ind w:right="1100"/>
        <w:spacing w:after="0" w:line="265" w:lineRule="auto"/>
        <w:rPr>
          <w:sz w:val="20"/>
          <w:szCs w:val="20"/>
          <w:color w:val="auto"/>
        </w:rPr>
      </w:pPr>
      <w:r>
        <w:rPr>
          <w:rFonts w:ascii="Arial" w:cs="Arial" w:eastAsia="Arial" w:hAnsi="Arial"/>
          <w:sz w:val="14"/>
          <w:szCs w:val="14"/>
          <w:b w:val="1"/>
          <w:bCs w:val="1"/>
          <w:color w:val="auto"/>
        </w:rPr>
        <w:t>The board of directors recommends you vote FOR each of the nominees for director and FOR Proposals 2 through 5.</w:t>
      </w:r>
    </w:p>
    <w:p>
      <w:pPr>
        <w:spacing w:after="0" w:line="92" w:lineRule="exact"/>
        <w:rPr>
          <w:sz w:val="20"/>
          <w:szCs w:val="20"/>
          <w:color w:val="auto"/>
        </w:rPr>
      </w:pPr>
    </w:p>
    <w:p>
      <w:pPr>
        <w:ind w:left="320" w:hanging="318"/>
        <w:spacing w:after="0"/>
        <w:tabs>
          <w:tab w:leader="none" w:pos="320" w:val="left"/>
        </w:tabs>
        <w:numPr>
          <w:ilvl w:val="0"/>
          <w:numId w:val="6"/>
        </w:numPr>
        <w:rPr>
          <w:rFonts w:ascii="Arial" w:cs="Arial" w:eastAsia="Arial" w:hAnsi="Arial"/>
          <w:sz w:val="14"/>
          <w:szCs w:val="14"/>
          <w:color w:val="auto"/>
        </w:rPr>
      </w:pPr>
      <w:r>
        <w:rPr>
          <w:rFonts w:ascii="Arial" w:cs="Arial" w:eastAsia="Arial" w:hAnsi="Arial"/>
          <w:sz w:val="14"/>
          <w:szCs w:val="14"/>
          <w:color w:val="auto"/>
        </w:rPr>
        <w:t>Election of Directors</w:t>
      </w:r>
    </w:p>
    <w:p>
      <w:pPr>
        <w:spacing w:after="0" w:line="147" w:lineRule="exact"/>
        <w:rPr>
          <w:rFonts w:ascii="Arial" w:cs="Arial" w:eastAsia="Arial" w:hAnsi="Arial"/>
          <w:sz w:val="14"/>
          <w:szCs w:val="14"/>
          <w:color w:val="auto"/>
        </w:rPr>
      </w:pPr>
    </w:p>
    <w:p>
      <w:pPr>
        <w:ind w:left="320"/>
        <w:spacing w:after="0"/>
        <w:rPr>
          <w:rFonts w:ascii="Arial" w:cs="Arial" w:eastAsia="Arial" w:hAnsi="Arial"/>
          <w:sz w:val="14"/>
          <w:szCs w:val="14"/>
          <w:color w:val="auto"/>
        </w:rPr>
      </w:pPr>
      <w:r>
        <w:rPr>
          <w:rFonts w:ascii="Arial" w:cs="Arial" w:eastAsia="Arial" w:hAnsi="Arial"/>
          <w:sz w:val="14"/>
          <w:szCs w:val="14"/>
          <w:b w:val="1"/>
          <w:bCs w:val="1"/>
          <w:color w:val="auto"/>
        </w:rPr>
        <w:t>Nominees:</w:t>
      </w:r>
    </w:p>
    <w:p>
      <w:pPr>
        <w:spacing w:after="0" w:line="165" w:lineRule="exact"/>
        <w:rPr>
          <w:rFonts w:ascii="Arial" w:cs="Arial" w:eastAsia="Arial" w:hAnsi="Arial"/>
          <w:sz w:val="14"/>
          <w:szCs w:val="14"/>
          <w:color w:val="auto"/>
        </w:rPr>
      </w:pPr>
    </w:p>
    <w:p>
      <w:pPr>
        <w:ind w:left="320"/>
        <w:spacing w:after="0"/>
        <w:rPr>
          <w:rFonts w:ascii="Arial" w:cs="Arial" w:eastAsia="Arial" w:hAnsi="Arial"/>
          <w:sz w:val="14"/>
          <w:szCs w:val="14"/>
          <w:color w:val="auto"/>
        </w:rPr>
      </w:pPr>
      <w:r>
        <w:rPr>
          <w:rFonts w:ascii="Arial" w:cs="Arial" w:eastAsia="Arial" w:hAnsi="Arial"/>
          <w:sz w:val="14"/>
          <w:szCs w:val="14"/>
          <w:color w:val="auto"/>
        </w:rPr>
        <w:t>1a.   R. W. Babb, Jr.</w:t>
      </w:r>
    </w:p>
    <w:p>
      <w:pPr>
        <w:spacing w:after="0" w:line="149" w:lineRule="exact"/>
        <w:rPr>
          <w:rFonts w:ascii="Arial" w:cs="Arial" w:eastAsia="Arial" w:hAnsi="Arial"/>
          <w:sz w:val="14"/>
          <w:szCs w:val="14"/>
          <w:color w:val="auto"/>
        </w:rPr>
      </w:pPr>
    </w:p>
    <w:p>
      <w:pPr>
        <w:ind w:left="320"/>
        <w:spacing w:after="0"/>
        <w:rPr>
          <w:rFonts w:ascii="Arial" w:cs="Arial" w:eastAsia="Arial" w:hAnsi="Arial"/>
          <w:sz w:val="14"/>
          <w:szCs w:val="14"/>
          <w:color w:val="auto"/>
        </w:rPr>
      </w:pPr>
      <w:r>
        <w:rPr>
          <w:rFonts w:ascii="Arial" w:cs="Arial" w:eastAsia="Arial" w:hAnsi="Arial"/>
          <w:sz w:val="14"/>
          <w:szCs w:val="14"/>
          <w:color w:val="auto"/>
        </w:rPr>
        <w:t>1b.   M. A. Blinn</w:t>
      </w:r>
    </w:p>
    <w:p>
      <w:pPr>
        <w:spacing w:after="0" w:line="163" w:lineRule="exact"/>
        <w:rPr>
          <w:rFonts w:ascii="Arial" w:cs="Arial" w:eastAsia="Arial" w:hAnsi="Arial"/>
          <w:sz w:val="14"/>
          <w:szCs w:val="14"/>
          <w:color w:val="auto"/>
        </w:rPr>
      </w:pPr>
    </w:p>
    <w:p>
      <w:pPr>
        <w:ind w:left="320"/>
        <w:spacing w:after="0"/>
        <w:rPr>
          <w:rFonts w:ascii="Arial" w:cs="Arial" w:eastAsia="Arial" w:hAnsi="Arial"/>
          <w:sz w:val="14"/>
          <w:szCs w:val="14"/>
          <w:color w:val="auto"/>
        </w:rPr>
      </w:pPr>
      <w:r>
        <w:rPr>
          <w:rFonts w:ascii="Arial" w:cs="Arial" w:eastAsia="Arial" w:hAnsi="Arial"/>
          <w:sz w:val="14"/>
          <w:szCs w:val="14"/>
          <w:color w:val="auto"/>
        </w:rPr>
        <w:t>1c.   D. A. Carp</w:t>
      </w:r>
    </w:p>
    <w:p>
      <w:pPr>
        <w:spacing w:after="0" w:line="149" w:lineRule="exact"/>
        <w:rPr>
          <w:rFonts w:ascii="Arial" w:cs="Arial" w:eastAsia="Arial" w:hAnsi="Arial"/>
          <w:sz w:val="14"/>
          <w:szCs w:val="14"/>
          <w:color w:val="auto"/>
        </w:rPr>
      </w:pPr>
    </w:p>
    <w:p>
      <w:pPr>
        <w:ind w:left="320"/>
        <w:spacing w:after="0"/>
        <w:rPr>
          <w:rFonts w:ascii="Arial" w:cs="Arial" w:eastAsia="Arial" w:hAnsi="Arial"/>
          <w:sz w:val="14"/>
          <w:szCs w:val="14"/>
          <w:color w:val="auto"/>
        </w:rPr>
      </w:pPr>
      <w:r>
        <w:rPr>
          <w:rFonts w:ascii="Arial" w:cs="Arial" w:eastAsia="Arial" w:hAnsi="Arial"/>
          <w:sz w:val="14"/>
          <w:szCs w:val="14"/>
          <w:color w:val="auto"/>
        </w:rPr>
        <w:t>1d.   C. S. Cox</w:t>
      </w:r>
    </w:p>
    <w:p>
      <w:pPr>
        <w:spacing w:after="0" w:line="163" w:lineRule="exact"/>
        <w:rPr>
          <w:rFonts w:ascii="Arial" w:cs="Arial" w:eastAsia="Arial" w:hAnsi="Arial"/>
          <w:sz w:val="14"/>
          <w:szCs w:val="14"/>
          <w:color w:val="auto"/>
        </w:rPr>
      </w:pPr>
    </w:p>
    <w:p>
      <w:pPr>
        <w:ind w:left="320"/>
        <w:spacing w:after="0"/>
        <w:rPr>
          <w:rFonts w:ascii="Arial" w:cs="Arial" w:eastAsia="Arial" w:hAnsi="Arial"/>
          <w:sz w:val="14"/>
          <w:szCs w:val="14"/>
          <w:color w:val="auto"/>
        </w:rPr>
      </w:pPr>
      <w:r>
        <w:rPr>
          <w:rFonts w:ascii="Arial" w:cs="Arial" w:eastAsia="Arial" w:hAnsi="Arial"/>
          <w:sz w:val="14"/>
          <w:szCs w:val="14"/>
          <w:color w:val="auto"/>
        </w:rPr>
        <w:t>1e.   R. Kirk</w:t>
      </w:r>
    </w:p>
    <w:p>
      <w:pPr>
        <w:spacing w:after="0" w:line="149" w:lineRule="exact"/>
        <w:rPr>
          <w:rFonts w:ascii="Arial" w:cs="Arial" w:eastAsia="Arial" w:hAnsi="Arial"/>
          <w:sz w:val="14"/>
          <w:szCs w:val="14"/>
          <w:color w:val="auto"/>
        </w:rPr>
      </w:pPr>
    </w:p>
    <w:p>
      <w:pPr>
        <w:ind w:left="320"/>
        <w:spacing w:after="0"/>
        <w:rPr>
          <w:rFonts w:ascii="Arial" w:cs="Arial" w:eastAsia="Arial" w:hAnsi="Arial"/>
          <w:sz w:val="14"/>
          <w:szCs w:val="14"/>
          <w:color w:val="auto"/>
        </w:rPr>
      </w:pPr>
      <w:r>
        <w:rPr>
          <w:rFonts w:ascii="Arial" w:cs="Arial" w:eastAsia="Arial" w:hAnsi="Arial"/>
          <w:sz w:val="14"/>
          <w:szCs w:val="14"/>
          <w:color w:val="auto"/>
        </w:rPr>
        <w:t>1f.   P. H. Patsley</w:t>
      </w:r>
    </w:p>
    <w:p>
      <w:pPr>
        <w:spacing w:after="0" w:line="163" w:lineRule="exact"/>
        <w:rPr>
          <w:rFonts w:ascii="Arial" w:cs="Arial" w:eastAsia="Arial" w:hAnsi="Arial"/>
          <w:sz w:val="14"/>
          <w:szCs w:val="14"/>
          <w:color w:val="auto"/>
        </w:rPr>
      </w:pPr>
    </w:p>
    <w:p>
      <w:pPr>
        <w:ind w:left="320"/>
        <w:spacing w:after="0"/>
        <w:rPr>
          <w:rFonts w:ascii="Arial" w:cs="Arial" w:eastAsia="Arial" w:hAnsi="Arial"/>
          <w:sz w:val="14"/>
          <w:szCs w:val="14"/>
          <w:color w:val="auto"/>
        </w:rPr>
      </w:pPr>
      <w:r>
        <w:rPr>
          <w:rFonts w:ascii="Arial" w:cs="Arial" w:eastAsia="Arial" w:hAnsi="Arial"/>
          <w:sz w:val="14"/>
          <w:szCs w:val="14"/>
          <w:color w:val="auto"/>
        </w:rPr>
        <w:t>1g.   R. E. Sanchez</w:t>
      </w:r>
    </w:p>
    <w:p>
      <w:pPr>
        <w:spacing w:after="0" w:line="149" w:lineRule="exact"/>
        <w:rPr>
          <w:rFonts w:ascii="Arial" w:cs="Arial" w:eastAsia="Arial" w:hAnsi="Arial"/>
          <w:sz w:val="14"/>
          <w:szCs w:val="14"/>
          <w:color w:val="auto"/>
        </w:rPr>
      </w:pPr>
    </w:p>
    <w:p>
      <w:pPr>
        <w:ind w:left="320"/>
        <w:spacing w:after="0"/>
        <w:rPr>
          <w:rFonts w:ascii="Arial" w:cs="Arial" w:eastAsia="Arial" w:hAnsi="Arial"/>
          <w:sz w:val="14"/>
          <w:szCs w:val="14"/>
          <w:color w:val="auto"/>
        </w:rPr>
      </w:pPr>
      <w:r>
        <w:rPr>
          <w:rFonts w:ascii="Arial" w:cs="Arial" w:eastAsia="Arial" w:hAnsi="Arial"/>
          <w:sz w:val="14"/>
          <w:szCs w:val="14"/>
          <w:color w:val="auto"/>
        </w:rPr>
        <w:t>1h.   W. R. Sanders</w:t>
      </w:r>
    </w:p>
    <w:p>
      <w:pPr>
        <w:spacing w:after="0" w:line="163" w:lineRule="exact"/>
        <w:rPr>
          <w:rFonts w:ascii="Arial" w:cs="Arial" w:eastAsia="Arial" w:hAnsi="Arial"/>
          <w:sz w:val="14"/>
          <w:szCs w:val="14"/>
          <w:color w:val="auto"/>
        </w:rPr>
      </w:pPr>
    </w:p>
    <w:p>
      <w:pPr>
        <w:ind w:left="320"/>
        <w:spacing w:after="0"/>
        <w:rPr>
          <w:rFonts w:ascii="Arial" w:cs="Arial" w:eastAsia="Arial" w:hAnsi="Arial"/>
          <w:sz w:val="14"/>
          <w:szCs w:val="14"/>
          <w:color w:val="auto"/>
        </w:rPr>
      </w:pPr>
      <w:r>
        <w:rPr>
          <w:rFonts w:ascii="Arial" w:cs="Arial" w:eastAsia="Arial" w:hAnsi="Arial"/>
          <w:sz w:val="14"/>
          <w:szCs w:val="14"/>
          <w:color w:val="auto"/>
        </w:rPr>
        <w:t>1i.   R. J. Simmons</w:t>
      </w:r>
    </w:p>
    <w:p>
      <w:pPr>
        <w:spacing w:after="0" w:line="149" w:lineRule="exact"/>
        <w:rPr>
          <w:rFonts w:ascii="Arial" w:cs="Arial" w:eastAsia="Arial" w:hAnsi="Arial"/>
          <w:sz w:val="14"/>
          <w:szCs w:val="14"/>
          <w:color w:val="auto"/>
        </w:rPr>
      </w:pPr>
    </w:p>
    <w:p>
      <w:pPr>
        <w:ind w:left="320"/>
        <w:spacing w:after="0"/>
        <w:rPr>
          <w:rFonts w:ascii="Arial" w:cs="Arial" w:eastAsia="Arial" w:hAnsi="Arial"/>
          <w:sz w:val="14"/>
          <w:szCs w:val="14"/>
          <w:color w:val="auto"/>
        </w:rPr>
      </w:pPr>
      <w:r>
        <w:rPr>
          <w:rFonts w:ascii="Arial" w:cs="Arial" w:eastAsia="Arial" w:hAnsi="Arial"/>
          <w:sz w:val="14"/>
          <w:szCs w:val="14"/>
          <w:color w:val="auto"/>
        </w:rPr>
        <w:t>1j.   R. K. Templeton</w:t>
      </w:r>
    </w:p>
    <w:p>
      <w:pPr>
        <w:spacing w:after="0" w:line="163" w:lineRule="exact"/>
        <w:rPr>
          <w:rFonts w:ascii="Arial" w:cs="Arial" w:eastAsia="Arial" w:hAnsi="Arial"/>
          <w:sz w:val="14"/>
          <w:szCs w:val="14"/>
          <w:color w:val="auto"/>
        </w:rPr>
      </w:pPr>
    </w:p>
    <w:p>
      <w:pPr>
        <w:ind w:left="320"/>
        <w:spacing w:after="0"/>
        <w:rPr>
          <w:rFonts w:ascii="Arial" w:cs="Arial" w:eastAsia="Arial" w:hAnsi="Arial"/>
          <w:sz w:val="14"/>
          <w:szCs w:val="14"/>
          <w:color w:val="auto"/>
        </w:rPr>
      </w:pPr>
      <w:r>
        <w:rPr>
          <w:rFonts w:ascii="Arial" w:cs="Arial" w:eastAsia="Arial" w:hAnsi="Arial"/>
          <w:sz w:val="14"/>
          <w:szCs w:val="14"/>
          <w:color w:val="auto"/>
        </w:rPr>
        <w:t>1k.   C. T. Whitman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-32385</wp:posOffset>
            </wp:positionH>
            <wp:positionV relativeFrom="paragraph">
              <wp:posOffset>474345</wp:posOffset>
            </wp:positionV>
            <wp:extent cx="94615" cy="58293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94615" cy="58293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left="380" w:hanging="378"/>
        <w:spacing w:after="0" w:line="250" w:lineRule="auto"/>
        <w:tabs>
          <w:tab w:leader="none" w:pos="380" w:val="left"/>
        </w:tabs>
        <w:numPr>
          <w:ilvl w:val="0"/>
          <w:numId w:val="7"/>
        </w:numPr>
        <w:rPr>
          <w:rFonts w:ascii="Arial" w:cs="Arial" w:eastAsia="Arial" w:hAnsi="Arial"/>
          <w:sz w:val="14"/>
          <w:szCs w:val="14"/>
          <w:color w:val="auto"/>
        </w:rPr>
      </w:pPr>
      <w:r>
        <w:rPr>
          <w:rFonts w:ascii="Arial" w:cs="Arial" w:eastAsia="Arial" w:hAnsi="Arial"/>
          <w:sz w:val="14"/>
          <w:szCs w:val="14"/>
          <w:color w:val="auto"/>
        </w:rPr>
        <w:t>Board proposal regarding advisory approval of the Company’s executive compensation.</w:t>
      </w:r>
    </w:p>
    <w:p>
      <w:pPr>
        <w:spacing w:after="0" w:line="204" w:lineRule="exact"/>
        <w:rPr>
          <w:rFonts w:ascii="Arial" w:cs="Arial" w:eastAsia="Arial" w:hAnsi="Arial"/>
          <w:sz w:val="14"/>
          <w:szCs w:val="14"/>
          <w:color w:val="auto"/>
        </w:rPr>
      </w:pPr>
    </w:p>
    <w:p>
      <w:pPr>
        <w:ind w:left="380" w:hanging="378"/>
        <w:spacing w:after="0" w:line="249" w:lineRule="auto"/>
        <w:tabs>
          <w:tab w:leader="none" w:pos="380" w:val="left"/>
        </w:tabs>
        <w:numPr>
          <w:ilvl w:val="0"/>
          <w:numId w:val="7"/>
        </w:numPr>
        <w:rPr>
          <w:rFonts w:ascii="Times New Roman" w:cs="Times New Roman" w:eastAsia="Times New Roman" w:hAnsi="Times New Roman"/>
          <w:sz w:val="14"/>
          <w:szCs w:val="14"/>
          <w:color w:val="auto"/>
        </w:rPr>
      </w:pPr>
      <w:r>
        <w:rPr>
          <w:rFonts w:ascii="Arial" w:cs="Arial" w:eastAsia="Arial" w:hAnsi="Arial"/>
          <w:sz w:val="14"/>
          <w:szCs w:val="14"/>
          <w:color w:val="auto"/>
        </w:rPr>
        <w:t>Board proposal to ratify the appointment of Ernst &amp; Young LLP as the Company's independent registered public accounting firm for 2014.</w:t>
      </w:r>
    </w:p>
    <w:p>
      <w:pPr>
        <w:spacing w:after="0" w:line="205" w:lineRule="exact"/>
        <w:rPr>
          <w:rFonts w:ascii="Times New Roman" w:cs="Times New Roman" w:eastAsia="Times New Roman" w:hAnsi="Times New Roman"/>
          <w:sz w:val="14"/>
          <w:szCs w:val="14"/>
          <w:color w:val="auto"/>
        </w:rPr>
      </w:pPr>
    </w:p>
    <w:p>
      <w:pPr>
        <w:ind w:left="380" w:hanging="378"/>
        <w:spacing w:after="0"/>
        <w:tabs>
          <w:tab w:leader="none" w:pos="380" w:val="left"/>
        </w:tabs>
        <w:numPr>
          <w:ilvl w:val="0"/>
          <w:numId w:val="7"/>
        </w:numPr>
        <w:rPr>
          <w:rFonts w:ascii="Arial" w:cs="Arial" w:eastAsia="Arial" w:hAnsi="Arial"/>
          <w:sz w:val="14"/>
          <w:szCs w:val="14"/>
          <w:color w:val="auto"/>
        </w:rPr>
      </w:pPr>
      <w:r>
        <w:rPr>
          <w:rFonts w:ascii="Arial" w:cs="Arial" w:eastAsia="Arial" w:hAnsi="Arial"/>
          <w:sz w:val="14"/>
          <w:szCs w:val="14"/>
          <w:color w:val="auto"/>
        </w:rPr>
        <w:t>Board proposal to approve the TI Employees 2014 Stock Purchase Plan.</w:t>
      </w:r>
    </w:p>
    <w:p>
      <w:pPr>
        <w:spacing w:after="0" w:line="230" w:lineRule="exact"/>
        <w:rPr>
          <w:rFonts w:ascii="Arial" w:cs="Arial" w:eastAsia="Arial" w:hAnsi="Arial"/>
          <w:sz w:val="14"/>
          <w:szCs w:val="14"/>
          <w:color w:val="auto"/>
        </w:rPr>
      </w:pPr>
    </w:p>
    <w:p>
      <w:pPr>
        <w:ind w:left="380" w:hanging="378"/>
        <w:spacing w:after="0" w:line="250" w:lineRule="auto"/>
        <w:tabs>
          <w:tab w:leader="none" w:pos="380" w:val="left"/>
        </w:tabs>
        <w:numPr>
          <w:ilvl w:val="0"/>
          <w:numId w:val="7"/>
        </w:numPr>
        <w:rPr>
          <w:rFonts w:ascii="Arial" w:cs="Arial" w:eastAsia="Arial" w:hAnsi="Arial"/>
          <w:sz w:val="14"/>
          <w:szCs w:val="14"/>
          <w:color w:val="auto"/>
        </w:rPr>
      </w:pPr>
      <w:r>
        <w:rPr>
          <w:rFonts w:ascii="Arial" w:cs="Arial" w:eastAsia="Arial" w:hAnsi="Arial"/>
          <w:sz w:val="14"/>
          <w:szCs w:val="14"/>
          <w:color w:val="auto"/>
        </w:rPr>
        <w:t>Board proposal to reapprove the material terms of the performance goals under the Texas Instruments 2009 Long-Term Incentive Plan.</w:t>
      </w:r>
    </w:p>
    <w:p>
      <w:pPr>
        <w:spacing w:after="0" w:line="203" w:lineRule="exact"/>
        <w:rPr>
          <w:sz w:val="20"/>
          <w:szCs w:val="20"/>
          <w:color w:val="auto"/>
        </w:rPr>
      </w:pPr>
    </w:p>
    <w:p>
      <w:pPr>
        <w:ind w:right="20"/>
        <w:spacing w:after="0" w:line="253" w:lineRule="auto"/>
        <w:rPr>
          <w:sz w:val="20"/>
          <w:szCs w:val="20"/>
          <w:color w:val="auto"/>
        </w:rPr>
      </w:pPr>
      <w:r>
        <w:rPr>
          <w:rFonts w:ascii="Arial" w:cs="Arial" w:eastAsia="Arial" w:hAnsi="Arial"/>
          <w:sz w:val="14"/>
          <w:szCs w:val="14"/>
          <w:b w:val="1"/>
          <w:bCs w:val="1"/>
          <w:color w:val="auto"/>
        </w:rPr>
        <w:t>NOTE</w:t>
      </w:r>
      <w:r>
        <w:rPr>
          <w:rFonts w:ascii="Arial" w:cs="Arial" w:eastAsia="Arial" w:hAnsi="Arial"/>
          <w:sz w:val="14"/>
          <w:szCs w:val="14"/>
          <w:color w:val="auto"/>
        </w:rPr>
        <w:t>: Such other business as may properly come before the meeting or any adjournment</w:t>
      </w:r>
      <w:r>
        <w:rPr>
          <w:rFonts w:ascii="Arial" w:cs="Arial" w:eastAsia="Arial" w:hAnsi="Arial"/>
          <w:sz w:val="14"/>
          <w:szCs w:val="14"/>
          <w:b w:val="1"/>
          <w:bCs w:val="1"/>
          <w:color w:val="auto"/>
        </w:rPr>
        <w:t xml:space="preserve"> </w:t>
      </w:r>
      <w:r>
        <w:rPr>
          <w:rFonts w:ascii="Arial" w:cs="Arial" w:eastAsia="Arial" w:hAnsi="Arial"/>
          <w:sz w:val="14"/>
          <w:szCs w:val="14"/>
          <w:color w:val="auto"/>
        </w:rPr>
        <w:t>thereof.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-3768090</wp:posOffset>
            </wp:positionH>
            <wp:positionV relativeFrom="paragraph">
              <wp:posOffset>2298700</wp:posOffset>
            </wp:positionV>
            <wp:extent cx="7267575" cy="215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2">
            <w:col w:w="5160" w:space="720"/>
            <w:col w:w="5420"/>
          </w:cols>
          <w:pgMar w:left="300" w:top="404" w:right="299" w:bottom="1440" w:gutter="0" w:footer="0" w:header="0"/>
        </w:sectPr>
      </w:pPr>
    </w:p>
    <w:bookmarkStart w:id="4" w:name="page5"/>
    <w:bookmarkEnd w:id="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239395</wp:posOffset>
            </wp:positionH>
            <wp:positionV relativeFrom="page">
              <wp:posOffset>1791335</wp:posOffset>
            </wp:positionV>
            <wp:extent cx="6765925" cy="596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6765925" cy="59690"/>
                    </a:xfrm>
                    <a:prstGeom prst="rect">
                      <a:avLst/>
                    </a:prstGeom>
                    <a:noFill/>
                  </pic:spPr>
                </pic:pic>
              </a:graphicData>
            </a:graphic>
          </wp:anchor>
        </w:drawing>
        <w:drawing>
          <wp:anchor simplePos="0" relativeHeight="251657728" behindDoc="1" locked="0" layoutInCell="0" allowOverlap="1">
            <wp:simplePos x="0" y="0"/>
            <wp:positionH relativeFrom="page">
              <wp:posOffset>155575</wp:posOffset>
            </wp:positionH>
            <wp:positionV relativeFrom="page">
              <wp:posOffset>3843020</wp:posOffset>
            </wp:positionV>
            <wp:extent cx="7267575" cy="215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67575" cy="215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2867660</wp:posOffset>
            </wp:positionV>
            <wp:extent cx="94615" cy="60007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clrChange>
                        <a:clrFrom>
                          <a:srgbClr val="FFFFFF"/>
                        </a:clrFrom>
                        <a:clrTo>
                          <a:srgbClr val="FFFFFF">
                            <a:alpha val="0"/>
                          </a:srgbClr>
                        </a:clrTo>
                      </a:clrChange>
                      <a:extLst>
                        <a:ext uri="{28A0092B-C50C-407E-A947-70E740481C1C}"/>
                      </a:extLst>
                    </a:blip>
                    <a:srcRect/>
                    <a:stretch>
                      <a:fillRect/>
                    </a:stretch>
                  </pic:blipFill>
                  <pic:spPr bwMode="auto">
                    <a:xfrm>
                      <a:off x="0" y="0"/>
                      <a:ext cx="94615" cy="600075"/>
                    </a:xfrm>
                    <a:prstGeom prst="rect">
                      <a:avLst/>
                    </a:prstGeom>
                    <a:noFill/>
                  </pic:spPr>
                </pic:pic>
              </a:graphicData>
            </a:graphic>
          </wp:anchor>
        </w:drawing>
      </w:r>
    </w:p>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25558EC"/>
    <w:multiLevelType w:val="hybridMultilevel"/>
    <w:lvl w:ilvl="0">
      <w:lvlJc w:val="left"/>
      <w:lvlText w:val="[%1]"/>
      <w:numFmt w:val="upperLetter"/>
      <w:start w:val="24"/>
    </w:lvl>
  </w:abstractNum>
  <w:abstractNum w:abstractNumId="1">
    <w:nsid w:val="238E1F29"/>
    <w:multiLevelType w:val="hybridMultilevel"/>
    <w:lvl w:ilvl="0">
      <w:lvlJc w:val="left"/>
      <w:lvlText w:val="[%1]"/>
      <w:numFmt w:val="upperLetter"/>
      <w:start w:val="24"/>
    </w:lvl>
  </w:abstractNum>
  <w:abstractNum w:abstractNumId="2">
    <w:nsid w:val="46E87CCD"/>
    <w:multiLevelType w:val="hybridMultilevel"/>
    <w:lvl w:ilvl="0">
      <w:lvlJc w:val="left"/>
      <w:lvlText w:val="["/>
      <w:numFmt w:val="bullet"/>
      <w:start w:val="1"/>
    </w:lvl>
    <w:lvl w:ilvl="1">
      <w:lvlJc w:val="left"/>
      <w:lvlText w:val="%2)"/>
      <w:numFmt w:val="decimal"/>
      <w:start w:val="1"/>
    </w:lvl>
  </w:abstractNum>
  <w:abstractNum w:abstractNumId="3">
    <w:nsid w:val="3D1B58BA"/>
    <w:multiLevelType w:val="hybridMultilevel"/>
    <w:lvl w:ilvl="0">
      <w:lvlJc w:val="left"/>
      <w:lvlText w:val="["/>
      <w:numFmt w:val="bullet"/>
      <w:start w:val="1"/>
    </w:lvl>
    <w:lvl w:ilvl="1">
      <w:lvlJc w:val="left"/>
      <w:lvlText w:val="%2)"/>
      <w:numFmt w:val="decimal"/>
      <w:start w:val="1"/>
    </w:lvl>
  </w:abstractNum>
  <w:abstractNum w:abstractNumId="4">
    <w:nsid w:val="507ED7AB"/>
    <w:multiLevelType w:val="hybridMultilevel"/>
    <w:lvl w:ilvl="0">
      <w:lvlJc w:val="left"/>
      <w:lvlText w:val="*"/>
      <w:numFmt w:val="bullet"/>
      <w:start w:val="1"/>
    </w:lvl>
    <w:lvl w:ilvl="1">
      <w:lvlJc w:val="left"/>
      <w:lvlText w:val="%2"/>
      <w:numFmt w:val="upperLetter"/>
      <w:start w:val="1"/>
    </w:lvl>
    <w:lvl w:ilvl="2">
      <w:lvlJc w:val="left"/>
      <w:lvlText w:val="%3)"/>
      <w:numFmt w:val="decimal"/>
      <w:start w:val="1"/>
    </w:lvl>
  </w:abstractNum>
  <w:abstractNum w:abstractNumId="5">
    <w:nsid w:val="2EB141F2"/>
    <w:multiLevelType w:val="hybridMultilevel"/>
    <w:lvl w:ilvl="0">
      <w:lvlJc w:val="left"/>
      <w:lvlText w:val="%1."/>
      <w:numFmt w:val="decimal"/>
      <w:start w:val="1"/>
    </w:lvl>
  </w:abstractNum>
  <w:abstractNum w:abstractNumId="6">
    <w:nsid w:val="41B71EFB"/>
    <w:multiLevelType w:val="hybridMultilevel"/>
    <w:lvl w:ilvl="0">
      <w:lvlJc w:val="left"/>
      <w:lvlText w:val="%1."/>
      <w:numFmt w:val="decimal"/>
      <w:start w:val="2"/>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jpe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jpe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jpe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2019-12-05T15:23:06Z</dcterms:created>
  <dcterms:modified xsi:type="dcterms:W3CDTF">2019-12-05T15:23:06Z</dcterms:modified>
</cp:coreProperties>
</file>